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B51867" w14:textId="77777777" w:rsidR="002D16A0" w:rsidRPr="005C7611" w:rsidRDefault="002F0D49" w:rsidP="002D16A0">
      <w:pPr>
        <w:pStyle w:val="Title2"/>
        <w:rPr>
          <w:b w:val="0"/>
          <w:color w:val="FF0000"/>
        </w:rPr>
      </w:pPr>
      <w:r w:rsidRPr="005C7611">
        <w:t>Matrix-free Hyperfluorescent Organic Light-Emitting Diodes Based on Carbene-</w:t>
      </w:r>
      <w:r w:rsidR="008610A4" w:rsidRPr="005C7611">
        <w:t>M</w:t>
      </w:r>
      <w:r w:rsidRPr="005C7611">
        <w:t>etal-</w:t>
      </w:r>
      <w:r w:rsidR="008610A4" w:rsidRPr="005C7611">
        <w:t>A</w:t>
      </w:r>
      <w:r w:rsidRPr="005C7611">
        <w:t>mides</w:t>
      </w:r>
    </w:p>
    <w:p w14:paraId="5E75DEDD" w14:textId="77777777" w:rsidR="002D16A0" w:rsidRPr="005C7611" w:rsidRDefault="002D16A0" w:rsidP="002D16A0">
      <w:pPr>
        <w:pStyle w:val="Tableofcontents"/>
      </w:pPr>
    </w:p>
    <w:p w14:paraId="6AF3AE02" w14:textId="77777777" w:rsidR="002D16A0" w:rsidRPr="005C7611" w:rsidRDefault="00867559" w:rsidP="002D16A0">
      <w:pPr>
        <w:pStyle w:val="AuthorsFull"/>
      </w:pPr>
      <w:r w:rsidRPr="005C7611">
        <w:t>Hwan-</w:t>
      </w:r>
      <w:proofErr w:type="spellStart"/>
      <w:r w:rsidRPr="005C7611">
        <w:t>Hee</w:t>
      </w:r>
      <w:proofErr w:type="spellEnd"/>
      <w:r w:rsidRPr="005C7611">
        <w:t xml:space="preserve"> Cho, </w:t>
      </w:r>
      <w:bookmarkStart w:id="0" w:name="_Hlk42071149"/>
      <w:r w:rsidRPr="005C7611">
        <w:t xml:space="preserve">Alexander S. Romanov, Manfred </w:t>
      </w:r>
      <w:proofErr w:type="spellStart"/>
      <w:r w:rsidRPr="005C7611">
        <w:t>Bochmann</w:t>
      </w:r>
      <w:bookmarkEnd w:id="0"/>
      <w:proofErr w:type="spellEnd"/>
      <w:r w:rsidRPr="005C7611">
        <w:t xml:space="preserve">, Neil C. </w:t>
      </w:r>
      <w:proofErr w:type="spellStart"/>
      <w:r w:rsidRPr="005C7611">
        <w:t>Greenham</w:t>
      </w:r>
      <w:proofErr w:type="spellEnd"/>
      <w:r w:rsidRPr="005C7611">
        <w:t xml:space="preserve"> and Dan </w:t>
      </w:r>
      <w:proofErr w:type="spellStart"/>
      <w:r w:rsidRPr="005C7611">
        <w:t>Credgington</w:t>
      </w:r>
      <w:proofErr w:type="spellEnd"/>
      <w:r w:rsidRPr="005C7611">
        <w:t>*</w:t>
      </w:r>
      <w:r w:rsidR="002D16A0" w:rsidRPr="005C7611">
        <w:t xml:space="preserve"> </w:t>
      </w:r>
    </w:p>
    <w:p w14:paraId="216767E2" w14:textId="77777777" w:rsidR="002D16A0" w:rsidRPr="005C7611" w:rsidRDefault="002D16A0" w:rsidP="00450D9F">
      <w:pPr>
        <w:pStyle w:val="Tableofcontents"/>
      </w:pPr>
    </w:p>
    <w:p w14:paraId="170904F9" w14:textId="77777777" w:rsidR="007B7A09" w:rsidRPr="005C7611" w:rsidRDefault="00867559" w:rsidP="007B7A09">
      <w:pPr>
        <w:pStyle w:val="Addresses"/>
      </w:pPr>
      <w:r w:rsidRPr="005C7611">
        <w:t>Hwan-</w:t>
      </w:r>
      <w:proofErr w:type="spellStart"/>
      <w:r w:rsidRPr="005C7611">
        <w:t>Hee</w:t>
      </w:r>
      <w:proofErr w:type="spellEnd"/>
      <w:r w:rsidRPr="005C7611">
        <w:t xml:space="preserve"> Cho, Prof. Neil C. </w:t>
      </w:r>
      <w:proofErr w:type="spellStart"/>
      <w:r w:rsidRPr="005C7611">
        <w:t>Greenham</w:t>
      </w:r>
      <w:proofErr w:type="spellEnd"/>
      <w:r w:rsidRPr="005C7611">
        <w:t xml:space="preserve">, Dr. Dan </w:t>
      </w:r>
      <w:proofErr w:type="spellStart"/>
      <w:r w:rsidRPr="005C7611">
        <w:t>Credgington</w:t>
      </w:r>
      <w:proofErr w:type="spellEnd"/>
    </w:p>
    <w:p w14:paraId="50107CF4" w14:textId="77777777" w:rsidR="00867559" w:rsidRPr="005C7611" w:rsidRDefault="00867559" w:rsidP="00867559">
      <w:pPr>
        <w:rPr>
          <w:lang w:val="en-US"/>
        </w:rPr>
      </w:pPr>
      <w:r w:rsidRPr="005C7611">
        <w:rPr>
          <w:lang w:val="en-US"/>
        </w:rPr>
        <w:t xml:space="preserve">Cavendish Laboratory, Department of Physics, University of Cambridge, J </w:t>
      </w:r>
      <w:proofErr w:type="spellStart"/>
      <w:r w:rsidRPr="005C7611">
        <w:rPr>
          <w:lang w:val="en-US"/>
        </w:rPr>
        <w:t>J</w:t>
      </w:r>
      <w:proofErr w:type="spellEnd"/>
      <w:r w:rsidRPr="005C7611">
        <w:rPr>
          <w:lang w:val="en-US"/>
        </w:rPr>
        <w:t xml:space="preserve"> Thomson avenue, CB3 0HE, UK</w:t>
      </w:r>
    </w:p>
    <w:p w14:paraId="239674D5" w14:textId="77777777" w:rsidR="007B7A09" w:rsidRPr="005C7611" w:rsidRDefault="007B7A09" w:rsidP="007B7A09">
      <w:pPr>
        <w:pStyle w:val="Addresses"/>
      </w:pPr>
      <w:r w:rsidRPr="005C7611">
        <w:t>E-mail:</w:t>
      </w:r>
      <w:r w:rsidR="00867559" w:rsidRPr="005C7611">
        <w:t xml:space="preserve"> dan.credgington@gmail.com</w:t>
      </w:r>
    </w:p>
    <w:p w14:paraId="5E0CE133" w14:textId="77777777" w:rsidR="00C56CD4" w:rsidRPr="005C7611" w:rsidRDefault="00C56CD4" w:rsidP="007B7A09">
      <w:pPr>
        <w:pStyle w:val="Addresses"/>
      </w:pPr>
    </w:p>
    <w:p w14:paraId="2F2848DB" w14:textId="77777777" w:rsidR="007B7A09" w:rsidRPr="005C7611" w:rsidRDefault="007B7A09" w:rsidP="007B7A09">
      <w:pPr>
        <w:pStyle w:val="Addresses"/>
      </w:pPr>
      <w:r w:rsidRPr="005C7611">
        <w:t xml:space="preserve">Dr. </w:t>
      </w:r>
      <w:r w:rsidR="00867559" w:rsidRPr="005C7611">
        <w:t xml:space="preserve">Alexander S. Romanov, Prof. Manfred </w:t>
      </w:r>
      <w:proofErr w:type="spellStart"/>
      <w:r w:rsidR="00867559" w:rsidRPr="005C7611">
        <w:t>Bochmann</w:t>
      </w:r>
      <w:proofErr w:type="spellEnd"/>
      <w:r w:rsidRPr="005C7611">
        <w:br/>
      </w:r>
      <w:r w:rsidR="00867559" w:rsidRPr="005C7611">
        <w:t>School of Chemistry, University of East Anglia, Earlham Road, Norwich, NR4 7TJ, UK</w:t>
      </w:r>
    </w:p>
    <w:p w14:paraId="377FBF8B" w14:textId="77777777" w:rsidR="002D16A0" w:rsidRPr="005C7611" w:rsidRDefault="002D16A0" w:rsidP="002D16A0">
      <w:pPr>
        <w:rPr>
          <w:lang w:val="en-US"/>
        </w:rPr>
      </w:pPr>
    </w:p>
    <w:p w14:paraId="3AE40400" w14:textId="77777777" w:rsidR="00901D14" w:rsidRPr="005C7611" w:rsidRDefault="00901D14" w:rsidP="00901D14">
      <w:pPr>
        <w:rPr>
          <w:lang w:val="en-US"/>
        </w:rPr>
      </w:pPr>
      <w:r w:rsidRPr="005C7611">
        <w:rPr>
          <w:bCs/>
          <w:lang w:val="en-US"/>
        </w:rPr>
        <w:t xml:space="preserve">Keywords: </w:t>
      </w:r>
      <w:r w:rsidR="00867559" w:rsidRPr="005C7611">
        <w:rPr>
          <w:rFonts w:eastAsia="MS Gothic"/>
          <w:lang w:val="en-US"/>
        </w:rPr>
        <w:t xml:space="preserve">hyperfluorescent OLEDs, carbene-metal-amides, </w:t>
      </w:r>
      <w:r w:rsidR="00E00DAA" w:rsidRPr="005C7611">
        <w:rPr>
          <w:rFonts w:eastAsia="MS Gothic"/>
          <w:lang w:val="en-US"/>
        </w:rPr>
        <w:t xml:space="preserve">exciton </w:t>
      </w:r>
      <w:r w:rsidR="00867559" w:rsidRPr="005C7611">
        <w:rPr>
          <w:rFonts w:eastAsia="MS Gothic"/>
          <w:lang w:val="en-US"/>
        </w:rPr>
        <w:t>energy transfer</w:t>
      </w:r>
    </w:p>
    <w:p w14:paraId="587A38EF" w14:textId="77777777" w:rsidR="00004A23" w:rsidRPr="005C7611" w:rsidRDefault="00004A23" w:rsidP="00004A23">
      <w:pPr>
        <w:rPr>
          <w:rFonts w:eastAsiaTheme="minorEastAsia"/>
          <w:lang w:val="en-US" w:eastAsia="ko-KR"/>
        </w:rPr>
      </w:pPr>
    </w:p>
    <w:p w14:paraId="63E706DB" w14:textId="77777777" w:rsidR="008610A4" w:rsidRPr="005C7611" w:rsidRDefault="008610A4" w:rsidP="00004A23">
      <w:pPr>
        <w:rPr>
          <w:rFonts w:eastAsiaTheme="minorEastAsia"/>
          <w:lang w:val="en-US" w:eastAsia="ko-KR"/>
        </w:rPr>
      </w:pPr>
    </w:p>
    <w:p w14:paraId="30FEFE30" w14:textId="4951A479" w:rsidR="008610A4" w:rsidRPr="005C7611" w:rsidRDefault="008610A4" w:rsidP="008610A4">
      <w:pPr>
        <w:pStyle w:val="Abstract"/>
      </w:pPr>
      <w:r w:rsidRPr="005C7611">
        <w:t xml:space="preserve">A wide-gap host matrix is a major obstacle detrimentally influencing the performance of hyperfluorescent organic light-emitting </w:t>
      </w:r>
      <w:r w:rsidR="00962F36" w:rsidRPr="005C7611">
        <w:t>diodes since</w:t>
      </w:r>
      <w:r w:rsidRPr="005C7611">
        <w:t xml:space="preserve"> it substantially increases driving voltage. Moreover, th</w:t>
      </w:r>
      <w:r w:rsidR="00E1035E" w:rsidRPr="005C7611">
        <w:t>ese</w:t>
      </w:r>
      <w:r w:rsidRPr="005C7611">
        <w:t xml:space="preserve"> </w:t>
      </w:r>
      <w:r w:rsidR="00962F36" w:rsidRPr="005C7611">
        <w:t>hyperfluorescent</w:t>
      </w:r>
      <w:r w:rsidRPr="005C7611">
        <w:t xml:space="preserve"> </w:t>
      </w:r>
      <w:r w:rsidR="00962F36" w:rsidRPr="005C7611">
        <w:t>devices typically</w:t>
      </w:r>
      <w:r w:rsidRPr="005C7611">
        <w:t xml:space="preserve"> require at least three components in </w:t>
      </w:r>
      <w:r w:rsidR="00962F36" w:rsidRPr="005C7611">
        <w:t>their</w:t>
      </w:r>
      <w:r w:rsidRPr="005C7611">
        <w:t xml:space="preserve"> emitting layer, which is </w:t>
      </w:r>
      <w:r w:rsidR="005D610F" w:rsidRPr="005C7611">
        <w:t>unfavorable</w:t>
      </w:r>
      <w:r w:rsidRPr="005C7611">
        <w:t xml:space="preserve"> for mass production. To tackle the issue, we report hyperfluorescent organic light-emitting diodes based on a </w:t>
      </w:r>
      <w:r w:rsidR="00946E2B" w:rsidRPr="005C7611">
        <w:t>two-component e</w:t>
      </w:r>
      <w:r w:rsidRPr="005C7611">
        <w:t>missive system of carbene-metal-amide donors and conventional fluorescent acceptors.</w:t>
      </w:r>
      <w:r w:rsidR="00946E2B" w:rsidRPr="005C7611">
        <w:t xml:space="preserve"> We demonstrate a significant reduction of the driving voltage versus three-component hyperfluorescent devices at practical brightness (1000 cdm</w:t>
      </w:r>
      <w:r w:rsidR="00946E2B" w:rsidRPr="005C7611">
        <w:rPr>
          <w:vertAlign w:val="superscript"/>
        </w:rPr>
        <w:t>-2</w:t>
      </w:r>
      <w:r w:rsidR="00946E2B" w:rsidRPr="005C7611">
        <w:t>), leading to a doubling of power conversion efficiency</w:t>
      </w:r>
      <w:r w:rsidR="00283F23" w:rsidRPr="005C7611">
        <w:t xml:space="preserve"> for some composites</w:t>
      </w:r>
      <w:r w:rsidR="00946E2B" w:rsidRPr="005C7611">
        <w:t xml:space="preserve">. From an analysis of thin-film </w:t>
      </w:r>
      <w:proofErr w:type="spellStart"/>
      <w:r w:rsidR="00946E2B" w:rsidRPr="005C7611">
        <w:t>photophysics</w:t>
      </w:r>
      <w:proofErr w:type="spellEnd"/>
      <w:r w:rsidR="00946E2B" w:rsidRPr="005C7611">
        <w:t xml:space="preserve">, it is shown that operational efficiency is limited by Dexter energy transfer between donors and acceptors, which may be reduced by tert-butyl steric substituents, providing new targets for molecular design. While reducing driving voltage, matrix-free hyperfluorescent devices also achieve a maximum external quantum efficiency of 16.5%.  </w:t>
      </w:r>
    </w:p>
    <w:p w14:paraId="416A503A" w14:textId="77777777" w:rsidR="008610A4" w:rsidRPr="005C7611" w:rsidRDefault="008610A4" w:rsidP="008610A4">
      <w:pPr>
        <w:pStyle w:val="Abstract"/>
      </w:pPr>
    </w:p>
    <w:p w14:paraId="2F6EFE27" w14:textId="77777777" w:rsidR="00662DCE" w:rsidRPr="005C7611" w:rsidRDefault="00662DCE" w:rsidP="00004A23">
      <w:pPr>
        <w:rPr>
          <w:color w:val="FF0000"/>
          <w:lang w:val="en-US"/>
        </w:rPr>
      </w:pPr>
    </w:p>
    <w:p w14:paraId="5018E726" w14:textId="77777777" w:rsidR="002D16A0" w:rsidRPr="005C7611" w:rsidRDefault="002D16A0" w:rsidP="008E5835">
      <w:pPr>
        <w:pStyle w:val="Head1"/>
      </w:pPr>
      <w:r w:rsidRPr="005C7611">
        <w:t>1. Introduction</w:t>
      </w:r>
    </w:p>
    <w:p w14:paraId="6668737F" w14:textId="77777777" w:rsidR="00253B1D" w:rsidRPr="005C7611" w:rsidRDefault="00253B1D" w:rsidP="008E5835">
      <w:pPr>
        <w:pStyle w:val="Head1"/>
      </w:pPr>
    </w:p>
    <w:p w14:paraId="5023AF0B" w14:textId="4F9C691E" w:rsidR="00253B1D" w:rsidRPr="005C7611" w:rsidRDefault="00D0006F" w:rsidP="0069427F">
      <w:pPr>
        <w:spacing w:line="480" w:lineRule="auto"/>
        <w:ind w:firstLine="708"/>
        <w:rPr>
          <w:lang w:val="en-US"/>
        </w:rPr>
      </w:pPr>
      <w:r w:rsidRPr="005C7611">
        <w:rPr>
          <w:lang w:val="en-US"/>
        </w:rPr>
        <w:t>The d</w:t>
      </w:r>
      <w:r w:rsidR="00253B1D" w:rsidRPr="005C7611">
        <w:rPr>
          <w:lang w:val="en-US"/>
        </w:rPr>
        <w:t>emonst</w:t>
      </w:r>
      <w:r w:rsidR="00147F8B" w:rsidRPr="005C7611">
        <w:rPr>
          <w:lang w:val="en-US"/>
        </w:rPr>
        <w:t>r</w:t>
      </w:r>
      <w:r w:rsidR="00253B1D" w:rsidRPr="005C7611">
        <w:rPr>
          <w:lang w:val="en-US"/>
        </w:rPr>
        <w:t>ation of the first organic electroluminescent device in 1987 marked a new era in light-emitting technology.</w:t>
      </w:r>
      <w:r w:rsidR="00147F8B" w:rsidRPr="005C7611">
        <w:rPr>
          <w:vertAlign w:val="superscript"/>
          <w:lang w:val="en-US"/>
        </w:rPr>
        <w:t>[1]</w:t>
      </w:r>
      <w:r w:rsidR="00147F8B" w:rsidRPr="005C7611">
        <w:rPr>
          <w:lang w:val="en-US"/>
        </w:rPr>
        <w:t xml:space="preserve"> </w:t>
      </w:r>
      <w:r w:rsidR="00253B1D" w:rsidRPr="005C7611">
        <w:rPr>
          <w:lang w:val="en-US"/>
        </w:rPr>
        <w:t xml:space="preserve">From the late 2000s, </w:t>
      </w:r>
      <w:r w:rsidR="00592D02" w:rsidRPr="005C7611">
        <w:rPr>
          <w:lang w:val="en-US"/>
        </w:rPr>
        <w:t>o</w:t>
      </w:r>
      <w:r w:rsidR="00253B1D" w:rsidRPr="005C7611">
        <w:rPr>
          <w:lang w:val="en-US"/>
        </w:rPr>
        <w:t xml:space="preserve">rganic light-emitting diodes </w:t>
      </w:r>
      <w:r w:rsidR="00253B1D" w:rsidRPr="005C7611">
        <w:rPr>
          <w:lang w:val="en-US"/>
        </w:rPr>
        <w:lastRenderedPageBreak/>
        <w:t>(OLEDs)</w:t>
      </w:r>
      <w:r w:rsidR="00147F8B" w:rsidRPr="005C7611">
        <w:rPr>
          <w:lang w:val="en-US"/>
        </w:rPr>
        <w:t xml:space="preserve"> </w:t>
      </w:r>
      <w:r w:rsidR="00253B1D" w:rsidRPr="005C7611">
        <w:rPr>
          <w:lang w:val="en-US"/>
        </w:rPr>
        <w:t>became a rival for liquid crystal displays (LCDs) due to superior efficiency, contrast, brightness</w:t>
      </w:r>
      <w:r w:rsidR="00E1035E" w:rsidRPr="005C7611">
        <w:rPr>
          <w:lang w:val="en-US"/>
        </w:rPr>
        <w:t>,</w:t>
      </w:r>
      <w:r w:rsidR="00253B1D" w:rsidRPr="005C7611">
        <w:rPr>
          <w:lang w:val="en-US"/>
        </w:rPr>
        <w:t xml:space="preserve"> and ease of manufacture.</w:t>
      </w:r>
      <w:r w:rsidR="00310431" w:rsidRPr="005C7611">
        <w:rPr>
          <w:lang w:val="en-US"/>
        </w:rPr>
        <w:t xml:space="preserve"> </w:t>
      </w:r>
      <w:r w:rsidR="00253B1D" w:rsidRPr="005C7611">
        <w:rPr>
          <w:lang w:val="en-US"/>
        </w:rPr>
        <w:t xml:space="preserve">OLEDs </w:t>
      </w:r>
      <w:r w:rsidR="00310431" w:rsidRPr="005C7611">
        <w:rPr>
          <w:lang w:val="en-US"/>
        </w:rPr>
        <w:t>have now entered</w:t>
      </w:r>
      <w:r w:rsidR="00253B1D" w:rsidRPr="005C7611">
        <w:rPr>
          <w:lang w:val="en-US"/>
        </w:rPr>
        <w:t xml:space="preserve"> mass-production and </w:t>
      </w:r>
      <w:r w:rsidR="00592D02" w:rsidRPr="005C7611">
        <w:rPr>
          <w:lang w:val="en-US"/>
        </w:rPr>
        <w:t xml:space="preserve">are </w:t>
      </w:r>
      <w:r w:rsidR="00253B1D" w:rsidRPr="005C7611">
        <w:rPr>
          <w:lang w:val="en-US"/>
        </w:rPr>
        <w:t>widely applied in TVs, tablet PCs</w:t>
      </w:r>
      <w:r w:rsidRPr="005C7611">
        <w:rPr>
          <w:lang w:val="en-US"/>
        </w:rPr>
        <w:t>,</w:t>
      </w:r>
      <w:r w:rsidR="00253B1D" w:rsidRPr="005C7611">
        <w:rPr>
          <w:lang w:val="en-US"/>
        </w:rPr>
        <w:t xml:space="preserve"> and smartphones </w:t>
      </w:r>
      <w:r w:rsidR="00310431" w:rsidRPr="005C7611">
        <w:rPr>
          <w:lang w:val="en-US"/>
        </w:rPr>
        <w:t>whether they increasingly replace</w:t>
      </w:r>
      <w:r w:rsidR="00253B1D" w:rsidRPr="005C7611">
        <w:rPr>
          <w:lang w:val="en-US"/>
        </w:rPr>
        <w:t xml:space="preserve"> LCDs</w:t>
      </w:r>
      <w:r w:rsidR="00147F8B" w:rsidRPr="005C7611">
        <w:rPr>
          <w:lang w:val="en-US"/>
        </w:rPr>
        <w:t xml:space="preserve">. </w:t>
      </w:r>
      <w:r w:rsidR="00253B1D" w:rsidRPr="005C7611">
        <w:rPr>
          <w:lang w:val="en-US"/>
        </w:rPr>
        <w:t xml:space="preserve">The use of phosphorescent </w:t>
      </w:r>
      <w:r w:rsidR="00310431" w:rsidRPr="005C7611">
        <w:rPr>
          <w:lang w:val="en-US"/>
        </w:rPr>
        <w:t>molecules to turn on emission from n</w:t>
      </w:r>
      <w:r w:rsidR="00253B1D" w:rsidRPr="005C7611">
        <w:rPr>
          <w:lang w:val="en-US"/>
        </w:rPr>
        <w:t xml:space="preserve">ormally-dark triplet </w:t>
      </w:r>
      <w:r w:rsidR="00310431" w:rsidRPr="005C7611">
        <w:rPr>
          <w:lang w:val="en-US"/>
        </w:rPr>
        <w:t>excited states</w:t>
      </w:r>
      <w:r w:rsidR="00253B1D" w:rsidRPr="005C7611">
        <w:rPr>
          <w:lang w:val="en-US"/>
        </w:rPr>
        <w:t xml:space="preserve"> was a key </w:t>
      </w:r>
      <w:r w:rsidR="00310431" w:rsidRPr="005C7611">
        <w:rPr>
          <w:lang w:val="en-US"/>
        </w:rPr>
        <w:t>development, which significantly increased</w:t>
      </w:r>
      <w:r w:rsidR="00253B1D" w:rsidRPr="005C7611">
        <w:rPr>
          <w:lang w:val="en-US"/>
        </w:rPr>
        <w:t xml:space="preserve"> the performance of red and green OLED</w:t>
      </w:r>
      <w:r w:rsidR="00310431" w:rsidRPr="005C7611">
        <w:rPr>
          <w:lang w:val="en-US"/>
        </w:rPr>
        <w:t xml:space="preserve"> devices</w:t>
      </w:r>
      <w:r w:rsidR="00147F8B" w:rsidRPr="005C7611">
        <w:rPr>
          <w:lang w:val="en-US"/>
        </w:rPr>
        <w:t>.</w:t>
      </w:r>
      <w:r w:rsidR="00253B1D" w:rsidRPr="005C7611">
        <w:rPr>
          <w:vertAlign w:val="superscript"/>
          <w:lang w:val="en-US"/>
        </w:rPr>
        <w:t>[2-4</w:t>
      </w:r>
      <w:r w:rsidR="00147F8B" w:rsidRPr="005C7611">
        <w:rPr>
          <w:vertAlign w:val="superscript"/>
          <w:lang w:val="en-US"/>
        </w:rPr>
        <w:t>]</w:t>
      </w:r>
      <w:r w:rsidR="00253B1D" w:rsidRPr="005C7611">
        <w:rPr>
          <w:lang w:val="en-US"/>
        </w:rPr>
        <w:t xml:space="preserve"> </w:t>
      </w:r>
      <w:r w:rsidR="00310431" w:rsidRPr="005C7611">
        <w:rPr>
          <w:lang w:val="en-US"/>
        </w:rPr>
        <w:t>However</w:t>
      </w:r>
      <w:r w:rsidR="00253B1D" w:rsidRPr="005C7611">
        <w:rPr>
          <w:lang w:val="en-US"/>
        </w:rPr>
        <w:t xml:space="preserve">, </w:t>
      </w:r>
      <w:r w:rsidR="00592D02" w:rsidRPr="005C7611">
        <w:rPr>
          <w:lang w:val="en-US"/>
        </w:rPr>
        <w:t xml:space="preserve">the </w:t>
      </w:r>
      <w:r w:rsidR="00253B1D" w:rsidRPr="005C7611">
        <w:rPr>
          <w:lang w:val="en-US"/>
        </w:rPr>
        <w:t>realization of blue phosphorescent OLED</w:t>
      </w:r>
      <w:r w:rsidR="00036CCE" w:rsidRPr="005C7611">
        <w:rPr>
          <w:lang w:val="en-US"/>
        </w:rPr>
        <w:t>s</w:t>
      </w:r>
      <w:r w:rsidR="00253B1D" w:rsidRPr="005C7611">
        <w:rPr>
          <w:lang w:val="en-US"/>
        </w:rPr>
        <w:t xml:space="preserve"> with high stability remains a key challenge</w:t>
      </w:r>
      <w:r w:rsidR="00310431" w:rsidRPr="005C7611">
        <w:rPr>
          <w:lang w:val="en-US"/>
        </w:rPr>
        <w:t>,</w:t>
      </w:r>
      <w:r w:rsidR="00253B1D" w:rsidRPr="005C7611">
        <w:rPr>
          <w:lang w:val="en-US"/>
        </w:rPr>
        <w:t xml:space="preserve"> with operational lifetimes still far from those required for OLED consumer products</w:t>
      </w:r>
      <w:r w:rsidR="00147F8B" w:rsidRPr="005C7611">
        <w:rPr>
          <w:lang w:val="en-US"/>
        </w:rPr>
        <w:t>.</w:t>
      </w:r>
      <w:r w:rsidR="00253B1D" w:rsidRPr="005C7611">
        <w:rPr>
          <w:vertAlign w:val="superscript"/>
          <w:lang w:val="en-US"/>
        </w:rPr>
        <w:t>[5-13</w:t>
      </w:r>
      <w:r w:rsidR="00147F8B" w:rsidRPr="005C7611">
        <w:rPr>
          <w:vertAlign w:val="superscript"/>
          <w:lang w:val="en-US"/>
        </w:rPr>
        <w:t>]</w:t>
      </w:r>
      <w:r w:rsidR="00253B1D" w:rsidRPr="005C7611">
        <w:rPr>
          <w:lang w:val="en-US"/>
        </w:rPr>
        <w:t xml:space="preserve"> Moreover, current phosphorescent materials utilize one</w:t>
      </w:r>
      <w:r w:rsidR="00F81BDD" w:rsidRPr="005C7611">
        <w:rPr>
          <w:lang w:val="en-US"/>
        </w:rPr>
        <w:t xml:space="preserve"> of</w:t>
      </w:r>
      <w:r w:rsidR="00253B1D" w:rsidRPr="005C7611">
        <w:rPr>
          <w:lang w:val="en-US"/>
        </w:rPr>
        <w:t xml:space="preserve"> the rarest element</w:t>
      </w:r>
      <w:r w:rsidR="00F81BDD" w:rsidRPr="005C7611">
        <w:rPr>
          <w:lang w:val="en-US"/>
        </w:rPr>
        <w:t>s</w:t>
      </w:r>
      <w:r w:rsidR="00253B1D" w:rsidRPr="005C7611">
        <w:rPr>
          <w:lang w:val="en-US"/>
        </w:rPr>
        <w:t xml:space="preserve"> on Earth</w:t>
      </w:r>
      <w:r w:rsidR="00147F8B" w:rsidRPr="005C7611">
        <w:rPr>
          <w:lang w:val="en-US"/>
        </w:rPr>
        <w:t xml:space="preserve"> - </w:t>
      </w:r>
      <w:r w:rsidR="00253B1D" w:rsidRPr="005C7611">
        <w:rPr>
          <w:lang w:val="en-US"/>
        </w:rPr>
        <w:t xml:space="preserve">iridium, which may represent a barrier for cost-effective mass production in </w:t>
      </w:r>
      <w:r w:rsidR="00592D02" w:rsidRPr="005C7611">
        <w:rPr>
          <w:lang w:val="en-US"/>
        </w:rPr>
        <w:t>the</w:t>
      </w:r>
      <w:r w:rsidR="00253B1D" w:rsidRPr="005C7611">
        <w:rPr>
          <w:lang w:val="en-US"/>
        </w:rPr>
        <w:t xml:space="preserve"> long term</w:t>
      </w:r>
      <w:r w:rsidR="00310431" w:rsidRPr="005C7611">
        <w:rPr>
          <w:lang w:val="en-US"/>
        </w:rPr>
        <w:t xml:space="preserve">. Both of these factors have driven the search for </w:t>
      </w:r>
      <w:r w:rsidR="00253B1D" w:rsidRPr="005C7611">
        <w:rPr>
          <w:lang w:val="en-US"/>
        </w:rPr>
        <w:t>alternative</w:t>
      </w:r>
      <w:r w:rsidR="00310431" w:rsidRPr="005C7611">
        <w:rPr>
          <w:lang w:val="en-US"/>
        </w:rPr>
        <w:t xml:space="preserve"> approaches to efficient light emission</w:t>
      </w:r>
      <w:r w:rsidR="00253B1D" w:rsidRPr="005C7611">
        <w:rPr>
          <w:lang w:val="en-US"/>
        </w:rPr>
        <w:t>.</w:t>
      </w:r>
    </w:p>
    <w:p w14:paraId="797553FB" w14:textId="77777777" w:rsidR="005959E8" w:rsidRPr="005C7611" w:rsidRDefault="00253B1D" w:rsidP="0069427F">
      <w:pPr>
        <w:spacing w:line="480" w:lineRule="auto"/>
        <w:ind w:firstLine="708"/>
        <w:rPr>
          <w:lang w:val="en-US"/>
        </w:rPr>
      </w:pPr>
      <w:r w:rsidRPr="005C7611">
        <w:rPr>
          <w:lang w:val="en-US"/>
        </w:rPr>
        <w:t>In 2011, Adachi et al. demonstrated highly promising purely organic materials enabling to harvest singlet and triplet excitons via the concept of thermally activated delayed fluorescence (TADF)</w:t>
      </w:r>
      <w:r w:rsidR="0069427F" w:rsidRPr="005C7611">
        <w:rPr>
          <w:lang w:val="en-US"/>
        </w:rPr>
        <w:t>.</w:t>
      </w:r>
      <w:r w:rsidRPr="005C7611">
        <w:rPr>
          <w:vertAlign w:val="superscript"/>
          <w:lang w:val="en-US"/>
        </w:rPr>
        <w:t>[14]</w:t>
      </w:r>
      <w:r w:rsidRPr="005C7611">
        <w:rPr>
          <w:lang w:val="en-US"/>
        </w:rPr>
        <w:t xml:space="preserve"> In most TADF materials, a small energy gap (≤ 0.1 eV) between singlet and triplet </w:t>
      </w:r>
      <w:r w:rsidR="00310431" w:rsidRPr="005C7611">
        <w:rPr>
          <w:lang w:val="en-US"/>
        </w:rPr>
        <w:t>states</w:t>
      </w:r>
      <w:r w:rsidRPr="005C7611">
        <w:rPr>
          <w:lang w:val="en-US"/>
        </w:rPr>
        <w:t xml:space="preserve"> is achieved by separating electron and hole wavefunctions via a charge-transfer (CT) </w:t>
      </w:r>
      <w:r w:rsidR="00310431" w:rsidRPr="005C7611">
        <w:rPr>
          <w:lang w:val="en-US"/>
        </w:rPr>
        <w:t>excitation between electron donating and accepting</w:t>
      </w:r>
      <w:r w:rsidR="00F7107C" w:rsidRPr="005C7611">
        <w:rPr>
          <w:lang w:val="en-US"/>
        </w:rPr>
        <w:t xml:space="preserve"> moieties</w:t>
      </w:r>
      <w:r w:rsidRPr="005C7611">
        <w:rPr>
          <w:lang w:val="en-US"/>
        </w:rPr>
        <w:t>. This</w:t>
      </w:r>
      <w:r w:rsidR="005959E8" w:rsidRPr="005C7611">
        <w:rPr>
          <w:lang w:val="en-US"/>
        </w:rPr>
        <w:t xml:space="preserve"> is considered to enable</w:t>
      </w:r>
      <w:r w:rsidRPr="005C7611">
        <w:rPr>
          <w:lang w:val="en-US"/>
        </w:rPr>
        <w:t xml:space="preserve"> up-conversion from nonradiative triplet excited states to radiative singlet excited states by reverse intersystem crossing (RISC). Using this approach, almost 100% electroluminescence internal quantum efficiency (IQE) has been demonstrated</w:t>
      </w:r>
      <w:r w:rsidR="00310431" w:rsidRPr="005C7611">
        <w:rPr>
          <w:lang w:val="en-US"/>
        </w:rPr>
        <w:t>, with</w:t>
      </w:r>
      <w:r w:rsidRPr="005C7611">
        <w:rPr>
          <w:lang w:val="en-US"/>
        </w:rPr>
        <w:t xml:space="preserve"> operating stability</w:t>
      </w:r>
      <w:r w:rsidR="00430AD3" w:rsidRPr="005C7611">
        <w:rPr>
          <w:lang w:val="en-US"/>
        </w:rPr>
        <w:t xml:space="preserve"> and </w:t>
      </w:r>
      <w:r w:rsidRPr="005C7611">
        <w:rPr>
          <w:lang w:val="en-US"/>
        </w:rPr>
        <w:t>color purity bec</w:t>
      </w:r>
      <w:r w:rsidR="00310431" w:rsidRPr="005C7611">
        <w:rPr>
          <w:lang w:val="en-US"/>
        </w:rPr>
        <w:t>o</w:t>
      </w:r>
      <w:r w:rsidRPr="005C7611">
        <w:rPr>
          <w:lang w:val="en-US"/>
        </w:rPr>
        <w:t>m</w:t>
      </w:r>
      <w:r w:rsidR="00310431" w:rsidRPr="005C7611">
        <w:rPr>
          <w:lang w:val="en-US"/>
        </w:rPr>
        <w:t>ing</w:t>
      </w:r>
      <w:r w:rsidRPr="005C7611">
        <w:rPr>
          <w:lang w:val="en-US"/>
        </w:rPr>
        <w:t xml:space="preserve"> the next target</w:t>
      </w:r>
      <w:r w:rsidR="0069427F" w:rsidRPr="005C7611">
        <w:rPr>
          <w:lang w:val="en-US"/>
        </w:rPr>
        <w:t>.</w:t>
      </w:r>
      <w:r w:rsidRPr="005C7611">
        <w:rPr>
          <w:lang w:val="en-US"/>
        </w:rPr>
        <w:t xml:space="preserve"> </w:t>
      </w:r>
      <w:r w:rsidRPr="005C7611">
        <w:rPr>
          <w:vertAlign w:val="superscript"/>
          <w:lang w:val="en-US"/>
        </w:rPr>
        <w:t>[15-2</w:t>
      </w:r>
      <w:r w:rsidR="0069427F" w:rsidRPr="005C7611">
        <w:rPr>
          <w:vertAlign w:val="superscript"/>
          <w:lang w:val="en-US"/>
        </w:rPr>
        <w:t>1</w:t>
      </w:r>
      <w:r w:rsidRPr="005C7611">
        <w:rPr>
          <w:vertAlign w:val="superscript"/>
          <w:lang w:val="en-US"/>
        </w:rPr>
        <w:t>]</w:t>
      </w:r>
      <w:r w:rsidRPr="005C7611">
        <w:rPr>
          <w:lang w:val="en-US"/>
        </w:rPr>
        <w:t xml:space="preserve"> </w:t>
      </w:r>
      <w:r w:rsidR="00310431" w:rsidRPr="005C7611">
        <w:rPr>
          <w:lang w:val="en-US"/>
        </w:rPr>
        <w:t>Improved</w:t>
      </w:r>
      <w:r w:rsidRPr="005C7611">
        <w:rPr>
          <w:lang w:val="en-US"/>
        </w:rPr>
        <w:t xml:space="preserve"> color purity has </w:t>
      </w:r>
      <w:r w:rsidR="00310431" w:rsidRPr="005C7611">
        <w:rPr>
          <w:lang w:val="en-US"/>
        </w:rPr>
        <w:t xml:space="preserve">recently </w:t>
      </w:r>
      <w:r w:rsidRPr="005C7611">
        <w:rPr>
          <w:lang w:val="en-US"/>
        </w:rPr>
        <w:t>been attained by developing multi-resonant TADF emitters</w:t>
      </w:r>
      <w:r w:rsidR="00F7107C" w:rsidRPr="005C7611">
        <w:rPr>
          <w:lang w:val="en-US"/>
        </w:rPr>
        <w:t>, which do not rely on the formation of typical CT states</w:t>
      </w:r>
      <w:r w:rsidR="00430AD3" w:rsidRPr="005C7611">
        <w:rPr>
          <w:lang w:val="en-US"/>
        </w:rPr>
        <w:t xml:space="preserve">, but </w:t>
      </w:r>
      <w:r w:rsidRPr="005C7611">
        <w:rPr>
          <w:lang w:val="en-US"/>
        </w:rPr>
        <w:t>low stability ha</w:t>
      </w:r>
      <w:r w:rsidR="00592D02" w:rsidRPr="005C7611">
        <w:rPr>
          <w:lang w:val="en-US"/>
        </w:rPr>
        <w:t>s</w:t>
      </w:r>
      <w:r w:rsidRPr="005C7611">
        <w:rPr>
          <w:lang w:val="en-US"/>
        </w:rPr>
        <w:t xml:space="preserve"> not yet been fully </w:t>
      </w:r>
      <w:proofErr w:type="gramStart"/>
      <w:r w:rsidRPr="005C7611">
        <w:rPr>
          <w:lang w:val="en-US"/>
        </w:rPr>
        <w:t>solved.</w:t>
      </w:r>
      <w:r w:rsidR="00430AD3" w:rsidRPr="005C7611">
        <w:rPr>
          <w:vertAlign w:val="superscript"/>
          <w:lang w:val="en-US"/>
        </w:rPr>
        <w:t>[</w:t>
      </w:r>
      <w:proofErr w:type="gramEnd"/>
      <w:r w:rsidR="00430AD3" w:rsidRPr="005C7611">
        <w:rPr>
          <w:vertAlign w:val="superscript"/>
          <w:lang w:val="en-US"/>
        </w:rPr>
        <w:t>22</w:t>
      </w:r>
      <w:r w:rsidR="00456FB4" w:rsidRPr="005C7611">
        <w:rPr>
          <w:vertAlign w:val="superscript"/>
          <w:lang w:val="en-US"/>
        </w:rPr>
        <w:t xml:space="preserve">, </w:t>
      </w:r>
      <w:r w:rsidR="00430AD3" w:rsidRPr="005C7611">
        <w:rPr>
          <w:vertAlign w:val="superscript"/>
          <w:lang w:val="en-US"/>
        </w:rPr>
        <w:t>23]</w:t>
      </w:r>
      <w:r w:rsidRPr="005C7611">
        <w:rPr>
          <w:lang w:val="en-US"/>
        </w:rPr>
        <w:t xml:space="preserve"> </w:t>
      </w:r>
    </w:p>
    <w:p w14:paraId="3EC50D3E" w14:textId="406EE5DE" w:rsidR="00F7107C" w:rsidRPr="005C7611" w:rsidRDefault="003D5962" w:rsidP="0069427F">
      <w:pPr>
        <w:spacing w:line="480" w:lineRule="auto"/>
        <w:ind w:firstLine="708"/>
        <w:rPr>
          <w:vertAlign w:val="superscript"/>
          <w:lang w:val="en-US"/>
        </w:rPr>
      </w:pPr>
      <w:proofErr w:type="spellStart"/>
      <w:r w:rsidRPr="005C7611">
        <w:rPr>
          <w:lang w:val="en-US"/>
        </w:rPr>
        <w:t>Förster</w:t>
      </w:r>
      <w:proofErr w:type="spellEnd"/>
      <w:r w:rsidR="00253B1D" w:rsidRPr="005C7611">
        <w:rPr>
          <w:lang w:val="en-US"/>
        </w:rPr>
        <w:t xml:space="preserve"> </w:t>
      </w:r>
      <w:r w:rsidR="00592D02" w:rsidRPr="005C7611">
        <w:rPr>
          <w:lang w:val="en-US"/>
        </w:rPr>
        <w:t xml:space="preserve">resonance </w:t>
      </w:r>
      <w:r w:rsidR="00253B1D" w:rsidRPr="005C7611">
        <w:rPr>
          <w:lang w:val="en-US"/>
        </w:rPr>
        <w:t>energy transfer</w:t>
      </w:r>
      <w:r w:rsidR="00592D02" w:rsidRPr="005C7611">
        <w:rPr>
          <w:lang w:val="en-US"/>
        </w:rPr>
        <w:t xml:space="preserve"> (FRET)</w:t>
      </w:r>
      <w:r w:rsidR="00F7107C" w:rsidRPr="005C7611">
        <w:rPr>
          <w:lang w:val="en-US"/>
        </w:rPr>
        <w:t xml:space="preserve"> from triplet-harvesting assistant dopants to singlet emitters</w:t>
      </w:r>
      <w:r w:rsidR="00253B1D" w:rsidRPr="005C7611">
        <w:rPr>
          <w:lang w:val="en-US"/>
        </w:rPr>
        <w:t xml:space="preserve"> </w:t>
      </w:r>
      <w:r w:rsidR="00F7107C" w:rsidRPr="005C7611">
        <w:rPr>
          <w:lang w:val="en-US"/>
        </w:rPr>
        <w:t>has been identified as a concept with the potential</w:t>
      </w:r>
      <w:r w:rsidR="00253B1D" w:rsidRPr="005C7611">
        <w:rPr>
          <w:lang w:val="en-US"/>
        </w:rPr>
        <w:t xml:space="preserve"> to </w:t>
      </w:r>
      <w:r w:rsidR="00592D02" w:rsidRPr="005C7611">
        <w:rPr>
          <w:lang w:val="en-US"/>
        </w:rPr>
        <w:t xml:space="preserve">improve </w:t>
      </w:r>
      <w:r w:rsidR="00253B1D" w:rsidRPr="005C7611">
        <w:rPr>
          <w:lang w:val="en-US"/>
        </w:rPr>
        <w:t>operational st</w:t>
      </w:r>
      <w:r w:rsidR="0069427F" w:rsidRPr="005C7611">
        <w:rPr>
          <w:lang w:val="en-US"/>
        </w:rPr>
        <w:t>ability</w:t>
      </w:r>
      <w:r w:rsidR="00592D02" w:rsidRPr="005C7611">
        <w:rPr>
          <w:lang w:val="en-US"/>
        </w:rPr>
        <w:t xml:space="preserve"> and color purity simultaneously</w:t>
      </w:r>
      <w:r w:rsidR="00F7107C" w:rsidRPr="005C7611">
        <w:rPr>
          <w:lang w:val="en-US"/>
        </w:rPr>
        <w:t xml:space="preserve">. The particular approach utilizing TADF-type molecules as the assistant dopants in conjunction with conventional fluorescent emitters is </w:t>
      </w:r>
      <w:r w:rsidR="00F7107C" w:rsidRPr="005C7611">
        <w:rPr>
          <w:lang w:val="en-US"/>
        </w:rPr>
        <w:lastRenderedPageBreak/>
        <w:t>termed</w:t>
      </w:r>
      <w:r w:rsidR="00253B1D" w:rsidRPr="005C7611">
        <w:rPr>
          <w:lang w:val="en-US"/>
        </w:rPr>
        <w:t xml:space="preserve"> </w:t>
      </w:r>
      <w:r w:rsidR="00F7107C" w:rsidRPr="005C7611">
        <w:rPr>
          <w:lang w:val="en-US"/>
        </w:rPr>
        <w:t>“</w:t>
      </w:r>
      <w:proofErr w:type="spellStart"/>
      <w:r w:rsidR="00F7107C" w:rsidRPr="005C7611">
        <w:rPr>
          <w:lang w:val="en-US"/>
        </w:rPr>
        <w:t>h</w:t>
      </w:r>
      <w:r w:rsidR="00253B1D" w:rsidRPr="005C7611">
        <w:rPr>
          <w:lang w:val="en-US"/>
        </w:rPr>
        <w:t>yperfluorescence</w:t>
      </w:r>
      <w:proofErr w:type="spellEnd"/>
      <w:r w:rsidR="00F7107C" w:rsidRPr="005C7611">
        <w:rPr>
          <w:lang w:val="en-US"/>
        </w:rPr>
        <w:t>”</w:t>
      </w:r>
      <w:r w:rsidR="00253B1D" w:rsidRPr="005C7611">
        <w:rPr>
          <w:lang w:val="en-US"/>
        </w:rPr>
        <w:t>.</w:t>
      </w:r>
      <w:r w:rsidR="00430AD3" w:rsidRPr="005C7611">
        <w:rPr>
          <w:vertAlign w:val="superscript"/>
          <w:lang w:val="en-US"/>
        </w:rPr>
        <w:t>[24]</w:t>
      </w:r>
      <w:r w:rsidR="00253B1D" w:rsidRPr="005C7611">
        <w:rPr>
          <w:lang w:val="en-US"/>
        </w:rPr>
        <w:t xml:space="preserve"> </w:t>
      </w:r>
      <w:r w:rsidR="00F7107C" w:rsidRPr="005C7611">
        <w:rPr>
          <w:lang w:val="en-US"/>
        </w:rPr>
        <w:t>Phosphorescent organometallic complexes can also be employed as assistant dopants, a concept initially suggested in 2000.</w:t>
      </w:r>
      <w:r w:rsidR="00F7107C" w:rsidRPr="005C7611">
        <w:rPr>
          <w:vertAlign w:val="superscript"/>
          <w:lang w:val="en-US"/>
        </w:rPr>
        <w:t>[25]</w:t>
      </w:r>
      <w:r w:rsidR="00F7107C" w:rsidRPr="005C7611">
        <w:rPr>
          <w:lang w:val="en-US"/>
        </w:rPr>
        <w:t xml:space="preserve"> This has recently attracted renewed interest due to the substantial improvements in efficiency, operational lifetime, and color purity that are possible.</w:t>
      </w:r>
      <w:r w:rsidR="00F7107C" w:rsidRPr="005C7611">
        <w:rPr>
          <w:vertAlign w:val="superscript"/>
          <w:lang w:val="en-US"/>
        </w:rPr>
        <w:t>[26-29]</w:t>
      </w:r>
    </w:p>
    <w:p w14:paraId="6E624C4E" w14:textId="68D62F60" w:rsidR="00253B1D" w:rsidRPr="005C7611" w:rsidRDefault="00253B1D" w:rsidP="00430AD3">
      <w:pPr>
        <w:spacing w:line="480" w:lineRule="auto"/>
        <w:ind w:firstLine="708"/>
        <w:rPr>
          <w:lang w:val="en-US"/>
        </w:rPr>
      </w:pPr>
      <w:r w:rsidRPr="005C7611">
        <w:rPr>
          <w:lang w:val="en-US"/>
        </w:rPr>
        <w:t>Hyperfluorescen</w:t>
      </w:r>
      <w:r w:rsidR="005959E8" w:rsidRPr="005C7611">
        <w:rPr>
          <w:lang w:val="en-US"/>
        </w:rPr>
        <w:t xml:space="preserve">t emitting layers (EMLs) </w:t>
      </w:r>
      <w:r w:rsidRPr="005C7611">
        <w:rPr>
          <w:lang w:val="en-US"/>
        </w:rPr>
        <w:t>us</w:t>
      </w:r>
      <w:r w:rsidR="005959E8" w:rsidRPr="005C7611">
        <w:rPr>
          <w:lang w:val="en-US"/>
        </w:rPr>
        <w:t xml:space="preserve">e </w:t>
      </w:r>
      <w:r w:rsidRPr="005C7611">
        <w:rPr>
          <w:lang w:val="en-US"/>
        </w:rPr>
        <w:t xml:space="preserve">composites of multiple functional materials. Transport is typically handled by a host matrix, interconversion of singlet and triplet states is managed by an assistant dopant, while the shape of the emission spectrum is managed by a fluorescent dopant. </w:t>
      </w:r>
      <w:r w:rsidR="005959E8" w:rsidRPr="005C7611">
        <w:rPr>
          <w:lang w:val="en-US"/>
        </w:rPr>
        <w:t>Dispersal of emissive components in a</w:t>
      </w:r>
      <w:r w:rsidRPr="005C7611">
        <w:rPr>
          <w:lang w:val="en-US"/>
        </w:rPr>
        <w:t xml:space="preserve"> host matrix</w:t>
      </w:r>
      <w:r w:rsidR="00F7107C" w:rsidRPr="005C7611">
        <w:rPr>
          <w:lang w:val="en-US"/>
        </w:rPr>
        <w:t xml:space="preserve"> also acts</w:t>
      </w:r>
      <w:r w:rsidRPr="005C7611">
        <w:rPr>
          <w:lang w:val="en-US"/>
        </w:rPr>
        <w:t xml:space="preserve"> to</w:t>
      </w:r>
      <w:r w:rsidR="00F7107C" w:rsidRPr="005C7611">
        <w:rPr>
          <w:lang w:val="en-US"/>
        </w:rPr>
        <w:t xml:space="preserve"> </w:t>
      </w:r>
      <w:r w:rsidR="00A92E76" w:rsidRPr="005C7611">
        <w:rPr>
          <w:lang w:val="en-US"/>
        </w:rPr>
        <w:t>suppress</w:t>
      </w:r>
      <w:r w:rsidRPr="005C7611">
        <w:rPr>
          <w:lang w:val="en-US"/>
        </w:rPr>
        <w:t xml:space="preserve"> concentration quenching and</w:t>
      </w:r>
      <w:r w:rsidR="00A92E76" w:rsidRPr="005C7611">
        <w:rPr>
          <w:lang w:val="en-US"/>
        </w:rPr>
        <w:t xml:space="preserve"> parasitic</w:t>
      </w:r>
      <w:r w:rsidRPr="005C7611">
        <w:rPr>
          <w:lang w:val="en-US"/>
        </w:rPr>
        <w:t xml:space="preserve"> Dexter energy transfer (DET) to the fluorescent dopant. </w:t>
      </w:r>
      <w:r w:rsidR="00A92E76" w:rsidRPr="005C7611">
        <w:rPr>
          <w:lang w:val="en-US"/>
        </w:rPr>
        <w:t>The requirement for a host matrix means that a</w:t>
      </w:r>
      <w:r w:rsidRPr="005C7611">
        <w:rPr>
          <w:lang w:val="en-US"/>
        </w:rPr>
        <w:t xml:space="preserve"> considerable increase in driving voltage is inevitable. </w:t>
      </w:r>
      <w:r w:rsidR="00A92E76" w:rsidRPr="005C7611">
        <w:rPr>
          <w:lang w:val="en-US"/>
        </w:rPr>
        <w:t>Two-component</w:t>
      </w:r>
      <w:r w:rsidRPr="005C7611">
        <w:rPr>
          <w:lang w:val="en-US"/>
        </w:rPr>
        <w:t xml:space="preserve"> exciplex-forming hosts may be capable of </w:t>
      </w:r>
      <w:r w:rsidR="00A92E76" w:rsidRPr="005C7611">
        <w:rPr>
          <w:lang w:val="en-US"/>
        </w:rPr>
        <w:t>addressing</w:t>
      </w:r>
      <w:r w:rsidRPr="005C7611">
        <w:rPr>
          <w:lang w:val="en-US"/>
        </w:rPr>
        <w:t xml:space="preserve"> this problem, </w:t>
      </w:r>
      <w:r w:rsidR="00A92E76" w:rsidRPr="005C7611">
        <w:rPr>
          <w:lang w:val="en-US"/>
        </w:rPr>
        <w:t xml:space="preserve">though the </w:t>
      </w:r>
      <w:r w:rsidRPr="005C7611">
        <w:rPr>
          <w:lang w:val="en-US"/>
        </w:rPr>
        <w:t xml:space="preserve">concept requires at least four </w:t>
      </w:r>
      <w:r w:rsidR="005959E8" w:rsidRPr="005C7611">
        <w:rPr>
          <w:lang w:val="en-US"/>
        </w:rPr>
        <w:t>materials</w:t>
      </w:r>
      <w:r w:rsidRPr="005C7611">
        <w:rPr>
          <w:lang w:val="en-US"/>
        </w:rPr>
        <w:t xml:space="preserve"> to be used in </w:t>
      </w:r>
      <w:r w:rsidR="005959E8" w:rsidRPr="005C7611">
        <w:rPr>
          <w:lang w:val="en-US"/>
        </w:rPr>
        <w:t>the</w:t>
      </w:r>
      <w:r w:rsidRPr="005C7611">
        <w:rPr>
          <w:lang w:val="en-US"/>
        </w:rPr>
        <w:t xml:space="preserve"> </w:t>
      </w:r>
      <w:r w:rsidR="005959E8" w:rsidRPr="005C7611">
        <w:rPr>
          <w:lang w:val="en-US"/>
        </w:rPr>
        <w:t>EML</w:t>
      </w:r>
      <w:r w:rsidRPr="005C7611">
        <w:rPr>
          <w:lang w:val="en-US"/>
        </w:rPr>
        <w:t xml:space="preserve">, which is one reason why </w:t>
      </w:r>
      <w:proofErr w:type="spellStart"/>
      <w:r w:rsidRPr="005C7611">
        <w:rPr>
          <w:lang w:val="en-US"/>
        </w:rPr>
        <w:t>hyperfluorescence</w:t>
      </w:r>
      <w:proofErr w:type="spellEnd"/>
      <w:r w:rsidRPr="005C7611">
        <w:rPr>
          <w:lang w:val="en-US"/>
        </w:rPr>
        <w:t xml:space="preserve"> is not widely implemented in </w:t>
      </w:r>
      <w:proofErr w:type="gramStart"/>
      <w:r w:rsidRPr="005C7611">
        <w:rPr>
          <w:lang w:val="en-US"/>
        </w:rPr>
        <w:t>displays.</w:t>
      </w:r>
      <w:r w:rsidR="00824A61" w:rsidRPr="005C7611">
        <w:rPr>
          <w:vertAlign w:val="superscript"/>
          <w:lang w:val="en-US"/>
        </w:rPr>
        <w:t>[</w:t>
      </w:r>
      <w:proofErr w:type="gramEnd"/>
      <w:r w:rsidR="00824A61" w:rsidRPr="005C7611">
        <w:rPr>
          <w:vertAlign w:val="superscript"/>
          <w:lang w:val="en-US"/>
        </w:rPr>
        <w:t>2</w:t>
      </w:r>
      <w:r w:rsidR="00BF4D0E" w:rsidRPr="005C7611">
        <w:rPr>
          <w:vertAlign w:val="superscript"/>
          <w:lang w:val="en-US"/>
        </w:rPr>
        <w:t>1</w:t>
      </w:r>
      <w:r w:rsidR="00824A61" w:rsidRPr="005C7611">
        <w:rPr>
          <w:vertAlign w:val="superscript"/>
          <w:lang w:val="en-US"/>
        </w:rPr>
        <w:t>, 2</w:t>
      </w:r>
      <w:r w:rsidR="00BF4D0E" w:rsidRPr="005C7611">
        <w:rPr>
          <w:vertAlign w:val="superscript"/>
          <w:lang w:val="en-US"/>
        </w:rPr>
        <w:t>6</w:t>
      </w:r>
      <w:r w:rsidR="00824A61" w:rsidRPr="005C7611">
        <w:rPr>
          <w:vertAlign w:val="superscript"/>
          <w:lang w:val="en-US"/>
        </w:rPr>
        <w:t>-2</w:t>
      </w:r>
      <w:r w:rsidR="00BF4D0E" w:rsidRPr="005C7611">
        <w:rPr>
          <w:vertAlign w:val="superscript"/>
          <w:lang w:val="en-US"/>
        </w:rPr>
        <w:t>8</w:t>
      </w:r>
      <w:r w:rsidR="00824A61" w:rsidRPr="005C7611">
        <w:rPr>
          <w:vertAlign w:val="superscript"/>
          <w:lang w:val="en-US"/>
        </w:rPr>
        <w:t>]</w:t>
      </w:r>
    </w:p>
    <w:p w14:paraId="4C1638E8" w14:textId="56AD6105" w:rsidR="00253B1D" w:rsidRPr="005C7611" w:rsidRDefault="00253B1D" w:rsidP="00A92E76">
      <w:pPr>
        <w:spacing w:line="480" w:lineRule="auto"/>
        <w:ind w:firstLine="708"/>
        <w:rPr>
          <w:lang w:val="en-US"/>
        </w:rPr>
      </w:pPr>
      <w:r w:rsidRPr="005C7611">
        <w:rPr>
          <w:lang w:val="en-US"/>
        </w:rPr>
        <w:t>In 2017, we used coinage metal-based organometallic emitting materials (carbene-metal-amides, so-called CMAs) exhibiting TADF-like characteristics with exceptionally rapid mixing of spin states and large oscillator strengths</w:t>
      </w:r>
      <w:r w:rsidR="00824A61" w:rsidRPr="005C7611">
        <w:rPr>
          <w:lang w:val="en-US"/>
        </w:rPr>
        <w:t>.</w:t>
      </w:r>
      <w:r w:rsidRPr="005C7611">
        <w:rPr>
          <w:vertAlign w:val="superscript"/>
          <w:lang w:val="en-US"/>
        </w:rPr>
        <w:t>[</w:t>
      </w:r>
      <w:r w:rsidR="00BF4D0E" w:rsidRPr="005C7611">
        <w:rPr>
          <w:vertAlign w:val="superscript"/>
          <w:lang w:val="en-US"/>
        </w:rPr>
        <w:t>30</w:t>
      </w:r>
      <w:r w:rsidRPr="005C7611">
        <w:rPr>
          <w:vertAlign w:val="superscript"/>
          <w:lang w:val="en-US"/>
        </w:rPr>
        <w:t>]</w:t>
      </w:r>
      <w:r w:rsidRPr="005C7611">
        <w:rPr>
          <w:lang w:val="en-US"/>
        </w:rPr>
        <w:t xml:space="preserve"> Interestingly, even in a neat </w:t>
      </w:r>
      <w:r w:rsidR="00A92E76" w:rsidRPr="005C7611">
        <w:rPr>
          <w:lang w:val="en-US"/>
        </w:rPr>
        <w:t xml:space="preserve">solid </w:t>
      </w:r>
      <w:r w:rsidRPr="005C7611">
        <w:rPr>
          <w:lang w:val="en-US"/>
        </w:rPr>
        <w:t xml:space="preserve">film, </w:t>
      </w:r>
      <w:r w:rsidR="00A92E76" w:rsidRPr="005C7611">
        <w:rPr>
          <w:lang w:val="en-US"/>
        </w:rPr>
        <w:t xml:space="preserve">high </w:t>
      </w:r>
      <w:r w:rsidRPr="005C7611">
        <w:rPr>
          <w:lang w:val="en-US"/>
        </w:rPr>
        <w:t>photoluminescence quantum efficiency (PLQE) of 83% was achieved</w:t>
      </w:r>
      <w:r w:rsidR="00A92E76" w:rsidRPr="005C7611">
        <w:rPr>
          <w:lang w:val="en-US"/>
        </w:rPr>
        <w:t xml:space="preserve"> for some CMA compounds. This implies an absence of significant concentration quenching, potentially </w:t>
      </w:r>
      <w:r w:rsidRPr="005C7611">
        <w:rPr>
          <w:lang w:val="en-US"/>
        </w:rPr>
        <w:t>due to weak intermolecular interactio</w:t>
      </w:r>
      <w:r w:rsidR="00A92E76" w:rsidRPr="005C7611">
        <w:rPr>
          <w:lang w:val="en-US"/>
        </w:rPr>
        <w:t>ns</w:t>
      </w:r>
      <w:r w:rsidRPr="005C7611">
        <w:rPr>
          <w:lang w:val="en-US"/>
        </w:rPr>
        <w:t xml:space="preserve">, </w:t>
      </w:r>
      <w:r w:rsidR="00A92E76" w:rsidRPr="005C7611">
        <w:rPr>
          <w:lang w:val="en-US"/>
        </w:rPr>
        <w:t xml:space="preserve">in part </w:t>
      </w:r>
      <w:r w:rsidRPr="005C7611">
        <w:rPr>
          <w:lang w:val="en-US"/>
        </w:rPr>
        <w:t xml:space="preserve">arising due to </w:t>
      </w:r>
      <w:r w:rsidR="00A92E76" w:rsidRPr="005C7611">
        <w:rPr>
          <w:lang w:val="en-US"/>
        </w:rPr>
        <w:t>the tendency of many CMAs</w:t>
      </w:r>
      <w:r w:rsidRPr="005C7611">
        <w:rPr>
          <w:lang w:val="en-US"/>
        </w:rPr>
        <w:t xml:space="preserve"> to anti-align in </w:t>
      </w:r>
      <w:r w:rsidR="00E1035E" w:rsidRPr="005C7611">
        <w:rPr>
          <w:lang w:val="en-US"/>
        </w:rPr>
        <w:t xml:space="preserve">a </w:t>
      </w:r>
      <w:r w:rsidRPr="005C7611">
        <w:rPr>
          <w:lang w:val="en-US"/>
        </w:rPr>
        <w:t>solid phase.</w:t>
      </w:r>
      <w:r w:rsidR="00824A61" w:rsidRPr="005C7611">
        <w:rPr>
          <w:vertAlign w:val="superscript"/>
          <w:lang w:val="en-US"/>
        </w:rPr>
        <w:t>[</w:t>
      </w:r>
      <w:r w:rsidR="00BF4D0E" w:rsidRPr="005C7611">
        <w:rPr>
          <w:vertAlign w:val="superscript"/>
          <w:lang w:val="en-US"/>
        </w:rPr>
        <w:t>31, 32</w:t>
      </w:r>
      <w:r w:rsidR="00824A61" w:rsidRPr="005C7611">
        <w:rPr>
          <w:vertAlign w:val="superscript"/>
          <w:lang w:val="en-US"/>
        </w:rPr>
        <w:t>]</w:t>
      </w:r>
      <w:r w:rsidRPr="005C7611">
        <w:rPr>
          <w:lang w:val="en-US"/>
        </w:rPr>
        <w:t xml:space="preserve"> This suggest</w:t>
      </w:r>
      <w:r w:rsidR="00A92E76" w:rsidRPr="005C7611">
        <w:rPr>
          <w:lang w:val="en-US"/>
        </w:rPr>
        <w:t>s</w:t>
      </w:r>
      <w:r w:rsidRPr="005C7611">
        <w:rPr>
          <w:lang w:val="en-US"/>
        </w:rPr>
        <w:t xml:space="preserve"> that CMA-type organometallic compounds may be good candidates for </w:t>
      </w:r>
      <w:r w:rsidR="00A92E76" w:rsidRPr="005C7611">
        <w:rPr>
          <w:lang w:val="en-US"/>
        </w:rPr>
        <w:t>realizing</w:t>
      </w:r>
      <w:r w:rsidRPr="005C7611">
        <w:rPr>
          <w:lang w:val="en-US"/>
        </w:rPr>
        <w:t xml:space="preserve"> hyperfluorescent OLEDs</w:t>
      </w:r>
      <w:r w:rsidR="00A92E76" w:rsidRPr="005C7611">
        <w:rPr>
          <w:lang w:val="en-US"/>
        </w:rPr>
        <w:t xml:space="preserve"> without a host matrix</w:t>
      </w:r>
      <w:r w:rsidRPr="005C7611">
        <w:rPr>
          <w:lang w:val="en-US"/>
        </w:rPr>
        <w:t xml:space="preserve">, in the sense that the assistant dopant </w:t>
      </w:r>
      <w:r w:rsidR="00A92E76" w:rsidRPr="005C7611">
        <w:rPr>
          <w:lang w:val="en-US"/>
        </w:rPr>
        <w:t>could fulfill</w:t>
      </w:r>
      <w:r w:rsidRPr="005C7611">
        <w:rPr>
          <w:lang w:val="en-US"/>
        </w:rPr>
        <w:t xml:space="preserve"> the role normally played by the host. If the host</w:t>
      </w:r>
      <w:r w:rsidR="00A92E76" w:rsidRPr="005C7611">
        <w:rPr>
          <w:lang w:val="en-US"/>
        </w:rPr>
        <w:t xml:space="preserve"> may be</w:t>
      </w:r>
      <w:r w:rsidRPr="005C7611">
        <w:rPr>
          <w:lang w:val="en-US"/>
        </w:rPr>
        <w:t xml:space="preserve"> removed without a </w:t>
      </w:r>
      <w:r w:rsidR="00A92E76" w:rsidRPr="005C7611">
        <w:rPr>
          <w:lang w:val="en-US"/>
        </w:rPr>
        <w:t xml:space="preserve">significant </w:t>
      </w:r>
      <w:r w:rsidRPr="005C7611">
        <w:rPr>
          <w:lang w:val="en-US"/>
        </w:rPr>
        <w:t>drop in quantum efficiency, power conversion efficiency (PCE) will be dramatically increased. Moreover, an emitting system with only two components is advantageous for eventual OLED manufacture.</w:t>
      </w:r>
    </w:p>
    <w:p w14:paraId="0B91FDC4" w14:textId="5181910F" w:rsidR="00C23B8E" w:rsidRPr="005C7611" w:rsidRDefault="00253B1D" w:rsidP="00824A61">
      <w:pPr>
        <w:spacing w:line="480" w:lineRule="auto"/>
        <w:ind w:firstLine="708"/>
        <w:rPr>
          <w:lang w:val="en-US"/>
        </w:rPr>
      </w:pPr>
      <w:r w:rsidRPr="005C7611">
        <w:rPr>
          <w:lang w:val="en-US"/>
        </w:rPr>
        <w:lastRenderedPageBreak/>
        <w:t>In this paper, we report matrix-free hyperfluorescent OLEDs</w:t>
      </w:r>
      <w:r w:rsidR="00A92E76" w:rsidRPr="005C7611">
        <w:rPr>
          <w:lang w:val="en-US"/>
        </w:rPr>
        <w:t xml:space="preserve"> with simple structure achieving </w:t>
      </w:r>
      <w:r w:rsidR="00283F23" w:rsidRPr="005C7611">
        <w:rPr>
          <w:lang w:val="en-US"/>
        </w:rPr>
        <w:t>comparable</w:t>
      </w:r>
      <w:r w:rsidR="00A92E76" w:rsidRPr="005C7611">
        <w:rPr>
          <w:lang w:val="en-US"/>
        </w:rPr>
        <w:t xml:space="preserve"> quantum efficiency and significantly improved PCE</w:t>
      </w:r>
      <w:r w:rsidR="00283F23" w:rsidRPr="005C7611">
        <w:rPr>
          <w:lang w:val="en-US"/>
        </w:rPr>
        <w:t xml:space="preserve"> versus equivalent devices employing a host matrix</w:t>
      </w:r>
      <w:r w:rsidRPr="005C7611">
        <w:rPr>
          <w:lang w:val="en-US"/>
        </w:rPr>
        <w:t xml:space="preserve">. </w:t>
      </w:r>
      <w:r w:rsidR="00283F23" w:rsidRPr="005C7611">
        <w:rPr>
          <w:lang w:val="en-US"/>
        </w:rPr>
        <w:t xml:space="preserve">Compounds </w:t>
      </w:r>
      <w:r w:rsidRPr="005C7611">
        <w:rPr>
          <w:lang w:val="en-US"/>
        </w:rPr>
        <w:t xml:space="preserve">CMA1 and CMA4 </w:t>
      </w:r>
      <w:r w:rsidR="00283F23" w:rsidRPr="005C7611">
        <w:rPr>
          <w:lang w:val="en-US"/>
        </w:rPr>
        <w:t>(see [30] for synthetic details</w:t>
      </w:r>
      <w:r w:rsidR="00F93927" w:rsidRPr="005C7611">
        <w:rPr>
          <w:lang w:val="en-US"/>
        </w:rPr>
        <w:t xml:space="preserve">, </w:t>
      </w:r>
      <w:r w:rsidR="00F93927" w:rsidRPr="005C7611">
        <w:rPr>
          <w:b/>
          <w:bCs/>
          <w:lang w:val="en-US"/>
        </w:rPr>
        <w:t>Figure 1</w:t>
      </w:r>
      <w:r w:rsidR="00F93927" w:rsidRPr="005C7611">
        <w:rPr>
          <w:lang w:val="en-US"/>
        </w:rPr>
        <w:t>(a) for structures</w:t>
      </w:r>
      <w:r w:rsidR="00283F23" w:rsidRPr="005C7611">
        <w:rPr>
          <w:lang w:val="en-US"/>
        </w:rPr>
        <w:t xml:space="preserve">) </w:t>
      </w:r>
      <w:r w:rsidRPr="005C7611">
        <w:rPr>
          <w:lang w:val="en-US"/>
        </w:rPr>
        <w:t>are employed as hosts, and 5,6,11,12-tetraphenylnaphthacene (rubrene) and 2,8-di(t-butyl)-5,11-di[4-(t-butyl)phenyl]-6,12-diphenylnaphthacene (</w:t>
      </w:r>
      <w:proofErr w:type="spellStart"/>
      <w:r w:rsidRPr="005C7611">
        <w:rPr>
          <w:lang w:val="en-US"/>
        </w:rPr>
        <w:t>TBRb</w:t>
      </w:r>
      <w:proofErr w:type="spellEnd"/>
      <w:r w:rsidRPr="005C7611">
        <w:rPr>
          <w:lang w:val="en-US"/>
        </w:rPr>
        <w:t>) are examined as dopants</w:t>
      </w:r>
      <w:r w:rsidR="00824A61" w:rsidRPr="005C7611">
        <w:rPr>
          <w:lang w:val="en-US"/>
        </w:rPr>
        <w:t>.</w:t>
      </w:r>
      <w:r w:rsidRPr="005C7611">
        <w:rPr>
          <w:vertAlign w:val="superscript"/>
          <w:lang w:val="en-US"/>
        </w:rPr>
        <w:t>[3</w:t>
      </w:r>
      <w:r w:rsidR="00BF4D0E" w:rsidRPr="005C7611">
        <w:rPr>
          <w:vertAlign w:val="superscript"/>
          <w:lang w:val="en-US"/>
        </w:rPr>
        <w:t>3</w:t>
      </w:r>
      <w:r w:rsidRPr="005C7611">
        <w:rPr>
          <w:vertAlign w:val="superscript"/>
          <w:lang w:val="en-US"/>
        </w:rPr>
        <w:t>-3</w:t>
      </w:r>
      <w:r w:rsidR="00BF4D0E" w:rsidRPr="005C7611">
        <w:rPr>
          <w:vertAlign w:val="superscript"/>
          <w:lang w:val="en-US"/>
        </w:rPr>
        <w:t>5</w:t>
      </w:r>
      <w:r w:rsidRPr="005C7611">
        <w:rPr>
          <w:vertAlign w:val="superscript"/>
          <w:lang w:val="en-US"/>
        </w:rPr>
        <w:t>]</w:t>
      </w:r>
      <w:r w:rsidRPr="005C7611">
        <w:rPr>
          <w:lang w:val="en-US"/>
        </w:rPr>
        <w:t xml:space="preserve"> From the absorption and photoluminescence (PL) spectra of the hosts and dopants, </w:t>
      </w:r>
      <w:proofErr w:type="spellStart"/>
      <w:r w:rsidRPr="005C7611">
        <w:rPr>
          <w:lang w:val="en-US"/>
        </w:rPr>
        <w:t>Förster</w:t>
      </w:r>
      <w:proofErr w:type="spellEnd"/>
      <w:r w:rsidRPr="005C7611">
        <w:rPr>
          <w:lang w:val="en-US"/>
        </w:rPr>
        <w:t xml:space="preserve"> radii are calculated to </w:t>
      </w:r>
      <w:r w:rsidR="00283F23" w:rsidRPr="005C7611">
        <w:rPr>
          <w:lang w:val="en-US"/>
        </w:rPr>
        <w:t>predict</w:t>
      </w:r>
      <w:r w:rsidRPr="005C7611">
        <w:rPr>
          <w:lang w:val="en-US"/>
        </w:rPr>
        <w:t xml:space="preserve"> the effectiveness of FRET between them. In order to investigate exciton energy transfer more </w:t>
      </w:r>
      <w:r w:rsidR="00283F23" w:rsidRPr="005C7611">
        <w:rPr>
          <w:lang w:val="en-US"/>
        </w:rPr>
        <w:t>directly</w:t>
      </w:r>
      <w:r w:rsidRPr="005C7611">
        <w:rPr>
          <w:lang w:val="en-US"/>
        </w:rPr>
        <w:t>, PL quenching measurements are performed. We employ PLQE and transient PL to show the influence of t-butyl substituents and doping concentration on FRET and DET. Finally, the characteristics of the hyperfluorescent OLEDs are explored. In CMA1</w:t>
      </w:r>
      <w:r w:rsidR="00454998" w:rsidRPr="005C7611">
        <w:rPr>
          <w:lang w:val="en-US"/>
        </w:rPr>
        <w:t xml:space="preserve"> </w:t>
      </w:r>
      <w:r w:rsidRPr="005C7611">
        <w:rPr>
          <w:lang w:val="en-US"/>
        </w:rPr>
        <w:t>based devices, the driving voltage of the matrix-free hyperfluorescent devices is considerably reduced at 1000 cd/m</w:t>
      </w:r>
      <w:r w:rsidRPr="005C7611">
        <w:rPr>
          <w:vertAlign w:val="superscript"/>
          <w:lang w:val="en-US"/>
        </w:rPr>
        <w:t>2</w:t>
      </w:r>
      <w:r w:rsidRPr="005C7611">
        <w:rPr>
          <w:lang w:val="en-US"/>
        </w:rPr>
        <w:t xml:space="preserve">, in line with the approximately two-fold increase in PCE compared to devices employing a host matrix. </w:t>
      </w:r>
      <w:r w:rsidR="00283F23" w:rsidRPr="005C7611">
        <w:rPr>
          <w:lang w:val="en-US"/>
        </w:rPr>
        <w:t>M</w:t>
      </w:r>
      <w:r w:rsidRPr="005C7611">
        <w:rPr>
          <w:lang w:val="en-US"/>
        </w:rPr>
        <w:t>aximum external quantum efficienc</w:t>
      </w:r>
      <w:r w:rsidR="00283F23" w:rsidRPr="005C7611">
        <w:rPr>
          <w:lang w:val="en-US"/>
        </w:rPr>
        <w:t>ies</w:t>
      </w:r>
      <w:r w:rsidRPr="005C7611">
        <w:rPr>
          <w:lang w:val="en-US"/>
        </w:rPr>
        <w:t xml:space="preserve"> (EQE</w:t>
      </w:r>
      <w:r w:rsidR="00283F23" w:rsidRPr="005C7611">
        <w:rPr>
          <w:lang w:val="en-US"/>
        </w:rPr>
        <w:t>s</w:t>
      </w:r>
      <w:r w:rsidRPr="005C7611">
        <w:rPr>
          <w:lang w:val="en-US"/>
        </w:rPr>
        <w:t xml:space="preserve">) of 15.2% and 16.5% for CMA1 and CMA4 </w:t>
      </w:r>
      <w:r w:rsidR="00283F23" w:rsidRPr="005C7611">
        <w:rPr>
          <w:lang w:val="en-US"/>
        </w:rPr>
        <w:t>matrix-free</w:t>
      </w:r>
      <w:r w:rsidRPr="005C7611">
        <w:rPr>
          <w:lang w:val="en-US"/>
        </w:rPr>
        <w:t xml:space="preserve"> devices </w:t>
      </w:r>
      <w:r w:rsidR="00283F23" w:rsidRPr="005C7611">
        <w:rPr>
          <w:lang w:val="en-US"/>
        </w:rPr>
        <w:t>are</w:t>
      </w:r>
      <w:r w:rsidRPr="005C7611">
        <w:rPr>
          <w:lang w:val="en-US"/>
        </w:rPr>
        <w:t xml:space="preserve"> observed</w:t>
      </w:r>
      <w:r w:rsidR="00283F23" w:rsidRPr="005C7611">
        <w:rPr>
          <w:lang w:val="en-US"/>
        </w:rPr>
        <w:t xml:space="preserve">, versus 16.3% and 18.1% when employing a host matrix, respectively. </w:t>
      </w:r>
    </w:p>
    <w:p w14:paraId="7AC107BD" w14:textId="77777777" w:rsidR="00C23B8E" w:rsidRPr="005C7611" w:rsidRDefault="00C23B8E" w:rsidP="002D16A0">
      <w:pPr>
        <w:rPr>
          <w:b/>
          <w:lang w:val="en-US"/>
        </w:rPr>
      </w:pPr>
    </w:p>
    <w:p w14:paraId="5A52DF0F" w14:textId="77777777" w:rsidR="002D16A0" w:rsidRPr="005C7611" w:rsidRDefault="002D16A0" w:rsidP="008E5835">
      <w:pPr>
        <w:pStyle w:val="Head1"/>
      </w:pPr>
      <w:r w:rsidRPr="005C7611">
        <w:t xml:space="preserve">2. </w:t>
      </w:r>
      <w:r w:rsidR="008610A4" w:rsidRPr="005C7611">
        <w:t>Results and Discussion</w:t>
      </w:r>
    </w:p>
    <w:p w14:paraId="384436F7" w14:textId="77777777" w:rsidR="00562E2B" w:rsidRPr="005C7611" w:rsidRDefault="00562E2B" w:rsidP="008E5835">
      <w:pPr>
        <w:pStyle w:val="Head1"/>
      </w:pPr>
    </w:p>
    <w:p w14:paraId="2BFD6684" w14:textId="77777777" w:rsidR="00562E2B" w:rsidRPr="005C7611" w:rsidRDefault="00562E2B" w:rsidP="008E5835">
      <w:pPr>
        <w:pStyle w:val="Head1"/>
      </w:pPr>
      <w:r w:rsidRPr="005C7611">
        <w:t xml:space="preserve">2.1. </w:t>
      </w:r>
      <w:proofErr w:type="spellStart"/>
      <w:r w:rsidR="000F1874" w:rsidRPr="005C7611">
        <w:t>Förster</w:t>
      </w:r>
      <w:proofErr w:type="spellEnd"/>
      <w:r w:rsidR="00696D41" w:rsidRPr="005C7611">
        <w:t xml:space="preserve"> resonance energy transfer</w:t>
      </w:r>
    </w:p>
    <w:p w14:paraId="3352A60D" w14:textId="77777777" w:rsidR="00562E2B" w:rsidRPr="005C7611" w:rsidRDefault="00562E2B" w:rsidP="00562E2B">
      <w:pPr>
        <w:rPr>
          <w:b/>
          <w:lang w:val="en-US"/>
        </w:rPr>
      </w:pPr>
    </w:p>
    <w:p w14:paraId="04B9213C" w14:textId="571A0DA9" w:rsidR="00696D41" w:rsidRPr="005C7611" w:rsidRDefault="005959E8" w:rsidP="00696D41">
      <w:pPr>
        <w:pStyle w:val="MainText"/>
        <w:ind w:firstLine="708"/>
      </w:pPr>
      <w:r w:rsidRPr="005C7611">
        <w:t xml:space="preserve">As discussed above, </w:t>
      </w:r>
      <w:r w:rsidR="00696D41" w:rsidRPr="005C7611">
        <w:t xml:space="preserve">CMAs </w:t>
      </w:r>
      <w:r w:rsidR="00283F23" w:rsidRPr="005C7611">
        <w:t>can achieve</w:t>
      </w:r>
      <w:r w:rsidR="00696D41" w:rsidRPr="005C7611">
        <w:t xml:space="preserve"> high PLQE even in neat films, by contrast with </w:t>
      </w:r>
      <w:r w:rsidR="00FD7B29" w:rsidRPr="005C7611">
        <w:t xml:space="preserve">the </w:t>
      </w:r>
      <w:r w:rsidR="00696D41" w:rsidRPr="005C7611">
        <w:t>majority of TADF materials.</w:t>
      </w:r>
      <w:r w:rsidR="00696D41" w:rsidRPr="005C7611">
        <w:rPr>
          <w:vertAlign w:val="superscript"/>
        </w:rPr>
        <w:t>[</w:t>
      </w:r>
      <w:r w:rsidR="00BF4D0E" w:rsidRPr="005C7611">
        <w:rPr>
          <w:vertAlign w:val="superscript"/>
        </w:rPr>
        <w:t>30</w:t>
      </w:r>
      <w:r w:rsidR="00A63F36" w:rsidRPr="005C7611">
        <w:rPr>
          <w:vertAlign w:val="superscript"/>
        </w:rPr>
        <w:t>,</w:t>
      </w:r>
      <w:r w:rsidR="005865F5" w:rsidRPr="005C7611">
        <w:rPr>
          <w:vertAlign w:val="superscript"/>
        </w:rPr>
        <w:t xml:space="preserve"> </w:t>
      </w:r>
      <w:r w:rsidR="00BF4D0E" w:rsidRPr="005C7611">
        <w:rPr>
          <w:vertAlign w:val="superscript"/>
        </w:rPr>
        <w:t>31</w:t>
      </w:r>
      <w:r w:rsidR="00696D41" w:rsidRPr="005C7611">
        <w:rPr>
          <w:vertAlign w:val="superscript"/>
        </w:rPr>
        <w:t>, 3</w:t>
      </w:r>
      <w:r w:rsidR="00BF4D0E" w:rsidRPr="005C7611">
        <w:rPr>
          <w:vertAlign w:val="superscript"/>
        </w:rPr>
        <w:t>6</w:t>
      </w:r>
      <w:r w:rsidR="00696D41" w:rsidRPr="005C7611">
        <w:rPr>
          <w:vertAlign w:val="superscript"/>
        </w:rPr>
        <w:t>]</w:t>
      </w:r>
      <w:r w:rsidR="00696D41" w:rsidRPr="005C7611">
        <w:t xml:space="preserve"> </w:t>
      </w:r>
      <w:r w:rsidR="00696D41" w:rsidRPr="005C7611">
        <w:rPr>
          <w:b/>
          <w:bCs/>
        </w:rPr>
        <w:t>Table 1</w:t>
      </w:r>
      <w:r w:rsidR="00696D41" w:rsidRPr="005C7611">
        <w:t xml:space="preserve"> shows the values of absolute PLQE for thermally evaporated films of CMA1 and CMA4 diluted in 1,3-bis(N-carbazolyl)benzene (</w:t>
      </w:r>
      <w:proofErr w:type="spellStart"/>
      <w:r w:rsidR="00696D41" w:rsidRPr="005C7611">
        <w:t>mCP</w:t>
      </w:r>
      <w:proofErr w:type="spellEnd"/>
      <w:r w:rsidR="00696D41" w:rsidRPr="005C7611">
        <w:t>) and their neat films, which were measured in an integrating sphere under a nitrogen flow with a calibrated spectrometer.</w:t>
      </w:r>
      <w:r w:rsidR="00696D41" w:rsidRPr="005C7611">
        <w:rPr>
          <w:vertAlign w:val="superscript"/>
        </w:rPr>
        <w:t>[3</w:t>
      </w:r>
      <w:r w:rsidR="00BF4D0E" w:rsidRPr="005C7611">
        <w:rPr>
          <w:vertAlign w:val="superscript"/>
        </w:rPr>
        <w:t>7</w:t>
      </w:r>
      <w:r w:rsidR="00696D41" w:rsidRPr="005C7611">
        <w:rPr>
          <w:vertAlign w:val="superscript"/>
        </w:rPr>
        <w:t>]</w:t>
      </w:r>
      <w:r w:rsidR="00696D41" w:rsidRPr="005C7611">
        <w:t xml:space="preserve"> The comparable and high PLQE values (81±5 %) imply that CMAs can serve as a single host for hyperfluorescent OLEDs.</w:t>
      </w:r>
    </w:p>
    <w:p w14:paraId="4D3CAC79" w14:textId="2CC34E99" w:rsidR="00C158CF" w:rsidRPr="005C7611" w:rsidRDefault="00696D41" w:rsidP="00696D41">
      <w:pPr>
        <w:pStyle w:val="MainText"/>
        <w:ind w:firstLine="708"/>
      </w:pPr>
      <w:r w:rsidRPr="005C7611">
        <w:lastRenderedPageBreak/>
        <w:t>We first examine exciton energy transfer between exciton donors and exciton acceptors. Once singlet and triplet excitons are generated on a donor, they may transfer to nearby acceptors via FRET and DET mechanisms.</w:t>
      </w:r>
      <w:r w:rsidR="00F93927" w:rsidRPr="005C7611">
        <w:t xml:space="preserve"> M</w:t>
      </w:r>
      <w:r w:rsidRPr="005C7611">
        <w:t>inimi</w:t>
      </w:r>
      <w:r w:rsidR="00FD7B29" w:rsidRPr="005C7611">
        <w:t>z</w:t>
      </w:r>
      <w:r w:rsidRPr="005C7611">
        <w:t>ing DET and maximi</w:t>
      </w:r>
      <w:r w:rsidR="00FD7B29" w:rsidRPr="005C7611">
        <w:t>z</w:t>
      </w:r>
      <w:r w:rsidRPr="005C7611">
        <w:t>ing FRET is a way to optimi</w:t>
      </w:r>
      <w:r w:rsidR="00FD7B29" w:rsidRPr="005C7611">
        <w:t>z</w:t>
      </w:r>
      <w:r w:rsidRPr="005C7611">
        <w:t>e the performance of hyperfluorescent OLEDs. Even though high PLQE is available in neat films for CMAs, if a host matrix is not utili</w:t>
      </w:r>
      <w:r w:rsidR="00FD7B29" w:rsidRPr="005C7611">
        <w:t>z</w:t>
      </w:r>
      <w:r w:rsidRPr="005C7611">
        <w:t>ed, diffusion via DET to the fluorescent sites will be inevitable since the CMAs and fluorescent emitters are in close contact.</w:t>
      </w:r>
      <w:r w:rsidR="00DD2296" w:rsidRPr="005C7611">
        <w:rPr>
          <w:vertAlign w:val="superscript"/>
        </w:rPr>
        <w:t>[38]</w:t>
      </w:r>
      <w:r w:rsidRPr="005C7611">
        <w:t xml:space="preserve"> It was recently demonstrated that the adoption of appropriate substituents attached to fluorescent emitters for the separation of donors and acceptors is a useful method for suppressing DET since the likelihood of transfer varies exponentially with chromophore spacing</w:t>
      </w:r>
      <w:r w:rsidR="00DD2296" w:rsidRPr="005C7611">
        <w:t>.</w:t>
      </w:r>
      <w:r w:rsidRPr="005C7611">
        <w:rPr>
          <w:vertAlign w:val="superscript"/>
        </w:rPr>
        <w:t>[3</w:t>
      </w:r>
      <w:r w:rsidR="00DD2296" w:rsidRPr="005C7611">
        <w:rPr>
          <w:vertAlign w:val="superscript"/>
        </w:rPr>
        <w:t>9</w:t>
      </w:r>
      <w:r w:rsidRPr="005C7611">
        <w:rPr>
          <w:vertAlign w:val="superscript"/>
        </w:rPr>
        <w:t>]</w:t>
      </w:r>
      <w:r w:rsidRPr="005C7611">
        <w:t xml:space="preserve"> In this work, CMA1, CMA4, rubrene, and </w:t>
      </w:r>
      <w:proofErr w:type="spellStart"/>
      <w:r w:rsidRPr="005C7611">
        <w:t>TBRb</w:t>
      </w:r>
      <w:proofErr w:type="spellEnd"/>
      <w:r w:rsidRPr="005C7611">
        <w:t xml:space="preserve"> (molecular structures shown in </w:t>
      </w:r>
      <w:r w:rsidRPr="005C7611">
        <w:rPr>
          <w:b/>
          <w:bCs/>
        </w:rPr>
        <w:t>Figure 1</w:t>
      </w:r>
      <w:r w:rsidRPr="005C7611">
        <w:t>(a)) are employed to explore the influence of steric bulk, introduced via t-butyl substituents, on DET efficiency between CMAs and fluorescent emitters.</w:t>
      </w:r>
    </w:p>
    <w:p w14:paraId="2BB18835" w14:textId="66FB96AB" w:rsidR="000F1874" w:rsidRPr="005C7611" w:rsidRDefault="000F1874" w:rsidP="000F1874">
      <w:pPr>
        <w:pStyle w:val="MainText"/>
        <w:ind w:firstLine="708"/>
      </w:pPr>
      <w:r w:rsidRPr="005C7611">
        <w:t xml:space="preserve">FRET operates on the basis of resonant dipole coupling, with long-range energy transfer between the singlet excited states of two molecules achieved by virtual emission and absorption </w:t>
      </w:r>
      <w:proofErr w:type="gramStart"/>
      <w:r w:rsidRPr="005C7611">
        <w:t>processes</w:t>
      </w:r>
      <w:r w:rsidR="00DD2296" w:rsidRPr="005C7611">
        <w:t>.</w:t>
      </w:r>
      <w:r w:rsidRPr="005C7611">
        <w:rPr>
          <w:vertAlign w:val="superscript"/>
        </w:rPr>
        <w:t>[</w:t>
      </w:r>
      <w:proofErr w:type="gramEnd"/>
      <w:r w:rsidR="00D108E1" w:rsidRPr="005C7611">
        <w:rPr>
          <w:vertAlign w:val="superscript"/>
        </w:rPr>
        <w:t>40</w:t>
      </w:r>
      <w:r w:rsidRPr="005C7611">
        <w:rPr>
          <w:vertAlign w:val="superscript"/>
        </w:rPr>
        <w:t>-</w:t>
      </w:r>
      <w:r w:rsidR="00D108E1" w:rsidRPr="005C7611">
        <w:rPr>
          <w:vertAlign w:val="superscript"/>
        </w:rPr>
        <w:t>42</w:t>
      </w:r>
      <w:r w:rsidRPr="005C7611">
        <w:rPr>
          <w:vertAlign w:val="superscript"/>
        </w:rPr>
        <w:t>]</w:t>
      </w:r>
      <w:r w:rsidRPr="005C7611">
        <w:t xml:space="preserve"> As such,</w:t>
      </w:r>
      <w:r w:rsidR="00E1035E" w:rsidRPr="005C7611">
        <w:t xml:space="preserve"> the</w:t>
      </w:r>
      <w:r w:rsidRPr="005C7611">
        <w:t xml:space="preserve"> spectral overlap between the PL of the donor and the absorption of the acceptor is vital for effective FRET. FRET between CMAs and fluorescent emitters is studied via the calculation of the </w:t>
      </w:r>
      <w:proofErr w:type="spellStart"/>
      <w:r w:rsidRPr="005C7611">
        <w:t>Förster</w:t>
      </w:r>
      <w:proofErr w:type="spellEnd"/>
      <w:r w:rsidRPr="005C7611">
        <w:t xml:space="preserve"> radius (</w:t>
      </w:r>
      <w:r w:rsidRPr="005C7611">
        <w:rPr>
          <w:i/>
          <w:iCs/>
        </w:rPr>
        <w:t>R</w:t>
      </w:r>
      <w:r w:rsidRPr="005C7611">
        <w:rPr>
          <w:vertAlign w:val="subscript"/>
        </w:rPr>
        <w:t>0</w:t>
      </w:r>
      <w:r w:rsidRPr="005C7611">
        <w:t xml:space="preserve">), which is the critical distance that 50% of singlet excited states of donors can be transferred to those of acceptors, expressed </w:t>
      </w:r>
      <w:proofErr w:type="gramStart"/>
      <w:r w:rsidRPr="005C7611">
        <w:t>as</w:t>
      </w:r>
      <w:r w:rsidRPr="005C7611">
        <w:rPr>
          <w:vertAlign w:val="superscript"/>
        </w:rPr>
        <w:t>[</w:t>
      </w:r>
      <w:proofErr w:type="gramEnd"/>
      <w:r w:rsidR="00DD2296" w:rsidRPr="005C7611">
        <w:rPr>
          <w:vertAlign w:val="superscript"/>
        </w:rPr>
        <w:t>40</w:t>
      </w:r>
      <w:r w:rsidRPr="005C7611">
        <w:rPr>
          <w:vertAlign w:val="superscript"/>
        </w:rPr>
        <w:t>-</w:t>
      </w:r>
      <w:r w:rsidR="00DD2296" w:rsidRPr="005C7611">
        <w:rPr>
          <w:vertAlign w:val="superscript"/>
        </w:rPr>
        <w:t>42</w:t>
      </w:r>
      <w:r w:rsidRPr="005C7611">
        <w:rPr>
          <w:vertAlign w:val="superscript"/>
        </w:rPr>
        <w:t>]</w:t>
      </w:r>
    </w:p>
    <w:p w14:paraId="54C32275" w14:textId="77777777" w:rsidR="000F1874" w:rsidRPr="005C7611" w:rsidRDefault="001329A9" w:rsidP="000F1874">
      <w:pPr>
        <w:pStyle w:val="MainText"/>
      </w:pPr>
      <m:oMath>
        <m:sSubSup>
          <m:sSubSupPr>
            <m:ctrlPr>
              <w:rPr>
                <w:rFonts w:ascii="Cambria Math" w:eastAsia="Arial" w:hAnsi="Cambria Math"/>
                <w:i/>
                <w:iCs/>
                <w:color w:val="000000"/>
                <w:sz w:val="28"/>
                <w:szCs w:val="40"/>
              </w:rPr>
            </m:ctrlPr>
          </m:sSubSupPr>
          <m:e>
            <m:r>
              <w:rPr>
                <w:rFonts w:ascii="Cambria Math" w:eastAsia="Arial" w:hAnsi="Cambria Math"/>
                <w:color w:val="000000"/>
                <w:sz w:val="28"/>
                <w:szCs w:val="40"/>
              </w:rPr>
              <m:t>R</m:t>
            </m:r>
          </m:e>
          <m:sub>
            <m:r>
              <m:rPr>
                <m:sty m:val="p"/>
              </m:rPr>
              <w:rPr>
                <w:rFonts w:ascii="Cambria Math" w:eastAsia="Arial" w:hAnsi="Cambria Math"/>
                <w:color w:val="000000"/>
                <w:sz w:val="28"/>
                <w:szCs w:val="40"/>
              </w:rPr>
              <m:t>0</m:t>
            </m:r>
          </m:sub>
          <m:sup>
            <m:r>
              <m:rPr>
                <m:sty m:val="p"/>
              </m:rPr>
              <w:rPr>
                <w:rFonts w:ascii="Cambria Math" w:eastAsia="Arial" w:hAnsi="Cambria Math"/>
                <w:color w:val="000000"/>
                <w:sz w:val="28"/>
                <w:szCs w:val="40"/>
              </w:rPr>
              <m:t>6</m:t>
            </m:r>
          </m:sup>
        </m:sSubSup>
        <m:r>
          <w:rPr>
            <w:rFonts w:ascii="Cambria Math" w:eastAsia="Arial" w:hAnsi="Cambria Math"/>
            <w:color w:val="000000"/>
            <w:sz w:val="28"/>
            <w:szCs w:val="40"/>
          </w:rPr>
          <m:t>=</m:t>
        </m:r>
        <m:f>
          <m:fPr>
            <m:ctrlPr>
              <w:rPr>
                <w:rFonts w:ascii="Cambria Math" w:eastAsia="Arial" w:hAnsi="Cambria Math"/>
                <w:i/>
                <w:iCs/>
                <w:color w:val="000000"/>
                <w:sz w:val="28"/>
                <w:szCs w:val="40"/>
              </w:rPr>
            </m:ctrlPr>
          </m:fPr>
          <m:num>
            <m:r>
              <w:rPr>
                <w:rFonts w:ascii="Cambria Math" w:eastAsia="Arial" w:hAnsi="Cambria Math"/>
                <w:color w:val="000000"/>
                <w:sz w:val="28"/>
                <w:szCs w:val="40"/>
              </w:rPr>
              <m:t>9000</m:t>
            </m:r>
            <m:func>
              <m:funcPr>
                <m:ctrlPr>
                  <w:rPr>
                    <w:rFonts w:ascii="Cambria Math" w:eastAsia="Arial" w:hAnsi="Cambria Math"/>
                    <w:i/>
                    <w:iCs/>
                    <w:color w:val="000000"/>
                    <w:sz w:val="28"/>
                    <w:szCs w:val="40"/>
                  </w:rPr>
                </m:ctrlPr>
              </m:funcPr>
              <m:fName>
                <m:r>
                  <w:rPr>
                    <w:rFonts w:ascii="Cambria Math" w:eastAsia="Arial" w:hAnsi="Cambria Math"/>
                    <w:color w:val="000000"/>
                    <w:sz w:val="28"/>
                    <w:szCs w:val="40"/>
                  </w:rPr>
                  <m:t>ln</m:t>
                </m:r>
              </m:fName>
              <m:e>
                <m:r>
                  <w:rPr>
                    <w:rFonts w:ascii="Cambria Math" w:eastAsia="Arial" w:hAnsi="Cambria Math"/>
                    <w:color w:val="000000"/>
                    <w:sz w:val="28"/>
                    <w:szCs w:val="40"/>
                  </w:rPr>
                  <m:t>10</m:t>
                </m:r>
              </m:e>
            </m:func>
            <m:sSup>
              <m:sSupPr>
                <m:ctrlPr>
                  <w:rPr>
                    <w:rFonts w:ascii="Cambria Math" w:eastAsia="Arial" w:hAnsi="Cambria Math"/>
                    <w:i/>
                    <w:iCs/>
                    <w:color w:val="000000"/>
                    <w:sz w:val="28"/>
                    <w:szCs w:val="40"/>
                  </w:rPr>
                </m:ctrlPr>
              </m:sSupPr>
              <m:e>
                <m:sSub>
                  <m:sSubPr>
                    <m:ctrlPr>
                      <w:rPr>
                        <w:rFonts w:ascii="Cambria Math" w:eastAsia="Arial" w:hAnsi="Cambria Math"/>
                        <w:i/>
                        <w:iCs/>
                        <w:color w:val="000000"/>
                        <w:sz w:val="28"/>
                        <w:szCs w:val="40"/>
                      </w:rPr>
                    </m:ctrlPr>
                  </m:sSubPr>
                  <m:e>
                    <m:r>
                      <w:rPr>
                        <w:rFonts w:ascii="Cambria Math" w:eastAsia="Arial" w:hAnsi="Cambria Math"/>
                        <w:color w:val="000000"/>
                        <w:sz w:val="28"/>
                        <w:szCs w:val="40"/>
                      </w:rPr>
                      <m:t>η</m:t>
                    </m:r>
                  </m:e>
                  <m:sub>
                    <m:r>
                      <w:rPr>
                        <w:rFonts w:ascii="Cambria Math" w:eastAsia="Arial" w:hAnsi="Cambria Math"/>
                        <w:color w:val="000000"/>
                        <w:sz w:val="28"/>
                        <w:szCs w:val="40"/>
                      </w:rPr>
                      <m:t>D</m:t>
                    </m:r>
                  </m:sub>
                </m:sSub>
                <m:r>
                  <w:rPr>
                    <w:rFonts w:ascii="Cambria Math" w:eastAsia="Arial" w:hAnsi="Cambria Math"/>
                    <w:color w:val="000000"/>
                    <w:sz w:val="28"/>
                    <w:szCs w:val="40"/>
                  </w:rPr>
                  <m:t>κ</m:t>
                </m:r>
              </m:e>
              <m:sup>
                <m:r>
                  <w:rPr>
                    <w:rFonts w:ascii="Cambria Math" w:eastAsia="Arial" w:hAnsi="Cambria Math"/>
                    <w:color w:val="000000"/>
                    <w:sz w:val="28"/>
                    <w:szCs w:val="40"/>
                  </w:rPr>
                  <m:t>2</m:t>
                </m:r>
              </m:sup>
            </m:sSup>
          </m:num>
          <m:den>
            <m:r>
              <w:rPr>
                <w:rFonts w:ascii="Cambria Math" w:eastAsia="Arial" w:hAnsi="Cambria Math"/>
                <w:color w:val="000000"/>
                <w:sz w:val="28"/>
                <w:szCs w:val="40"/>
              </w:rPr>
              <m:t>128</m:t>
            </m:r>
            <m:sSup>
              <m:sSupPr>
                <m:ctrlPr>
                  <w:rPr>
                    <w:rFonts w:ascii="Cambria Math" w:eastAsia="Arial" w:hAnsi="Cambria Math"/>
                    <w:i/>
                    <w:iCs/>
                    <w:color w:val="000000"/>
                    <w:sz w:val="28"/>
                    <w:szCs w:val="40"/>
                  </w:rPr>
                </m:ctrlPr>
              </m:sSupPr>
              <m:e>
                <m:r>
                  <w:rPr>
                    <w:rFonts w:ascii="Cambria Math" w:eastAsia="Arial" w:hAnsi="Cambria Math"/>
                    <w:color w:val="000000"/>
                    <w:sz w:val="28"/>
                    <w:szCs w:val="40"/>
                  </w:rPr>
                  <m:t>π</m:t>
                </m:r>
              </m:e>
              <m:sup>
                <m:r>
                  <w:rPr>
                    <w:rFonts w:ascii="Cambria Math" w:eastAsia="Arial" w:hAnsi="Cambria Math"/>
                    <w:color w:val="000000"/>
                    <w:sz w:val="28"/>
                    <w:szCs w:val="40"/>
                  </w:rPr>
                  <m:t>5</m:t>
                </m:r>
              </m:sup>
            </m:sSup>
            <m:sSub>
              <m:sSubPr>
                <m:ctrlPr>
                  <w:rPr>
                    <w:rFonts w:ascii="Cambria Math" w:eastAsia="Arial" w:hAnsi="Cambria Math"/>
                    <w:i/>
                    <w:iCs/>
                    <w:color w:val="000000"/>
                    <w:sz w:val="28"/>
                    <w:szCs w:val="40"/>
                  </w:rPr>
                </m:ctrlPr>
              </m:sSubPr>
              <m:e>
                <m:r>
                  <w:rPr>
                    <w:rFonts w:ascii="Cambria Math" w:eastAsia="Arial" w:hAnsi="Cambria Math"/>
                    <w:color w:val="000000"/>
                    <w:sz w:val="28"/>
                    <w:szCs w:val="40"/>
                  </w:rPr>
                  <m:t>N</m:t>
                </m:r>
              </m:e>
              <m:sub>
                <m:r>
                  <w:rPr>
                    <w:rFonts w:ascii="Cambria Math" w:eastAsia="Arial" w:hAnsi="Cambria Math"/>
                    <w:color w:val="000000"/>
                    <w:sz w:val="28"/>
                    <w:szCs w:val="40"/>
                  </w:rPr>
                  <m:t>A</m:t>
                </m:r>
              </m:sub>
            </m:sSub>
            <m:sSup>
              <m:sSupPr>
                <m:ctrlPr>
                  <w:rPr>
                    <w:rFonts w:ascii="Cambria Math" w:eastAsia="Arial" w:hAnsi="Cambria Math"/>
                    <w:i/>
                    <w:iCs/>
                    <w:color w:val="000000"/>
                    <w:sz w:val="28"/>
                    <w:szCs w:val="40"/>
                  </w:rPr>
                </m:ctrlPr>
              </m:sSupPr>
              <m:e>
                <m:r>
                  <w:rPr>
                    <w:rFonts w:ascii="Cambria Math" w:eastAsia="Arial" w:hAnsi="Cambria Math"/>
                    <w:color w:val="000000"/>
                    <w:sz w:val="28"/>
                    <w:szCs w:val="40"/>
                  </w:rPr>
                  <m:t>n</m:t>
                </m:r>
              </m:e>
              <m:sup>
                <m:r>
                  <w:rPr>
                    <w:rFonts w:ascii="Cambria Math" w:eastAsia="Arial" w:hAnsi="Cambria Math"/>
                    <w:color w:val="000000"/>
                    <w:sz w:val="28"/>
                    <w:szCs w:val="40"/>
                  </w:rPr>
                  <m:t>4</m:t>
                </m:r>
              </m:sup>
            </m:sSup>
          </m:den>
        </m:f>
        <m:nary>
          <m:naryPr>
            <m:limLoc m:val="undOvr"/>
            <m:subHide m:val="1"/>
            <m:supHide m:val="1"/>
            <m:ctrlPr>
              <w:rPr>
                <w:rFonts w:ascii="Cambria Math" w:eastAsia="Arial" w:hAnsi="Cambria Math"/>
                <w:i/>
                <w:iCs/>
                <w:color w:val="000000"/>
                <w:sz w:val="28"/>
                <w:szCs w:val="40"/>
              </w:rPr>
            </m:ctrlPr>
          </m:naryPr>
          <m:sub/>
          <m:sup/>
          <m:e>
            <m:sSup>
              <m:sSupPr>
                <m:ctrlPr>
                  <w:rPr>
                    <w:rFonts w:ascii="Cambria Math" w:eastAsia="Cambria Math" w:hAnsi="Cambria Math"/>
                    <w:i/>
                    <w:iCs/>
                    <w:color w:val="000000"/>
                    <w:sz w:val="28"/>
                    <w:szCs w:val="40"/>
                  </w:rPr>
                </m:ctrlPr>
              </m:sSupPr>
              <m:e>
                <m:r>
                  <w:rPr>
                    <w:rFonts w:ascii="Cambria Math" w:eastAsia="Cambria Math" w:hAnsi="Cambria Math"/>
                    <w:color w:val="000000"/>
                    <w:sz w:val="28"/>
                    <w:szCs w:val="40"/>
                  </w:rPr>
                  <m:t>λ</m:t>
                </m:r>
              </m:e>
              <m:sup>
                <m:r>
                  <w:rPr>
                    <w:rFonts w:ascii="Cambria Math" w:eastAsia="Cambria Math" w:hAnsi="Cambria Math"/>
                    <w:color w:val="000000"/>
                    <w:sz w:val="28"/>
                    <w:szCs w:val="40"/>
                  </w:rPr>
                  <m:t>4</m:t>
                </m:r>
              </m:sup>
            </m:sSup>
            <m:sSub>
              <m:sSubPr>
                <m:ctrlPr>
                  <w:rPr>
                    <w:rFonts w:ascii="Cambria Math" w:eastAsia="Cambria Math" w:hAnsi="Cambria Math"/>
                    <w:i/>
                    <w:iCs/>
                    <w:color w:val="000000"/>
                    <w:sz w:val="28"/>
                    <w:szCs w:val="40"/>
                  </w:rPr>
                </m:ctrlPr>
              </m:sSubPr>
              <m:e>
                <m:r>
                  <w:rPr>
                    <w:rFonts w:ascii="Cambria Math" w:eastAsia="Cambria Math" w:hAnsi="Cambria Math"/>
                    <w:color w:val="000000"/>
                    <w:sz w:val="28"/>
                    <w:szCs w:val="40"/>
                  </w:rPr>
                  <m:t>F</m:t>
                </m:r>
              </m:e>
              <m:sub>
                <m:r>
                  <m:rPr>
                    <m:sty m:val="p"/>
                  </m:rPr>
                  <w:rPr>
                    <w:rFonts w:ascii="Cambria Math" w:eastAsia="Cambria Math" w:hAnsi="Cambria Math"/>
                    <w:color w:val="000000"/>
                    <w:sz w:val="28"/>
                    <w:szCs w:val="40"/>
                  </w:rPr>
                  <m:t>D</m:t>
                </m:r>
              </m:sub>
            </m:sSub>
            <m:d>
              <m:dPr>
                <m:ctrlPr>
                  <w:rPr>
                    <w:rFonts w:ascii="Cambria Math" w:eastAsia="Cambria Math" w:hAnsi="Cambria Math"/>
                    <w:i/>
                    <w:iCs/>
                    <w:color w:val="000000"/>
                    <w:sz w:val="28"/>
                    <w:szCs w:val="40"/>
                  </w:rPr>
                </m:ctrlPr>
              </m:dPr>
              <m:e>
                <m:r>
                  <w:rPr>
                    <w:rFonts w:ascii="Cambria Math" w:eastAsia="Cambria Math" w:hAnsi="Cambria Math"/>
                    <w:color w:val="000000"/>
                    <w:sz w:val="28"/>
                    <w:szCs w:val="40"/>
                  </w:rPr>
                  <m:t>λ</m:t>
                </m:r>
              </m:e>
            </m:d>
            <m:sSub>
              <m:sSubPr>
                <m:ctrlPr>
                  <w:rPr>
                    <w:rFonts w:ascii="Cambria Math" w:eastAsia="Cambria Math" w:hAnsi="Cambria Math"/>
                    <w:i/>
                    <w:iCs/>
                    <w:color w:val="000000"/>
                    <w:sz w:val="28"/>
                    <w:szCs w:val="40"/>
                  </w:rPr>
                </m:ctrlPr>
              </m:sSubPr>
              <m:e>
                <m:r>
                  <w:rPr>
                    <w:rFonts w:ascii="Cambria Math" w:eastAsia="Cambria Math" w:hAnsi="Cambria Math"/>
                    <w:color w:val="000000"/>
                    <w:sz w:val="28"/>
                    <w:szCs w:val="40"/>
                  </w:rPr>
                  <m:t>ϵ</m:t>
                </m:r>
              </m:e>
              <m:sub>
                <m:r>
                  <m:rPr>
                    <m:sty m:val="p"/>
                  </m:rPr>
                  <w:rPr>
                    <w:rFonts w:ascii="Cambria Math" w:eastAsia="Cambria Math" w:hAnsi="Cambria Math"/>
                    <w:color w:val="000000"/>
                    <w:sz w:val="28"/>
                    <w:szCs w:val="40"/>
                  </w:rPr>
                  <m:t>A</m:t>
                </m:r>
              </m:sub>
            </m:sSub>
            <m:d>
              <m:dPr>
                <m:ctrlPr>
                  <w:rPr>
                    <w:rFonts w:ascii="Cambria Math" w:eastAsia="Cambria Math" w:hAnsi="Cambria Math"/>
                    <w:i/>
                    <w:iCs/>
                    <w:color w:val="000000"/>
                    <w:sz w:val="28"/>
                    <w:szCs w:val="40"/>
                  </w:rPr>
                </m:ctrlPr>
              </m:dPr>
              <m:e>
                <m:r>
                  <w:rPr>
                    <w:rFonts w:ascii="Cambria Math" w:eastAsia="Cambria Math" w:hAnsi="Cambria Math"/>
                    <w:color w:val="000000"/>
                    <w:sz w:val="28"/>
                    <w:szCs w:val="40"/>
                  </w:rPr>
                  <m:t>λ</m:t>
                </m:r>
              </m:e>
            </m:d>
            <m:r>
              <w:rPr>
                <w:rFonts w:ascii="Cambria Math" w:eastAsia="Cambria Math" w:hAnsi="Cambria Math"/>
                <w:color w:val="000000"/>
                <w:sz w:val="28"/>
                <w:szCs w:val="40"/>
              </w:rPr>
              <m:t>d(λ)</m:t>
            </m:r>
          </m:e>
        </m:nary>
      </m:oMath>
      <w:r w:rsidR="000F1874" w:rsidRPr="005C7611">
        <w:tab/>
      </w:r>
      <w:r w:rsidR="000F1874" w:rsidRPr="005C7611">
        <w:tab/>
      </w:r>
      <w:r w:rsidR="000F1874" w:rsidRPr="005C7611">
        <w:tab/>
      </w:r>
      <w:r w:rsidR="000F1874" w:rsidRPr="005C7611">
        <w:tab/>
      </w:r>
      <w:r w:rsidR="000C528A" w:rsidRPr="005C7611">
        <w:tab/>
      </w:r>
      <w:r w:rsidR="000F1874" w:rsidRPr="005C7611">
        <w:t>(1)</w:t>
      </w:r>
    </w:p>
    <w:p w14:paraId="5D0DCE19" w14:textId="77777777" w:rsidR="000F1874" w:rsidRPr="005C7611" w:rsidRDefault="000F1874" w:rsidP="006F1873">
      <w:pPr>
        <w:spacing w:line="480" w:lineRule="auto"/>
        <w:rPr>
          <w:lang w:val="en-US"/>
        </w:rPr>
      </w:pPr>
      <w:r w:rsidRPr="005C7611">
        <w:rPr>
          <w:lang w:val="en-US"/>
        </w:rPr>
        <w:t xml:space="preserve">where </w:t>
      </w:r>
      <w:r w:rsidRPr="005C7611">
        <w:rPr>
          <w:i/>
          <w:lang w:val="en-US"/>
        </w:rPr>
        <w:t>N</w:t>
      </w:r>
      <w:r w:rsidRPr="005C7611">
        <w:rPr>
          <w:vertAlign w:val="subscript"/>
          <w:lang w:val="en-US"/>
        </w:rPr>
        <w:t>A</w:t>
      </w:r>
      <w:r w:rsidRPr="005C7611">
        <w:rPr>
          <w:lang w:val="en-US"/>
        </w:rPr>
        <w:t xml:space="preserve"> is Avogadro’s number, n is the refractive index, </w:t>
      </w:r>
      <m:oMath>
        <m:sSub>
          <m:sSubPr>
            <m:ctrlPr>
              <w:rPr>
                <w:rFonts w:ascii="Cambria Math" w:eastAsia="Arial" w:hAnsi="Cambria Math" w:cs="Arial"/>
                <w:i/>
                <w:iCs/>
                <w:color w:val="000000"/>
                <w:szCs w:val="40"/>
                <w:lang w:val="en-US"/>
              </w:rPr>
            </m:ctrlPr>
          </m:sSubPr>
          <m:e>
            <m:r>
              <w:rPr>
                <w:rFonts w:ascii="Cambria Math" w:eastAsia="Arial" w:hAnsi="Cambria Math" w:cs="Arial"/>
                <w:color w:val="000000"/>
                <w:szCs w:val="40"/>
                <w:lang w:val="en-US"/>
              </w:rPr>
              <m:t>η</m:t>
            </m:r>
          </m:e>
          <m:sub>
            <m:r>
              <m:rPr>
                <m:sty m:val="p"/>
              </m:rPr>
              <w:rPr>
                <w:rFonts w:ascii="Cambria Math" w:eastAsia="Arial" w:hAnsi="Cambria Math" w:cs="Arial"/>
                <w:color w:val="000000"/>
                <w:szCs w:val="40"/>
                <w:lang w:val="en-US"/>
              </w:rPr>
              <m:t>D</m:t>
            </m:r>
          </m:sub>
        </m:sSub>
        <m:r>
          <w:rPr>
            <w:rFonts w:ascii="Cambria Math" w:eastAsia="Arial" w:hAnsi="Cambria Math" w:cs="Arial"/>
            <w:color w:val="000000"/>
            <w:szCs w:val="40"/>
            <w:lang w:val="en-US"/>
          </w:rPr>
          <m:t xml:space="preserve"> </m:t>
        </m:r>
      </m:oMath>
      <w:r w:rsidRPr="005C7611">
        <w:rPr>
          <w:iCs/>
          <w:color w:val="000000"/>
          <w:lang w:val="en-US"/>
        </w:rPr>
        <w:t xml:space="preserve">is the PLQE of the donor, </w:t>
      </w:r>
      <m:oMath>
        <m:r>
          <w:rPr>
            <w:rFonts w:ascii="Cambria Math" w:eastAsia="Arial" w:hAnsi="Cambria Math" w:cs="Arial"/>
            <w:color w:val="000000"/>
            <w:lang w:val="en-US"/>
          </w:rPr>
          <m:t>κ</m:t>
        </m:r>
      </m:oMath>
      <w:r w:rsidRPr="005C7611">
        <w:rPr>
          <w:iCs/>
          <w:color w:val="000000"/>
          <w:vertAlign w:val="superscript"/>
          <w:lang w:val="en-US"/>
        </w:rPr>
        <w:t xml:space="preserve"> </w:t>
      </w:r>
      <w:r w:rsidRPr="005C7611">
        <w:rPr>
          <w:iCs/>
          <w:color w:val="000000"/>
          <w:lang w:val="en-US"/>
        </w:rPr>
        <w:t xml:space="preserve">is the dipole orientation factor, </w:t>
      </w:r>
      <m:oMath>
        <m:r>
          <w:rPr>
            <w:rFonts w:ascii="Cambria Math" w:hAnsi="Cambria Math"/>
            <w:color w:val="000000"/>
            <w:lang w:val="en-US"/>
          </w:rPr>
          <m:t>λ</m:t>
        </m:r>
      </m:oMath>
      <w:r w:rsidRPr="005C7611">
        <w:rPr>
          <w:iCs/>
          <w:color w:val="000000"/>
          <w:lang w:val="en-US"/>
        </w:rPr>
        <w:t xml:space="preserve"> is the wavelength, </w:t>
      </w:r>
      <w:r w:rsidRPr="005C7611">
        <w:rPr>
          <w:i/>
          <w:iCs/>
          <w:color w:val="000000"/>
          <w:lang w:val="en-US"/>
        </w:rPr>
        <w:t>F</w:t>
      </w:r>
      <w:r w:rsidRPr="005C7611">
        <w:rPr>
          <w:iCs/>
          <w:color w:val="000000"/>
          <w:vertAlign w:val="subscript"/>
          <w:lang w:val="en-US"/>
        </w:rPr>
        <w:t xml:space="preserve">D </w:t>
      </w:r>
      <w:r w:rsidRPr="005C7611">
        <w:rPr>
          <w:iCs/>
          <w:color w:val="000000"/>
          <w:lang w:val="en-US"/>
        </w:rPr>
        <w:t>is the donor’s PL spectrum normali</w:t>
      </w:r>
      <w:r w:rsidR="00FD7B29" w:rsidRPr="005C7611">
        <w:rPr>
          <w:iCs/>
          <w:color w:val="000000"/>
          <w:lang w:val="en-US"/>
        </w:rPr>
        <w:t>z</w:t>
      </w:r>
      <w:r w:rsidRPr="005C7611">
        <w:rPr>
          <w:iCs/>
          <w:color w:val="000000"/>
          <w:lang w:val="en-US"/>
        </w:rPr>
        <w:t>ed</w:t>
      </w:r>
      <w:r w:rsidR="00FD7B29" w:rsidRPr="005C7611">
        <w:rPr>
          <w:iCs/>
          <w:color w:val="000000"/>
          <w:lang w:val="en-US"/>
        </w:rPr>
        <w:t xml:space="preserve"> </w:t>
      </w:r>
      <w:r w:rsidRPr="005C7611">
        <w:rPr>
          <w:iCs/>
          <w:color w:val="000000"/>
          <w:lang w:val="en-US"/>
        </w:rPr>
        <w:t xml:space="preserve">to unity, </w:t>
      </w:r>
      <m:oMath>
        <m:sSub>
          <m:sSubPr>
            <m:ctrlPr>
              <w:rPr>
                <w:rFonts w:ascii="Cambria Math" w:eastAsia="Cambria Math" w:hAnsi="Cambria Math" w:cs="Arial"/>
                <w:i/>
                <w:iCs/>
                <w:color w:val="000000"/>
                <w:szCs w:val="40"/>
                <w:lang w:val="en-US"/>
              </w:rPr>
            </m:ctrlPr>
          </m:sSubPr>
          <m:e>
            <m:r>
              <w:rPr>
                <w:rFonts w:ascii="Cambria Math" w:eastAsia="Cambria Math" w:hAnsi="Cambria Math" w:cs="Arial"/>
                <w:color w:val="000000"/>
                <w:szCs w:val="40"/>
                <w:lang w:val="en-US"/>
              </w:rPr>
              <m:t>ϵ</m:t>
            </m:r>
          </m:e>
          <m:sub>
            <m:r>
              <m:rPr>
                <m:sty m:val="p"/>
              </m:rPr>
              <w:rPr>
                <w:rFonts w:ascii="Cambria Math" w:eastAsia="Cambria Math" w:hAnsi="Cambria Math" w:cs="Arial"/>
                <w:color w:val="000000"/>
                <w:szCs w:val="40"/>
                <w:lang w:val="en-US"/>
              </w:rPr>
              <m:t>A</m:t>
            </m:r>
          </m:sub>
        </m:sSub>
      </m:oMath>
      <w:r w:rsidRPr="005C7611">
        <w:rPr>
          <w:iCs/>
          <w:color w:val="000000"/>
          <w:szCs w:val="40"/>
          <w:lang w:val="en-US"/>
        </w:rPr>
        <w:t xml:space="preserve"> is the acceptor’s molar decadic absorption coefficient</w:t>
      </w:r>
      <w:r w:rsidRPr="005C7611">
        <w:rPr>
          <w:iCs/>
          <w:color w:val="000000"/>
          <w:szCs w:val="40"/>
          <w:lang w:val="en-US" w:eastAsia="en-GB"/>
        </w:rPr>
        <w:t xml:space="preserve">. Absorption and PL spectra are shown in Figure 1(b). </w:t>
      </w:r>
      <w:r w:rsidRPr="005C7611">
        <w:rPr>
          <w:lang w:val="en-US"/>
        </w:rPr>
        <w:t xml:space="preserve">Figure </w:t>
      </w:r>
      <w:r w:rsidR="00CE6430" w:rsidRPr="005C7611">
        <w:rPr>
          <w:lang w:val="en-US"/>
        </w:rPr>
        <w:t>S</w:t>
      </w:r>
      <w:r w:rsidRPr="005C7611">
        <w:rPr>
          <w:lang w:val="en-US"/>
        </w:rPr>
        <w:t xml:space="preserve">1 presents refractive index measurements of neat CMA1, CMA4, and </w:t>
      </w:r>
      <w:proofErr w:type="spellStart"/>
      <w:r w:rsidRPr="005C7611">
        <w:rPr>
          <w:lang w:val="en-US"/>
        </w:rPr>
        <w:t>mCP</w:t>
      </w:r>
      <w:proofErr w:type="spellEnd"/>
      <w:r w:rsidRPr="005C7611">
        <w:rPr>
          <w:lang w:val="en-US"/>
        </w:rPr>
        <w:t>. At 550 nm, the values of n are 1.65, 1.61</w:t>
      </w:r>
      <w:r w:rsidR="00FD7B29" w:rsidRPr="005C7611">
        <w:rPr>
          <w:lang w:val="en-US"/>
        </w:rPr>
        <w:t>,</w:t>
      </w:r>
      <w:r w:rsidRPr="005C7611">
        <w:rPr>
          <w:lang w:val="en-US"/>
        </w:rPr>
        <w:t xml:space="preserve"> and 1.74, respectively. </w:t>
      </w:r>
      <m:oMath>
        <m:r>
          <w:rPr>
            <w:rFonts w:ascii="Cambria Math" w:hAnsi="Cambria Math"/>
            <w:lang w:val="en-US"/>
          </w:rPr>
          <m:t>κ</m:t>
        </m:r>
      </m:oMath>
      <w:r w:rsidRPr="005C7611">
        <w:rPr>
          <w:i/>
          <w:lang w:val="en-US"/>
        </w:rPr>
        <w:t xml:space="preserve"> </w:t>
      </w:r>
      <w:r w:rsidRPr="005C7611">
        <w:rPr>
          <w:lang w:val="en-US"/>
        </w:rPr>
        <w:t xml:space="preserve">in a </w:t>
      </w:r>
      <w:r w:rsidRPr="005C7611">
        <w:rPr>
          <w:lang w:val="en-US"/>
        </w:rPr>
        <w:lastRenderedPageBreak/>
        <w:t>randomly orientated amorphous film is 0.845</w:t>
      </w:r>
      <m:oMath>
        <m:rad>
          <m:radPr>
            <m:degHide m:val="1"/>
            <m:ctrlPr>
              <w:rPr>
                <w:rFonts w:ascii="Cambria Math" w:hAnsi="Cambria Math"/>
                <w:i/>
                <w:lang w:val="en-US"/>
              </w:rPr>
            </m:ctrlPr>
          </m:radPr>
          <m:deg/>
          <m:e>
            <m:r>
              <w:rPr>
                <w:rFonts w:ascii="Cambria Math" w:hAnsi="Cambria Math"/>
                <w:lang w:val="en-US"/>
              </w:rPr>
              <m:t>2/3</m:t>
            </m:r>
          </m:e>
        </m:rad>
      </m:oMath>
      <w:r w:rsidRPr="005C7611">
        <w:rPr>
          <w:lang w:val="en-US"/>
        </w:rPr>
        <w:t xml:space="preserve">, which is used for the calculation of </w:t>
      </w:r>
      <w:r w:rsidRPr="005C7611">
        <w:rPr>
          <w:i/>
          <w:lang w:val="en-US"/>
        </w:rPr>
        <w:t>R</w:t>
      </w:r>
      <w:r w:rsidRPr="005C7611">
        <w:rPr>
          <w:vertAlign w:val="subscript"/>
          <w:lang w:val="en-US"/>
        </w:rPr>
        <w:t>0</w:t>
      </w:r>
      <w:r w:rsidR="00DD2296" w:rsidRPr="005C7611">
        <w:rPr>
          <w:lang w:val="en-US"/>
        </w:rPr>
        <w:t>.</w:t>
      </w:r>
      <w:r w:rsidRPr="005C7611">
        <w:rPr>
          <w:vertAlign w:val="superscript"/>
          <w:lang w:val="en-US"/>
        </w:rPr>
        <w:t>[4</w:t>
      </w:r>
      <w:r w:rsidR="00DD2296" w:rsidRPr="005C7611">
        <w:rPr>
          <w:vertAlign w:val="superscript"/>
          <w:lang w:val="en-US"/>
        </w:rPr>
        <w:t>3</w:t>
      </w:r>
      <w:r w:rsidRPr="005C7611">
        <w:rPr>
          <w:vertAlign w:val="superscript"/>
          <w:lang w:val="en-US"/>
        </w:rPr>
        <w:t>]</w:t>
      </w:r>
      <w:r w:rsidRPr="005C7611">
        <w:rPr>
          <w:lang w:val="en-US"/>
        </w:rPr>
        <w:t xml:space="preserve"> As shown in Table 1, </w:t>
      </w:r>
      <w:r w:rsidRPr="005C7611">
        <w:rPr>
          <w:iCs/>
          <w:szCs w:val="40"/>
          <w:lang w:val="en-US" w:eastAsia="en-GB"/>
        </w:rPr>
        <w:t xml:space="preserve">the calculated values of </w:t>
      </w:r>
      <w:r w:rsidRPr="005C7611">
        <w:rPr>
          <w:i/>
          <w:lang w:val="en-US"/>
        </w:rPr>
        <w:t>R</w:t>
      </w:r>
      <w:r w:rsidRPr="005C7611">
        <w:rPr>
          <w:vertAlign w:val="subscript"/>
          <w:lang w:val="en-US"/>
        </w:rPr>
        <w:t xml:space="preserve">0 </w:t>
      </w:r>
      <w:r w:rsidRPr="005C7611">
        <w:rPr>
          <w:lang w:val="en-US"/>
        </w:rPr>
        <w:t xml:space="preserve">for CMA1 and CMA4 with rubrene are 3.48 nm and 3.30 nm, and with </w:t>
      </w:r>
      <w:proofErr w:type="spellStart"/>
      <w:r w:rsidRPr="005C7611">
        <w:rPr>
          <w:lang w:val="en-US"/>
        </w:rPr>
        <w:t>TBRb</w:t>
      </w:r>
      <w:proofErr w:type="spellEnd"/>
      <w:r w:rsidRPr="005C7611">
        <w:rPr>
          <w:lang w:val="en-US"/>
        </w:rPr>
        <w:t xml:space="preserve"> are 3.79 nm and 3.62 nm, respectively, and those for CMA1 and CMA4 diluted in </w:t>
      </w:r>
      <w:proofErr w:type="spellStart"/>
      <w:r w:rsidRPr="005C7611">
        <w:rPr>
          <w:lang w:val="en-US"/>
        </w:rPr>
        <w:t>mCP</w:t>
      </w:r>
      <w:proofErr w:type="spellEnd"/>
      <w:r w:rsidRPr="005C7611">
        <w:rPr>
          <w:lang w:val="en-US"/>
        </w:rPr>
        <w:t xml:space="preserve"> with rubrene are 3.40 nm and 3.34 nm, and with </w:t>
      </w:r>
      <w:proofErr w:type="spellStart"/>
      <w:r w:rsidRPr="005C7611">
        <w:rPr>
          <w:lang w:val="en-US"/>
        </w:rPr>
        <w:t>TBRb</w:t>
      </w:r>
      <w:proofErr w:type="spellEnd"/>
      <w:r w:rsidRPr="005C7611">
        <w:rPr>
          <w:lang w:val="en-US"/>
        </w:rPr>
        <w:t xml:space="preserve"> are 3.70 nm and 3.64 nm, respectively, indicating that FRET is achievable at low doping concentration. </w:t>
      </w:r>
      <w:r w:rsidRPr="005C7611">
        <w:rPr>
          <w:iCs/>
          <w:color w:val="000000"/>
          <w:szCs w:val="40"/>
          <w:lang w:val="en-US" w:eastAsia="en-GB"/>
        </w:rPr>
        <w:t>T</w:t>
      </w:r>
      <w:r w:rsidRPr="005C7611">
        <w:rPr>
          <w:lang w:val="en-US"/>
        </w:rPr>
        <w:t xml:space="preserve">he absorption spectra of rubrene and </w:t>
      </w:r>
      <w:proofErr w:type="spellStart"/>
      <w:r w:rsidRPr="005C7611">
        <w:rPr>
          <w:lang w:val="en-US"/>
        </w:rPr>
        <w:t>TBRb</w:t>
      </w:r>
      <w:proofErr w:type="spellEnd"/>
      <w:r w:rsidRPr="005C7611">
        <w:rPr>
          <w:lang w:val="en-US"/>
        </w:rPr>
        <w:t xml:space="preserve"> and the PL spectra of CMAs are well-overlapped with each other, and the absorption coefficient of </w:t>
      </w:r>
      <w:proofErr w:type="spellStart"/>
      <w:r w:rsidRPr="005C7611">
        <w:rPr>
          <w:lang w:val="en-US"/>
        </w:rPr>
        <w:t>TBRb</w:t>
      </w:r>
      <w:proofErr w:type="spellEnd"/>
      <w:r w:rsidRPr="005C7611">
        <w:rPr>
          <w:lang w:val="en-US"/>
        </w:rPr>
        <w:t xml:space="preserve"> is higher than that of rubrene, resulting in a larger </w:t>
      </w:r>
      <w:r w:rsidRPr="005C7611">
        <w:rPr>
          <w:i/>
          <w:lang w:val="en-US"/>
        </w:rPr>
        <w:t>R</w:t>
      </w:r>
      <w:r w:rsidRPr="005C7611">
        <w:rPr>
          <w:vertAlign w:val="subscript"/>
          <w:lang w:val="en-US"/>
        </w:rPr>
        <w:t>0</w:t>
      </w:r>
      <w:r w:rsidRPr="005C7611">
        <w:rPr>
          <w:lang w:val="en-US"/>
        </w:rPr>
        <w:t>.</w:t>
      </w:r>
    </w:p>
    <w:p w14:paraId="75A88EFD" w14:textId="77777777" w:rsidR="000F1874" w:rsidRPr="005C7611" w:rsidRDefault="000F1874" w:rsidP="008E5835">
      <w:pPr>
        <w:pStyle w:val="Head1"/>
      </w:pPr>
    </w:p>
    <w:p w14:paraId="5E826E0E" w14:textId="77777777" w:rsidR="000F1874" w:rsidRPr="005C7611" w:rsidRDefault="000F1874" w:rsidP="008E5835">
      <w:pPr>
        <w:pStyle w:val="Head1"/>
      </w:pPr>
      <w:r w:rsidRPr="005C7611">
        <w:t>2.</w:t>
      </w:r>
      <w:r w:rsidR="008E5835" w:rsidRPr="005C7611">
        <w:t>2</w:t>
      </w:r>
      <w:r w:rsidRPr="005C7611">
        <w:t>. Photoluminescence quenching measurements</w:t>
      </w:r>
    </w:p>
    <w:p w14:paraId="4CC4E986" w14:textId="77777777" w:rsidR="000F1874" w:rsidRPr="005C7611" w:rsidRDefault="000F1874" w:rsidP="008E5835">
      <w:pPr>
        <w:pStyle w:val="MainText"/>
        <w:spacing w:line="240" w:lineRule="auto"/>
        <w:rPr>
          <w:color w:val="FF0000"/>
        </w:rPr>
      </w:pPr>
    </w:p>
    <w:p w14:paraId="393F9CBC" w14:textId="148C0B25" w:rsidR="000F1874" w:rsidRPr="005C7611" w:rsidRDefault="008E5835" w:rsidP="008E5835">
      <w:pPr>
        <w:pStyle w:val="MainText"/>
        <w:ind w:firstLine="708"/>
      </w:pPr>
      <w:r w:rsidRPr="005C7611">
        <w:t>In order to explore exciton energy transfer in a CMA based host-guest emitting system in detail, PL quenching measurements in a CMA4:mCP:rubrene system were performed to obtain exciton quenching efficiency (</w:t>
      </w:r>
      <m:oMath>
        <m:sSub>
          <m:sSubPr>
            <m:ctrlPr>
              <w:rPr>
                <w:rFonts w:ascii="Cambria Math" w:hAnsi="Cambria Math"/>
                <w:i/>
              </w:rPr>
            </m:ctrlPr>
          </m:sSubPr>
          <m:e>
            <m:r>
              <w:rPr>
                <w:rFonts w:ascii="Cambria Math" w:hAnsi="Cambria Math"/>
              </w:rPr>
              <m:t>η</m:t>
            </m:r>
          </m:e>
          <m:sub>
            <m:r>
              <w:rPr>
                <w:rFonts w:ascii="Cambria Math" w:hAnsi="Cambria Math"/>
              </w:rPr>
              <m:t>EQ</m:t>
            </m:r>
          </m:sub>
        </m:sSub>
      </m:oMath>
      <w:r w:rsidRPr="005C7611">
        <w:t>).</w:t>
      </w:r>
      <w:r w:rsidRPr="005C7611">
        <w:rPr>
          <w:vertAlign w:val="superscript"/>
        </w:rPr>
        <w:t>[4</w:t>
      </w:r>
      <w:r w:rsidR="00DD2296" w:rsidRPr="005C7611">
        <w:rPr>
          <w:vertAlign w:val="superscript"/>
        </w:rPr>
        <w:t>4</w:t>
      </w:r>
      <w:r w:rsidRPr="005C7611">
        <w:rPr>
          <w:vertAlign w:val="superscript"/>
        </w:rPr>
        <w:t>-4</w:t>
      </w:r>
      <w:r w:rsidR="00DD2296" w:rsidRPr="005C7611">
        <w:rPr>
          <w:vertAlign w:val="superscript"/>
        </w:rPr>
        <w:t>6</w:t>
      </w:r>
      <w:r w:rsidRPr="005C7611">
        <w:rPr>
          <w:vertAlign w:val="superscript"/>
        </w:rPr>
        <w:t>]</w:t>
      </w:r>
      <w:r w:rsidRPr="005C7611">
        <w:t xml:space="preserve"> As presented in </w:t>
      </w:r>
      <w:r w:rsidRPr="005C7611">
        <w:rPr>
          <w:b/>
          <w:bCs/>
        </w:rPr>
        <w:t>Figure 2</w:t>
      </w:r>
      <w:r w:rsidRPr="005C7611">
        <w:t xml:space="preserve">(a), </w:t>
      </w:r>
      <w:proofErr w:type="spellStart"/>
      <w:r w:rsidRPr="005C7611">
        <w:t>mCP</w:t>
      </w:r>
      <w:proofErr w:type="spellEnd"/>
      <w:r w:rsidRPr="005C7611">
        <w:t xml:space="preserve"> was adopted as a host to dilute rubrene and as a spacer to separate CMA4 from rubrene. After 10 nm of an </w:t>
      </w:r>
      <w:proofErr w:type="spellStart"/>
      <w:proofErr w:type="gramStart"/>
      <w:r w:rsidRPr="005C7611">
        <w:t>mCP:rubrene</w:t>
      </w:r>
      <w:proofErr w:type="spellEnd"/>
      <w:proofErr w:type="gramEnd"/>
      <w:r w:rsidRPr="005C7611">
        <w:t xml:space="preserve"> 95:5% quencher layer is deposited on glass, a pure </w:t>
      </w:r>
      <w:proofErr w:type="spellStart"/>
      <w:r w:rsidRPr="005C7611">
        <w:t>mCP</w:t>
      </w:r>
      <w:proofErr w:type="spellEnd"/>
      <w:r w:rsidRPr="005C7611">
        <w:t xml:space="preserve"> spacer layer is deposited on top, followed by a 10 nm CMA4 sensiti</w:t>
      </w:r>
      <w:r w:rsidR="00FD7B29" w:rsidRPr="005C7611">
        <w:t>z</w:t>
      </w:r>
      <w:r w:rsidRPr="005C7611">
        <w:t xml:space="preserve">ation layer. The thickness of the </w:t>
      </w:r>
      <w:proofErr w:type="spellStart"/>
      <w:r w:rsidRPr="005C7611">
        <w:t>mCP</w:t>
      </w:r>
      <w:proofErr w:type="spellEnd"/>
      <w:r w:rsidRPr="005C7611">
        <w:t xml:space="preserve"> spacer layer varies from 0 nm to 10 nm. From the measurements of quenched PL (</w:t>
      </w:r>
      <w:r w:rsidRPr="005C7611">
        <w:rPr>
          <w:i/>
        </w:rPr>
        <w:t>PL</w:t>
      </w:r>
      <w:r w:rsidRPr="005C7611">
        <w:rPr>
          <w:vertAlign w:val="subscript"/>
        </w:rPr>
        <w:t>Q</w:t>
      </w:r>
      <w:r w:rsidRPr="005C7611">
        <w:t xml:space="preserve">) and </w:t>
      </w:r>
      <w:proofErr w:type="spellStart"/>
      <w:r w:rsidRPr="005C7611">
        <w:t>nonquenched</w:t>
      </w:r>
      <w:proofErr w:type="spellEnd"/>
      <w:r w:rsidRPr="005C7611">
        <w:t xml:space="preserve"> PL (</w:t>
      </w:r>
      <w:r w:rsidRPr="005C7611">
        <w:rPr>
          <w:i/>
        </w:rPr>
        <w:t>PL</w:t>
      </w:r>
      <w:r w:rsidRPr="005C7611">
        <w:rPr>
          <w:vertAlign w:val="subscript"/>
        </w:rPr>
        <w:t>NQ</w:t>
      </w:r>
      <w:r w:rsidRPr="005C7611">
        <w:t xml:space="preserve">), </w:t>
      </w:r>
      <m:oMath>
        <m:sSub>
          <m:sSubPr>
            <m:ctrlPr>
              <w:rPr>
                <w:rFonts w:ascii="Cambria Math" w:hAnsi="Cambria Math"/>
                <w:i/>
              </w:rPr>
            </m:ctrlPr>
          </m:sSubPr>
          <m:e>
            <m:r>
              <w:rPr>
                <w:rFonts w:ascii="Cambria Math" w:hAnsi="Cambria Math"/>
              </w:rPr>
              <m:t>η</m:t>
            </m:r>
          </m:e>
          <m:sub>
            <m:r>
              <w:rPr>
                <w:rFonts w:ascii="Cambria Math" w:hAnsi="Cambria Math"/>
              </w:rPr>
              <m:t>EQ</m:t>
            </m:r>
          </m:sub>
        </m:sSub>
      </m:oMath>
      <w:r w:rsidRPr="005C7611">
        <w:t xml:space="preserve"> of CMA4 is constructed by 1-</w:t>
      </w:r>
      <w:r w:rsidRPr="005C7611">
        <w:rPr>
          <w:i/>
        </w:rPr>
        <w:t xml:space="preserve"> PL</w:t>
      </w:r>
      <w:r w:rsidRPr="005C7611">
        <w:rPr>
          <w:vertAlign w:val="subscript"/>
        </w:rPr>
        <w:t>Q</w:t>
      </w:r>
      <w:r w:rsidRPr="005C7611">
        <w:t>/</w:t>
      </w:r>
      <w:r w:rsidRPr="005C7611">
        <w:rPr>
          <w:i/>
        </w:rPr>
        <w:t>PL</w:t>
      </w:r>
      <w:r w:rsidRPr="005C7611">
        <w:rPr>
          <w:vertAlign w:val="subscript"/>
        </w:rPr>
        <w:t>NQ</w:t>
      </w:r>
      <w:r w:rsidRPr="005C7611">
        <w:t>.</w:t>
      </w:r>
      <w:r w:rsidRPr="005C7611">
        <w:rPr>
          <w:vertAlign w:val="superscript"/>
        </w:rPr>
        <w:t>[4</w:t>
      </w:r>
      <w:r w:rsidR="00DD2296" w:rsidRPr="005C7611">
        <w:rPr>
          <w:vertAlign w:val="superscript"/>
        </w:rPr>
        <w:t>6</w:t>
      </w:r>
      <w:r w:rsidRPr="005C7611">
        <w:rPr>
          <w:vertAlign w:val="superscript"/>
        </w:rPr>
        <w:t>]</w:t>
      </w:r>
      <w:r w:rsidRPr="005C7611">
        <w:t xml:space="preserve"> In this structure, when CMA4 is excited, excitons formed in CMA4 are transferred to diluted rubrene via FRET or DET. </w:t>
      </w:r>
      <w:proofErr w:type="spellStart"/>
      <w:r w:rsidRPr="005C7611">
        <w:t>mCP</w:t>
      </w:r>
      <w:proofErr w:type="spellEnd"/>
      <w:r w:rsidRPr="005C7611">
        <w:t xml:space="preserve"> is not expected to directly participate in exciton energy transfer since its singlet and triplet energy levels are much higher than those of either CMA4 or rubrene, so it acts primarily as a</w:t>
      </w:r>
      <w:r w:rsidR="004F627E" w:rsidRPr="005C7611">
        <w:t>n inert</w:t>
      </w:r>
      <w:r w:rsidRPr="005C7611">
        <w:t xml:space="preserve"> spacer. Figure 2(b) displays the PL spectral dependence on the thickness of the spacer layer. As </w:t>
      </w:r>
      <w:proofErr w:type="spellStart"/>
      <w:r w:rsidRPr="005C7611">
        <w:t>mCP</w:t>
      </w:r>
      <w:proofErr w:type="spellEnd"/>
      <w:r w:rsidRPr="005C7611">
        <w:t xml:space="preserve"> layer thickness increases, the proportion of rubrene emission decreases and that of CMA4 emission increases. At a spacer thickness of 10 nm, the PL spectrum almost recovers that of the neat CMA4 control, since the CMA4 layer and </w:t>
      </w:r>
      <w:proofErr w:type="spellStart"/>
      <w:proofErr w:type="gramStart"/>
      <w:r w:rsidRPr="005C7611">
        <w:t>mCP:rubrene</w:t>
      </w:r>
      <w:proofErr w:type="spellEnd"/>
      <w:proofErr w:type="gramEnd"/>
      <w:r w:rsidRPr="005C7611">
        <w:t xml:space="preserve"> 5% layer are sufficiently separated to block exciton energy transfer. </w:t>
      </w:r>
      <m:oMath>
        <m:sSub>
          <m:sSubPr>
            <m:ctrlPr>
              <w:rPr>
                <w:rFonts w:ascii="Cambria Math" w:hAnsi="Cambria Math"/>
                <w:i/>
              </w:rPr>
            </m:ctrlPr>
          </m:sSubPr>
          <m:e>
            <m:r>
              <w:rPr>
                <w:rFonts w:ascii="Cambria Math" w:hAnsi="Cambria Math"/>
              </w:rPr>
              <m:t>η</m:t>
            </m:r>
          </m:e>
          <m:sub>
            <m:r>
              <w:rPr>
                <w:rFonts w:ascii="Cambria Math" w:hAnsi="Cambria Math"/>
              </w:rPr>
              <m:t>EQ</m:t>
            </m:r>
          </m:sub>
        </m:sSub>
      </m:oMath>
      <w:r w:rsidRPr="005C7611">
        <w:t xml:space="preserve"> of </w:t>
      </w:r>
      <w:r w:rsidRPr="005C7611">
        <w:lastRenderedPageBreak/>
        <w:t>CMA4 and the normali</w:t>
      </w:r>
      <w:r w:rsidR="00FD7B29" w:rsidRPr="005C7611">
        <w:t>z</w:t>
      </w:r>
      <w:r w:rsidRPr="005C7611">
        <w:t xml:space="preserve">ed integrated PL intensity of rubrene are obtained from the deconvoluted CMA4 and rubrene spectra, which are extracted by subtracting a linearly-scaled CMA4-only spectrum from the total PL spectrum. </w:t>
      </w:r>
      <w:r w:rsidRPr="005C7611">
        <w:rPr>
          <w:b/>
          <w:bCs/>
        </w:rPr>
        <w:t>Figure 3</w:t>
      </w:r>
      <w:r w:rsidRPr="005C7611">
        <w:t xml:space="preserve">(a) and </w:t>
      </w:r>
      <w:r w:rsidRPr="005C7611">
        <w:rPr>
          <w:b/>
          <w:bCs/>
        </w:rPr>
        <w:t>3</w:t>
      </w:r>
      <w:r w:rsidRPr="005C7611">
        <w:t>(b) show the variation of normali</w:t>
      </w:r>
      <w:r w:rsidR="00FD7B29" w:rsidRPr="005C7611">
        <w:t>z</w:t>
      </w:r>
      <w:r w:rsidRPr="005C7611">
        <w:t xml:space="preserve">ed </w:t>
      </w:r>
      <m:oMath>
        <m:sSub>
          <m:sSubPr>
            <m:ctrlPr>
              <w:rPr>
                <w:rFonts w:ascii="Cambria Math" w:hAnsi="Cambria Math"/>
                <w:i/>
              </w:rPr>
            </m:ctrlPr>
          </m:sSubPr>
          <m:e>
            <m:r>
              <w:rPr>
                <w:rFonts w:ascii="Cambria Math" w:hAnsi="Cambria Math"/>
              </w:rPr>
              <m:t>η</m:t>
            </m:r>
          </m:e>
          <m:sub>
            <m:r>
              <w:rPr>
                <w:rFonts w:ascii="Cambria Math" w:hAnsi="Cambria Math"/>
              </w:rPr>
              <m:t>EQ</m:t>
            </m:r>
          </m:sub>
        </m:sSub>
      </m:oMath>
      <w:r w:rsidRPr="005C7611">
        <w:t xml:space="preserve"> and normali</w:t>
      </w:r>
      <w:r w:rsidR="00FD7B29" w:rsidRPr="005C7611">
        <w:t>z</w:t>
      </w:r>
      <w:r w:rsidRPr="005C7611">
        <w:t xml:space="preserve">ed integrated PL intensity with spacer thickness. While </w:t>
      </w:r>
      <m:oMath>
        <m:sSub>
          <m:sSubPr>
            <m:ctrlPr>
              <w:rPr>
                <w:rFonts w:ascii="Cambria Math" w:hAnsi="Cambria Math"/>
                <w:i/>
              </w:rPr>
            </m:ctrlPr>
          </m:sSubPr>
          <m:e>
            <m:r>
              <w:rPr>
                <w:rFonts w:ascii="Cambria Math" w:hAnsi="Cambria Math"/>
              </w:rPr>
              <m:t>η</m:t>
            </m:r>
          </m:e>
          <m:sub>
            <m:r>
              <w:rPr>
                <w:rFonts w:ascii="Cambria Math" w:hAnsi="Cambria Math"/>
              </w:rPr>
              <m:t>EQ</m:t>
            </m:r>
          </m:sub>
        </m:sSub>
      </m:oMath>
      <w:r w:rsidRPr="005C7611">
        <w:t xml:space="preserve"> of CMA4 drops significantly for greater than 2 nm of the spacer layer, the normali</w:t>
      </w:r>
      <w:r w:rsidR="00FD7B29" w:rsidRPr="005C7611">
        <w:t>z</w:t>
      </w:r>
      <w:r w:rsidRPr="005C7611">
        <w:t xml:space="preserve">ed integrated PL intensity of rubrene only falls substantially for greater than 3 nm of the spacer layer. We interpret this as originating from the difference of FRET and DET characteristics. Since DET is an electron exchange process, it typically occurs below 1 nm intermolecular distance. Accordingly, between 0 nm and 1 nm spacer layer thickness, both DET and FRET are expected to contribute. However, for spacer layers of 2 nm and greater, excitons primarily migrate via FRET. We interpret the decrease in </w:t>
      </w:r>
      <m:oMath>
        <m:sSub>
          <m:sSubPr>
            <m:ctrlPr>
              <w:rPr>
                <w:rFonts w:ascii="Cambria Math" w:hAnsi="Cambria Math"/>
                <w:i/>
              </w:rPr>
            </m:ctrlPr>
          </m:sSubPr>
          <m:e>
            <m:r>
              <w:rPr>
                <w:rFonts w:ascii="Cambria Math" w:hAnsi="Cambria Math"/>
              </w:rPr>
              <m:t>η</m:t>
            </m:r>
          </m:e>
          <m:sub>
            <m:r>
              <w:rPr>
                <w:rFonts w:ascii="Cambria Math" w:hAnsi="Cambria Math"/>
              </w:rPr>
              <m:t>EQ</m:t>
            </m:r>
          </m:sub>
        </m:sSub>
      </m:oMath>
      <w:r w:rsidRPr="005C7611">
        <w:t xml:space="preserve"> of CMA4 observed up to 2 nm spacer thickness as approximating the proportion of quenching due to DET, while we interpret the</w:t>
      </w:r>
      <w:r w:rsidRPr="005C7611">
        <w:rPr>
          <w:color w:val="5B9BD5" w:themeColor="accent5"/>
        </w:rPr>
        <w:t xml:space="preserve"> </w:t>
      </w:r>
      <w:r w:rsidRPr="005C7611">
        <w:t xml:space="preserve">decrease in </w:t>
      </w:r>
      <m:oMath>
        <m:sSub>
          <m:sSubPr>
            <m:ctrlPr>
              <w:rPr>
                <w:rFonts w:ascii="Cambria Math" w:hAnsi="Cambria Math"/>
                <w:i/>
              </w:rPr>
            </m:ctrlPr>
          </m:sSubPr>
          <m:e>
            <m:r>
              <w:rPr>
                <w:rFonts w:ascii="Cambria Math" w:hAnsi="Cambria Math"/>
              </w:rPr>
              <m:t>η</m:t>
            </m:r>
          </m:e>
          <m:sub>
            <m:r>
              <w:rPr>
                <w:rFonts w:ascii="Cambria Math" w:hAnsi="Cambria Math"/>
              </w:rPr>
              <m:t>EQ</m:t>
            </m:r>
          </m:sub>
        </m:sSub>
      </m:oMath>
      <w:r w:rsidRPr="005C7611">
        <w:t xml:space="preserve"> from 3 nm onwards as due to reduced quenching due to FRET, in qualitative agreement with the expected </w:t>
      </w:r>
      <w:proofErr w:type="spellStart"/>
      <w:r w:rsidRPr="005C7611">
        <w:t>Förster</w:t>
      </w:r>
      <w:proofErr w:type="spellEnd"/>
      <w:r w:rsidRPr="005C7611">
        <w:t xml:space="preserve"> radius between CMA4 and rubrene. Concomitantly, light emission from rubrene drops for spacer layers beyond 3 nm as indirect excitation of rubrene singlets reduces. We thus confirm that DET causes excitons generated in donors to be partly wasted, not contributing to an emission process. We also confirm that FRET is not effective over distances greater than around 4 nm, in agreement with calculations. If a longer </w:t>
      </w:r>
      <w:proofErr w:type="spellStart"/>
      <w:r w:rsidRPr="005C7611">
        <w:t>Förster</w:t>
      </w:r>
      <w:proofErr w:type="spellEnd"/>
      <w:r w:rsidRPr="005C7611">
        <w:t xml:space="preserve"> radius </w:t>
      </w:r>
      <w:r w:rsidRPr="005C7611">
        <w:rPr>
          <w:lang w:eastAsia="ko-KR"/>
        </w:rPr>
        <w:t>were</w:t>
      </w:r>
      <w:r w:rsidRPr="005C7611">
        <w:t xml:space="preserve"> achieved, a greater proportion of excitons would be able to be transferred to acceptors via FRET.</w:t>
      </w:r>
    </w:p>
    <w:p w14:paraId="586CB714" w14:textId="77777777" w:rsidR="008E5835" w:rsidRPr="005C7611" w:rsidRDefault="008E5835" w:rsidP="008E5835">
      <w:pPr>
        <w:pStyle w:val="Head1"/>
      </w:pPr>
    </w:p>
    <w:p w14:paraId="5DB871DA" w14:textId="77777777" w:rsidR="008E5835" w:rsidRPr="005C7611" w:rsidRDefault="008E5835" w:rsidP="008E5835">
      <w:pPr>
        <w:pStyle w:val="Head1"/>
      </w:pPr>
      <w:r w:rsidRPr="005C7611">
        <w:t>2.</w:t>
      </w:r>
      <w:r w:rsidR="000C528A" w:rsidRPr="005C7611">
        <w:t>3</w:t>
      </w:r>
      <w:r w:rsidRPr="005C7611">
        <w:t xml:space="preserve">. </w:t>
      </w:r>
      <w:r w:rsidR="000C528A" w:rsidRPr="005C7611">
        <w:t>Photoluminescence quantum efficiency</w:t>
      </w:r>
    </w:p>
    <w:p w14:paraId="07F48E24" w14:textId="77777777" w:rsidR="000C528A" w:rsidRPr="005C7611" w:rsidRDefault="000C528A" w:rsidP="008E5835">
      <w:pPr>
        <w:pStyle w:val="Head1"/>
      </w:pPr>
    </w:p>
    <w:p w14:paraId="4BFDBBAA" w14:textId="5162F660" w:rsidR="008E5835" w:rsidRPr="005C7611" w:rsidRDefault="000C528A" w:rsidP="000C528A">
      <w:pPr>
        <w:pStyle w:val="MainText"/>
        <w:ind w:firstLine="708"/>
        <w:rPr>
          <w:color w:val="FF0000"/>
        </w:rPr>
      </w:pPr>
      <w:r w:rsidRPr="005C7611">
        <w:t xml:space="preserve">To explore the </w:t>
      </w:r>
      <w:r w:rsidR="004F627E" w:rsidRPr="005C7611">
        <w:t>behavior</w:t>
      </w:r>
      <w:r w:rsidRPr="005C7611">
        <w:t xml:space="preserve"> of different material combinations, we measured PLQE for the CMA based hyperfluorescent films with and without a host matrix and varying doping concentration. The values are summarized in </w:t>
      </w:r>
      <w:r w:rsidRPr="005C7611">
        <w:rPr>
          <w:b/>
          <w:bCs/>
        </w:rPr>
        <w:t>Table 2</w:t>
      </w:r>
      <w:r w:rsidRPr="005C7611">
        <w:t xml:space="preserve">. The PL spectra of the films are also measured using a fluorimeter, as shown in Figure S2, indicating that in all cases, most of the </w:t>
      </w:r>
      <w:r w:rsidRPr="005C7611">
        <w:lastRenderedPageBreak/>
        <w:t xml:space="preserve">emission is from rubrene or </w:t>
      </w:r>
      <w:proofErr w:type="spellStart"/>
      <w:r w:rsidRPr="005C7611">
        <w:t>TBRb</w:t>
      </w:r>
      <w:proofErr w:type="spellEnd"/>
      <w:r w:rsidRPr="005C7611">
        <w:t xml:space="preserve">. As expected, as doping concentration increases, the PLQE values are substantially reduced, which we interpret as arising from the increased probability of DET between the CMAs and the emitters. There may also be an effect of concentration quenching, but rubrene and </w:t>
      </w:r>
      <w:proofErr w:type="spellStart"/>
      <w:r w:rsidRPr="005C7611">
        <w:t>TBRb</w:t>
      </w:r>
      <w:proofErr w:type="spellEnd"/>
      <w:r w:rsidRPr="005C7611">
        <w:t xml:space="preserve"> are known to experience negligible concentration quenching at low doping </w:t>
      </w:r>
      <w:proofErr w:type="gramStart"/>
      <w:r w:rsidRPr="005C7611">
        <w:t>concentration.</w:t>
      </w:r>
      <w:r w:rsidRPr="005C7611">
        <w:rPr>
          <w:vertAlign w:val="superscript"/>
        </w:rPr>
        <w:t>[</w:t>
      </w:r>
      <w:proofErr w:type="gramEnd"/>
      <w:r w:rsidRPr="005C7611">
        <w:rPr>
          <w:vertAlign w:val="superscript"/>
        </w:rPr>
        <w:t>3</w:t>
      </w:r>
      <w:r w:rsidR="003D5962" w:rsidRPr="005C7611">
        <w:rPr>
          <w:vertAlign w:val="superscript"/>
        </w:rPr>
        <w:t>3</w:t>
      </w:r>
      <w:r w:rsidRPr="005C7611">
        <w:rPr>
          <w:vertAlign w:val="superscript"/>
        </w:rPr>
        <w:t>-3</w:t>
      </w:r>
      <w:r w:rsidR="003D5962" w:rsidRPr="005C7611">
        <w:rPr>
          <w:vertAlign w:val="superscript"/>
        </w:rPr>
        <w:t>5</w:t>
      </w:r>
      <w:r w:rsidRPr="005C7611">
        <w:rPr>
          <w:vertAlign w:val="superscript"/>
        </w:rPr>
        <w:t>]</w:t>
      </w:r>
      <w:r w:rsidRPr="005C7611">
        <w:t xml:space="preserve"> The highest quantum efficiency is observed for conventional hyperfluorescent films where both donor and acceptor are dispersed in a matrix, reducing the probability of DET. In matrix-free films, rubrene shows relatively poor performance, achieving 34-38% PLQE at 2% concentration. By contrast, the performance of bulkier </w:t>
      </w:r>
      <w:proofErr w:type="spellStart"/>
      <w:r w:rsidRPr="005C7611">
        <w:t>TBRb</w:t>
      </w:r>
      <w:proofErr w:type="spellEnd"/>
      <w:r w:rsidRPr="005C7611">
        <w:t xml:space="preserve"> is better, and when paired with the bulkier derivative CMA4, the relative drop in performance at higher doping concentration is </w:t>
      </w:r>
      <w:r w:rsidR="004F627E" w:rsidRPr="005C7611">
        <w:t xml:space="preserve">considerably </w:t>
      </w:r>
      <w:r w:rsidRPr="005C7611">
        <w:t xml:space="preserve">reduced. We ascribe this to suppressed DET resulting from larger inter-chromophore spacing due to t-butyl substituents in both CMA4 and </w:t>
      </w:r>
      <w:proofErr w:type="spellStart"/>
      <w:r w:rsidRPr="005C7611">
        <w:t>TBRb</w:t>
      </w:r>
      <w:proofErr w:type="spellEnd"/>
      <w:r w:rsidRPr="005C7611">
        <w:t>.</w:t>
      </w:r>
    </w:p>
    <w:p w14:paraId="601558A0" w14:textId="77777777" w:rsidR="000C528A" w:rsidRPr="005C7611" w:rsidRDefault="000C528A" w:rsidP="000C528A">
      <w:pPr>
        <w:pStyle w:val="Head1"/>
      </w:pPr>
    </w:p>
    <w:p w14:paraId="2DF5D33C" w14:textId="77777777" w:rsidR="000C528A" w:rsidRPr="005C7611" w:rsidRDefault="000C528A" w:rsidP="000C528A">
      <w:pPr>
        <w:pStyle w:val="Head1"/>
        <w:rPr>
          <w:rFonts w:eastAsiaTheme="minorEastAsia"/>
          <w:lang w:eastAsia="ko-KR"/>
        </w:rPr>
      </w:pPr>
      <w:r w:rsidRPr="005C7611">
        <w:t>2.4. E</w:t>
      </w:r>
      <w:r w:rsidRPr="005C7611">
        <w:rPr>
          <w:rFonts w:eastAsiaTheme="minorEastAsia"/>
          <w:lang w:eastAsia="ko-KR"/>
        </w:rPr>
        <w:t>xciton decay kinetics and energy transfer pathway</w:t>
      </w:r>
    </w:p>
    <w:p w14:paraId="4AB567DB" w14:textId="77777777" w:rsidR="000C528A" w:rsidRPr="005C7611" w:rsidRDefault="000C528A" w:rsidP="000C528A">
      <w:pPr>
        <w:pStyle w:val="Head1"/>
      </w:pPr>
    </w:p>
    <w:p w14:paraId="2C5E2C34" w14:textId="52CDFFF7" w:rsidR="000C528A" w:rsidRPr="005C7611" w:rsidRDefault="000C528A" w:rsidP="006F1873">
      <w:pPr>
        <w:spacing w:line="480" w:lineRule="auto"/>
        <w:ind w:firstLine="708"/>
        <w:rPr>
          <w:lang w:val="en-US" w:eastAsia="ko-KR"/>
        </w:rPr>
      </w:pPr>
      <w:r w:rsidRPr="005C7611">
        <w:rPr>
          <w:lang w:val="en-US"/>
        </w:rPr>
        <w:t xml:space="preserve">To better understand these implied exciton dynamics, transient PL was measured. </w:t>
      </w:r>
      <w:r w:rsidRPr="005C7611">
        <w:rPr>
          <w:b/>
          <w:bCs/>
          <w:lang w:val="en-US"/>
        </w:rPr>
        <w:t>Figure 4</w:t>
      </w:r>
      <w:r w:rsidRPr="005C7611">
        <w:rPr>
          <w:lang w:val="en-US"/>
        </w:rPr>
        <w:t xml:space="preserve">(a) illustrates a schematic representation of the exciton energy transfer mechanism and decay pathways for CMA-based </w:t>
      </w:r>
      <w:proofErr w:type="spellStart"/>
      <w:r w:rsidRPr="005C7611">
        <w:rPr>
          <w:lang w:val="en-US"/>
        </w:rPr>
        <w:t>hyperfluorescence</w:t>
      </w:r>
      <w:proofErr w:type="spellEnd"/>
      <w:r w:rsidRPr="005C7611">
        <w:rPr>
          <w:lang w:val="en-US"/>
        </w:rPr>
        <w:t xml:space="preserve">. Once excitons are formed in CMAs, they convert rapidly between singlet and triplet excited states via RISC and ISC and migrate to fluorescent emitters via FRET or DET. Transient PL kinetics were measured at the peak emission wavelengths, which are 510 nm and 535 nm for CMA1 and CMA4, 490 </w:t>
      </w:r>
      <w:r w:rsidRPr="005C7611">
        <w:rPr>
          <w:lang w:val="en-US" w:eastAsia="ko-KR"/>
        </w:rPr>
        <w:t>nm and 515 nm for mCP:CMA1 20% and mCP:CMA4 20%,</w:t>
      </w:r>
      <w:r w:rsidRPr="005C7611">
        <w:rPr>
          <w:lang w:val="en-US"/>
        </w:rPr>
        <w:t xml:space="preserve"> and 560 nm for rubrene and </w:t>
      </w:r>
      <w:proofErr w:type="spellStart"/>
      <w:r w:rsidRPr="005C7611">
        <w:rPr>
          <w:lang w:val="en-US"/>
        </w:rPr>
        <w:t>TBRb</w:t>
      </w:r>
      <w:proofErr w:type="spellEnd"/>
      <w:r w:rsidRPr="005C7611">
        <w:rPr>
          <w:lang w:val="en-US"/>
        </w:rPr>
        <w:t xml:space="preserve">, respectively, depicted in Figure </w:t>
      </w:r>
      <w:r w:rsidR="00CE6430" w:rsidRPr="005C7611">
        <w:rPr>
          <w:lang w:val="en-US"/>
        </w:rPr>
        <w:t>S</w:t>
      </w:r>
      <w:r w:rsidRPr="005C7611">
        <w:rPr>
          <w:lang w:val="en-US"/>
        </w:rPr>
        <w:t xml:space="preserve">3. </w:t>
      </w:r>
      <w:r w:rsidRPr="005C7611">
        <w:rPr>
          <w:szCs w:val="28"/>
          <w:lang w:val="en-US" w:eastAsia="ko-KR"/>
        </w:rPr>
        <w:t xml:space="preserve">CMAs and the </w:t>
      </w:r>
      <w:proofErr w:type="spellStart"/>
      <w:r w:rsidRPr="005C7611">
        <w:rPr>
          <w:szCs w:val="28"/>
          <w:lang w:val="en-US" w:eastAsia="ko-KR"/>
        </w:rPr>
        <w:t>acene</w:t>
      </w:r>
      <w:proofErr w:type="spellEnd"/>
      <w:r w:rsidRPr="005C7611">
        <w:rPr>
          <w:szCs w:val="28"/>
          <w:lang w:val="en-US" w:eastAsia="ko-KR"/>
        </w:rPr>
        <w:t xml:space="preserve"> emitters are expected to be dispersed with a broad range of intermolecular distances. Accordingly, decay kinetics are not mono</w:t>
      </w:r>
      <w:r w:rsidR="004F627E" w:rsidRPr="005C7611">
        <w:rPr>
          <w:szCs w:val="28"/>
          <w:lang w:val="en-US" w:eastAsia="ko-KR"/>
        </w:rPr>
        <w:t>-</w:t>
      </w:r>
      <w:r w:rsidRPr="005C7611">
        <w:rPr>
          <w:szCs w:val="28"/>
          <w:lang w:val="en-US" w:eastAsia="ko-KR"/>
        </w:rPr>
        <w:t>exponential, since both FRET and DET are strongly dependent on intermolecular distance.</w:t>
      </w:r>
      <w:r w:rsidRPr="005C7611">
        <w:rPr>
          <w:szCs w:val="28"/>
          <w:lang w:val="en-US"/>
        </w:rPr>
        <w:t xml:space="preserve"> F</w:t>
      </w:r>
      <w:r w:rsidRPr="005C7611">
        <w:rPr>
          <w:lang w:val="en-US"/>
        </w:rPr>
        <w:t>rom a multi-exponential fit with three components, the average (intensity-weighted) decay time (</w:t>
      </w:r>
      <m:oMath>
        <m:r>
          <w:rPr>
            <w:rFonts w:ascii="Cambria Math" w:hAnsi="Cambria Math"/>
            <w:szCs w:val="28"/>
            <w:lang w:val="en-US"/>
          </w:rPr>
          <m:t>τ)</m:t>
        </m:r>
      </m:oMath>
      <w:r w:rsidRPr="005C7611">
        <w:rPr>
          <w:lang w:val="en-US"/>
        </w:rPr>
        <w:t xml:space="preserve"> of rubrene and TBRb diluted in CMA1, CMA4, mCP:CMA1 20%, and mCP:CMA4 </w:t>
      </w:r>
      <w:r w:rsidRPr="005C7611">
        <w:rPr>
          <w:lang w:val="en-US"/>
        </w:rPr>
        <w:lastRenderedPageBreak/>
        <w:t xml:space="preserve">20% were calculated as </w:t>
      </w:r>
      <m:oMath>
        <m:r>
          <w:rPr>
            <w:rFonts w:ascii="Cambria Math" w:hAnsi="Cambria Math"/>
            <w:lang w:val="en-US"/>
          </w:rPr>
          <m:t>τ=</m:t>
        </m:r>
        <m:f>
          <m:fPr>
            <m:ctrlPr>
              <w:rPr>
                <w:rFonts w:ascii="Cambria Math" w:hAnsi="Cambria Math"/>
                <w:i/>
                <w:iCs/>
                <w:lang w:val="en-US"/>
              </w:rPr>
            </m:ctrlPr>
          </m:fPr>
          <m:num>
            <m:nary>
              <m:naryPr>
                <m:chr m:val="∑"/>
                <m:limLoc m:val="undOvr"/>
                <m:ctrlPr>
                  <w:rPr>
                    <w:rFonts w:ascii="Cambria Math" w:hAnsi="Cambria Math"/>
                    <w:i/>
                    <w:iCs/>
                    <w:lang w:val="en-US"/>
                  </w:rPr>
                </m:ctrlPr>
              </m:naryPr>
              <m:sub>
                <m:r>
                  <w:rPr>
                    <w:rFonts w:ascii="Cambria Math" w:hAnsi="Cambria Math"/>
                    <w:lang w:val="en-US"/>
                  </w:rPr>
                  <m:t>i=1</m:t>
                </m:r>
              </m:sub>
              <m:sup>
                <m:r>
                  <w:rPr>
                    <w:rFonts w:ascii="Cambria Math" w:hAnsi="Cambria Math"/>
                    <w:lang w:val="en-US"/>
                  </w:rPr>
                  <m:t>3</m:t>
                </m:r>
              </m:sup>
              <m:e>
                <m:sSup>
                  <m:sSupPr>
                    <m:ctrlPr>
                      <w:rPr>
                        <w:rFonts w:ascii="Cambria Math" w:hAnsi="Cambria Math"/>
                        <w:i/>
                        <w:iCs/>
                        <w:lang w:val="en-US"/>
                      </w:rPr>
                    </m:ctrlPr>
                  </m:sSupPr>
                  <m:e>
                    <m:sSub>
                      <m:sSubPr>
                        <m:ctrlPr>
                          <w:rPr>
                            <w:rFonts w:ascii="Cambria Math" w:hAnsi="Cambria Math"/>
                            <w:i/>
                            <w:iCs/>
                            <w:lang w:val="en-US"/>
                          </w:rPr>
                        </m:ctrlPr>
                      </m:sSubPr>
                      <m:e>
                        <m:r>
                          <w:rPr>
                            <w:rFonts w:ascii="Cambria Math" w:hAnsi="Cambria Math"/>
                            <w:lang w:val="en-US"/>
                          </w:rPr>
                          <m:t>A</m:t>
                        </m:r>
                      </m:e>
                      <m:sub>
                        <m:r>
                          <w:rPr>
                            <w:rFonts w:ascii="Cambria Math" w:hAnsi="Cambria Math"/>
                            <w:lang w:val="en-US"/>
                          </w:rPr>
                          <m:t>i</m:t>
                        </m:r>
                      </m:sub>
                    </m:sSub>
                    <m:sSub>
                      <m:sSubPr>
                        <m:ctrlPr>
                          <w:rPr>
                            <w:rFonts w:ascii="Cambria Math" w:hAnsi="Cambria Math"/>
                            <w:i/>
                            <w:iCs/>
                            <w:lang w:val="en-US"/>
                          </w:rPr>
                        </m:ctrlPr>
                      </m:sSubPr>
                      <m:e>
                        <m:r>
                          <w:rPr>
                            <w:rFonts w:ascii="Cambria Math" w:hAnsi="Cambria Math"/>
                            <w:lang w:val="en-US"/>
                          </w:rPr>
                          <m:t>τ</m:t>
                        </m:r>
                      </m:e>
                      <m:sub>
                        <m:r>
                          <w:rPr>
                            <w:rFonts w:ascii="Cambria Math" w:hAnsi="Cambria Math"/>
                            <w:lang w:val="en-US"/>
                          </w:rPr>
                          <m:t>i</m:t>
                        </m:r>
                      </m:sub>
                    </m:sSub>
                  </m:e>
                  <m:sup>
                    <m:r>
                      <w:rPr>
                        <w:rFonts w:ascii="Cambria Math" w:hAnsi="Cambria Math"/>
                        <w:lang w:val="en-US"/>
                      </w:rPr>
                      <m:t>2</m:t>
                    </m:r>
                  </m:sup>
                </m:sSup>
              </m:e>
            </m:nary>
          </m:num>
          <m:den>
            <m:nary>
              <m:naryPr>
                <m:chr m:val="∑"/>
                <m:limLoc m:val="undOvr"/>
                <m:ctrlPr>
                  <w:rPr>
                    <w:rFonts w:ascii="Cambria Math" w:hAnsi="Cambria Math"/>
                    <w:i/>
                    <w:iCs/>
                    <w:lang w:val="en-US"/>
                  </w:rPr>
                </m:ctrlPr>
              </m:naryPr>
              <m:sub>
                <m:r>
                  <w:rPr>
                    <w:rFonts w:ascii="Cambria Math" w:hAnsi="Cambria Math"/>
                    <w:lang w:val="en-US"/>
                  </w:rPr>
                  <m:t>j=1</m:t>
                </m:r>
              </m:sub>
              <m:sup>
                <m:r>
                  <w:rPr>
                    <w:rFonts w:ascii="Cambria Math" w:hAnsi="Cambria Math"/>
                    <w:lang w:val="en-US"/>
                  </w:rPr>
                  <m:t>3</m:t>
                </m:r>
              </m:sup>
              <m:e>
                <m:sSub>
                  <m:sSubPr>
                    <m:ctrlPr>
                      <w:rPr>
                        <w:rFonts w:ascii="Cambria Math" w:hAnsi="Cambria Math"/>
                        <w:i/>
                        <w:iCs/>
                        <w:lang w:val="en-US"/>
                      </w:rPr>
                    </m:ctrlPr>
                  </m:sSubPr>
                  <m:e>
                    <m:r>
                      <w:rPr>
                        <w:rFonts w:ascii="Cambria Math" w:hAnsi="Cambria Math"/>
                        <w:lang w:val="en-US"/>
                      </w:rPr>
                      <m:t>A</m:t>
                    </m:r>
                  </m:e>
                  <m:sub>
                    <m:r>
                      <w:rPr>
                        <w:rFonts w:ascii="Cambria Math" w:hAnsi="Cambria Math"/>
                        <w:lang w:val="en-US"/>
                      </w:rPr>
                      <m:t>j</m:t>
                    </m:r>
                  </m:sub>
                </m:sSub>
                <m:sSub>
                  <m:sSubPr>
                    <m:ctrlPr>
                      <w:rPr>
                        <w:rFonts w:ascii="Cambria Math" w:hAnsi="Cambria Math"/>
                        <w:i/>
                        <w:iCs/>
                        <w:lang w:val="en-US"/>
                      </w:rPr>
                    </m:ctrlPr>
                  </m:sSubPr>
                  <m:e>
                    <m:r>
                      <w:rPr>
                        <w:rFonts w:ascii="Cambria Math" w:hAnsi="Cambria Math"/>
                        <w:lang w:val="en-US"/>
                      </w:rPr>
                      <m:t>τ</m:t>
                    </m:r>
                  </m:e>
                  <m:sub>
                    <m:r>
                      <w:rPr>
                        <w:rFonts w:ascii="Cambria Math" w:hAnsi="Cambria Math"/>
                        <w:lang w:val="en-US"/>
                      </w:rPr>
                      <m:t>j</m:t>
                    </m:r>
                  </m:sub>
                </m:sSub>
              </m:e>
            </m:nary>
          </m:den>
        </m:f>
      </m:oMath>
      <w:r w:rsidRPr="005C7611">
        <w:rPr>
          <w:lang w:val="en-US"/>
        </w:rPr>
        <w:t xml:space="preserve">, where </w:t>
      </w:r>
      <m:oMath>
        <m:sSub>
          <m:sSubPr>
            <m:ctrlPr>
              <w:rPr>
                <w:rFonts w:ascii="Cambria Math" w:hAnsi="Cambria Math"/>
                <w:i/>
                <w:szCs w:val="28"/>
                <w:lang w:val="en-US"/>
              </w:rPr>
            </m:ctrlPr>
          </m:sSubPr>
          <m:e>
            <m:r>
              <w:rPr>
                <w:rFonts w:ascii="Cambria Math" w:hAnsi="Cambria Math"/>
                <w:szCs w:val="28"/>
                <w:lang w:val="en-US"/>
              </w:rPr>
              <m:t>A</m:t>
            </m:r>
          </m:e>
          <m:sub>
            <m:r>
              <w:rPr>
                <w:rFonts w:ascii="Cambria Math" w:hAnsi="Cambria Math"/>
                <w:szCs w:val="28"/>
                <w:lang w:val="en-US"/>
              </w:rPr>
              <m:t>i</m:t>
            </m:r>
          </m:sub>
        </m:sSub>
      </m:oMath>
      <w:r w:rsidRPr="005C7611">
        <w:rPr>
          <w:lang w:val="en-US"/>
        </w:rPr>
        <w:t xml:space="preserve"> and </w:t>
      </w:r>
      <m:oMath>
        <m:sSub>
          <m:sSubPr>
            <m:ctrlPr>
              <w:rPr>
                <w:rFonts w:ascii="Cambria Math" w:hAnsi="Cambria Math"/>
                <w:i/>
                <w:szCs w:val="28"/>
                <w:lang w:val="en-US"/>
              </w:rPr>
            </m:ctrlPr>
          </m:sSubPr>
          <m:e>
            <m:r>
              <w:rPr>
                <w:rFonts w:ascii="Cambria Math" w:hAnsi="Cambria Math"/>
                <w:szCs w:val="28"/>
                <w:lang w:val="en-US"/>
              </w:rPr>
              <m:t>τ</m:t>
            </m:r>
          </m:e>
          <m:sub>
            <m:r>
              <w:rPr>
                <w:rFonts w:ascii="Cambria Math" w:hAnsi="Cambria Math"/>
                <w:szCs w:val="28"/>
                <w:lang w:val="en-US"/>
              </w:rPr>
              <m:t>i</m:t>
            </m:r>
          </m:sub>
        </m:sSub>
      </m:oMath>
      <w:r w:rsidRPr="005C7611">
        <w:rPr>
          <w:lang w:val="en-US"/>
        </w:rPr>
        <w:t xml:space="preserve"> are the amplitude and lifetime of the </w:t>
      </w:r>
      <w:proofErr w:type="spellStart"/>
      <w:r w:rsidRPr="005C7611">
        <w:rPr>
          <w:i/>
          <w:iCs/>
          <w:lang w:val="en-US"/>
        </w:rPr>
        <w:t>i</w:t>
      </w:r>
      <w:r w:rsidRPr="005C7611">
        <w:rPr>
          <w:vertAlign w:val="superscript"/>
          <w:lang w:val="en-US"/>
        </w:rPr>
        <w:t>th</w:t>
      </w:r>
      <w:proofErr w:type="spellEnd"/>
      <w:r w:rsidRPr="005C7611">
        <w:rPr>
          <w:lang w:val="en-US"/>
        </w:rPr>
        <w:t xml:space="preserve"> decay component, respectively. The kinetics of CMA1, CMA4, </w:t>
      </w:r>
      <w:proofErr w:type="gramStart"/>
      <w:r w:rsidRPr="005C7611">
        <w:rPr>
          <w:lang w:val="en-US"/>
        </w:rPr>
        <w:t>mCP:CMA</w:t>
      </w:r>
      <w:proofErr w:type="gramEnd"/>
      <w:r w:rsidRPr="005C7611">
        <w:rPr>
          <w:lang w:val="en-US"/>
        </w:rPr>
        <w:t xml:space="preserve">1 20%, and mCP:CMA4 20% without fluorescent dopants were fitted with double exponential decays to derive </w:t>
      </w:r>
      <m:oMath>
        <m:r>
          <w:rPr>
            <w:rFonts w:ascii="Cambria Math" w:hAnsi="Cambria Math"/>
            <w:szCs w:val="28"/>
            <w:lang w:val="en-US"/>
          </w:rPr>
          <m:t>τ</m:t>
        </m:r>
      </m:oMath>
      <w:r w:rsidRPr="005C7611">
        <w:rPr>
          <w:szCs w:val="28"/>
          <w:lang w:val="en-US"/>
        </w:rPr>
        <w:t>.</w:t>
      </w:r>
      <w:r w:rsidRPr="005C7611">
        <w:rPr>
          <w:lang w:val="en-US"/>
        </w:rPr>
        <w:t xml:space="preserve"> In general, </w:t>
      </w:r>
      <m:oMath>
        <m:sSub>
          <m:sSubPr>
            <m:ctrlPr>
              <w:rPr>
                <w:rFonts w:ascii="Cambria Math" w:hAnsi="Cambria Math"/>
                <w:i/>
                <w:lang w:val="en-US"/>
              </w:rPr>
            </m:ctrlPr>
          </m:sSubPr>
          <m:e>
            <m:r>
              <w:rPr>
                <w:rFonts w:ascii="Cambria Math" w:hAnsi="Cambria Math"/>
                <w:lang w:val="en-US"/>
              </w:rPr>
              <m:t>k</m:t>
            </m:r>
          </m:e>
          <m:sub>
            <m:r>
              <m:rPr>
                <m:sty m:val="p"/>
              </m:rPr>
              <w:rPr>
                <w:rFonts w:ascii="Cambria Math" w:hAnsi="Cambria Math"/>
                <w:lang w:val="en-US"/>
              </w:rPr>
              <m:t>r</m:t>
            </m:r>
          </m:sub>
        </m:sSub>
      </m:oMath>
      <w:r w:rsidRPr="005C7611">
        <w:rPr>
          <w:vertAlign w:val="subscript"/>
          <w:lang w:val="en-US"/>
        </w:rPr>
        <w:t xml:space="preserve"> </w:t>
      </w:r>
      <w:r w:rsidRPr="005C7611">
        <w:rPr>
          <w:lang w:val="en-US"/>
        </w:rPr>
        <w:t xml:space="preserve">and </w:t>
      </w:r>
      <m:oMath>
        <m:r>
          <w:rPr>
            <w:rFonts w:ascii="Cambria Math" w:hAnsi="Cambria Math"/>
            <w:szCs w:val="28"/>
            <w:lang w:val="en-US"/>
          </w:rPr>
          <m:t>τ</m:t>
        </m:r>
      </m:oMath>
      <w:r w:rsidRPr="005C7611">
        <w:rPr>
          <w:szCs w:val="28"/>
          <w:lang w:val="en-US" w:eastAsia="ko-KR"/>
        </w:rPr>
        <w:t xml:space="preserve"> are expressed as:</w:t>
      </w:r>
    </w:p>
    <w:p w14:paraId="33D29318" w14:textId="77777777" w:rsidR="000C528A" w:rsidRPr="005C7611" w:rsidRDefault="001329A9" w:rsidP="000C528A">
      <w:pPr>
        <w:spacing w:line="480" w:lineRule="auto"/>
        <w:jc w:val="both"/>
        <w:rPr>
          <w:lang w:val="en-US"/>
        </w:rPr>
      </w:pPr>
      <m:oMath>
        <m:sSub>
          <m:sSubPr>
            <m:ctrlPr>
              <w:rPr>
                <w:rFonts w:ascii="Cambria Math" w:hAnsi="Cambria Math"/>
                <w:i/>
                <w:lang w:val="en-US"/>
              </w:rPr>
            </m:ctrlPr>
          </m:sSubPr>
          <m:e>
            <m:r>
              <w:rPr>
                <w:rFonts w:ascii="Cambria Math" w:hAnsi="Cambria Math"/>
                <w:lang w:val="en-US"/>
              </w:rPr>
              <m:t>k</m:t>
            </m:r>
          </m:e>
          <m:sub>
            <m:r>
              <m:rPr>
                <m:sty m:val="p"/>
              </m:rPr>
              <w:rPr>
                <w:rFonts w:ascii="Cambria Math" w:hAnsi="Cambria Math"/>
                <w:lang w:val="en-US"/>
              </w:rPr>
              <m:t>r</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η</m:t>
            </m:r>
          </m:num>
          <m:den>
            <m:r>
              <w:rPr>
                <w:rFonts w:ascii="Cambria Math" w:hAnsi="Cambria Math"/>
                <w:lang w:val="en-US"/>
              </w:rPr>
              <m:t>τ</m:t>
            </m:r>
          </m:den>
        </m:f>
      </m:oMath>
      <w:r w:rsidR="000C528A" w:rsidRPr="005C7611">
        <w:rPr>
          <w:lang w:val="en-US"/>
        </w:rPr>
        <w:tab/>
      </w:r>
      <w:r w:rsidR="000C528A" w:rsidRPr="005C7611">
        <w:rPr>
          <w:lang w:val="en-US"/>
        </w:rPr>
        <w:tab/>
      </w:r>
      <w:r w:rsidR="000C528A" w:rsidRPr="005C7611">
        <w:rPr>
          <w:lang w:val="en-US"/>
        </w:rPr>
        <w:tab/>
      </w:r>
      <w:r w:rsidR="000C528A" w:rsidRPr="005C7611">
        <w:rPr>
          <w:lang w:val="en-US"/>
        </w:rPr>
        <w:tab/>
      </w:r>
      <w:r w:rsidR="000C528A" w:rsidRPr="005C7611">
        <w:rPr>
          <w:lang w:val="en-US"/>
        </w:rPr>
        <w:tab/>
      </w:r>
      <w:r w:rsidR="000C528A" w:rsidRPr="005C7611">
        <w:rPr>
          <w:lang w:val="en-US"/>
        </w:rPr>
        <w:tab/>
      </w:r>
      <w:r w:rsidR="000C528A" w:rsidRPr="005C7611">
        <w:rPr>
          <w:lang w:val="en-US"/>
        </w:rPr>
        <w:tab/>
      </w:r>
      <w:r w:rsidR="000C528A" w:rsidRPr="005C7611">
        <w:rPr>
          <w:lang w:val="en-US"/>
        </w:rPr>
        <w:tab/>
      </w:r>
      <w:r w:rsidR="000C528A" w:rsidRPr="005C7611">
        <w:rPr>
          <w:lang w:val="en-US"/>
        </w:rPr>
        <w:tab/>
      </w:r>
      <w:r w:rsidR="000C528A" w:rsidRPr="005C7611">
        <w:rPr>
          <w:lang w:val="en-US"/>
        </w:rPr>
        <w:tab/>
      </w:r>
      <w:r w:rsidR="000C528A" w:rsidRPr="005C7611">
        <w:rPr>
          <w:lang w:val="en-US"/>
        </w:rPr>
        <w:tab/>
        <w:t>(2)</w:t>
      </w:r>
    </w:p>
    <w:p w14:paraId="3061CF25" w14:textId="77777777" w:rsidR="000C528A" w:rsidRPr="005C7611" w:rsidRDefault="000C528A" w:rsidP="000C528A">
      <w:pPr>
        <w:spacing w:line="480" w:lineRule="auto"/>
        <w:jc w:val="both"/>
        <w:rPr>
          <w:lang w:val="en-US"/>
        </w:rPr>
      </w:pPr>
      <m:oMath>
        <m:r>
          <w:rPr>
            <w:rFonts w:ascii="Cambria Math" w:hAnsi="Cambria Math"/>
            <w:lang w:val="en-US"/>
          </w:rPr>
          <m:t>τ=</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k</m:t>
                </m:r>
              </m:e>
              <m:sub>
                <m:r>
                  <m:rPr>
                    <m:sty m:val="p"/>
                  </m:rPr>
                  <w:rPr>
                    <w:rFonts w:ascii="Cambria Math" w:hAnsi="Cambria Math"/>
                    <w:lang w:val="en-US"/>
                  </w:rPr>
                  <m:t>r</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e>
              <m:sub>
                <m:r>
                  <m:rPr>
                    <m:sty m:val="p"/>
                  </m:rPr>
                  <w:rPr>
                    <w:rFonts w:ascii="Cambria Math" w:hAnsi="Cambria Math"/>
                    <w:lang w:val="en-US"/>
                  </w:rPr>
                  <m:t>nr</m:t>
                </m:r>
              </m:sub>
            </m:sSub>
          </m:den>
        </m:f>
      </m:oMath>
      <w:r w:rsidRPr="005C7611">
        <w:rPr>
          <w:lang w:val="en-US"/>
        </w:rPr>
        <w:tab/>
      </w:r>
      <w:r w:rsidRPr="005C7611">
        <w:rPr>
          <w:lang w:val="en-US"/>
        </w:rPr>
        <w:tab/>
      </w:r>
      <w:r w:rsidRPr="005C7611">
        <w:rPr>
          <w:lang w:val="en-US"/>
        </w:rPr>
        <w:tab/>
      </w:r>
      <w:r w:rsidRPr="005C7611">
        <w:rPr>
          <w:lang w:val="en-US"/>
        </w:rPr>
        <w:tab/>
      </w:r>
      <w:r w:rsidRPr="005C7611">
        <w:rPr>
          <w:lang w:val="en-US"/>
        </w:rPr>
        <w:tab/>
      </w:r>
      <w:r w:rsidRPr="005C7611">
        <w:rPr>
          <w:lang w:val="en-US"/>
        </w:rPr>
        <w:tab/>
      </w:r>
      <w:r w:rsidRPr="005C7611">
        <w:rPr>
          <w:lang w:val="en-US"/>
        </w:rPr>
        <w:tab/>
      </w:r>
      <w:r w:rsidRPr="005C7611">
        <w:rPr>
          <w:lang w:val="en-US"/>
        </w:rPr>
        <w:tab/>
      </w:r>
      <w:r w:rsidRPr="005C7611">
        <w:rPr>
          <w:lang w:val="en-US"/>
        </w:rPr>
        <w:tab/>
      </w:r>
      <w:r w:rsidRPr="005C7611">
        <w:rPr>
          <w:lang w:val="en-US"/>
        </w:rPr>
        <w:tab/>
        <w:t>(3)</w:t>
      </w:r>
    </w:p>
    <w:p w14:paraId="33548699" w14:textId="7CEBFFF0" w:rsidR="000C528A" w:rsidRPr="005C7611" w:rsidRDefault="000C528A" w:rsidP="006F1873">
      <w:pPr>
        <w:spacing w:line="480" w:lineRule="auto"/>
        <w:rPr>
          <w:lang w:val="en-US"/>
        </w:rPr>
      </w:pPr>
      <w:r w:rsidRPr="005C7611">
        <w:rPr>
          <w:lang w:val="en-US"/>
        </w:rPr>
        <w:t xml:space="preserve">Where </w:t>
      </w:r>
      <m:oMath>
        <m:r>
          <w:rPr>
            <w:rFonts w:ascii="Cambria Math" w:hAnsi="Cambria Math"/>
            <w:lang w:val="en-US"/>
          </w:rPr>
          <m:t>η</m:t>
        </m:r>
      </m:oMath>
      <w:r w:rsidRPr="005C7611">
        <w:rPr>
          <w:lang w:val="en-US" w:eastAsia="ko-KR"/>
        </w:rPr>
        <w:t xml:space="preserve"> is the value of PLQE</w:t>
      </w:r>
      <w:r w:rsidR="00A169FD" w:rsidRPr="005C7611">
        <w:rPr>
          <w:lang w:val="en-US" w:eastAsia="ko-KR"/>
        </w:rPr>
        <w:t>,</w:t>
      </w:r>
      <w:r w:rsidRPr="005C7611">
        <w:rPr>
          <w:lang w:val="en-US" w:eastAsia="ko-KR"/>
        </w:rPr>
        <w:t xml:space="preserve"> and</w:t>
      </w:r>
      <w:r w:rsidR="004F627E" w:rsidRPr="005C7611">
        <w:rPr>
          <w:lang w:val="en-US" w:eastAsia="ko-KR"/>
        </w:rPr>
        <w:t xml:space="preserve"> where </w:t>
      </w:r>
      <m:oMath>
        <m:sSub>
          <m:sSubPr>
            <m:ctrlPr>
              <w:rPr>
                <w:rFonts w:ascii="Cambria Math" w:hAnsi="Cambria Math"/>
                <w:i/>
                <w:lang w:val="en-US"/>
              </w:rPr>
            </m:ctrlPr>
          </m:sSubPr>
          <m:e>
            <m:r>
              <w:rPr>
                <w:rFonts w:ascii="Cambria Math" w:hAnsi="Cambria Math"/>
                <w:lang w:val="en-US"/>
              </w:rPr>
              <m:t>k</m:t>
            </m:r>
          </m:e>
          <m:sub>
            <m:r>
              <m:rPr>
                <m:sty m:val="p"/>
              </m:rPr>
              <w:rPr>
                <w:rFonts w:ascii="Cambria Math" w:hAnsi="Cambria Math"/>
                <w:lang w:val="en-US"/>
              </w:rPr>
              <m:t>r</m:t>
            </m:r>
          </m:sub>
        </m:sSub>
      </m:oMath>
      <w:r w:rsidR="00A169FD" w:rsidRPr="005C7611">
        <w:rPr>
          <w:vertAlign w:val="subscript"/>
          <w:lang w:val="en-US"/>
        </w:rPr>
        <w:t xml:space="preserve"> </w:t>
      </w:r>
      <w:r w:rsidR="00A169FD" w:rsidRPr="005C7611">
        <w:rPr>
          <w:rFonts w:eastAsiaTheme="minorEastAsia"/>
          <w:lang w:val="en-US" w:eastAsia="ko-KR"/>
        </w:rPr>
        <w:t>and</w:t>
      </w:r>
      <w:r w:rsidR="00A169FD" w:rsidRPr="005C7611">
        <w:rPr>
          <w:rFonts w:eastAsiaTheme="minorEastAsia"/>
          <w:vertAlign w:val="subscript"/>
          <w:lang w:val="en-US" w:eastAsia="ko-KR"/>
        </w:rPr>
        <w:t xml:space="preserve"> </w:t>
      </w:r>
      <m:oMath>
        <m:sSub>
          <m:sSubPr>
            <m:ctrlPr>
              <w:rPr>
                <w:rFonts w:ascii="Cambria Math" w:hAnsi="Cambria Math"/>
                <w:i/>
                <w:lang w:val="en-US"/>
              </w:rPr>
            </m:ctrlPr>
          </m:sSubPr>
          <m:e>
            <m:r>
              <w:rPr>
                <w:rFonts w:ascii="Cambria Math" w:hAnsi="Cambria Math"/>
                <w:lang w:val="en-US"/>
              </w:rPr>
              <m:t>k</m:t>
            </m:r>
          </m:e>
          <m:sub>
            <m:r>
              <m:rPr>
                <m:sty m:val="p"/>
              </m:rPr>
              <w:rPr>
                <w:rFonts w:ascii="Cambria Math" w:hAnsi="Cambria Math"/>
                <w:lang w:val="en-US"/>
              </w:rPr>
              <m:t>nr</m:t>
            </m:r>
          </m:sub>
        </m:sSub>
      </m:oMath>
      <w:r w:rsidRPr="005C7611">
        <w:rPr>
          <w:lang w:val="en-US"/>
        </w:rPr>
        <w:t xml:space="preserve"> </w:t>
      </w:r>
      <w:r w:rsidR="004F627E" w:rsidRPr="005C7611">
        <w:rPr>
          <w:lang w:val="en-US"/>
        </w:rPr>
        <w:t>are</w:t>
      </w:r>
      <w:r w:rsidRPr="005C7611">
        <w:rPr>
          <w:lang w:val="en-US"/>
        </w:rPr>
        <w:t xml:space="preserve"> the overall </w:t>
      </w:r>
      <w:r w:rsidR="00A169FD" w:rsidRPr="005C7611">
        <w:rPr>
          <w:lang w:val="en-US"/>
        </w:rPr>
        <w:t xml:space="preserve">radiative and </w:t>
      </w:r>
      <w:r w:rsidRPr="005C7611">
        <w:rPr>
          <w:lang w:val="en-US"/>
        </w:rPr>
        <w:t>nonradiative rate of the</w:t>
      </w:r>
      <w:r w:rsidR="000B2492" w:rsidRPr="005C7611">
        <w:rPr>
          <w:lang w:val="en-US"/>
        </w:rPr>
        <w:t xml:space="preserve"> </w:t>
      </w:r>
      <w:r w:rsidRPr="005C7611">
        <w:rPr>
          <w:lang w:val="en-US"/>
        </w:rPr>
        <w:t>system</w:t>
      </w:r>
      <w:r w:rsidR="0050473E" w:rsidRPr="005C7611">
        <w:rPr>
          <w:lang w:val="en-US"/>
        </w:rPr>
        <w:t>,</w:t>
      </w:r>
      <w:r w:rsidR="004F627E" w:rsidRPr="005C7611">
        <w:rPr>
          <w:lang w:val="en-US"/>
        </w:rPr>
        <w:t xml:space="preserve"> </w:t>
      </w:r>
      <w:proofErr w:type="gramStart"/>
      <w:r w:rsidR="004F627E" w:rsidRPr="005C7611">
        <w:rPr>
          <w:lang w:val="en-US"/>
        </w:rPr>
        <w:t>respective</w:t>
      </w:r>
      <w:r w:rsidR="00F17613" w:rsidRPr="005C7611">
        <w:rPr>
          <w:lang w:val="en-US"/>
        </w:rPr>
        <w:t>l</w:t>
      </w:r>
      <w:r w:rsidR="004F627E" w:rsidRPr="005C7611">
        <w:rPr>
          <w:lang w:val="en-US"/>
        </w:rPr>
        <w:t>y</w:t>
      </w:r>
      <w:r w:rsidRPr="005C7611">
        <w:rPr>
          <w:lang w:val="en-US"/>
        </w:rPr>
        <w:t>.</w:t>
      </w:r>
      <w:proofErr w:type="gramEnd"/>
      <w:r w:rsidR="000B2492" w:rsidRPr="005C7611">
        <w:rPr>
          <w:lang w:val="en-US"/>
        </w:rPr>
        <w:t xml:space="preserve"> </w:t>
      </w:r>
      <w:r w:rsidRPr="005C7611">
        <w:rPr>
          <w:lang w:val="en-US"/>
        </w:rPr>
        <w:t>We parameteri</w:t>
      </w:r>
      <w:r w:rsidR="000B2492" w:rsidRPr="005C7611">
        <w:rPr>
          <w:lang w:val="en-US"/>
        </w:rPr>
        <w:t>z</w:t>
      </w:r>
      <w:r w:rsidRPr="005C7611">
        <w:rPr>
          <w:lang w:val="en-US"/>
        </w:rPr>
        <w:t xml:space="preserve">e our system in terms of the individual radiative (r) and nonradiative (nr) rates shown in </w:t>
      </w:r>
      <w:r w:rsidR="003A13C6" w:rsidRPr="005C7611">
        <w:rPr>
          <w:b/>
          <w:bCs/>
          <w:lang w:val="en-US"/>
        </w:rPr>
        <w:t>F</w:t>
      </w:r>
      <w:r w:rsidRPr="005C7611">
        <w:rPr>
          <w:b/>
          <w:bCs/>
          <w:lang w:val="en-US"/>
        </w:rPr>
        <w:t>igure 4</w:t>
      </w:r>
      <w:r w:rsidRPr="005C7611">
        <w:rPr>
          <w:lang w:val="en-US"/>
        </w:rPr>
        <w:t xml:space="preserve">(a), with </w:t>
      </w:r>
      <m:oMath>
        <m:sSub>
          <m:sSubPr>
            <m:ctrlPr>
              <w:rPr>
                <w:rFonts w:ascii="Cambria Math" w:hAnsi="Cambria Math"/>
                <w:i/>
                <w:lang w:val="en-US"/>
              </w:rPr>
            </m:ctrlPr>
          </m:sSubPr>
          <m:e>
            <m:r>
              <w:rPr>
                <w:rFonts w:ascii="Cambria Math" w:hAnsi="Cambria Math"/>
                <w:lang w:val="en-US"/>
              </w:rPr>
              <m:t>k</m:t>
            </m:r>
          </m:e>
          <m:sub>
            <m:r>
              <m:rPr>
                <m:sty m:val="p"/>
              </m:rPr>
              <w:rPr>
                <w:rFonts w:ascii="Cambria Math" w:hAnsi="Cambria Math"/>
                <w:lang w:val="en-US"/>
              </w:rPr>
              <m:t>FRET</m:t>
            </m:r>
          </m:sub>
        </m:sSub>
      </m:oMath>
      <w:r w:rsidRPr="005C7611">
        <w:rPr>
          <w:lang w:val="en-US"/>
        </w:rPr>
        <w:t xml:space="preserve"> and </w:t>
      </w:r>
      <m:oMath>
        <m:sSub>
          <m:sSubPr>
            <m:ctrlPr>
              <w:rPr>
                <w:rFonts w:ascii="Cambria Math" w:hAnsi="Cambria Math"/>
                <w:i/>
                <w:lang w:val="en-US"/>
              </w:rPr>
            </m:ctrlPr>
          </m:sSubPr>
          <m:e>
            <m:r>
              <w:rPr>
                <w:rFonts w:ascii="Cambria Math" w:hAnsi="Cambria Math"/>
                <w:lang w:val="en-US"/>
              </w:rPr>
              <m:t>k</m:t>
            </m:r>
          </m:e>
          <m:sub>
            <m:r>
              <m:rPr>
                <m:sty m:val="p"/>
              </m:rPr>
              <w:rPr>
                <w:rFonts w:ascii="Cambria Math" w:hAnsi="Cambria Math"/>
                <w:lang w:val="en-US"/>
              </w:rPr>
              <m:t>DET</m:t>
            </m:r>
          </m:sub>
        </m:sSub>
      </m:oMath>
      <w:r w:rsidR="00D108E1" w:rsidRPr="005C7611">
        <w:rPr>
          <w:lang w:val="en-US"/>
        </w:rPr>
        <w:t xml:space="preserve">, </w:t>
      </w:r>
      <w:r w:rsidRPr="005C7611">
        <w:rPr>
          <w:lang w:val="en-US"/>
        </w:rPr>
        <w:t xml:space="preserve">the characteristic FRET and DET rates from CMA to fluorescent dopant, respectively. The decay of triplets on the fluorescent dopant </w:t>
      </w:r>
      <w:r w:rsidRPr="005C7611">
        <w:rPr>
          <w:lang w:val="en-US" w:eastAsia="ko-KR"/>
        </w:rPr>
        <w:t>(</w:t>
      </w:r>
      <m:oMath>
        <m:sSub>
          <m:sSubPr>
            <m:ctrlPr>
              <w:rPr>
                <w:rFonts w:ascii="Cambria Math" w:hAnsi="Cambria Math"/>
                <w:i/>
                <w:lang w:val="en-US"/>
              </w:rPr>
            </m:ctrlPr>
          </m:sSubPr>
          <m:e>
            <m:r>
              <w:rPr>
                <w:rFonts w:ascii="Cambria Math" w:hAnsi="Cambria Math"/>
                <w:lang w:val="en-US"/>
              </w:rPr>
              <m:t>k</m:t>
            </m:r>
          </m:e>
          <m:sub>
            <m:r>
              <m:rPr>
                <m:sty m:val="p"/>
              </m:rPr>
              <w:rPr>
                <w:rFonts w:ascii="Cambria Math" w:hAnsi="Cambria Math"/>
                <w:lang w:val="en-US"/>
              </w:rPr>
              <m:t>T</m:t>
            </m:r>
          </m:sub>
        </m:sSub>
      </m:oMath>
      <w:r w:rsidRPr="005C7611">
        <w:rPr>
          <w:lang w:val="en-US"/>
        </w:rPr>
        <w:t xml:space="preserve">) is taken to be entirely nonradiative. Note that for brevity, </w:t>
      </w:r>
      <m:oMath>
        <m:sSub>
          <m:sSubPr>
            <m:ctrlPr>
              <w:rPr>
                <w:rFonts w:ascii="Cambria Math" w:hAnsi="Cambria Math"/>
                <w:i/>
                <w:lang w:val="en-US"/>
              </w:rPr>
            </m:ctrlPr>
          </m:sSubPr>
          <m:e>
            <m:r>
              <w:rPr>
                <w:rFonts w:ascii="Cambria Math" w:hAnsi="Cambria Math"/>
                <w:lang w:val="en-US"/>
              </w:rPr>
              <m:t>k</m:t>
            </m:r>
          </m:e>
          <m:sub>
            <m:r>
              <m:rPr>
                <m:sty m:val="p"/>
              </m:rPr>
              <w:rPr>
                <w:rFonts w:ascii="Cambria Math" w:hAnsi="Cambria Math"/>
                <w:lang w:val="en-US"/>
              </w:rPr>
              <m:t>nr,CMA</m:t>
            </m:r>
          </m:sub>
        </m:sSub>
        <m:r>
          <w:rPr>
            <w:rFonts w:ascii="Cambria Math" w:hAnsi="Cambria Math"/>
            <w:lang w:val="en-US"/>
          </w:rPr>
          <m:t xml:space="preserve"> </m:t>
        </m:r>
      </m:oMath>
      <w:r w:rsidRPr="005C7611">
        <w:rPr>
          <w:lang w:val="en-US"/>
        </w:rPr>
        <w:t>incorporates both nonradiative singlet and triplet decay, and we assume ISC rapidly mixes the singlet and triplet populations on the CMA materials.</w:t>
      </w:r>
    </w:p>
    <w:p w14:paraId="4CBC7259" w14:textId="77777777" w:rsidR="000C528A" w:rsidRPr="005C7611" w:rsidRDefault="000C528A" w:rsidP="006F1873">
      <w:pPr>
        <w:spacing w:line="480" w:lineRule="auto"/>
        <w:ind w:firstLine="720"/>
        <w:rPr>
          <w:lang w:val="en-US"/>
        </w:rPr>
      </w:pPr>
      <w:r w:rsidRPr="005C7611">
        <w:rPr>
          <w:lang w:val="en-US"/>
        </w:rPr>
        <w:t xml:space="preserve">Under the assumptions that </w:t>
      </w:r>
      <m:oMath>
        <m:sSub>
          <m:sSubPr>
            <m:ctrlPr>
              <w:rPr>
                <w:rFonts w:ascii="Cambria Math" w:hAnsi="Cambria Math"/>
                <w:i/>
                <w:lang w:val="en-US"/>
              </w:rPr>
            </m:ctrlPr>
          </m:sSubPr>
          <m:e>
            <m:r>
              <w:rPr>
                <w:rFonts w:ascii="Cambria Math" w:hAnsi="Cambria Math"/>
                <w:lang w:val="en-US"/>
              </w:rPr>
              <m:t>k</m:t>
            </m:r>
          </m:e>
          <m:sub>
            <m:r>
              <m:rPr>
                <m:sty m:val="p"/>
              </m:rPr>
              <w:rPr>
                <w:rFonts w:ascii="Cambria Math" w:hAnsi="Cambria Math"/>
                <w:lang w:val="en-US"/>
              </w:rPr>
              <m:t>r,F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e>
          <m:sub>
            <m:r>
              <m:rPr>
                <m:sty m:val="p"/>
              </m:rPr>
              <w:rPr>
                <w:rFonts w:ascii="Cambria Math" w:hAnsi="Cambria Math"/>
                <w:lang w:val="en-US"/>
              </w:rPr>
              <m:t>nr,F</m:t>
            </m:r>
          </m:sub>
        </m:sSub>
      </m:oMath>
      <w:r w:rsidRPr="005C7611">
        <w:rPr>
          <w:lang w:val="en-US"/>
        </w:rPr>
        <w:t xml:space="preserve"> and </w:t>
      </w:r>
      <m:oMath>
        <m:sSub>
          <m:sSubPr>
            <m:ctrlPr>
              <w:rPr>
                <w:rFonts w:ascii="Cambria Math" w:hAnsi="Cambria Math"/>
                <w:i/>
                <w:lang w:val="en-US"/>
              </w:rPr>
            </m:ctrlPr>
          </m:sSubPr>
          <m:e>
            <m:r>
              <w:rPr>
                <w:rFonts w:ascii="Cambria Math" w:hAnsi="Cambria Math"/>
                <w:lang w:val="en-US"/>
              </w:rPr>
              <m:t>k</m:t>
            </m:r>
          </m:e>
          <m:sub>
            <m:r>
              <m:rPr>
                <m:sty m:val="p"/>
              </m:rPr>
              <w:rPr>
                <w:rFonts w:ascii="Cambria Math" w:hAnsi="Cambria Math"/>
                <w:lang w:val="en-US"/>
              </w:rPr>
              <m:t>r,F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e>
          <m:sub>
            <m:r>
              <m:rPr>
                <m:sty m:val="p"/>
              </m:rPr>
              <w:rPr>
                <w:rFonts w:ascii="Cambria Math" w:hAnsi="Cambria Math"/>
                <w:lang w:val="en-US"/>
              </w:rPr>
              <m:t>FRET</m:t>
            </m:r>
          </m:sub>
        </m:sSub>
      </m:oMath>
      <w:r w:rsidRPr="005C7611">
        <w:rPr>
          <w:lang w:val="en-US"/>
        </w:rPr>
        <w:t xml:space="preserve"> where </w:t>
      </w:r>
      <m:oMath>
        <m:sSub>
          <m:sSubPr>
            <m:ctrlPr>
              <w:rPr>
                <w:rFonts w:ascii="Cambria Math" w:hAnsi="Cambria Math"/>
                <w:i/>
                <w:lang w:val="en-US"/>
              </w:rPr>
            </m:ctrlPr>
          </m:sSubPr>
          <m:e>
            <m:r>
              <w:rPr>
                <w:rFonts w:ascii="Cambria Math" w:hAnsi="Cambria Math"/>
                <w:lang w:val="en-US"/>
              </w:rPr>
              <m:t>k</m:t>
            </m:r>
          </m:e>
          <m:sub>
            <m:r>
              <m:rPr>
                <m:sty m:val="p"/>
              </m:rPr>
              <w:rPr>
                <w:rFonts w:ascii="Cambria Math" w:hAnsi="Cambria Math"/>
                <w:lang w:val="en-US"/>
              </w:rPr>
              <m:t>r,F</m:t>
            </m:r>
          </m:sub>
        </m:sSub>
      </m:oMath>
      <w:r w:rsidRPr="005C7611">
        <w:rPr>
          <w:lang w:val="en-US" w:eastAsia="ko-KR"/>
        </w:rPr>
        <w:t xml:space="preserve"> and </w:t>
      </w:r>
      <m:oMath>
        <m:sSub>
          <m:sSubPr>
            <m:ctrlPr>
              <w:rPr>
                <w:rFonts w:ascii="Cambria Math" w:hAnsi="Cambria Math"/>
                <w:i/>
                <w:lang w:val="en-US"/>
              </w:rPr>
            </m:ctrlPr>
          </m:sSubPr>
          <m:e>
            <m:r>
              <w:rPr>
                <w:rFonts w:ascii="Cambria Math" w:hAnsi="Cambria Math"/>
                <w:lang w:val="en-US"/>
              </w:rPr>
              <m:t>k</m:t>
            </m:r>
          </m:e>
          <m:sub>
            <m:r>
              <m:rPr>
                <m:sty m:val="p"/>
              </m:rPr>
              <w:rPr>
                <w:rFonts w:ascii="Cambria Math" w:hAnsi="Cambria Math"/>
                <w:lang w:val="en-US"/>
              </w:rPr>
              <m:t>nr,F</m:t>
            </m:r>
          </m:sub>
        </m:sSub>
      </m:oMath>
      <w:r w:rsidRPr="005C7611">
        <w:rPr>
          <w:lang w:val="en-US" w:eastAsia="ko-KR"/>
        </w:rPr>
        <w:t xml:space="preserve"> are the fluorescent radiative and nonradiative decay rate, respectively, </w:t>
      </w:r>
      <w:r w:rsidRPr="005C7611">
        <w:rPr>
          <w:lang w:val="en-US"/>
        </w:rPr>
        <w:t>we obtain:</w:t>
      </w:r>
    </w:p>
    <w:p w14:paraId="747BA735" w14:textId="77777777" w:rsidR="000C528A" w:rsidRPr="005C7611" w:rsidRDefault="001329A9" w:rsidP="000C528A">
      <w:pPr>
        <w:spacing w:line="480" w:lineRule="auto"/>
        <w:jc w:val="both"/>
        <w:rPr>
          <w:lang w:val="en-US"/>
        </w:rPr>
      </w:pPr>
      <m:oMath>
        <m:sSub>
          <m:sSubPr>
            <m:ctrlPr>
              <w:rPr>
                <w:rFonts w:ascii="Cambria Math" w:hAnsi="Cambria Math"/>
                <w:i/>
                <w:lang w:val="en-US"/>
              </w:rPr>
            </m:ctrlPr>
          </m:sSubPr>
          <m:e>
            <m:r>
              <w:rPr>
                <w:rFonts w:ascii="Cambria Math" w:hAnsi="Cambria Math"/>
                <w:lang w:val="en-US"/>
              </w:rPr>
              <m:t>k</m:t>
            </m:r>
          </m:e>
          <m:sub>
            <m:r>
              <m:rPr>
                <m:sty m:val="p"/>
              </m:rPr>
              <w:rPr>
                <w:rFonts w:ascii="Cambria Math" w:hAnsi="Cambria Math"/>
                <w:lang w:val="en-US"/>
              </w:rPr>
              <m:t>r</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e>
          <m:sub>
            <m:r>
              <m:rPr>
                <m:sty m:val="p"/>
              </m:rPr>
              <w:rPr>
                <w:rFonts w:ascii="Cambria Math" w:hAnsi="Cambria Math"/>
                <w:lang w:val="en-US"/>
              </w:rPr>
              <m:t>r,CMA</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e>
          <m:sub>
            <m:r>
              <m:rPr>
                <m:sty m:val="p"/>
              </m:rPr>
              <w:rPr>
                <w:rFonts w:ascii="Cambria Math" w:hAnsi="Cambria Math"/>
                <w:lang w:val="en-US"/>
              </w:rPr>
              <m:t>FRET</m:t>
            </m:r>
          </m:sub>
        </m:sSub>
      </m:oMath>
      <w:r w:rsidR="000C528A" w:rsidRPr="005C7611">
        <w:rPr>
          <w:lang w:val="en-US"/>
        </w:rPr>
        <w:tab/>
      </w:r>
      <w:r w:rsidR="000C528A" w:rsidRPr="005C7611">
        <w:rPr>
          <w:lang w:val="en-US"/>
        </w:rPr>
        <w:tab/>
      </w:r>
      <w:r w:rsidR="000C528A" w:rsidRPr="005C7611">
        <w:rPr>
          <w:lang w:val="en-US"/>
        </w:rPr>
        <w:tab/>
      </w:r>
      <w:r w:rsidR="000C528A" w:rsidRPr="005C7611">
        <w:rPr>
          <w:lang w:val="en-US"/>
        </w:rPr>
        <w:tab/>
      </w:r>
      <w:r w:rsidR="000C528A" w:rsidRPr="005C7611">
        <w:rPr>
          <w:lang w:val="en-US"/>
        </w:rPr>
        <w:tab/>
      </w:r>
      <w:r w:rsidR="000C528A" w:rsidRPr="005C7611">
        <w:rPr>
          <w:lang w:val="en-US"/>
        </w:rPr>
        <w:tab/>
      </w:r>
      <w:r w:rsidR="000C528A" w:rsidRPr="005C7611">
        <w:rPr>
          <w:lang w:val="en-US"/>
        </w:rPr>
        <w:tab/>
      </w:r>
      <w:r w:rsidR="000C528A" w:rsidRPr="005C7611">
        <w:rPr>
          <w:lang w:val="en-US"/>
        </w:rPr>
        <w:tab/>
      </w:r>
      <w:r w:rsidR="000C528A" w:rsidRPr="005C7611">
        <w:rPr>
          <w:lang w:val="en-US"/>
        </w:rPr>
        <w:tab/>
        <w:t>(4)</w:t>
      </w:r>
    </w:p>
    <w:p w14:paraId="46CA8527" w14:textId="77777777" w:rsidR="000C528A" w:rsidRPr="005C7611" w:rsidRDefault="001329A9" w:rsidP="000C528A">
      <w:pPr>
        <w:spacing w:line="480" w:lineRule="auto"/>
        <w:jc w:val="both"/>
        <w:rPr>
          <w:lang w:val="en-US"/>
        </w:rPr>
      </w:pPr>
      <m:oMath>
        <m:sSub>
          <m:sSubPr>
            <m:ctrlPr>
              <w:rPr>
                <w:rFonts w:ascii="Cambria Math" w:hAnsi="Cambria Math"/>
                <w:i/>
                <w:lang w:val="en-US"/>
              </w:rPr>
            </m:ctrlPr>
          </m:sSubPr>
          <m:e>
            <m:r>
              <w:rPr>
                <w:rFonts w:ascii="Cambria Math" w:hAnsi="Cambria Math"/>
                <w:lang w:val="en-US"/>
              </w:rPr>
              <m:t>k</m:t>
            </m:r>
          </m:e>
          <m:sub>
            <m:r>
              <m:rPr>
                <m:sty m:val="p"/>
              </m:rPr>
              <w:rPr>
                <w:rFonts w:ascii="Cambria Math" w:hAnsi="Cambria Math"/>
                <w:lang w:val="en-US"/>
              </w:rPr>
              <m:t>nr</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e>
          <m:sub>
            <m:r>
              <m:rPr>
                <m:sty m:val="p"/>
              </m:rPr>
              <w:rPr>
                <w:rFonts w:ascii="Cambria Math" w:hAnsi="Cambria Math"/>
                <w:lang w:val="en-US"/>
              </w:rPr>
              <m:t>nr,CMA</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e>
          <m:sub>
            <m:r>
              <m:rPr>
                <m:sty m:val="p"/>
              </m:rPr>
              <w:rPr>
                <w:rFonts w:ascii="Cambria Math" w:hAnsi="Cambria Math"/>
                <w:lang w:val="en-US"/>
              </w:rPr>
              <m:t>DET</m:t>
            </m:r>
          </m:sub>
        </m:sSub>
      </m:oMath>
      <w:r w:rsidR="000C528A" w:rsidRPr="005C7611">
        <w:rPr>
          <w:lang w:val="en-US"/>
        </w:rPr>
        <w:tab/>
      </w:r>
      <w:r w:rsidR="000C528A" w:rsidRPr="005C7611">
        <w:rPr>
          <w:lang w:val="en-US"/>
        </w:rPr>
        <w:tab/>
      </w:r>
      <w:r w:rsidR="000C528A" w:rsidRPr="005C7611">
        <w:rPr>
          <w:lang w:val="en-US"/>
        </w:rPr>
        <w:tab/>
      </w:r>
      <w:r w:rsidR="000C528A" w:rsidRPr="005C7611">
        <w:rPr>
          <w:lang w:val="en-US"/>
        </w:rPr>
        <w:tab/>
      </w:r>
      <w:r w:rsidR="000C528A" w:rsidRPr="005C7611">
        <w:rPr>
          <w:lang w:val="en-US"/>
        </w:rPr>
        <w:tab/>
      </w:r>
      <w:r w:rsidR="000C528A" w:rsidRPr="005C7611">
        <w:rPr>
          <w:lang w:val="en-US"/>
        </w:rPr>
        <w:tab/>
      </w:r>
      <w:r w:rsidR="000C528A" w:rsidRPr="005C7611">
        <w:rPr>
          <w:lang w:val="en-US"/>
        </w:rPr>
        <w:tab/>
      </w:r>
      <w:r w:rsidR="000C528A" w:rsidRPr="005C7611">
        <w:rPr>
          <w:lang w:val="en-US"/>
        </w:rPr>
        <w:tab/>
        <w:t>(5)</w:t>
      </w:r>
    </w:p>
    <w:p w14:paraId="62630E65" w14:textId="77777777" w:rsidR="000C528A" w:rsidRPr="005C7611" w:rsidRDefault="000C528A" w:rsidP="000C528A">
      <w:pPr>
        <w:spacing w:line="480" w:lineRule="auto"/>
        <w:jc w:val="both"/>
        <w:rPr>
          <w:lang w:val="en-US"/>
        </w:rPr>
      </w:pPr>
      <m:oMath>
        <m:r>
          <w:rPr>
            <w:rFonts w:ascii="Cambria Math" w:hAnsi="Cambria Math"/>
            <w:lang w:val="en-US"/>
          </w:rPr>
          <m:t>η=</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k</m:t>
                </m:r>
              </m:e>
              <m:sub>
                <m:r>
                  <m:rPr>
                    <m:sty m:val="p"/>
                  </m:rPr>
                  <w:rPr>
                    <w:rFonts w:ascii="Cambria Math" w:hAnsi="Cambria Math"/>
                    <w:lang w:val="en-US"/>
                  </w:rPr>
                  <m:t>r,CMA</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e>
              <m:sub>
                <m:r>
                  <m:rPr>
                    <m:sty m:val="p"/>
                  </m:rPr>
                  <w:rPr>
                    <w:rFonts w:ascii="Cambria Math" w:hAnsi="Cambria Math"/>
                    <w:lang w:val="en-US"/>
                  </w:rPr>
                  <m:t>FRET</m:t>
                </m:r>
              </m:sub>
            </m:sSub>
          </m:num>
          <m:den>
            <m:sSub>
              <m:sSubPr>
                <m:ctrlPr>
                  <w:rPr>
                    <w:rFonts w:ascii="Cambria Math" w:hAnsi="Cambria Math"/>
                    <w:i/>
                    <w:lang w:val="en-US"/>
                  </w:rPr>
                </m:ctrlPr>
              </m:sSubPr>
              <m:e>
                <m:r>
                  <w:rPr>
                    <w:rFonts w:ascii="Cambria Math" w:hAnsi="Cambria Math"/>
                    <w:lang w:val="en-US"/>
                  </w:rPr>
                  <m:t>k</m:t>
                </m:r>
              </m:e>
              <m:sub>
                <m:r>
                  <m:rPr>
                    <m:sty m:val="p"/>
                  </m:rPr>
                  <w:rPr>
                    <w:rFonts w:ascii="Cambria Math" w:hAnsi="Cambria Math"/>
                    <w:lang w:val="en-US"/>
                  </w:rPr>
                  <m:t>r,CMA</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e>
              <m:sub>
                <m:r>
                  <m:rPr>
                    <m:sty m:val="p"/>
                  </m:rPr>
                  <w:rPr>
                    <w:rFonts w:ascii="Cambria Math" w:hAnsi="Cambria Math"/>
                    <w:lang w:val="en-US"/>
                  </w:rPr>
                  <m:t>nr,CMA</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e>
              <m:sub>
                <m:r>
                  <m:rPr>
                    <m:sty m:val="p"/>
                  </m:rPr>
                  <w:rPr>
                    <w:rFonts w:ascii="Cambria Math" w:hAnsi="Cambria Math"/>
                    <w:lang w:val="en-US"/>
                  </w:rPr>
                  <m:t>FRET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e>
              <m:sub>
                <m:r>
                  <m:rPr>
                    <m:sty m:val="p"/>
                  </m:rPr>
                  <w:rPr>
                    <w:rFonts w:ascii="Cambria Math" w:hAnsi="Cambria Math"/>
                    <w:lang w:val="en-US"/>
                  </w:rPr>
                  <m:t>DET</m:t>
                </m:r>
              </m:sub>
            </m:sSub>
          </m:den>
        </m:f>
      </m:oMath>
      <w:r w:rsidRPr="005C7611">
        <w:rPr>
          <w:lang w:val="en-US"/>
        </w:rPr>
        <w:tab/>
      </w:r>
      <w:r w:rsidRPr="005C7611">
        <w:rPr>
          <w:lang w:val="en-US"/>
        </w:rPr>
        <w:tab/>
      </w:r>
      <w:r w:rsidRPr="005C7611">
        <w:rPr>
          <w:lang w:val="en-US"/>
        </w:rPr>
        <w:tab/>
      </w:r>
      <w:r w:rsidRPr="005C7611">
        <w:rPr>
          <w:lang w:val="en-US"/>
        </w:rPr>
        <w:tab/>
      </w:r>
      <w:r w:rsidRPr="005C7611">
        <w:rPr>
          <w:lang w:val="en-US"/>
        </w:rPr>
        <w:tab/>
      </w:r>
      <w:r w:rsidRPr="005C7611">
        <w:rPr>
          <w:lang w:val="en-US"/>
        </w:rPr>
        <w:tab/>
      </w:r>
      <w:r w:rsidRPr="005C7611">
        <w:rPr>
          <w:lang w:val="en-US"/>
        </w:rPr>
        <w:tab/>
        <w:t>(6)</w:t>
      </w:r>
    </w:p>
    <w:p w14:paraId="0D2C21BF" w14:textId="2971DB39" w:rsidR="000C528A" w:rsidRPr="005C7611" w:rsidRDefault="000C528A" w:rsidP="006F1873">
      <w:pPr>
        <w:spacing w:line="480" w:lineRule="auto"/>
        <w:rPr>
          <w:lang w:val="en-US"/>
        </w:rPr>
      </w:pPr>
      <w:r w:rsidRPr="005C7611">
        <w:rPr>
          <w:lang w:val="en-US"/>
        </w:rPr>
        <w:t>i.e.</w:t>
      </w:r>
      <w:r w:rsidR="00556482" w:rsidRPr="005C7611">
        <w:rPr>
          <w:lang w:val="en-US"/>
        </w:rPr>
        <w:t>,</w:t>
      </w:r>
      <w:r w:rsidRPr="005C7611">
        <w:rPr>
          <w:lang w:val="en-US"/>
        </w:rPr>
        <w:t xml:space="preserve"> the fluorescent emitter acts as a radiative sink for singlets and a nonradiative sink for triplets. These expressions are valid</w:t>
      </w:r>
      <w:r w:rsidR="0050473E" w:rsidRPr="005C7611">
        <w:rPr>
          <w:lang w:val="en-US"/>
        </w:rPr>
        <w:t>,</w:t>
      </w:r>
      <w:r w:rsidRPr="005C7611">
        <w:rPr>
          <w:lang w:val="en-US"/>
        </w:rPr>
        <w:t xml:space="preserve"> assuming the fluorescent dyes have close to unity PLQE with radiative decay rates much higher than </w:t>
      </w:r>
      <w:proofErr w:type="spellStart"/>
      <w:proofErr w:type="gramStart"/>
      <w:r w:rsidRPr="005C7611">
        <w:rPr>
          <w:i/>
          <w:lang w:val="en-US"/>
        </w:rPr>
        <w:t>k</w:t>
      </w:r>
      <w:r w:rsidRPr="005C7611">
        <w:rPr>
          <w:i/>
          <w:vertAlign w:val="subscript"/>
          <w:lang w:val="en-US"/>
        </w:rPr>
        <w:t>r,</w:t>
      </w:r>
      <w:r w:rsidRPr="005C7611">
        <w:rPr>
          <w:vertAlign w:val="subscript"/>
          <w:lang w:val="en-US"/>
        </w:rPr>
        <w:t>CMA</w:t>
      </w:r>
      <w:proofErr w:type="spellEnd"/>
      <w:proofErr w:type="gramEnd"/>
      <w:r w:rsidRPr="005C7611">
        <w:rPr>
          <w:lang w:val="en-US"/>
        </w:rPr>
        <w:t xml:space="preserve">. PLQE for both rubrene and </w:t>
      </w:r>
      <w:proofErr w:type="spellStart"/>
      <w:r w:rsidRPr="005C7611">
        <w:rPr>
          <w:lang w:val="en-US"/>
        </w:rPr>
        <w:t>TBRb</w:t>
      </w:r>
      <w:proofErr w:type="spellEnd"/>
      <w:r w:rsidRPr="005C7611">
        <w:rPr>
          <w:lang w:val="en-US"/>
        </w:rPr>
        <w:t xml:space="preserve"> is close to unity, negligible concentration quenching is expected, and their radiative rates are of order 10</w:t>
      </w:r>
      <w:r w:rsidRPr="005C7611">
        <w:rPr>
          <w:vertAlign w:val="superscript"/>
          <w:lang w:val="en-US"/>
        </w:rPr>
        <w:t>9</w:t>
      </w:r>
      <w:r w:rsidRPr="005C7611">
        <w:rPr>
          <w:lang w:val="en-US"/>
        </w:rPr>
        <w:t xml:space="preserve"> s</w:t>
      </w:r>
      <w:r w:rsidRPr="005C7611">
        <w:rPr>
          <w:vertAlign w:val="superscript"/>
          <w:lang w:val="en-US"/>
        </w:rPr>
        <w:t>-</w:t>
      </w:r>
      <w:proofErr w:type="gramStart"/>
      <w:r w:rsidRPr="005C7611">
        <w:rPr>
          <w:vertAlign w:val="superscript"/>
          <w:lang w:val="en-US"/>
        </w:rPr>
        <w:t>1</w:t>
      </w:r>
      <w:r w:rsidRPr="005C7611">
        <w:rPr>
          <w:lang w:val="en-US"/>
        </w:rPr>
        <w:t>.</w:t>
      </w:r>
      <w:r w:rsidR="003D5962" w:rsidRPr="005C7611">
        <w:rPr>
          <w:vertAlign w:val="superscript"/>
          <w:lang w:val="en-US"/>
        </w:rPr>
        <w:t>[</w:t>
      </w:r>
      <w:proofErr w:type="gramEnd"/>
      <w:r w:rsidR="003D5962" w:rsidRPr="005C7611">
        <w:rPr>
          <w:vertAlign w:val="superscript"/>
          <w:lang w:val="en-US"/>
        </w:rPr>
        <w:t>33-35]</w:t>
      </w:r>
      <w:r w:rsidRPr="005C7611">
        <w:rPr>
          <w:lang w:val="en-US"/>
        </w:rPr>
        <w:t xml:space="preserve"> </w:t>
      </w:r>
      <w:proofErr w:type="spellStart"/>
      <w:r w:rsidRPr="005C7611">
        <w:rPr>
          <w:i/>
          <w:lang w:val="en-US"/>
        </w:rPr>
        <w:t>k</w:t>
      </w:r>
      <w:r w:rsidRPr="005C7611">
        <w:rPr>
          <w:vertAlign w:val="subscript"/>
          <w:lang w:val="en-US"/>
        </w:rPr>
        <w:t>DET</w:t>
      </w:r>
      <w:proofErr w:type="spellEnd"/>
      <w:r w:rsidRPr="005C7611">
        <w:rPr>
          <w:lang w:val="en-US"/>
        </w:rPr>
        <w:t xml:space="preserve"> can, therefore, be approximated from </w:t>
      </w:r>
      <w:r w:rsidR="00761915" w:rsidRPr="005C7611">
        <w:rPr>
          <w:lang w:val="en-US"/>
        </w:rPr>
        <w:t>E</w:t>
      </w:r>
      <w:r w:rsidRPr="005C7611">
        <w:rPr>
          <w:lang w:val="en-US"/>
        </w:rPr>
        <w:t>quation (3</w:t>
      </w:r>
      <w:r w:rsidR="00761915" w:rsidRPr="005C7611">
        <w:rPr>
          <w:lang w:val="en-US"/>
        </w:rPr>
        <w:t>)</w:t>
      </w:r>
      <w:r w:rsidRPr="005C7611">
        <w:rPr>
          <w:lang w:val="en-US"/>
        </w:rPr>
        <w:t>-</w:t>
      </w:r>
      <w:r w:rsidR="00761915" w:rsidRPr="005C7611">
        <w:rPr>
          <w:lang w:val="en-US"/>
        </w:rPr>
        <w:t>(</w:t>
      </w:r>
      <w:r w:rsidRPr="005C7611">
        <w:rPr>
          <w:lang w:val="en-US"/>
        </w:rPr>
        <w:t>6) as:</w:t>
      </w:r>
    </w:p>
    <w:p w14:paraId="711742D3" w14:textId="77777777" w:rsidR="000C528A" w:rsidRPr="005C7611" w:rsidRDefault="001329A9" w:rsidP="000C528A">
      <w:pPr>
        <w:spacing w:line="480" w:lineRule="auto"/>
        <w:jc w:val="both"/>
        <w:rPr>
          <w:lang w:val="en-US"/>
        </w:rPr>
      </w:pPr>
      <m:oMath>
        <m:sSub>
          <m:sSubPr>
            <m:ctrlPr>
              <w:rPr>
                <w:rFonts w:ascii="Cambria Math" w:hAnsi="Cambria Math"/>
                <w:i/>
                <w:lang w:val="en-US"/>
              </w:rPr>
            </m:ctrlPr>
          </m:sSubPr>
          <m:e>
            <m:r>
              <w:rPr>
                <w:rFonts w:ascii="Cambria Math" w:hAnsi="Cambria Math"/>
                <w:lang w:val="en-US"/>
              </w:rPr>
              <m:t>k</m:t>
            </m:r>
          </m:e>
          <m:sub>
            <m:r>
              <m:rPr>
                <m:sty m:val="p"/>
              </m:rPr>
              <w:rPr>
                <w:rFonts w:ascii="Cambria Math" w:hAnsi="Cambria Math"/>
                <w:lang w:val="en-US"/>
              </w:rPr>
              <m:t>DET</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τ</m:t>
            </m:r>
          </m:e>
          <m:sup>
            <m:r>
              <w:rPr>
                <w:rFonts w:ascii="Cambria Math" w:hAnsi="Cambria Math"/>
                <w:lang w:val="en-US"/>
              </w:rPr>
              <m:t>-1</m:t>
            </m:r>
          </m:sup>
        </m:sSup>
        <m: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nr,CMA</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e>
          <m:sub>
            <m:r>
              <m:rPr>
                <m:sty m:val="p"/>
              </m:rPr>
              <w:rPr>
                <w:rFonts w:ascii="Cambria Math" w:hAnsi="Cambria Math"/>
                <w:lang w:val="en-US"/>
              </w:rPr>
              <m:t>r,CMA</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e>
          <m:sub>
            <m:r>
              <m:rPr>
                <m:sty m:val="p"/>
              </m:rPr>
              <w:rPr>
                <w:rFonts w:ascii="Cambria Math" w:hAnsi="Cambria Math"/>
                <w:lang w:val="en-US"/>
              </w:rPr>
              <m:t>FRET</m:t>
            </m:r>
          </m:sub>
        </m:sSub>
      </m:oMath>
      <w:r w:rsidR="000C528A" w:rsidRPr="005C7611">
        <w:rPr>
          <w:lang w:val="en-US"/>
        </w:rPr>
        <w:tab/>
      </w:r>
      <w:r w:rsidR="000C528A" w:rsidRPr="005C7611">
        <w:rPr>
          <w:lang w:val="en-US"/>
        </w:rPr>
        <w:tab/>
      </w:r>
      <w:r w:rsidR="000C528A" w:rsidRPr="005C7611">
        <w:rPr>
          <w:lang w:val="en-US"/>
        </w:rPr>
        <w:tab/>
      </w:r>
      <w:r w:rsidR="000C528A" w:rsidRPr="005C7611">
        <w:rPr>
          <w:lang w:val="en-US"/>
        </w:rPr>
        <w:tab/>
      </w:r>
      <w:r w:rsidR="000C528A" w:rsidRPr="005C7611">
        <w:rPr>
          <w:lang w:val="en-US"/>
        </w:rPr>
        <w:tab/>
      </w:r>
      <w:r w:rsidR="000C528A" w:rsidRPr="005C7611">
        <w:rPr>
          <w:lang w:val="en-US"/>
        </w:rPr>
        <w:tab/>
        <w:t>(7)</w:t>
      </w:r>
    </w:p>
    <w:p w14:paraId="246B7976" w14:textId="77777777" w:rsidR="000C528A" w:rsidRPr="005C7611" w:rsidRDefault="000C528A" w:rsidP="006F1873">
      <w:pPr>
        <w:spacing w:line="480" w:lineRule="auto"/>
        <w:rPr>
          <w:lang w:val="en-US"/>
        </w:rPr>
      </w:pPr>
      <w:r w:rsidRPr="005C7611">
        <w:rPr>
          <w:lang w:val="en-US"/>
        </w:rPr>
        <w:lastRenderedPageBreak/>
        <w:t xml:space="preserve">While </w:t>
      </w:r>
      <w:proofErr w:type="spellStart"/>
      <w:r w:rsidRPr="005C7611">
        <w:rPr>
          <w:i/>
          <w:lang w:val="en-US"/>
        </w:rPr>
        <w:t>k</w:t>
      </w:r>
      <w:r w:rsidRPr="005C7611">
        <w:rPr>
          <w:vertAlign w:val="subscript"/>
          <w:lang w:val="en-US"/>
        </w:rPr>
        <w:t>FRET</w:t>
      </w:r>
      <w:proofErr w:type="spellEnd"/>
      <w:r w:rsidRPr="005C7611">
        <w:rPr>
          <w:lang w:val="en-US"/>
        </w:rPr>
        <w:t xml:space="preserve"> may be obtained from </w:t>
      </w:r>
      <w:r w:rsidR="00761915" w:rsidRPr="005C7611">
        <w:rPr>
          <w:lang w:val="en-US"/>
        </w:rPr>
        <w:t>E</w:t>
      </w:r>
      <w:r w:rsidRPr="005C7611">
        <w:rPr>
          <w:lang w:val="en-US"/>
        </w:rPr>
        <w:t>quation (2) and (4) as:</w:t>
      </w:r>
    </w:p>
    <w:p w14:paraId="4A1F716B" w14:textId="5D87442F" w:rsidR="000C528A" w:rsidRPr="005C7611" w:rsidRDefault="001329A9" w:rsidP="000C528A">
      <w:pPr>
        <w:spacing w:line="480" w:lineRule="auto"/>
        <w:jc w:val="both"/>
        <w:rPr>
          <w:lang w:val="en-US"/>
        </w:rPr>
      </w:pPr>
      <m:oMath>
        <m:sSub>
          <m:sSubPr>
            <m:ctrlPr>
              <w:rPr>
                <w:rFonts w:ascii="Cambria Math" w:hAnsi="Cambria Math"/>
                <w:i/>
                <w:lang w:val="en-US"/>
              </w:rPr>
            </m:ctrlPr>
          </m:sSubPr>
          <m:e>
            <m:r>
              <w:rPr>
                <w:rFonts w:ascii="Cambria Math" w:hAnsi="Cambria Math"/>
                <w:lang w:val="en-US"/>
              </w:rPr>
              <m:t>k</m:t>
            </m:r>
          </m:e>
          <m:sub>
            <m:r>
              <m:rPr>
                <m:sty m:val="p"/>
              </m:rPr>
              <w:rPr>
                <w:rFonts w:ascii="Cambria Math" w:hAnsi="Cambria Math"/>
                <w:lang w:val="en-US"/>
              </w:rPr>
              <m:t>FRET</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η</m:t>
            </m:r>
          </m:num>
          <m:den>
            <m:r>
              <w:rPr>
                <w:rFonts w:ascii="Cambria Math" w:hAnsi="Cambria Math"/>
                <w:lang w:val="en-US"/>
              </w:rPr>
              <m:t>τ</m:t>
            </m:r>
          </m:den>
        </m:f>
        <m: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e>
          <m:sub>
            <m:r>
              <m:rPr>
                <m:sty m:val="p"/>
              </m:rPr>
              <w:rPr>
                <w:rFonts w:ascii="Cambria Math" w:hAnsi="Cambria Math"/>
                <w:lang w:val="en-US"/>
              </w:rPr>
              <m:t>r,CMA</m:t>
            </m:r>
          </m:sub>
        </m:sSub>
      </m:oMath>
      <w:r w:rsidR="000C528A" w:rsidRPr="005C7611">
        <w:rPr>
          <w:lang w:val="en-US"/>
        </w:rPr>
        <w:tab/>
      </w:r>
      <w:r w:rsidR="000C528A" w:rsidRPr="005C7611">
        <w:rPr>
          <w:lang w:val="en-US"/>
        </w:rPr>
        <w:tab/>
      </w:r>
      <w:r w:rsidR="000C528A" w:rsidRPr="005C7611">
        <w:rPr>
          <w:lang w:val="en-US"/>
        </w:rPr>
        <w:tab/>
      </w:r>
      <w:r w:rsidR="000C528A" w:rsidRPr="005C7611">
        <w:rPr>
          <w:lang w:val="en-US"/>
        </w:rPr>
        <w:tab/>
      </w:r>
      <w:r w:rsidR="000C528A" w:rsidRPr="005C7611">
        <w:rPr>
          <w:lang w:val="en-US"/>
        </w:rPr>
        <w:tab/>
      </w:r>
      <w:r w:rsidR="000C528A" w:rsidRPr="005C7611">
        <w:rPr>
          <w:lang w:val="en-US"/>
        </w:rPr>
        <w:tab/>
      </w:r>
      <w:r w:rsidR="000C528A" w:rsidRPr="005C7611">
        <w:rPr>
          <w:lang w:val="en-US"/>
        </w:rPr>
        <w:tab/>
      </w:r>
      <w:r w:rsidR="000C528A" w:rsidRPr="005C7611">
        <w:rPr>
          <w:lang w:val="en-US"/>
        </w:rPr>
        <w:tab/>
      </w:r>
      <w:r w:rsidR="000C528A" w:rsidRPr="005C7611">
        <w:rPr>
          <w:lang w:val="en-US"/>
        </w:rPr>
        <w:tab/>
        <w:t>(8)</w:t>
      </w:r>
    </w:p>
    <w:p w14:paraId="334EEFA3" w14:textId="77777777" w:rsidR="000C528A" w:rsidRPr="005C7611" w:rsidRDefault="000C528A" w:rsidP="006F1873">
      <w:pPr>
        <w:spacing w:line="480" w:lineRule="auto"/>
        <w:rPr>
          <w:lang w:val="en-US"/>
        </w:rPr>
      </w:pPr>
      <m:oMath>
        <m:r>
          <w:rPr>
            <w:rFonts w:ascii="Cambria Math" w:hAnsi="Cambria Math"/>
            <w:lang w:val="en-US"/>
          </w:rPr>
          <m:t>η</m:t>
        </m:r>
      </m:oMath>
      <w:r w:rsidRPr="005C7611">
        <w:rPr>
          <w:lang w:val="en-US"/>
        </w:rPr>
        <w:t xml:space="preserve"> and </w:t>
      </w:r>
      <m:oMath>
        <m:r>
          <w:rPr>
            <w:rFonts w:ascii="Cambria Math" w:hAnsi="Cambria Math"/>
            <w:lang w:val="en-US"/>
          </w:rPr>
          <m:t>τ</m:t>
        </m:r>
      </m:oMath>
      <w:r w:rsidRPr="005C7611">
        <w:rPr>
          <w:lang w:val="en-US"/>
        </w:rPr>
        <w:t xml:space="preserve"> are determined for each experiment, and </w:t>
      </w:r>
      <m:oMath>
        <m:sSub>
          <m:sSubPr>
            <m:ctrlPr>
              <w:rPr>
                <w:rFonts w:ascii="Cambria Math" w:hAnsi="Cambria Math"/>
                <w:i/>
                <w:lang w:val="en-US"/>
              </w:rPr>
            </m:ctrlPr>
          </m:sSubPr>
          <m:e>
            <m:r>
              <w:rPr>
                <w:rFonts w:ascii="Cambria Math" w:hAnsi="Cambria Math"/>
                <w:lang w:val="en-US"/>
              </w:rPr>
              <m:t>k</m:t>
            </m:r>
          </m:e>
          <m:sub>
            <m:r>
              <m:rPr>
                <m:sty m:val="p"/>
              </m:rPr>
              <w:rPr>
                <w:rFonts w:ascii="Cambria Math" w:hAnsi="Cambria Math"/>
                <w:lang w:val="en-US"/>
              </w:rPr>
              <m:t>r,CMA</m:t>
            </m:r>
          </m:sub>
        </m:sSub>
      </m:oMath>
      <w:r w:rsidRPr="005C7611">
        <w:rPr>
          <w:lang w:val="en-US"/>
        </w:rPr>
        <w:t xml:space="preserve"> and </w:t>
      </w:r>
      <m:oMath>
        <m:sSub>
          <m:sSubPr>
            <m:ctrlPr>
              <w:rPr>
                <w:rFonts w:ascii="Cambria Math" w:hAnsi="Cambria Math"/>
                <w:i/>
                <w:lang w:val="en-US"/>
              </w:rPr>
            </m:ctrlPr>
          </m:sSubPr>
          <m:e>
            <m:r>
              <w:rPr>
                <w:rFonts w:ascii="Cambria Math" w:hAnsi="Cambria Math"/>
                <w:lang w:val="en-US"/>
              </w:rPr>
              <m:t>k</m:t>
            </m:r>
          </m:e>
          <m:sub>
            <m:r>
              <m:rPr>
                <m:sty m:val="p"/>
              </m:rPr>
              <w:rPr>
                <w:rFonts w:ascii="Cambria Math" w:hAnsi="Cambria Math"/>
                <w:lang w:val="en-US"/>
              </w:rPr>
              <m:t>nr,CMA</m:t>
            </m:r>
          </m:sub>
        </m:sSub>
      </m:oMath>
      <w:r w:rsidRPr="005C7611">
        <w:rPr>
          <w:lang w:val="en-US"/>
        </w:rPr>
        <w:t xml:space="preserve"> obtained from single-component films. The decay time and rate constants are summari</w:t>
      </w:r>
      <w:r w:rsidR="000B2492" w:rsidRPr="005C7611">
        <w:rPr>
          <w:lang w:val="en-US"/>
        </w:rPr>
        <w:t>z</w:t>
      </w:r>
      <w:r w:rsidRPr="005C7611">
        <w:rPr>
          <w:lang w:val="en-US"/>
        </w:rPr>
        <w:t xml:space="preserve">ed in Table </w:t>
      </w:r>
      <w:r w:rsidR="00CE6430" w:rsidRPr="005C7611">
        <w:rPr>
          <w:lang w:val="en-US"/>
        </w:rPr>
        <w:t>S</w:t>
      </w:r>
      <w:r w:rsidRPr="005C7611">
        <w:rPr>
          <w:lang w:val="en-US"/>
        </w:rPr>
        <w:t xml:space="preserve">1. Figure 4(b) shows the ratio of </w:t>
      </w:r>
      <w:proofErr w:type="spellStart"/>
      <w:r w:rsidRPr="005C7611">
        <w:rPr>
          <w:i/>
          <w:lang w:val="en-US"/>
        </w:rPr>
        <w:t>k</w:t>
      </w:r>
      <w:r w:rsidRPr="005C7611">
        <w:rPr>
          <w:vertAlign w:val="subscript"/>
          <w:lang w:val="en-US"/>
        </w:rPr>
        <w:t>FRET</w:t>
      </w:r>
      <w:proofErr w:type="spellEnd"/>
      <w:r w:rsidRPr="005C7611">
        <w:rPr>
          <w:lang w:val="en-US"/>
        </w:rPr>
        <w:t xml:space="preserve"> and </w:t>
      </w:r>
      <w:proofErr w:type="spellStart"/>
      <w:r w:rsidRPr="005C7611">
        <w:rPr>
          <w:i/>
          <w:lang w:val="en-US"/>
        </w:rPr>
        <w:t>k</w:t>
      </w:r>
      <w:r w:rsidRPr="005C7611">
        <w:rPr>
          <w:vertAlign w:val="subscript"/>
          <w:lang w:val="en-US"/>
        </w:rPr>
        <w:t>DET</w:t>
      </w:r>
      <w:proofErr w:type="spellEnd"/>
      <w:r w:rsidRPr="005C7611">
        <w:rPr>
          <w:lang w:val="en-US"/>
        </w:rPr>
        <w:t xml:space="preserve"> depending on the host-dopant combination and doping concentration. Regarding the </w:t>
      </w:r>
      <w:proofErr w:type="spellStart"/>
      <w:proofErr w:type="gramStart"/>
      <w:r w:rsidRPr="005C7611">
        <w:rPr>
          <w:lang w:val="en-US"/>
        </w:rPr>
        <w:t>CMA:rubrene</w:t>
      </w:r>
      <w:proofErr w:type="spellEnd"/>
      <w:proofErr w:type="gramEnd"/>
      <w:r w:rsidRPr="005C7611">
        <w:rPr>
          <w:lang w:val="en-US"/>
        </w:rPr>
        <w:t xml:space="preserve"> mixed films, the dominance of DET over FRET at all doping concentrations explains their poor PLQE performance and precludes the use of rubrene-based composites in matrix-free hyperfluorescent OLEDs. </w:t>
      </w:r>
      <w:proofErr w:type="spellStart"/>
      <w:r w:rsidRPr="005C7611">
        <w:rPr>
          <w:i/>
          <w:lang w:val="en-US"/>
        </w:rPr>
        <w:t>k</w:t>
      </w:r>
      <w:r w:rsidRPr="005C7611">
        <w:rPr>
          <w:vertAlign w:val="subscript"/>
          <w:lang w:val="en-US"/>
        </w:rPr>
        <w:t>DET</w:t>
      </w:r>
      <w:proofErr w:type="spellEnd"/>
      <w:r w:rsidRPr="005C7611">
        <w:rPr>
          <w:lang w:val="en-US"/>
        </w:rPr>
        <w:t xml:space="preserve"> and </w:t>
      </w:r>
      <w:proofErr w:type="spellStart"/>
      <w:r w:rsidRPr="005C7611">
        <w:rPr>
          <w:i/>
          <w:lang w:val="en-US"/>
        </w:rPr>
        <w:t>k</w:t>
      </w:r>
      <w:r w:rsidRPr="005C7611">
        <w:rPr>
          <w:vertAlign w:val="subscript"/>
          <w:lang w:val="en-US"/>
        </w:rPr>
        <w:t>FRET</w:t>
      </w:r>
      <w:proofErr w:type="spellEnd"/>
      <w:r w:rsidRPr="005C7611">
        <w:rPr>
          <w:lang w:val="en-US"/>
        </w:rPr>
        <w:t xml:space="preserve"> for </w:t>
      </w:r>
      <w:proofErr w:type="spellStart"/>
      <w:proofErr w:type="gramStart"/>
      <w:r w:rsidRPr="005C7611">
        <w:rPr>
          <w:lang w:val="en-US"/>
        </w:rPr>
        <w:t>CMA:TBRb</w:t>
      </w:r>
      <w:proofErr w:type="spellEnd"/>
      <w:proofErr w:type="gramEnd"/>
      <w:r w:rsidRPr="005C7611">
        <w:rPr>
          <w:lang w:val="en-US"/>
        </w:rPr>
        <w:t xml:space="preserve"> mixed films are much more similar, with CMA4:TBRb the most promising candidate by this metric, explaining its relatively good PLQE performance even at higher doping concentration. Thus, we infer that steric hindrance between the bulkier hosts and dopants is effective in suppressing DET in these composites. </w:t>
      </w:r>
    </w:p>
    <w:p w14:paraId="764C0AEA" w14:textId="5D61E3D1" w:rsidR="000C528A" w:rsidRPr="005C7611" w:rsidRDefault="000C528A" w:rsidP="006F1873">
      <w:pPr>
        <w:spacing w:line="480" w:lineRule="auto"/>
        <w:ind w:firstLine="720"/>
        <w:rPr>
          <w:lang w:val="en-US"/>
        </w:rPr>
      </w:pPr>
      <w:bookmarkStart w:id="1" w:name="_Hlk39405847"/>
      <w:r w:rsidRPr="005C7611">
        <w:rPr>
          <w:lang w:val="en-US"/>
        </w:rPr>
        <w:t>The FRET efficiency (</w:t>
      </w:r>
      <w:r w:rsidRPr="005C7611">
        <w:rPr>
          <w:i/>
          <w:lang w:val="en-US"/>
        </w:rPr>
        <w:t>E</w:t>
      </w:r>
      <w:r w:rsidRPr="005C7611">
        <w:rPr>
          <w:vertAlign w:val="subscript"/>
          <w:lang w:val="en-US"/>
        </w:rPr>
        <w:t>FRET</w:t>
      </w:r>
      <w:r w:rsidRPr="005C7611">
        <w:rPr>
          <w:lang w:val="en-US"/>
        </w:rPr>
        <w:t xml:space="preserve">), which is the proportion of radiative excitons transferred via FRET from CMAs to acceptors, is calculated </w:t>
      </w:r>
      <w:proofErr w:type="gramStart"/>
      <w:r w:rsidRPr="005C7611">
        <w:rPr>
          <w:lang w:val="en-US"/>
        </w:rPr>
        <w:t>as</w:t>
      </w:r>
      <w:r w:rsidRPr="005C7611">
        <w:rPr>
          <w:vertAlign w:val="superscript"/>
          <w:lang w:val="en-US"/>
        </w:rPr>
        <w:t>[</w:t>
      </w:r>
      <w:proofErr w:type="gramEnd"/>
      <w:r w:rsidR="00A63F36" w:rsidRPr="005C7611">
        <w:rPr>
          <w:vertAlign w:val="superscript"/>
          <w:lang w:val="en-US"/>
        </w:rPr>
        <w:t>29</w:t>
      </w:r>
      <w:r w:rsidRPr="005C7611">
        <w:rPr>
          <w:vertAlign w:val="superscript"/>
          <w:lang w:val="en-US"/>
        </w:rPr>
        <w:t>]</w:t>
      </w:r>
    </w:p>
    <w:p w14:paraId="5E4BB6E1" w14:textId="54F6F4BB" w:rsidR="000C528A" w:rsidRPr="005C7611" w:rsidRDefault="001329A9" w:rsidP="000C528A">
      <w:pPr>
        <w:spacing w:line="480" w:lineRule="auto"/>
        <w:jc w:val="both"/>
        <w:rPr>
          <w:lang w:val="en-US"/>
        </w:rPr>
      </w:pPr>
      <m:oMath>
        <m:sSub>
          <m:sSubPr>
            <m:ctrlPr>
              <w:rPr>
                <w:rFonts w:ascii="Cambria Math" w:hAnsi="Cambria Math"/>
                <w:i/>
                <w:sz w:val="28"/>
                <w:szCs w:val="28"/>
                <w:lang w:val="en-US"/>
              </w:rPr>
            </m:ctrlPr>
          </m:sSubPr>
          <m:e>
            <m:r>
              <w:rPr>
                <w:rFonts w:ascii="Cambria Math" w:hAnsi="Cambria Math"/>
                <w:sz w:val="28"/>
                <w:szCs w:val="28"/>
                <w:lang w:val="en-US"/>
              </w:rPr>
              <m:t>E</m:t>
            </m:r>
          </m:e>
          <m:sub>
            <m:r>
              <m:rPr>
                <m:sty m:val="p"/>
              </m:rPr>
              <w:rPr>
                <w:rFonts w:ascii="Cambria Math" w:hAnsi="Cambria Math"/>
                <w:sz w:val="28"/>
                <w:szCs w:val="28"/>
                <w:lang w:val="en-US"/>
              </w:rPr>
              <m:t>FRET</m:t>
            </m:r>
          </m:sub>
        </m:sSub>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k</m:t>
                </m:r>
              </m:e>
              <m:sub>
                <m:r>
                  <m:rPr>
                    <m:sty m:val="p"/>
                  </m:rPr>
                  <w:rPr>
                    <w:rFonts w:ascii="Cambria Math" w:hAnsi="Cambria Math"/>
                    <w:sz w:val="28"/>
                    <w:szCs w:val="28"/>
                    <w:lang w:val="en-US"/>
                  </w:rPr>
                  <m:t>FRET</m:t>
                </m:r>
              </m:sub>
            </m:sSub>
          </m:num>
          <m:den>
            <m:sSub>
              <m:sSubPr>
                <m:ctrlPr>
                  <w:rPr>
                    <w:rFonts w:ascii="Cambria Math" w:hAnsi="Cambria Math"/>
                    <w:i/>
                    <w:sz w:val="28"/>
                    <w:szCs w:val="28"/>
                    <w:lang w:val="en-US"/>
                  </w:rPr>
                </m:ctrlPr>
              </m:sSubPr>
              <m:e>
                <m:r>
                  <w:rPr>
                    <w:rFonts w:ascii="Cambria Math" w:hAnsi="Cambria Math"/>
                    <w:sz w:val="28"/>
                    <w:szCs w:val="28"/>
                    <w:lang w:val="en-US"/>
                  </w:rPr>
                  <m:t>k</m:t>
                </m:r>
              </m:e>
              <m:sub>
                <m:r>
                  <m:rPr>
                    <m:sty m:val="p"/>
                  </m:rPr>
                  <w:rPr>
                    <w:rFonts w:ascii="Cambria Math" w:hAnsi="Cambria Math"/>
                    <w:sz w:val="28"/>
                    <w:szCs w:val="28"/>
                    <w:lang w:val="en-US"/>
                  </w:rPr>
                  <m:t>r,CMA</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k</m:t>
                </m:r>
              </m:e>
              <m:sub>
                <m:r>
                  <m:rPr>
                    <m:sty m:val="p"/>
                  </m:rPr>
                  <w:rPr>
                    <w:rFonts w:ascii="Cambria Math" w:hAnsi="Cambria Math"/>
                    <w:sz w:val="28"/>
                    <w:szCs w:val="28"/>
                    <w:lang w:val="en-US"/>
                  </w:rPr>
                  <m:t>FRET</m:t>
                </m:r>
              </m:sub>
            </m:sSub>
          </m:den>
        </m:f>
      </m:oMath>
      <w:r w:rsidR="000C528A" w:rsidRPr="005C7611">
        <w:rPr>
          <w:sz w:val="28"/>
          <w:szCs w:val="28"/>
          <w:lang w:val="en-US"/>
        </w:rPr>
        <w:tab/>
      </w:r>
      <w:r w:rsidR="000C528A" w:rsidRPr="005C7611">
        <w:rPr>
          <w:sz w:val="28"/>
          <w:szCs w:val="28"/>
          <w:lang w:val="en-US"/>
        </w:rPr>
        <w:tab/>
      </w:r>
      <w:r w:rsidR="000C528A" w:rsidRPr="005C7611">
        <w:rPr>
          <w:sz w:val="28"/>
          <w:szCs w:val="28"/>
          <w:lang w:val="en-US"/>
        </w:rPr>
        <w:tab/>
      </w:r>
      <w:r w:rsidR="000C528A" w:rsidRPr="005C7611">
        <w:rPr>
          <w:sz w:val="28"/>
          <w:szCs w:val="28"/>
          <w:lang w:val="en-US"/>
        </w:rPr>
        <w:tab/>
      </w:r>
      <w:r w:rsidR="000C528A" w:rsidRPr="005C7611">
        <w:rPr>
          <w:sz w:val="28"/>
          <w:szCs w:val="28"/>
          <w:lang w:val="en-US"/>
        </w:rPr>
        <w:tab/>
      </w:r>
      <w:r w:rsidR="000C528A" w:rsidRPr="005C7611">
        <w:rPr>
          <w:sz w:val="28"/>
          <w:szCs w:val="28"/>
          <w:lang w:val="en-US"/>
        </w:rPr>
        <w:tab/>
      </w:r>
      <w:r w:rsidR="000C528A" w:rsidRPr="005C7611">
        <w:rPr>
          <w:sz w:val="28"/>
          <w:szCs w:val="28"/>
          <w:lang w:val="en-US"/>
        </w:rPr>
        <w:tab/>
      </w:r>
      <w:r w:rsidR="000C528A" w:rsidRPr="005C7611">
        <w:rPr>
          <w:szCs w:val="28"/>
          <w:lang w:val="en-US"/>
        </w:rPr>
        <w:tab/>
        <w:t>(9)</w:t>
      </w:r>
    </w:p>
    <w:bookmarkEnd w:id="1"/>
    <w:p w14:paraId="19B3C9F4" w14:textId="729BAEA8" w:rsidR="000C528A" w:rsidRPr="005C7611" w:rsidRDefault="000C528A" w:rsidP="000C528A">
      <w:pPr>
        <w:pStyle w:val="MainText"/>
        <w:ind w:firstLine="708"/>
        <w:rPr>
          <w:szCs w:val="28"/>
        </w:rPr>
      </w:pPr>
      <w:r w:rsidRPr="005C7611">
        <w:rPr>
          <w:szCs w:val="28"/>
        </w:rPr>
        <w:t xml:space="preserve">While the general trend if for </w:t>
      </w:r>
      <w:proofErr w:type="spellStart"/>
      <w:r w:rsidRPr="005C7611">
        <w:rPr>
          <w:i/>
          <w:szCs w:val="28"/>
        </w:rPr>
        <w:t>k</w:t>
      </w:r>
      <w:r w:rsidRPr="005C7611">
        <w:rPr>
          <w:szCs w:val="28"/>
          <w:vertAlign w:val="subscript"/>
        </w:rPr>
        <w:t>r</w:t>
      </w:r>
      <w:proofErr w:type="spellEnd"/>
      <w:r w:rsidRPr="005C7611">
        <w:rPr>
          <w:szCs w:val="28"/>
        </w:rPr>
        <w:t xml:space="preserve">, </w:t>
      </w:r>
      <w:proofErr w:type="spellStart"/>
      <w:r w:rsidRPr="005C7611">
        <w:rPr>
          <w:i/>
          <w:szCs w:val="28"/>
        </w:rPr>
        <w:t>k</w:t>
      </w:r>
      <w:r w:rsidRPr="005C7611">
        <w:rPr>
          <w:szCs w:val="28"/>
          <w:vertAlign w:val="subscript"/>
        </w:rPr>
        <w:t>FRET</w:t>
      </w:r>
      <w:proofErr w:type="spellEnd"/>
      <w:r w:rsidR="000B2492" w:rsidRPr="005C7611">
        <w:rPr>
          <w:szCs w:val="28"/>
        </w:rPr>
        <w:t xml:space="preserve">, </w:t>
      </w:r>
      <w:r w:rsidRPr="005C7611">
        <w:rPr>
          <w:szCs w:val="28"/>
        </w:rPr>
        <w:t xml:space="preserve">and </w:t>
      </w:r>
      <w:r w:rsidRPr="005C7611">
        <w:rPr>
          <w:i/>
          <w:szCs w:val="28"/>
        </w:rPr>
        <w:t>E</w:t>
      </w:r>
      <w:r w:rsidRPr="005C7611">
        <w:rPr>
          <w:szCs w:val="28"/>
          <w:vertAlign w:val="subscript"/>
        </w:rPr>
        <w:t>FRET</w:t>
      </w:r>
      <w:r w:rsidRPr="005C7611">
        <w:rPr>
          <w:szCs w:val="28"/>
        </w:rPr>
        <w:t xml:space="preserve"> to increase from 2% to 4% doping, as expected, at higher (10%) doping</w:t>
      </w:r>
      <w:r w:rsidR="000B2492" w:rsidRPr="005C7611">
        <w:rPr>
          <w:szCs w:val="28"/>
        </w:rPr>
        <w:t>,</w:t>
      </w:r>
      <w:r w:rsidRPr="005C7611">
        <w:rPr>
          <w:szCs w:val="28"/>
        </w:rPr>
        <w:t xml:space="preserve"> these metrics drop, and the effect is more pronounced for rubrene-doped films than for </w:t>
      </w:r>
      <w:proofErr w:type="spellStart"/>
      <w:r w:rsidRPr="005C7611">
        <w:rPr>
          <w:szCs w:val="28"/>
        </w:rPr>
        <w:t>TBRb</w:t>
      </w:r>
      <w:proofErr w:type="spellEnd"/>
      <w:r w:rsidRPr="005C7611">
        <w:rPr>
          <w:szCs w:val="28"/>
        </w:rPr>
        <w:t xml:space="preserve">-doped films. The proportion of emission from CMAs and the fluorescent emitters, which is derived from the PL spectra depicted in </w:t>
      </w:r>
      <w:r w:rsidRPr="005C7611">
        <w:t xml:space="preserve">Figure </w:t>
      </w:r>
      <w:r w:rsidR="00CE6430" w:rsidRPr="005C7611">
        <w:t>S</w:t>
      </w:r>
      <w:r w:rsidRPr="005C7611">
        <w:t xml:space="preserve">2, and </w:t>
      </w:r>
      <w:r w:rsidRPr="005C7611">
        <w:rPr>
          <w:i/>
          <w:szCs w:val="28"/>
        </w:rPr>
        <w:t>E</w:t>
      </w:r>
      <w:r w:rsidRPr="005C7611">
        <w:rPr>
          <w:szCs w:val="28"/>
          <w:vertAlign w:val="subscript"/>
        </w:rPr>
        <w:t xml:space="preserve">FRET </w:t>
      </w:r>
      <w:r w:rsidRPr="005C7611">
        <w:rPr>
          <w:szCs w:val="28"/>
        </w:rPr>
        <w:t xml:space="preserve">are plotted in Figure </w:t>
      </w:r>
      <w:r w:rsidR="00CE6430" w:rsidRPr="005C7611">
        <w:rPr>
          <w:szCs w:val="28"/>
        </w:rPr>
        <w:t>S</w:t>
      </w:r>
      <w:r w:rsidRPr="005C7611">
        <w:rPr>
          <w:szCs w:val="28"/>
        </w:rPr>
        <w:t xml:space="preserve">4. It is noticeable that the proportion of emission for </w:t>
      </w:r>
      <w:proofErr w:type="spellStart"/>
      <w:r w:rsidRPr="005C7611">
        <w:rPr>
          <w:szCs w:val="28"/>
        </w:rPr>
        <w:t>TBRb</w:t>
      </w:r>
      <w:proofErr w:type="spellEnd"/>
      <w:r w:rsidRPr="005C7611">
        <w:rPr>
          <w:szCs w:val="28"/>
        </w:rPr>
        <w:t xml:space="preserve"> is correlated with </w:t>
      </w:r>
      <w:r w:rsidRPr="005C7611">
        <w:rPr>
          <w:i/>
          <w:szCs w:val="28"/>
        </w:rPr>
        <w:t>E</w:t>
      </w:r>
      <w:r w:rsidRPr="005C7611">
        <w:rPr>
          <w:szCs w:val="28"/>
          <w:vertAlign w:val="subscript"/>
        </w:rPr>
        <w:t>FRET</w:t>
      </w:r>
      <w:r w:rsidRPr="005C7611">
        <w:rPr>
          <w:szCs w:val="28"/>
        </w:rPr>
        <w:t>, whereas for rubrene, the correlation is less pronounced, indicating</w:t>
      </w:r>
      <w:r w:rsidR="0050473E" w:rsidRPr="005C7611">
        <w:rPr>
          <w:szCs w:val="28"/>
        </w:rPr>
        <w:t xml:space="preserve"> that</w:t>
      </w:r>
      <w:r w:rsidRPr="005C7611">
        <w:rPr>
          <w:szCs w:val="28"/>
        </w:rPr>
        <w:t xml:space="preserve"> an additional process begins to dominate. As above, we ascribe this to an increase in</w:t>
      </w:r>
      <w:r w:rsidR="000B2492" w:rsidRPr="005C7611">
        <w:rPr>
          <w:szCs w:val="28"/>
        </w:rPr>
        <w:t xml:space="preserve"> the</w:t>
      </w:r>
      <w:r w:rsidRPr="005C7611">
        <w:rPr>
          <w:szCs w:val="28"/>
        </w:rPr>
        <w:t xml:space="preserve"> DET rate with increased doping concentration.</w:t>
      </w:r>
    </w:p>
    <w:p w14:paraId="215764EB" w14:textId="77777777" w:rsidR="000C528A" w:rsidRPr="005C7611" w:rsidRDefault="000C528A" w:rsidP="000C528A">
      <w:pPr>
        <w:pStyle w:val="Head1"/>
      </w:pPr>
    </w:p>
    <w:p w14:paraId="30C74597" w14:textId="77777777" w:rsidR="000C528A" w:rsidRPr="005C7611" w:rsidRDefault="000C528A" w:rsidP="000C528A">
      <w:pPr>
        <w:pStyle w:val="Head1"/>
        <w:rPr>
          <w:rFonts w:eastAsiaTheme="minorEastAsia"/>
          <w:lang w:eastAsia="ko-KR"/>
        </w:rPr>
      </w:pPr>
      <w:r w:rsidRPr="005C7611">
        <w:t>2.5. Device ch</w:t>
      </w:r>
      <w:r w:rsidR="00CC4C20" w:rsidRPr="005C7611">
        <w:t>a</w:t>
      </w:r>
      <w:r w:rsidRPr="005C7611">
        <w:t>racterization</w:t>
      </w:r>
    </w:p>
    <w:p w14:paraId="67C590DD" w14:textId="77777777" w:rsidR="000C528A" w:rsidRPr="005C7611" w:rsidRDefault="000C528A" w:rsidP="000C528A">
      <w:pPr>
        <w:pStyle w:val="Head1"/>
      </w:pPr>
    </w:p>
    <w:p w14:paraId="2153546A" w14:textId="07A76AE3" w:rsidR="00CC4C20" w:rsidRPr="005C7611" w:rsidRDefault="00CC4C20" w:rsidP="006F1873">
      <w:pPr>
        <w:spacing w:line="480" w:lineRule="auto"/>
        <w:ind w:firstLine="708"/>
        <w:rPr>
          <w:lang w:val="en-US"/>
        </w:rPr>
      </w:pPr>
      <w:r w:rsidRPr="005C7611">
        <w:rPr>
          <w:lang w:val="en-US"/>
        </w:rPr>
        <w:lastRenderedPageBreak/>
        <w:t xml:space="preserve">In light of these photophysical results, </w:t>
      </w:r>
      <w:proofErr w:type="spellStart"/>
      <w:r w:rsidRPr="005C7611">
        <w:rPr>
          <w:lang w:val="en-US"/>
        </w:rPr>
        <w:t>TBRb</w:t>
      </w:r>
      <w:proofErr w:type="spellEnd"/>
      <w:r w:rsidRPr="005C7611">
        <w:rPr>
          <w:lang w:val="en-US"/>
        </w:rPr>
        <w:t xml:space="preserve"> was chosen as a dopant for matrix-free hyperfluorescent OLEDs. </w:t>
      </w:r>
      <w:r w:rsidRPr="005C7611">
        <w:rPr>
          <w:b/>
          <w:bCs/>
          <w:lang w:val="en-US"/>
        </w:rPr>
        <w:t>Figure 5</w:t>
      </w:r>
      <w:r w:rsidRPr="005C7611">
        <w:rPr>
          <w:lang w:val="en-US"/>
        </w:rPr>
        <w:t xml:space="preserve">(a) shows </w:t>
      </w:r>
      <w:r w:rsidR="00556482" w:rsidRPr="005C7611">
        <w:rPr>
          <w:lang w:val="en-US"/>
        </w:rPr>
        <w:t xml:space="preserve">the </w:t>
      </w:r>
      <w:r w:rsidRPr="005C7611">
        <w:rPr>
          <w:lang w:val="en-US"/>
        </w:rPr>
        <w:t>device structure and</w:t>
      </w:r>
      <w:r w:rsidR="003A13C6" w:rsidRPr="005C7611">
        <w:rPr>
          <w:lang w:val="en-US"/>
        </w:rPr>
        <w:t xml:space="preserve"> schematic</w:t>
      </w:r>
      <w:r w:rsidRPr="005C7611">
        <w:rPr>
          <w:lang w:val="en-US"/>
        </w:rPr>
        <w:t xml:space="preserve"> energy </w:t>
      </w:r>
      <w:r w:rsidR="003A13C6" w:rsidRPr="005C7611">
        <w:rPr>
          <w:lang w:val="en-US"/>
        </w:rPr>
        <w:t xml:space="preserve">level </w:t>
      </w:r>
      <w:r w:rsidRPr="005C7611">
        <w:rPr>
          <w:lang w:val="en-US"/>
        </w:rPr>
        <w:t>diagram. 1,1-Bis[(di-4-</w:t>
      </w:r>
      <w:proofErr w:type="gramStart"/>
      <w:r w:rsidRPr="005C7611">
        <w:rPr>
          <w:lang w:val="en-US"/>
        </w:rPr>
        <w:t>tolylamino)phenyl</w:t>
      </w:r>
      <w:proofErr w:type="gramEnd"/>
      <w:r w:rsidRPr="005C7611">
        <w:rPr>
          <w:lang w:val="en-US"/>
        </w:rPr>
        <w:t>]cyclohexane (TAPC) and 2,2',2"-(1,3,5-Benzinetriyl)-tris(1-phenyl-1-H-benzimidazole) (</w:t>
      </w:r>
      <w:proofErr w:type="spellStart"/>
      <w:r w:rsidRPr="005C7611">
        <w:rPr>
          <w:lang w:val="en-US"/>
        </w:rPr>
        <w:t>TPBi</w:t>
      </w:r>
      <w:proofErr w:type="spellEnd"/>
      <w:r w:rsidRPr="005C7611">
        <w:rPr>
          <w:lang w:val="en-US"/>
        </w:rPr>
        <w:t>) were employed as a hole transporting layer (HTL) and an electron transporting layer (ETL), respectively. 1,4-bis(</w:t>
      </w:r>
      <w:proofErr w:type="spellStart"/>
      <w:r w:rsidRPr="005C7611">
        <w:rPr>
          <w:lang w:val="en-US"/>
        </w:rPr>
        <w:t>triphenylsilyl</w:t>
      </w:r>
      <w:proofErr w:type="spellEnd"/>
      <w:r w:rsidRPr="005C7611">
        <w:rPr>
          <w:lang w:val="en-US"/>
        </w:rPr>
        <w:t xml:space="preserve">)benzene (UGH2) with 10% of </w:t>
      </w:r>
      <w:proofErr w:type="spellStart"/>
      <w:r w:rsidRPr="005C7611">
        <w:rPr>
          <w:lang w:val="en-US"/>
        </w:rPr>
        <w:t>TPBi</w:t>
      </w:r>
      <w:proofErr w:type="spellEnd"/>
      <w:r w:rsidRPr="005C7611">
        <w:rPr>
          <w:lang w:val="en-US"/>
        </w:rPr>
        <w:t xml:space="preserve"> was applied to improve charge balance in </w:t>
      </w:r>
      <w:r w:rsidR="003A13C6" w:rsidRPr="005C7611">
        <w:rPr>
          <w:lang w:val="en-US"/>
        </w:rPr>
        <w:t>the</w:t>
      </w:r>
      <w:r w:rsidRPr="005C7611">
        <w:rPr>
          <w:lang w:val="en-US"/>
        </w:rPr>
        <w:t xml:space="preserve"> EML.</w:t>
      </w:r>
      <w:r w:rsidR="00F81BDD" w:rsidRPr="005C7611">
        <w:rPr>
          <w:vertAlign w:val="superscript"/>
          <w:lang w:val="en-US"/>
        </w:rPr>
        <w:t>[31]</w:t>
      </w:r>
      <w:r w:rsidRPr="005C7611">
        <w:rPr>
          <w:lang w:val="en-US"/>
        </w:rPr>
        <w:t xml:space="preserve"> The layers of </w:t>
      </w:r>
      <w:proofErr w:type="spellStart"/>
      <w:r w:rsidRPr="005C7611">
        <w:rPr>
          <w:lang w:val="en-US"/>
        </w:rPr>
        <w:t>TBRb</w:t>
      </w:r>
      <w:proofErr w:type="spellEnd"/>
      <w:r w:rsidRPr="005C7611">
        <w:rPr>
          <w:lang w:val="en-US"/>
        </w:rPr>
        <w:t xml:space="preserve"> 0, 2, 4, and 10% doped in CMA1 or CMA4 served as an EML for matrix-free </w:t>
      </w:r>
      <w:proofErr w:type="spellStart"/>
      <w:r w:rsidR="003A13C6" w:rsidRPr="005C7611">
        <w:rPr>
          <w:lang w:val="en-US"/>
        </w:rPr>
        <w:t>hyperfluorescence</w:t>
      </w:r>
      <w:proofErr w:type="spellEnd"/>
      <w:r w:rsidRPr="005C7611">
        <w:rPr>
          <w:lang w:val="en-US"/>
        </w:rPr>
        <w:t xml:space="preserve">. For comparison, </w:t>
      </w:r>
      <w:proofErr w:type="spellStart"/>
      <w:r w:rsidRPr="005C7611">
        <w:rPr>
          <w:lang w:val="en-US"/>
        </w:rPr>
        <w:t>mCP</w:t>
      </w:r>
      <w:proofErr w:type="spellEnd"/>
      <w:r w:rsidRPr="005C7611">
        <w:rPr>
          <w:lang w:val="en-US"/>
        </w:rPr>
        <w:t xml:space="preserve"> was used as a host matrix for conventional hyperfluorescent devices using the same donor-acceptor mix. CMA1 and CMA4 based hyperfluorescent devices were successfully fabricated; their electroluminescence spectra are displayed in </w:t>
      </w:r>
      <w:r w:rsidRPr="005C7611">
        <w:rPr>
          <w:b/>
          <w:bCs/>
          <w:lang w:val="en-US"/>
        </w:rPr>
        <w:t>Figure 5</w:t>
      </w:r>
      <w:r w:rsidRPr="005C7611">
        <w:rPr>
          <w:lang w:val="en-US"/>
        </w:rPr>
        <w:t xml:space="preserve">(b), </w:t>
      </w:r>
      <w:r w:rsidRPr="005C7611">
        <w:rPr>
          <w:b/>
          <w:bCs/>
          <w:lang w:val="en-US"/>
        </w:rPr>
        <w:t>5</w:t>
      </w:r>
      <w:r w:rsidRPr="005C7611">
        <w:rPr>
          <w:lang w:val="en-US"/>
        </w:rPr>
        <w:t xml:space="preserve">(c), and </w:t>
      </w:r>
      <w:r w:rsidRPr="005C7611">
        <w:rPr>
          <w:b/>
          <w:bCs/>
          <w:lang w:val="en-US"/>
        </w:rPr>
        <w:t>5</w:t>
      </w:r>
      <w:r w:rsidRPr="005C7611">
        <w:rPr>
          <w:lang w:val="en-US"/>
        </w:rPr>
        <w:t xml:space="preserve">(d). As anticipated, as doping concentration increases, the proportion of CMA1 and CMA4 emission decreases as per the PL spectra shown in Figure </w:t>
      </w:r>
      <w:r w:rsidR="00CE6430" w:rsidRPr="005C7611">
        <w:rPr>
          <w:lang w:val="en-US"/>
        </w:rPr>
        <w:t>S</w:t>
      </w:r>
      <w:r w:rsidRPr="005C7611">
        <w:rPr>
          <w:lang w:val="en-US"/>
        </w:rPr>
        <w:t>2.</w:t>
      </w:r>
    </w:p>
    <w:p w14:paraId="14DA3017" w14:textId="3E0A199D" w:rsidR="00CC4C20" w:rsidRPr="005C7611" w:rsidRDefault="00CC4C20" w:rsidP="006F1873">
      <w:pPr>
        <w:spacing w:line="480" w:lineRule="auto"/>
        <w:ind w:firstLine="720"/>
        <w:rPr>
          <w:lang w:val="en-US"/>
        </w:rPr>
      </w:pPr>
      <w:r w:rsidRPr="005C7611">
        <w:rPr>
          <w:lang w:val="en-US"/>
        </w:rPr>
        <w:t>The device characteristics are summari</w:t>
      </w:r>
      <w:r w:rsidR="000A3BDA" w:rsidRPr="005C7611">
        <w:rPr>
          <w:lang w:val="en-US"/>
        </w:rPr>
        <w:t>z</w:t>
      </w:r>
      <w:r w:rsidRPr="005C7611">
        <w:rPr>
          <w:lang w:val="en-US"/>
        </w:rPr>
        <w:t xml:space="preserve">ed in </w:t>
      </w:r>
      <w:r w:rsidRPr="005C7611">
        <w:rPr>
          <w:b/>
          <w:bCs/>
          <w:lang w:val="en-US"/>
        </w:rPr>
        <w:t xml:space="preserve">Table </w:t>
      </w:r>
      <w:r w:rsidR="003A13C6" w:rsidRPr="005C7611">
        <w:rPr>
          <w:b/>
          <w:bCs/>
          <w:lang w:val="en-US"/>
        </w:rPr>
        <w:t>3</w:t>
      </w:r>
      <w:r w:rsidR="003A13C6" w:rsidRPr="005C7611">
        <w:rPr>
          <w:lang w:val="en-US"/>
        </w:rPr>
        <w:t xml:space="preserve">. </w:t>
      </w:r>
      <w:r w:rsidRPr="005C7611">
        <w:rPr>
          <w:b/>
          <w:bCs/>
          <w:lang w:val="en-US"/>
        </w:rPr>
        <w:t>Figure 6</w:t>
      </w:r>
      <w:r w:rsidRPr="005C7611">
        <w:rPr>
          <w:lang w:val="en-US"/>
        </w:rPr>
        <w:t xml:space="preserve"> shows plots of EQE</w:t>
      </w:r>
      <w:r w:rsidR="003A13C6" w:rsidRPr="005C7611">
        <w:rPr>
          <w:lang w:val="en-US"/>
        </w:rPr>
        <w:t xml:space="preserve"> versus </w:t>
      </w:r>
      <w:r w:rsidRPr="005C7611">
        <w:rPr>
          <w:lang w:val="en-US"/>
        </w:rPr>
        <w:t>current density and PCE</w:t>
      </w:r>
      <w:r w:rsidR="003A13C6" w:rsidRPr="005C7611">
        <w:rPr>
          <w:lang w:val="en-US"/>
        </w:rPr>
        <w:t xml:space="preserve"> versus </w:t>
      </w:r>
      <w:r w:rsidRPr="005C7611">
        <w:rPr>
          <w:lang w:val="en-US"/>
        </w:rPr>
        <w:t xml:space="preserve">luminance as the doping concentration of </w:t>
      </w:r>
      <w:proofErr w:type="spellStart"/>
      <w:r w:rsidRPr="005C7611">
        <w:rPr>
          <w:lang w:val="en-US"/>
        </w:rPr>
        <w:t>TBRb</w:t>
      </w:r>
      <w:proofErr w:type="spellEnd"/>
      <w:r w:rsidRPr="005C7611">
        <w:rPr>
          <w:lang w:val="en-US"/>
        </w:rPr>
        <w:t xml:space="preserve"> varies. Additionally, the characteristics of current density and luminance </w:t>
      </w:r>
      <w:r w:rsidR="003A13C6" w:rsidRPr="005C7611">
        <w:rPr>
          <w:lang w:val="en-US"/>
        </w:rPr>
        <w:t>versus</w:t>
      </w:r>
      <w:r w:rsidRPr="005C7611">
        <w:rPr>
          <w:lang w:val="en-US"/>
        </w:rPr>
        <w:t xml:space="preserve"> voltage are plotted in Figure </w:t>
      </w:r>
      <w:r w:rsidR="00CE6430" w:rsidRPr="005C7611">
        <w:rPr>
          <w:lang w:val="en-US"/>
        </w:rPr>
        <w:t>S</w:t>
      </w:r>
      <w:r w:rsidRPr="005C7611">
        <w:rPr>
          <w:lang w:val="en-US"/>
        </w:rPr>
        <w:t xml:space="preserve">5. It is noticeable that CMA1 based devices show much lower turn-on voltage than CMA4 based ones (3.3 V vs 4.3-4.5 V for the matrix-free devices and 3.5 V vs 4.3 V for the devices with a host matrix), mainly due to the difference of electrical properties between CMA1 and CMA4. In terms of CMA1 based devices, the devices with a host matrix exhibit somewhat higher EQE than the matrix-free counterparts. Matrix-free devices with higher doping concentrations of </w:t>
      </w:r>
      <w:proofErr w:type="spellStart"/>
      <w:r w:rsidRPr="005C7611">
        <w:rPr>
          <w:lang w:val="en-US"/>
        </w:rPr>
        <w:t>TBRb</w:t>
      </w:r>
      <w:proofErr w:type="spellEnd"/>
      <w:r w:rsidRPr="005C7611">
        <w:rPr>
          <w:lang w:val="en-US"/>
        </w:rPr>
        <w:t xml:space="preserve"> show lower EQEs, which is well-correlated with the values of PLQE shown in Table 2. The maximum EQE for CMA1 OLED is 15.2% at 2% doping concentration. As shown in Table 3, at 2% doping concentration, the matrix-free device shows 2.6 V lower driving voltage and nearly two-times higher PCE at a brightness of 1000 cd/m</w:t>
      </w:r>
      <w:r w:rsidRPr="005C7611">
        <w:rPr>
          <w:vertAlign w:val="superscript"/>
          <w:lang w:val="en-US"/>
        </w:rPr>
        <w:t>2</w:t>
      </w:r>
      <w:r w:rsidRPr="005C7611">
        <w:rPr>
          <w:lang w:val="en-US"/>
        </w:rPr>
        <w:t xml:space="preserve"> than those for the device incorporating a host matrix. In addition, </w:t>
      </w:r>
      <w:r w:rsidR="008E239E" w:rsidRPr="005C7611">
        <w:rPr>
          <w:lang w:val="en-US"/>
        </w:rPr>
        <w:t>4</w:t>
      </w:r>
      <w:r w:rsidRPr="005C7611">
        <w:rPr>
          <w:lang w:val="en-US"/>
        </w:rPr>
        <w:t xml:space="preserve">0% higher PCE at </w:t>
      </w:r>
      <w:r w:rsidRPr="005C7611">
        <w:rPr>
          <w:lang w:val="en-US"/>
        </w:rPr>
        <w:lastRenderedPageBreak/>
        <w:t>1000 cd/m</w:t>
      </w:r>
      <w:r w:rsidRPr="005C7611">
        <w:rPr>
          <w:vertAlign w:val="superscript"/>
          <w:lang w:val="en-US"/>
        </w:rPr>
        <w:t>2</w:t>
      </w:r>
      <w:r w:rsidRPr="005C7611">
        <w:rPr>
          <w:lang w:val="en-US"/>
        </w:rPr>
        <w:t xml:space="preserve"> is observed in the dopant-free CMA1 based device compared to the </w:t>
      </w:r>
      <w:proofErr w:type="gramStart"/>
      <w:r w:rsidRPr="005C7611">
        <w:rPr>
          <w:lang w:val="en-US"/>
        </w:rPr>
        <w:t>mCP:CMA</w:t>
      </w:r>
      <w:proofErr w:type="gramEnd"/>
      <w:r w:rsidRPr="005C7611">
        <w:rPr>
          <w:lang w:val="en-US"/>
        </w:rPr>
        <w:t xml:space="preserve">1 based counterpart. This clearly shows that the wide-gap host matrix adversely affects device efficiency. Regarding the CMA4 based hyperfluorescent devices, the maximum EQE for the matrix-free device at 2% doping concentration is 16.5%, while that for the device with </w:t>
      </w:r>
      <w:proofErr w:type="spellStart"/>
      <w:r w:rsidRPr="005C7611">
        <w:rPr>
          <w:lang w:val="en-US"/>
        </w:rPr>
        <w:t>mCP</w:t>
      </w:r>
      <w:proofErr w:type="spellEnd"/>
      <w:r w:rsidRPr="005C7611">
        <w:rPr>
          <w:lang w:val="en-US"/>
        </w:rPr>
        <w:t xml:space="preserve"> is 18.1%. Like the CMA1 based devices, the driving voltage for the CMA4 based matrix-free devices is reduced compared to the </w:t>
      </w:r>
      <w:proofErr w:type="gramStart"/>
      <w:r w:rsidRPr="005C7611">
        <w:rPr>
          <w:lang w:val="en-US"/>
        </w:rPr>
        <w:t>mCP:CMA</w:t>
      </w:r>
      <w:proofErr w:type="gramEnd"/>
      <w:r w:rsidRPr="005C7611">
        <w:rPr>
          <w:lang w:val="en-US"/>
        </w:rPr>
        <w:t>4 based devices, showing about 10% higher PCE at 1000 cd/m</w:t>
      </w:r>
      <w:r w:rsidRPr="005C7611">
        <w:rPr>
          <w:vertAlign w:val="superscript"/>
          <w:lang w:val="en-US"/>
        </w:rPr>
        <w:t>2</w:t>
      </w:r>
      <w:r w:rsidRPr="005C7611">
        <w:rPr>
          <w:lang w:val="en-US"/>
        </w:rPr>
        <w:t xml:space="preserve"> despite the lower EQE at 2% </w:t>
      </w:r>
      <w:proofErr w:type="spellStart"/>
      <w:r w:rsidRPr="005C7611">
        <w:rPr>
          <w:lang w:val="en-US"/>
        </w:rPr>
        <w:t>TBRb</w:t>
      </w:r>
      <w:proofErr w:type="spellEnd"/>
      <w:r w:rsidRPr="005C7611">
        <w:rPr>
          <w:lang w:val="en-US"/>
        </w:rPr>
        <w:t xml:space="preserve"> concentration</w:t>
      </w:r>
      <w:r w:rsidR="003A13C6" w:rsidRPr="005C7611">
        <w:rPr>
          <w:lang w:val="en-US"/>
        </w:rPr>
        <w:t>. From this</w:t>
      </w:r>
      <w:r w:rsidR="0050473E" w:rsidRPr="005C7611">
        <w:rPr>
          <w:lang w:val="en-US"/>
        </w:rPr>
        <w:t>,</w:t>
      </w:r>
      <w:r w:rsidR="003A13C6" w:rsidRPr="005C7611">
        <w:rPr>
          <w:lang w:val="en-US"/>
        </w:rPr>
        <w:t xml:space="preserve"> we conclude that both CMA4 and the </w:t>
      </w:r>
      <w:proofErr w:type="spellStart"/>
      <w:r w:rsidR="003A13C6" w:rsidRPr="005C7611">
        <w:rPr>
          <w:lang w:val="en-US"/>
        </w:rPr>
        <w:t>mCP</w:t>
      </w:r>
      <w:proofErr w:type="spellEnd"/>
      <w:r w:rsidR="003A13C6" w:rsidRPr="005C7611">
        <w:rPr>
          <w:lang w:val="en-US"/>
        </w:rPr>
        <w:t xml:space="preserve"> host act to increase driving voltage</w:t>
      </w:r>
      <w:r w:rsidRPr="005C7611">
        <w:rPr>
          <w:lang w:val="en-US"/>
        </w:rPr>
        <w:t>. In addition, even in 10% doping concentration, the EQE of the CMA4 based device is still high, over 11.9%, which is associated with the high PLQE value and the suppressed DET, as shown in Table 2 and Figure 4(b).</w:t>
      </w:r>
    </w:p>
    <w:p w14:paraId="1173A412" w14:textId="77777777" w:rsidR="00CC4C20" w:rsidRPr="005C7611" w:rsidRDefault="00CC4C20" w:rsidP="00CC4C20">
      <w:pPr>
        <w:rPr>
          <w:lang w:val="en-US"/>
        </w:rPr>
      </w:pPr>
    </w:p>
    <w:p w14:paraId="1C6A057B" w14:textId="77777777" w:rsidR="00CC4C20" w:rsidRPr="005C7611" w:rsidRDefault="00CC4C20" w:rsidP="00CC4C20">
      <w:pPr>
        <w:pStyle w:val="Head1"/>
      </w:pPr>
      <w:r w:rsidRPr="005C7611">
        <w:t>3. Conclusion</w:t>
      </w:r>
    </w:p>
    <w:p w14:paraId="2A610957" w14:textId="77777777" w:rsidR="00CC4C20" w:rsidRPr="005C7611" w:rsidRDefault="00CC4C20" w:rsidP="00CC4C20">
      <w:pPr>
        <w:rPr>
          <w:lang w:val="en-US"/>
        </w:rPr>
      </w:pPr>
    </w:p>
    <w:p w14:paraId="67B01749" w14:textId="511CE7B0" w:rsidR="00CC4C20" w:rsidRPr="005C7611" w:rsidRDefault="00CC4C20" w:rsidP="006F1873">
      <w:pPr>
        <w:spacing w:line="480" w:lineRule="auto"/>
        <w:ind w:firstLine="708"/>
        <w:rPr>
          <w:lang w:val="en-US"/>
        </w:rPr>
      </w:pPr>
      <w:r w:rsidRPr="005C7611">
        <w:rPr>
          <w:lang w:val="en-US"/>
        </w:rPr>
        <w:t xml:space="preserve">In summary, we successfully demonstrated matrix-free </w:t>
      </w:r>
      <w:proofErr w:type="spellStart"/>
      <w:r w:rsidRPr="005C7611">
        <w:rPr>
          <w:lang w:val="en-US"/>
        </w:rPr>
        <w:t>hyperfluorescence</w:t>
      </w:r>
      <w:proofErr w:type="spellEnd"/>
      <w:r w:rsidRPr="005C7611">
        <w:rPr>
          <w:lang w:val="en-US"/>
        </w:rPr>
        <w:t xml:space="preserve"> OLED</w:t>
      </w:r>
      <w:r w:rsidR="003A13C6" w:rsidRPr="005C7611">
        <w:rPr>
          <w:lang w:val="en-US"/>
        </w:rPr>
        <w:t>s</w:t>
      </w:r>
      <w:r w:rsidRPr="005C7611">
        <w:rPr>
          <w:lang w:val="en-US"/>
        </w:rPr>
        <w:t xml:space="preserve"> with CMA materials as a donor of excitons. High PLQE in neat films and effective energy transfer to exciton acceptor</w:t>
      </w:r>
      <w:r w:rsidR="008B1639" w:rsidRPr="005C7611">
        <w:rPr>
          <w:lang w:val="en-US"/>
        </w:rPr>
        <w:t>s</w:t>
      </w:r>
      <w:r w:rsidRPr="005C7611">
        <w:rPr>
          <w:lang w:val="en-US"/>
        </w:rPr>
        <w:t xml:space="preserve"> (fluorescent dopant</w:t>
      </w:r>
      <w:r w:rsidR="008B1639" w:rsidRPr="005C7611">
        <w:rPr>
          <w:lang w:val="en-US"/>
        </w:rPr>
        <w:t>s</w:t>
      </w:r>
      <w:r w:rsidRPr="005C7611">
        <w:rPr>
          <w:lang w:val="en-US"/>
        </w:rPr>
        <w:t xml:space="preserve">) </w:t>
      </w:r>
      <w:r w:rsidR="00CE3EA3" w:rsidRPr="005C7611">
        <w:rPr>
          <w:lang w:val="en-US"/>
        </w:rPr>
        <w:t>indicate the</w:t>
      </w:r>
      <w:r w:rsidRPr="005C7611">
        <w:rPr>
          <w:lang w:val="en-US"/>
        </w:rPr>
        <w:t xml:space="preserve"> </w:t>
      </w:r>
      <w:r w:rsidR="000A3BDA" w:rsidRPr="005C7611">
        <w:rPr>
          <w:lang w:val="en-US"/>
        </w:rPr>
        <w:t>high suitability</w:t>
      </w:r>
      <w:r w:rsidRPr="005C7611">
        <w:rPr>
          <w:lang w:val="en-US"/>
        </w:rPr>
        <w:t xml:space="preserve"> of CMA materials</w:t>
      </w:r>
      <w:r w:rsidR="00CE3EA3" w:rsidRPr="005C7611">
        <w:rPr>
          <w:lang w:val="en-US"/>
        </w:rPr>
        <w:t xml:space="preserve"> in this role</w:t>
      </w:r>
      <w:r w:rsidRPr="005C7611">
        <w:rPr>
          <w:lang w:val="en-US"/>
        </w:rPr>
        <w:t xml:space="preserve">. This two-component device architecture is particularly sensitive to DET processes, which </w:t>
      </w:r>
      <w:r w:rsidR="008B1639" w:rsidRPr="005C7611">
        <w:rPr>
          <w:lang w:val="en-US"/>
        </w:rPr>
        <w:t xml:space="preserve">we have shown </w:t>
      </w:r>
      <w:r w:rsidRPr="005C7611">
        <w:rPr>
          <w:lang w:val="en-US"/>
        </w:rPr>
        <w:t xml:space="preserve">can be reduced through the addition of steric t-butyl substituents on both donor and acceptor of excitons.  We showed that a matrix-free hyperfluorescent system </w:t>
      </w:r>
      <w:r w:rsidR="0050473E" w:rsidRPr="005C7611">
        <w:rPr>
          <w:lang w:val="en-US"/>
        </w:rPr>
        <w:t>is</w:t>
      </w:r>
      <w:r w:rsidR="00CE3EA3" w:rsidRPr="005C7611">
        <w:rPr>
          <w:lang w:val="en-US"/>
        </w:rPr>
        <w:t xml:space="preserve"> able to achieve</w:t>
      </w:r>
      <w:r w:rsidRPr="005C7611">
        <w:rPr>
          <w:lang w:val="en-US"/>
        </w:rPr>
        <w:t xml:space="preserve"> up to </w:t>
      </w:r>
      <w:r w:rsidR="00CE3EA3" w:rsidRPr="005C7611">
        <w:rPr>
          <w:lang w:val="en-US"/>
        </w:rPr>
        <w:t>90%</w:t>
      </w:r>
      <w:r w:rsidR="007B2B77" w:rsidRPr="005C7611">
        <w:rPr>
          <w:lang w:val="en-US"/>
        </w:rPr>
        <w:t xml:space="preserve"> </w:t>
      </w:r>
      <w:r w:rsidRPr="005C7611">
        <w:rPr>
          <w:lang w:val="en-US"/>
        </w:rPr>
        <w:t xml:space="preserve">increase in </w:t>
      </w:r>
      <w:r w:rsidR="008154A2" w:rsidRPr="005C7611">
        <w:rPr>
          <w:lang w:val="en-US"/>
        </w:rPr>
        <w:t>PCE</w:t>
      </w:r>
      <w:r w:rsidR="000A3BDA" w:rsidRPr="005C7611">
        <w:rPr>
          <w:lang w:val="en-US"/>
        </w:rPr>
        <w:t xml:space="preserve"> </w:t>
      </w:r>
      <w:r w:rsidRPr="005C7611">
        <w:rPr>
          <w:lang w:val="en-US"/>
        </w:rPr>
        <w:t xml:space="preserve">compared with </w:t>
      </w:r>
      <w:r w:rsidR="00CE3EA3" w:rsidRPr="005C7611">
        <w:rPr>
          <w:lang w:val="en-US"/>
        </w:rPr>
        <w:t>equivalent</w:t>
      </w:r>
      <w:r w:rsidRPr="005C7611">
        <w:rPr>
          <w:lang w:val="en-US"/>
        </w:rPr>
        <w:t xml:space="preserve"> three-component hyperfluorescent OLED</w:t>
      </w:r>
      <w:r w:rsidR="00CE3EA3" w:rsidRPr="005C7611">
        <w:rPr>
          <w:lang w:val="en-US"/>
        </w:rPr>
        <w:t xml:space="preserve">s, and that this increase in performance arises due to the </w:t>
      </w:r>
      <w:r w:rsidRPr="005C7611">
        <w:rPr>
          <w:lang w:val="en-US"/>
        </w:rPr>
        <w:t>significantly reduced driving voltage (</w:t>
      </w:r>
      <w:r w:rsidR="00CE3EA3" w:rsidRPr="005C7611">
        <w:rPr>
          <w:lang w:val="en-US"/>
        </w:rPr>
        <w:t xml:space="preserve">by </w:t>
      </w:r>
      <w:r w:rsidRPr="005C7611">
        <w:rPr>
          <w:lang w:val="en-US"/>
        </w:rPr>
        <w:t xml:space="preserve">up to </w:t>
      </w:r>
      <w:r w:rsidR="00F81BDD" w:rsidRPr="005C7611">
        <w:rPr>
          <w:lang w:val="en-US"/>
        </w:rPr>
        <w:t>2</w:t>
      </w:r>
      <w:r w:rsidRPr="005C7611">
        <w:rPr>
          <w:lang w:val="en-US"/>
        </w:rPr>
        <w:t>.</w:t>
      </w:r>
      <w:r w:rsidR="00F81BDD" w:rsidRPr="005C7611">
        <w:rPr>
          <w:lang w:val="en-US"/>
        </w:rPr>
        <w:t>6</w:t>
      </w:r>
      <w:r w:rsidRPr="005C7611">
        <w:rPr>
          <w:lang w:val="en-US"/>
        </w:rPr>
        <w:t xml:space="preserve"> V at 1000 </w:t>
      </w:r>
      <w:r w:rsidR="00CE3EA3" w:rsidRPr="005C7611">
        <w:rPr>
          <w:lang w:val="en-US"/>
        </w:rPr>
        <w:t>cdm</w:t>
      </w:r>
      <w:r w:rsidR="00CE3EA3" w:rsidRPr="005C7611">
        <w:rPr>
          <w:vertAlign w:val="superscript"/>
          <w:lang w:val="en-US"/>
        </w:rPr>
        <w:t>-2</w:t>
      </w:r>
      <w:r w:rsidR="00CE3EA3" w:rsidRPr="005C7611">
        <w:rPr>
          <w:lang w:val="en-US"/>
        </w:rPr>
        <w:t>)</w:t>
      </w:r>
      <w:r w:rsidRPr="005C7611">
        <w:rPr>
          <w:lang w:val="en-US"/>
        </w:rPr>
        <w:t xml:space="preserve"> </w:t>
      </w:r>
      <w:r w:rsidR="00CE3EA3" w:rsidRPr="005C7611">
        <w:rPr>
          <w:lang w:val="en-US"/>
        </w:rPr>
        <w:t>in the matrix-free devices</w:t>
      </w:r>
      <w:r w:rsidRPr="005C7611">
        <w:rPr>
          <w:lang w:val="en-US"/>
        </w:rPr>
        <w:t xml:space="preserve">. </w:t>
      </w:r>
      <w:r w:rsidR="00CE3EA3" w:rsidRPr="005C7611">
        <w:rPr>
          <w:lang w:val="en-US"/>
        </w:rPr>
        <w:t>The m</w:t>
      </w:r>
      <w:r w:rsidRPr="005C7611">
        <w:rPr>
          <w:lang w:val="en-US"/>
        </w:rPr>
        <w:t>aximum EQE values for CMA1 and CMA4</w:t>
      </w:r>
      <w:r w:rsidR="00CE3EA3" w:rsidRPr="005C7611">
        <w:rPr>
          <w:lang w:val="en-US"/>
        </w:rPr>
        <w:t xml:space="preserve"> matrix-free devices </w:t>
      </w:r>
      <w:r w:rsidRPr="005C7611">
        <w:rPr>
          <w:lang w:val="en-US"/>
        </w:rPr>
        <w:t>(15.2% and 16.5%</w:t>
      </w:r>
      <w:r w:rsidR="00CE3EA3" w:rsidRPr="005C7611">
        <w:rPr>
          <w:lang w:val="en-US"/>
        </w:rPr>
        <w:t xml:space="preserve"> respectively</w:t>
      </w:r>
      <w:r w:rsidRPr="005C7611">
        <w:rPr>
          <w:lang w:val="en-US"/>
        </w:rPr>
        <w:t>)</w:t>
      </w:r>
      <w:r w:rsidR="00CE3EA3" w:rsidRPr="005C7611">
        <w:rPr>
          <w:lang w:val="en-US"/>
        </w:rPr>
        <w:t xml:space="preserve"> are reduced by </w:t>
      </w:r>
      <w:r w:rsidR="008B1639" w:rsidRPr="005C7611">
        <w:rPr>
          <w:lang w:val="en-US"/>
        </w:rPr>
        <w:t xml:space="preserve">only </w:t>
      </w:r>
      <w:r w:rsidR="00CE3EA3" w:rsidRPr="005C7611">
        <w:rPr>
          <w:lang w:val="en-US"/>
        </w:rPr>
        <w:t>5-10% versus devices incorporating a host matrix, which was identified as the result of increased DET.</w:t>
      </w:r>
      <w:r w:rsidRPr="005C7611">
        <w:rPr>
          <w:lang w:val="en-US"/>
        </w:rPr>
        <w:t xml:space="preserve"> We envisage that with </w:t>
      </w:r>
      <w:r w:rsidRPr="005C7611">
        <w:rPr>
          <w:lang w:val="en-US"/>
        </w:rPr>
        <w:lastRenderedPageBreak/>
        <w:t>further work</w:t>
      </w:r>
      <w:r w:rsidR="00CE6430" w:rsidRPr="005C7611">
        <w:rPr>
          <w:lang w:val="en-US"/>
        </w:rPr>
        <w:t>,</w:t>
      </w:r>
      <w:r w:rsidRPr="005C7611">
        <w:rPr>
          <w:lang w:val="en-US"/>
        </w:rPr>
        <w:t xml:space="preserve"> two-component hyperfluorescent OLEDs </w:t>
      </w:r>
      <w:r w:rsidR="008B1639" w:rsidRPr="005C7611">
        <w:rPr>
          <w:lang w:val="en-US"/>
        </w:rPr>
        <w:t>may become the</w:t>
      </w:r>
      <w:r w:rsidRPr="005C7611">
        <w:rPr>
          <w:lang w:val="en-US"/>
        </w:rPr>
        <w:t xml:space="preserve"> next industry-preferred method to enhance </w:t>
      </w:r>
      <w:r w:rsidR="008B1639" w:rsidRPr="005C7611">
        <w:rPr>
          <w:lang w:val="en-US"/>
        </w:rPr>
        <w:t>OLED</w:t>
      </w:r>
      <w:r w:rsidRPr="005C7611">
        <w:rPr>
          <w:lang w:val="en-US"/>
        </w:rPr>
        <w:t xml:space="preserve"> device performance.</w:t>
      </w:r>
    </w:p>
    <w:p w14:paraId="697A2CB3" w14:textId="77777777" w:rsidR="00004A23" w:rsidRPr="005C7611" w:rsidRDefault="00004A23" w:rsidP="00004A23">
      <w:pPr>
        <w:rPr>
          <w:lang w:val="en-US"/>
        </w:rPr>
      </w:pPr>
    </w:p>
    <w:p w14:paraId="0F11BF6C" w14:textId="77777777" w:rsidR="00004A23" w:rsidRPr="005C7611" w:rsidRDefault="00CC4C20" w:rsidP="008E5835">
      <w:pPr>
        <w:pStyle w:val="Head1"/>
      </w:pPr>
      <w:r w:rsidRPr="005C7611">
        <w:t>4</w:t>
      </w:r>
      <w:r w:rsidR="00004A23" w:rsidRPr="005C7611">
        <w:t>. Experimental</w:t>
      </w:r>
      <w:r w:rsidR="002D16A0" w:rsidRPr="005C7611">
        <w:t xml:space="preserve"> Section</w:t>
      </w:r>
    </w:p>
    <w:p w14:paraId="36E95765" w14:textId="77777777" w:rsidR="00CC4C20" w:rsidRPr="005C7611" w:rsidRDefault="00CC4C20" w:rsidP="008E5835">
      <w:pPr>
        <w:pStyle w:val="Head1"/>
      </w:pPr>
    </w:p>
    <w:p w14:paraId="30CA8A45" w14:textId="12CE1ADD" w:rsidR="00CC4C20" w:rsidRPr="005C7611" w:rsidRDefault="00CC4C20" w:rsidP="006F1873">
      <w:pPr>
        <w:spacing w:line="480" w:lineRule="auto"/>
        <w:rPr>
          <w:lang w:val="en-US"/>
        </w:rPr>
      </w:pPr>
      <w:r w:rsidRPr="005C7611">
        <w:rPr>
          <w:i/>
          <w:lang w:val="en-US"/>
        </w:rPr>
        <w:t>Sample preparation</w:t>
      </w:r>
      <w:r w:rsidR="002D16A0" w:rsidRPr="005C7611">
        <w:rPr>
          <w:lang w:val="en-US"/>
        </w:rPr>
        <w:t xml:space="preserve">: </w:t>
      </w:r>
      <w:r w:rsidRPr="005C7611">
        <w:rPr>
          <w:lang w:val="en-US"/>
        </w:rPr>
        <w:t xml:space="preserve">To measure absorption spectra in solution, rubrene and </w:t>
      </w:r>
      <w:proofErr w:type="spellStart"/>
      <w:r w:rsidRPr="005C7611">
        <w:rPr>
          <w:lang w:val="en-US"/>
        </w:rPr>
        <w:t>TBRb</w:t>
      </w:r>
      <w:proofErr w:type="spellEnd"/>
      <w:r w:rsidRPr="005C7611">
        <w:rPr>
          <w:lang w:val="en-US"/>
        </w:rPr>
        <w:t xml:space="preserve"> were dissolved in toluene and methylene chloride (10</w:t>
      </w:r>
      <w:r w:rsidRPr="005C7611">
        <w:rPr>
          <w:vertAlign w:val="superscript"/>
          <w:lang w:val="en-US"/>
        </w:rPr>
        <w:t xml:space="preserve">-4 </w:t>
      </w:r>
      <w:r w:rsidRPr="005C7611">
        <w:rPr>
          <w:lang w:val="en-US"/>
        </w:rPr>
        <w:t>M), respectively. Organic films were made by a thermal evaporation process under high vacuum (~10</w:t>
      </w:r>
      <w:r w:rsidRPr="005C7611">
        <w:rPr>
          <w:vertAlign w:val="superscript"/>
          <w:lang w:val="en-US"/>
        </w:rPr>
        <w:t>-7</w:t>
      </w:r>
      <w:r w:rsidRPr="005C7611">
        <w:rPr>
          <w:lang w:val="en-US"/>
        </w:rPr>
        <w:t xml:space="preserve"> torr). 100 nm thick neat films were thermally evaporated on a silicon wafer for the measurement of refractive index. 50 nm of </w:t>
      </w:r>
      <w:proofErr w:type="gramStart"/>
      <w:r w:rsidRPr="005C7611">
        <w:rPr>
          <w:lang w:val="en-US"/>
        </w:rPr>
        <w:t>mCP:CMA</w:t>
      </w:r>
      <w:proofErr w:type="gramEnd"/>
      <w:r w:rsidRPr="005C7611">
        <w:rPr>
          <w:lang w:val="en-US"/>
        </w:rPr>
        <w:t xml:space="preserve">1 or CMA4 20% films and with 2% rubrene or </w:t>
      </w:r>
      <w:proofErr w:type="spellStart"/>
      <w:r w:rsidRPr="005C7611">
        <w:rPr>
          <w:lang w:val="en-US"/>
        </w:rPr>
        <w:t>TBRb</w:t>
      </w:r>
      <w:proofErr w:type="spellEnd"/>
      <w:r w:rsidRPr="005C7611">
        <w:rPr>
          <w:lang w:val="en-US"/>
        </w:rPr>
        <w:t xml:space="preserve"> concentration and 30 nm thick CMAs and </w:t>
      </w:r>
      <w:proofErr w:type="spellStart"/>
      <w:r w:rsidRPr="005C7611">
        <w:rPr>
          <w:lang w:val="en-US"/>
        </w:rPr>
        <w:t>TBRb</w:t>
      </w:r>
      <w:proofErr w:type="spellEnd"/>
      <w:r w:rsidRPr="005C7611">
        <w:rPr>
          <w:lang w:val="en-US"/>
        </w:rPr>
        <w:t xml:space="preserve"> or rubrene mixed films with the variation of doping concentration from 2% to 10% were deposited on glass substrates to measure steady-state PL, PLQE, and transient PL. For the fabrication of OLED devices, ITO coated substrates (~15 Ω/cm</w:t>
      </w:r>
      <w:r w:rsidRPr="005C7611">
        <w:rPr>
          <w:vertAlign w:val="superscript"/>
          <w:lang w:val="en-US"/>
        </w:rPr>
        <w:t>2</w:t>
      </w:r>
      <w:r w:rsidRPr="005C7611">
        <w:rPr>
          <w:lang w:val="en-US"/>
        </w:rPr>
        <w:t>) were cleaned with acetone and isopropyl alcohol</w:t>
      </w:r>
      <w:r w:rsidR="00627AB6" w:rsidRPr="005C7611">
        <w:rPr>
          <w:lang w:val="en-US"/>
        </w:rPr>
        <w:t>,</w:t>
      </w:r>
      <w:r w:rsidRPr="005C7611">
        <w:rPr>
          <w:lang w:val="en-US"/>
        </w:rPr>
        <w:t xml:space="preserve"> and then O</w:t>
      </w:r>
      <w:r w:rsidRPr="005C7611">
        <w:rPr>
          <w:vertAlign w:val="subscript"/>
          <w:lang w:val="en-US"/>
        </w:rPr>
        <w:t>2</w:t>
      </w:r>
      <w:r w:rsidRPr="005C7611">
        <w:rPr>
          <w:lang w:val="en-US"/>
        </w:rPr>
        <w:t xml:space="preserve"> plasma treatment was applied to align the energy level with a hole transporting layer. All layers, including organic layers and a </w:t>
      </w:r>
      <w:proofErr w:type="spellStart"/>
      <w:r w:rsidRPr="005C7611">
        <w:rPr>
          <w:lang w:val="en-US"/>
        </w:rPr>
        <w:t>LiF</w:t>
      </w:r>
      <w:proofErr w:type="spellEnd"/>
      <w:r w:rsidRPr="005C7611">
        <w:rPr>
          <w:lang w:val="en-US"/>
        </w:rPr>
        <w:t>/</w:t>
      </w:r>
      <w:proofErr w:type="spellStart"/>
      <w:r w:rsidRPr="005C7611">
        <w:rPr>
          <w:lang w:val="en-US"/>
        </w:rPr>
        <w:t>aluminium</w:t>
      </w:r>
      <w:proofErr w:type="spellEnd"/>
      <w:r w:rsidRPr="005C7611">
        <w:rPr>
          <w:lang w:val="en-US"/>
        </w:rPr>
        <w:t xml:space="preserve"> cathode, were thermally deposited in high vacuum (~10</w:t>
      </w:r>
      <w:r w:rsidRPr="005C7611">
        <w:rPr>
          <w:vertAlign w:val="superscript"/>
          <w:lang w:val="en-US"/>
        </w:rPr>
        <w:t>-7</w:t>
      </w:r>
      <w:r w:rsidRPr="005C7611">
        <w:rPr>
          <w:lang w:val="en-US"/>
        </w:rPr>
        <w:t xml:space="preserve"> torr).</w:t>
      </w:r>
      <w:r w:rsidR="0053626D" w:rsidRPr="005C7611">
        <w:rPr>
          <w:lang w:val="en-US"/>
        </w:rPr>
        <w:t xml:space="preserve"> </w:t>
      </w:r>
      <w:r w:rsidR="00C33E27" w:rsidRPr="005C7611">
        <w:rPr>
          <w:lang w:val="en-US"/>
        </w:rPr>
        <w:t>Additionally</w:t>
      </w:r>
      <w:r w:rsidR="00301A63" w:rsidRPr="005C7611">
        <w:rPr>
          <w:lang w:val="en-US"/>
        </w:rPr>
        <w:t>,</w:t>
      </w:r>
      <w:r w:rsidR="0053626D" w:rsidRPr="005C7611">
        <w:rPr>
          <w:lang w:val="en-US"/>
        </w:rPr>
        <w:t xml:space="preserve"> doping concentration </w:t>
      </w:r>
      <w:r w:rsidR="00301A63" w:rsidRPr="005C7611">
        <w:rPr>
          <w:lang w:val="en-US"/>
        </w:rPr>
        <w:t>means volume % since the deposition process was calibrated based on the measurement of the film thickness.</w:t>
      </w:r>
    </w:p>
    <w:p w14:paraId="652744F8" w14:textId="77777777" w:rsidR="00CC4C20" w:rsidRPr="005C7611" w:rsidRDefault="00CC4C20" w:rsidP="006F1873">
      <w:pPr>
        <w:spacing w:line="480" w:lineRule="auto"/>
        <w:rPr>
          <w:lang w:val="en-US"/>
        </w:rPr>
      </w:pPr>
    </w:p>
    <w:p w14:paraId="2E8DB802" w14:textId="77777777" w:rsidR="002D16A0" w:rsidRPr="005C7611" w:rsidRDefault="00CC4C20" w:rsidP="006F1873">
      <w:pPr>
        <w:pStyle w:val="ExperimentalText"/>
      </w:pPr>
      <w:r w:rsidRPr="005C7611">
        <w:rPr>
          <w:i/>
        </w:rPr>
        <w:t>Photophysical measurements and device characterization</w:t>
      </w:r>
      <w:r w:rsidRPr="005C7611">
        <w:t xml:space="preserve">: Steady-state PL spectra were measured from FLS980 </w:t>
      </w:r>
      <w:proofErr w:type="spellStart"/>
      <w:r w:rsidRPr="005C7611">
        <w:t>spectrofluorimeter</w:t>
      </w:r>
      <w:proofErr w:type="spellEnd"/>
      <w:r w:rsidRPr="005C7611">
        <w:t xml:space="preserve"> with a </w:t>
      </w:r>
      <w:proofErr w:type="spellStart"/>
      <w:r w:rsidRPr="005C7611">
        <w:t>monochromated</w:t>
      </w:r>
      <w:proofErr w:type="spellEnd"/>
      <w:r w:rsidRPr="005C7611">
        <w:t xml:space="preserve"> xenon arc lamp at </w:t>
      </w:r>
      <w:proofErr w:type="spellStart"/>
      <w:r w:rsidRPr="005C7611">
        <w:t>λ</w:t>
      </w:r>
      <w:r w:rsidRPr="005C7611">
        <w:rPr>
          <w:vertAlign w:val="subscript"/>
        </w:rPr>
        <w:t>Ex</w:t>
      </w:r>
      <w:proofErr w:type="spellEnd"/>
      <w:r w:rsidRPr="005C7611">
        <w:t xml:space="preserve"> = 370 nm for CMA1 and </w:t>
      </w:r>
      <w:proofErr w:type="spellStart"/>
      <w:r w:rsidRPr="005C7611">
        <w:t>λ</w:t>
      </w:r>
      <w:r w:rsidRPr="005C7611">
        <w:rPr>
          <w:vertAlign w:val="subscript"/>
        </w:rPr>
        <w:t>Ex</w:t>
      </w:r>
      <w:proofErr w:type="spellEnd"/>
      <w:r w:rsidRPr="005C7611">
        <w:t xml:space="preserve"> = 398 nm for CMA4. Shimadzu UV-3600 Plus spectrophotometer was employed for the measurement of absorption spectra. An ellipsometer (J. A. </w:t>
      </w:r>
      <w:proofErr w:type="spellStart"/>
      <w:r w:rsidRPr="005C7611">
        <w:t>Woollam</w:t>
      </w:r>
      <w:proofErr w:type="spellEnd"/>
      <w:r w:rsidRPr="005C7611">
        <w:t xml:space="preserve"> Co., Inc) was used to gain the real part of the refractive index. The values of PLQE were extracted from the use of an integrating sphere with a nitrogen flow using an </w:t>
      </w:r>
      <w:proofErr w:type="spellStart"/>
      <w:r w:rsidRPr="005C7611">
        <w:t>Andor</w:t>
      </w:r>
      <w:proofErr w:type="spellEnd"/>
      <w:r w:rsidRPr="005C7611">
        <w:t xml:space="preserve"> Shamrock spectrometer and </w:t>
      </w:r>
      <w:proofErr w:type="spellStart"/>
      <w:r w:rsidRPr="005C7611">
        <w:t>Andor</w:t>
      </w:r>
      <w:proofErr w:type="spellEnd"/>
      <w:r w:rsidRPr="005C7611">
        <w:t xml:space="preserve"> </w:t>
      </w:r>
      <w:proofErr w:type="spellStart"/>
      <w:r w:rsidRPr="005C7611">
        <w:t>iDus</w:t>
      </w:r>
      <w:proofErr w:type="spellEnd"/>
      <w:r w:rsidRPr="005C7611">
        <w:t xml:space="preserve"> CCD array and laser excitation at </w:t>
      </w:r>
      <w:proofErr w:type="spellStart"/>
      <w:r w:rsidRPr="005C7611">
        <w:t>λ</w:t>
      </w:r>
      <w:r w:rsidRPr="005C7611">
        <w:rPr>
          <w:vertAlign w:val="subscript"/>
        </w:rPr>
        <w:t>Ex</w:t>
      </w:r>
      <w:proofErr w:type="spellEnd"/>
      <w:r w:rsidRPr="005C7611">
        <w:t xml:space="preserve"> = 405 nm. Transient PL was recorded by a time-correlated single photon counting (TCSPC) system at room </w:t>
      </w:r>
      <w:r w:rsidRPr="005C7611">
        <w:lastRenderedPageBreak/>
        <w:t>temperature (~285K) under vacuum (~10</w:t>
      </w:r>
      <w:r w:rsidRPr="005C7611">
        <w:rPr>
          <w:vertAlign w:val="superscript"/>
        </w:rPr>
        <w:t>-5</w:t>
      </w:r>
      <w:r w:rsidRPr="005C7611">
        <w:t xml:space="preserve"> torr), and samples are excited by 375 nm (PDL 800-B, </w:t>
      </w:r>
      <w:proofErr w:type="spellStart"/>
      <w:r w:rsidRPr="005C7611">
        <w:t>PicoQuant</w:t>
      </w:r>
      <w:proofErr w:type="spellEnd"/>
      <w:r w:rsidRPr="005C7611">
        <w:t>). The performance of the OLED devices was measured by using a Keithley 2635 source-meter and a calibrated Si photodiode.</w:t>
      </w:r>
    </w:p>
    <w:p w14:paraId="0DD8FD5F" w14:textId="77777777" w:rsidR="00131D58" w:rsidRPr="005C7611" w:rsidRDefault="00131D58" w:rsidP="00131D58">
      <w:pPr>
        <w:pStyle w:val="MainText"/>
        <w:spacing w:line="240" w:lineRule="auto"/>
      </w:pPr>
    </w:p>
    <w:p w14:paraId="587CD46A" w14:textId="77777777" w:rsidR="00131D58" w:rsidRPr="005C7611" w:rsidRDefault="00131D58" w:rsidP="00131D58">
      <w:pPr>
        <w:pStyle w:val="Acknowledgements"/>
        <w:rPr>
          <w:iCs/>
        </w:rPr>
      </w:pPr>
      <w:r w:rsidRPr="005C7611">
        <w:rPr>
          <w:b/>
        </w:rPr>
        <w:t>Supporting Information</w:t>
      </w:r>
    </w:p>
    <w:p w14:paraId="47EDDB79" w14:textId="77777777" w:rsidR="00131D58" w:rsidRPr="005C7611" w:rsidRDefault="00131D58" w:rsidP="00131D58">
      <w:pPr>
        <w:pStyle w:val="Acknowledgements"/>
      </w:pPr>
      <w:r w:rsidRPr="005C7611">
        <w:t>Supporting Information is available from the Wiley Online Library or from the author.</w:t>
      </w:r>
    </w:p>
    <w:p w14:paraId="0B097931" w14:textId="77777777" w:rsidR="00004A23" w:rsidRPr="005C7611" w:rsidRDefault="00004A23" w:rsidP="00004A23">
      <w:pPr>
        <w:pStyle w:val="MainText"/>
      </w:pPr>
    </w:p>
    <w:p w14:paraId="057B042D" w14:textId="77777777" w:rsidR="002D16A0" w:rsidRPr="005C7611" w:rsidRDefault="002D16A0" w:rsidP="008E5835">
      <w:pPr>
        <w:pStyle w:val="Head1"/>
      </w:pPr>
      <w:r w:rsidRPr="005C7611">
        <w:t>Acknowledgements</w:t>
      </w:r>
    </w:p>
    <w:p w14:paraId="5B5BEEBD" w14:textId="77777777" w:rsidR="00CC4C20" w:rsidRPr="005C7611" w:rsidRDefault="00CC4C20" w:rsidP="006F1873">
      <w:pPr>
        <w:rPr>
          <w:lang w:val="en-US"/>
        </w:rPr>
      </w:pPr>
      <w:r w:rsidRPr="005C7611">
        <w:rPr>
          <w:lang w:val="en-US"/>
        </w:rPr>
        <w:t xml:space="preserve">This work was supported by the Engineering and Physical Sciences Research Council (EPSRC, grant no. EP/M005143/1), the Royal Society (grant no. UF130278), the European Research Council (ERC) and Samsung Display Co. Ltd (SDC). H.-H. Cho acknowledges George and Lilian Schiff Foundation for Ph.D. studentship funding. H.-H. Cho acknowledges Professor Russell Holmes, Dr Emrys Evans, Dr Saul T. E. Jones and Campbell </w:t>
      </w:r>
      <w:r w:rsidRPr="005C7611">
        <w:rPr>
          <w:lang w:val="en-US" w:eastAsia="ko-KR"/>
        </w:rPr>
        <w:t>S. B.</w:t>
      </w:r>
      <w:r w:rsidRPr="005C7611">
        <w:rPr>
          <w:lang w:val="en-US"/>
        </w:rPr>
        <w:t xml:space="preserve"> Matthews for helpful advice and guidance on experiments.</w:t>
      </w:r>
    </w:p>
    <w:p w14:paraId="70E2B1EF" w14:textId="77777777" w:rsidR="00C56CD4" w:rsidRPr="005C7611" w:rsidRDefault="00C56CD4" w:rsidP="00C56CD4">
      <w:pPr>
        <w:pStyle w:val="Acknowledgements"/>
        <w:rPr>
          <w:b/>
        </w:rPr>
      </w:pPr>
    </w:p>
    <w:p w14:paraId="43D0FF88" w14:textId="77777777" w:rsidR="00004A23" w:rsidRPr="005C7611" w:rsidRDefault="00004A23" w:rsidP="00004A23">
      <w:pPr>
        <w:pStyle w:val="dates"/>
      </w:pPr>
      <w:r w:rsidRPr="005C7611">
        <w:t>Received: ((will be filled in by the editorial staff))</w:t>
      </w:r>
      <w:r w:rsidRPr="005C7611">
        <w:br/>
        <w:t>Revised: ((will be filled in by the editorial staff))</w:t>
      </w:r>
      <w:r w:rsidRPr="005C7611">
        <w:br/>
        <w:t>Published online: ((will be filled in by the editorial staff))</w:t>
      </w:r>
    </w:p>
    <w:p w14:paraId="43E7D8DA" w14:textId="77777777" w:rsidR="00004A23" w:rsidRPr="005C7611" w:rsidRDefault="00004A23" w:rsidP="00004A23">
      <w:pPr>
        <w:pStyle w:val="MainText"/>
      </w:pPr>
    </w:p>
    <w:p w14:paraId="3076F1DF" w14:textId="77777777" w:rsidR="00FE4D5F" w:rsidRPr="005C7611" w:rsidRDefault="00FE4D5F" w:rsidP="00004A23">
      <w:pPr>
        <w:pStyle w:val="MainText"/>
      </w:pPr>
      <w:r w:rsidRPr="005C7611">
        <w:t>References</w:t>
      </w:r>
    </w:p>
    <w:p w14:paraId="5E29C736" w14:textId="77777777" w:rsidR="00B55AAA" w:rsidRPr="005C7611" w:rsidRDefault="00B55AAA" w:rsidP="006F1873">
      <w:pPr>
        <w:spacing w:after="200" w:line="480" w:lineRule="auto"/>
        <w:rPr>
          <w:lang w:val="en-US"/>
        </w:rPr>
      </w:pPr>
      <w:r w:rsidRPr="005C7611">
        <w:rPr>
          <w:lang w:val="en-US"/>
        </w:rPr>
        <w:t xml:space="preserve">[1] </w:t>
      </w:r>
      <w:r w:rsidRPr="005C7611">
        <w:rPr>
          <w:lang w:val="en-US"/>
        </w:rPr>
        <w:tab/>
        <w:t xml:space="preserve">C. W. Tang and S. A. </w:t>
      </w:r>
      <w:proofErr w:type="spellStart"/>
      <w:r w:rsidRPr="005C7611">
        <w:rPr>
          <w:lang w:val="en-US"/>
        </w:rPr>
        <w:t>VanSlyke</w:t>
      </w:r>
      <w:proofErr w:type="spellEnd"/>
      <w:r w:rsidRPr="005C7611">
        <w:rPr>
          <w:lang w:val="en-US"/>
        </w:rPr>
        <w:t xml:space="preserve">, </w:t>
      </w:r>
      <w:r w:rsidRPr="005C7611">
        <w:rPr>
          <w:i/>
          <w:iCs/>
          <w:lang w:val="en-US"/>
        </w:rPr>
        <w:t>Appl. Phys. Lett.</w:t>
      </w:r>
      <w:r w:rsidRPr="005C7611">
        <w:rPr>
          <w:lang w:val="en-US"/>
        </w:rPr>
        <w:t xml:space="preserve"> </w:t>
      </w:r>
      <w:r w:rsidRPr="005C7611">
        <w:rPr>
          <w:b/>
          <w:bCs/>
          <w:lang w:val="en-US"/>
        </w:rPr>
        <w:t>1987</w:t>
      </w:r>
      <w:r w:rsidRPr="005C7611">
        <w:rPr>
          <w:lang w:val="en-US"/>
        </w:rPr>
        <w:t>, 51, 913</w:t>
      </w:r>
    </w:p>
    <w:p w14:paraId="03CC3C3C" w14:textId="77777777" w:rsidR="00B55AAA" w:rsidRPr="005C7611" w:rsidRDefault="00B55AAA" w:rsidP="006F1873">
      <w:pPr>
        <w:spacing w:after="200" w:line="480" w:lineRule="auto"/>
        <w:rPr>
          <w:lang w:val="en-US"/>
        </w:rPr>
      </w:pPr>
      <w:r w:rsidRPr="005C7611">
        <w:rPr>
          <w:lang w:val="en-US"/>
        </w:rPr>
        <w:t xml:space="preserve">[2] </w:t>
      </w:r>
      <w:r w:rsidRPr="005C7611">
        <w:rPr>
          <w:lang w:val="en-US"/>
        </w:rPr>
        <w:tab/>
        <w:t xml:space="preserve">M. A. </w:t>
      </w:r>
      <w:proofErr w:type="spellStart"/>
      <w:r w:rsidRPr="005C7611">
        <w:rPr>
          <w:lang w:val="en-US"/>
        </w:rPr>
        <w:t>Baldo</w:t>
      </w:r>
      <w:proofErr w:type="spellEnd"/>
      <w:r w:rsidRPr="005C7611">
        <w:rPr>
          <w:lang w:val="en-US"/>
        </w:rPr>
        <w:t xml:space="preserve">, S. </w:t>
      </w:r>
      <w:proofErr w:type="spellStart"/>
      <w:r w:rsidRPr="005C7611">
        <w:rPr>
          <w:lang w:val="en-US"/>
        </w:rPr>
        <w:t>Lamansky</w:t>
      </w:r>
      <w:proofErr w:type="spellEnd"/>
      <w:r w:rsidRPr="005C7611">
        <w:rPr>
          <w:lang w:val="en-US"/>
        </w:rPr>
        <w:t xml:space="preserve">, P. E. Burrows, M. E. Thompson, S. R. Forrest, </w:t>
      </w:r>
      <w:r w:rsidRPr="005C7611">
        <w:rPr>
          <w:i/>
          <w:iCs/>
          <w:lang w:val="en-US"/>
        </w:rPr>
        <w:t>Appl. Phys. Lett.</w:t>
      </w:r>
      <w:r w:rsidRPr="005C7611">
        <w:rPr>
          <w:lang w:val="en-US"/>
        </w:rPr>
        <w:t xml:space="preserve"> </w:t>
      </w:r>
      <w:r w:rsidRPr="005C7611">
        <w:rPr>
          <w:b/>
          <w:bCs/>
          <w:lang w:val="en-US"/>
        </w:rPr>
        <w:t>1999</w:t>
      </w:r>
      <w:r w:rsidRPr="005C7611">
        <w:rPr>
          <w:lang w:val="en-US"/>
        </w:rPr>
        <w:t>, 75, 4</w:t>
      </w:r>
    </w:p>
    <w:p w14:paraId="4D2F8690" w14:textId="77777777" w:rsidR="00B55AAA" w:rsidRPr="005C7611" w:rsidRDefault="00B55AAA" w:rsidP="006F1873">
      <w:pPr>
        <w:spacing w:after="200" w:line="480" w:lineRule="auto"/>
        <w:rPr>
          <w:lang w:val="en-US"/>
        </w:rPr>
      </w:pPr>
      <w:r w:rsidRPr="005C7611">
        <w:rPr>
          <w:lang w:val="en-US"/>
        </w:rPr>
        <w:t xml:space="preserve">[3] </w:t>
      </w:r>
      <w:r w:rsidRPr="005C7611">
        <w:rPr>
          <w:lang w:val="en-US"/>
        </w:rPr>
        <w:tab/>
        <w:t xml:space="preserve">M. A. </w:t>
      </w:r>
      <w:proofErr w:type="spellStart"/>
      <w:r w:rsidRPr="005C7611">
        <w:rPr>
          <w:lang w:val="en-US"/>
        </w:rPr>
        <w:t>Baldo</w:t>
      </w:r>
      <w:proofErr w:type="spellEnd"/>
      <w:r w:rsidRPr="005C7611">
        <w:rPr>
          <w:lang w:val="en-US"/>
        </w:rPr>
        <w:t xml:space="preserve">, D. F. O’Brien, Y. You, A. </w:t>
      </w:r>
      <w:proofErr w:type="spellStart"/>
      <w:r w:rsidRPr="005C7611">
        <w:rPr>
          <w:lang w:val="en-US"/>
        </w:rPr>
        <w:t>Shoustikov</w:t>
      </w:r>
      <w:proofErr w:type="spellEnd"/>
      <w:r w:rsidRPr="005C7611">
        <w:rPr>
          <w:lang w:val="en-US"/>
        </w:rPr>
        <w:t xml:space="preserve">, S. Sibley, M. E. Thompson &amp; S. R. Forrest, </w:t>
      </w:r>
      <w:r w:rsidRPr="005C7611">
        <w:rPr>
          <w:i/>
          <w:iCs/>
          <w:lang w:val="en-US"/>
        </w:rPr>
        <w:t>Nature</w:t>
      </w:r>
      <w:r w:rsidRPr="005C7611">
        <w:rPr>
          <w:lang w:val="en-US"/>
        </w:rPr>
        <w:t xml:space="preserve"> </w:t>
      </w:r>
      <w:r w:rsidRPr="005C7611">
        <w:rPr>
          <w:b/>
          <w:bCs/>
          <w:lang w:val="en-US"/>
        </w:rPr>
        <w:t>1998</w:t>
      </w:r>
      <w:r w:rsidRPr="005C7611">
        <w:rPr>
          <w:lang w:val="en-US"/>
        </w:rPr>
        <w:t>, 395, 151-154</w:t>
      </w:r>
    </w:p>
    <w:p w14:paraId="334A2811" w14:textId="77777777" w:rsidR="00B55AAA" w:rsidRPr="005C7611" w:rsidRDefault="00B55AAA" w:rsidP="006F1873">
      <w:pPr>
        <w:spacing w:after="200" w:line="480" w:lineRule="auto"/>
        <w:rPr>
          <w:lang w:val="en-US"/>
        </w:rPr>
      </w:pPr>
      <w:r w:rsidRPr="005C7611">
        <w:rPr>
          <w:lang w:val="en-US"/>
        </w:rPr>
        <w:t xml:space="preserve">[4] </w:t>
      </w:r>
      <w:r w:rsidRPr="005C7611">
        <w:rPr>
          <w:lang w:val="en-US"/>
        </w:rPr>
        <w:tab/>
        <w:t xml:space="preserve">H. </w:t>
      </w:r>
      <w:proofErr w:type="spellStart"/>
      <w:r w:rsidRPr="005C7611">
        <w:rPr>
          <w:lang w:val="en-US"/>
        </w:rPr>
        <w:t>Yersin</w:t>
      </w:r>
      <w:proofErr w:type="spellEnd"/>
      <w:r w:rsidRPr="005C7611">
        <w:rPr>
          <w:lang w:val="en-US"/>
        </w:rPr>
        <w:t>, Highly Efficient OLEDs with Phosphorescent Materials</w:t>
      </w:r>
      <w:r w:rsidR="00AA200B" w:rsidRPr="005C7611">
        <w:rPr>
          <w:lang w:val="en-US"/>
        </w:rPr>
        <w:t>,</w:t>
      </w:r>
      <w:r w:rsidRPr="005C7611">
        <w:rPr>
          <w:lang w:val="en-US"/>
        </w:rPr>
        <w:t xml:space="preserve"> </w:t>
      </w:r>
      <w:r w:rsidR="00AA200B" w:rsidRPr="005C7611">
        <w:rPr>
          <w:lang w:val="en-US"/>
        </w:rPr>
        <w:t xml:space="preserve">WILEY-VCH Verlag GmbH &amp; Co. </w:t>
      </w:r>
      <w:proofErr w:type="spellStart"/>
      <w:r w:rsidR="00AA200B" w:rsidRPr="005C7611">
        <w:rPr>
          <w:lang w:val="en-US"/>
        </w:rPr>
        <w:t>KGaA</w:t>
      </w:r>
      <w:proofErr w:type="spellEnd"/>
      <w:r w:rsidR="00AA200B" w:rsidRPr="005C7611">
        <w:rPr>
          <w:lang w:val="en-US"/>
        </w:rPr>
        <w:t xml:space="preserve">, Weinheim, </w:t>
      </w:r>
      <w:r w:rsidRPr="005C7611">
        <w:rPr>
          <w:b/>
          <w:bCs/>
          <w:lang w:val="en-US"/>
        </w:rPr>
        <w:t>2008</w:t>
      </w:r>
    </w:p>
    <w:p w14:paraId="3EEFE147" w14:textId="77777777" w:rsidR="00B55AAA" w:rsidRPr="005C7611" w:rsidRDefault="00B55AAA" w:rsidP="006F1873">
      <w:pPr>
        <w:spacing w:after="200" w:line="480" w:lineRule="auto"/>
        <w:rPr>
          <w:lang w:val="en-US"/>
        </w:rPr>
      </w:pPr>
      <w:r w:rsidRPr="005C7611">
        <w:rPr>
          <w:lang w:val="en-US"/>
        </w:rPr>
        <w:t xml:space="preserve">[5] </w:t>
      </w:r>
      <w:r w:rsidRPr="005C7611">
        <w:rPr>
          <w:lang w:val="en-US"/>
        </w:rPr>
        <w:tab/>
        <w:t xml:space="preserve">N. C. </w:t>
      </w:r>
      <w:proofErr w:type="spellStart"/>
      <w:r w:rsidRPr="005C7611">
        <w:rPr>
          <w:lang w:val="en-US"/>
        </w:rPr>
        <w:t>Giebink</w:t>
      </w:r>
      <w:proofErr w:type="spellEnd"/>
      <w:r w:rsidRPr="005C7611">
        <w:rPr>
          <w:lang w:val="en-US"/>
        </w:rPr>
        <w:t xml:space="preserve">, B. W. </w:t>
      </w:r>
      <w:proofErr w:type="spellStart"/>
      <w:r w:rsidRPr="005C7611">
        <w:rPr>
          <w:lang w:val="en-US"/>
        </w:rPr>
        <w:t>D’Andrade</w:t>
      </w:r>
      <w:proofErr w:type="spellEnd"/>
      <w:r w:rsidRPr="005C7611">
        <w:rPr>
          <w:lang w:val="en-US"/>
        </w:rPr>
        <w:t xml:space="preserve">, M. S. Weaver, P. B. Mackenzie, J. J. Brown, M. E. Thompson, and S. </w:t>
      </w:r>
      <w:proofErr w:type="spellStart"/>
      <w:proofErr w:type="gramStart"/>
      <w:r w:rsidRPr="005C7611">
        <w:rPr>
          <w:lang w:val="en-US"/>
        </w:rPr>
        <w:t>R.Forrest</w:t>
      </w:r>
      <w:proofErr w:type="spellEnd"/>
      <w:proofErr w:type="gramEnd"/>
      <w:r w:rsidRPr="005C7611">
        <w:rPr>
          <w:lang w:val="en-US"/>
        </w:rPr>
        <w:t xml:space="preserve">, </w:t>
      </w:r>
      <w:r w:rsidRPr="005C7611">
        <w:rPr>
          <w:i/>
          <w:iCs/>
          <w:lang w:val="en-US"/>
        </w:rPr>
        <w:t>J. Appl. Phys.</w:t>
      </w:r>
      <w:r w:rsidRPr="005C7611">
        <w:rPr>
          <w:lang w:val="en-US"/>
        </w:rPr>
        <w:t xml:space="preserve"> </w:t>
      </w:r>
      <w:r w:rsidR="00AA200B" w:rsidRPr="005C7611">
        <w:rPr>
          <w:b/>
          <w:bCs/>
          <w:lang w:val="en-US"/>
        </w:rPr>
        <w:t>2008</w:t>
      </w:r>
      <w:r w:rsidR="00AA200B" w:rsidRPr="005C7611">
        <w:rPr>
          <w:lang w:val="en-US"/>
        </w:rPr>
        <w:t xml:space="preserve">, </w:t>
      </w:r>
      <w:r w:rsidRPr="005C7611">
        <w:rPr>
          <w:lang w:val="en-US"/>
        </w:rPr>
        <w:t>103, 044509</w:t>
      </w:r>
    </w:p>
    <w:p w14:paraId="13A2371D" w14:textId="77777777" w:rsidR="00B55AAA" w:rsidRPr="005C7611" w:rsidRDefault="00B55AAA" w:rsidP="006F1873">
      <w:pPr>
        <w:spacing w:after="200" w:line="480" w:lineRule="auto"/>
        <w:rPr>
          <w:lang w:val="en-US"/>
        </w:rPr>
      </w:pPr>
      <w:r w:rsidRPr="005C7611">
        <w:rPr>
          <w:lang w:val="en-US"/>
        </w:rPr>
        <w:t xml:space="preserve">[6] </w:t>
      </w:r>
      <w:r w:rsidRPr="005C7611">
        <w:rPr>
          <w:lang w:val="en-US"/>
        </w:rPr>
        <w:tab/>
        <w:t xml:space="preserve">R. J. Holmes, B. W. </w:t>
      </w:r>
      <w:proofErr w:type="spellStart"/>
      <w:r w:rsidRPr="005C7611">
        <w:rPr>
          <w:lang w:val="en-US"/>
        </w:rPr>
        <w:t>D’Andrade</w:t>
      </w:r>
      <w:proofErr w:type="spellEnd"/>
      <w:r w:rsidRPr="005C7611">
        <w:rPr>
          <w:lang w:val="en-US"/>
        </w:rPr>
        <w:t xml:space="preserve">, S. R. Forrest, X. Ren, J. Li, and M. E. Thompson, </w:t>
      </w:r>
      <w:r w:rsidRPr="005C7611">
        <w:rPr>
          <w:i/>
          <w:iCs/>
          <w:lang w:val="en-US"/>
        </w:rPr>
        <w:t>Appl. Phys. Lett.</w:t>
      </w:r>
      <w:r w:rsidRPr="005C7611">
        <w:rPr>
          <w:lang w:val="en-US"/>
        </w:rPr>
        <w:t xml:space="preserve"> </w:t>
      </w:r>
      <w:r w:rsidR="00AA200B" w:rsidRPr="005C7611">
        <w:rPr>
          <w:b/>
          <w:bCs/>
          <w:lang w:val="en-US"/>
        </w:rPr>
        <w:t>2003,</w:t>
      </w:r>
      <w:r w:rsidR="00AA200B" w:rsidRPr="005C7611">
        <w:rPr>
          <w:lang w:val="en-US"/>
        </w:rPr>
        <w:t xml:space="preserve"> </w:t>
      </w:r>
      <w:r w:rsidRPr="005C7611">
        <w:rPr>
          <w:lang w:val="en-US"/>
        </w:rPr>
        <w:t>83, 3818</w:t>
      </w:r>
    </w:p>
    <w:p w14:paraId="5129109A" w14:textId="77777777" w:rsidR="00B55AAA" w:rsidRPr="005C7611" w:rsidRDefault="00B55AAA" w:rsidP="006F1873">
      <w:pPr>
        <w:spacing w:after="200" w:line="480" w:lineRule="auto"/>
        <w:rPr>
          <w:lang w:val="en-US"/>
        </w:rPr>
      </w:pPr>
      <w:r w:rsidRPr="005C7611">
        <w:rPr>
          <w:lang w:val="en-US"/>
        </w:rPr>
        <w:lastRenderedPageBreak/>
        <w:t xml:space="preserve">[7] </w:t>
      </w:r>
      <w:r w:rsidRPr="005C7611">
        <w:rPr>
          <w:lang w:val="en-US"/>
        </w:rPr>
        <w:tab/>
        <w:t xml:space="preserve">N. Chopra, J. Lee, Y. Zheng, S.-H. </w:t>
      </w:r>
      <w:proofErr w:type="spellStart"/>
      <w:r w:rsidRPr="005C7611">
        <w:rPr>
          <w:lang w:val="en-US"/>
        </w:rPr>
        <w:t>Eom</w:t>
      </w:r>
      <w:proofErr w:type="spellEnd"/>
      <w:r w:rsidRPr="005C7611">
        <w:rPr>
          <w:lang w:val="en-US"/>
        </w:rPr>
        <w:t xml:space="preserve">, J. </w:t>
      </w:r>
      <w:proofErr w:type="spellStart"/>
      <w:r w:rsidRPr="005C7611">
        <w:rPr>
          <w:lang w:val="en-US"/>
        </w:rPr>
        <w:t>Xue</w:t>
      </w:r>
      <w:proofErr w:type="spellEnd"/>
      <w:r w:rsidRPr="005C7611">
        <w:rPr>
          <w:lang w:val="en-US"/>
        </w:rPr>
        <w:t xml:space="preserve">, and F. So, </w:t>
      </w:r>
      <w:r w:rsidRPr="005C7611">
        <w:rPr>
          <w:i/>
          <w:iCs/>
          <w:lang w:val="en-US"/>
        </w:rPr>
        <w:t>Appl. Phys. Lett.</w:t>
      </w:r>
      <w:r w:rsidRPr="005C7611">
        <w:rPr>
          <w:lang w:val="en-US"/>
        </w:rPr>
        <w:t xml:space="preserve"> </w:t>
      </w:r>
      <w:r w:rsidR="00AA200B" w:rsidRPr="005C7611">
        <w:rPr>
          <w:b/>
          <w:bCs/>
          <w:lang w:val="en-US"/>
        </w:rPr>
        <w:t>2008</w:t>
      </w:r>
      <w:r w:rsidR="00AA200B" w:rsidRPr="005C7611">
        <w:rPr>
          <w:lang w:val="en-US"/>
        </w:rPr>
        <w:t xml:space="preserve">, </w:t>
      </w:r>
      <w:r w:rsidRPr="005C7611">
        <w:rPr>
          <w:lang w:val="en-US"/>
        </w:rPr>
        <w:t>93, 143307</w:t>
      </w:r>
    </w:p>
    <w:p w14:paraId="2F6EBF36" w14:textId="77777777" w:rsidR="00B55AAA" w:rsidRPr="005C7611" w:rsidRDefault="00B55AAA" w:rsidP="006F1873">
      <w:pPr>
        <w:spacing w:after="200" w:line="480" w:lineRule="auto"/>
        <w:rPr>
          <w:lang w:val="en-US"/>
        </w:rPr>
      </w:pPr>
      <w:r w:rsidRPr="005C7611">
        <w:rPr>
          <w:lang w:val="en-US"/>
        </w:rPr>
        <w:t xml:space="preserve">[8] </w:t>
      </w:r>
      <w:r w:rsidRPr="005C7611">
        <w:rPr>
          <w:lang w:val="en-US"/>
        </w:rPr>
        <w:tab/>
        <w:t xml:space="preserve">J. Lee, H.-F. Chen, T. </w:t>
      </w:r>
      <w:proofErr w:type="spellStart"/>
      <w:r w:rsidRPr="005C7611">
        <w:rPr>
          <w:lang w:val="en-US"/>
        </w:rPr>
        <w:t>Batagoda</w:t>
      </w:r>
      <w:proofErr w:type="spellEnd"/>
      <w:r w:rsidRPr="005C7611">
        <w:rPr>
          <w:lang w:val="en-US"/>
        </w:rPr>
        <w:t xml:space="preserve">, C. Coburn, P. I. </w:t>
      </w:r>
      <w:proofErr w:type="spellStart"/>
      <w:r w:rsidRPr="005C7611">
        <w:rPr>
          <w:lang w:val="en-US"/>
        </w:rPr>
        <w:t>Djurovich</w:t>
      </w:r>
      <w:proofErr w:type="spellEnd"/>
      <w:r w:rsidRPr="005C7611">
        <w:rPr>
          <w:lang w:val="en-US"/>
        </w:rPr>
        <w:t xml:space="preserve">, M. E. Thompson and S. R. Forrest, </w:t>
      </w:r>
      <w:r w:rsidRPr="005C7611">
        <w:rPr>
          <w:i/>
          <w:iCs/>
          <w:lang w:val="en-US"/>
        </w:rPr>
        <w:t>Nat</w:t>
      </w:r>
      <w:r w:rsidR="00AA200B" w:rsidRPr="005C7611">
        <w:rPr>
          <w:i/>
          <w:iCs/>
          <w:lang w:val="en-US"/>
        </w:rPr>
        <w:t>.</w:t>
      </w:r>
      <w:r w:rsidRPr="005C7611">
        <w:rPr>
          <w:i/>
          <w:iCs/>
          <w:lang w:val="en-US"/>
        </w:rPr>
        <w:t xml:space="preserve"> Mate</w:t>
      </w:r>
      <w:r w:rsidR="00AA200B" w:rsidRPr="005C7611">
        <w:rPr>
          <w:i/>
          <w:iCs/>
          <w:lang w:val="en-US"/>
        </w:rPr>
        <w:t>r.</w:t>
      </w:r>
      <w:r w:rsidRPr="005C7611">
        <w:rPr>
          <w:lang w:val="en-US"/>
        </w:rPr>
        <w:t xml:space="preserve"> </w:t>
      </w:r>
      <w:r w:rsidR="00AA200B" w:rsidRPr="005C7611">
        <w:rPr>
          <w:b/>
          <w:bCs/>
          <w:lang w:val="en-US"/>
        </w:rPr>
        <w:t>2016</w:t>
      </w:r>
      <w:r w:rsidR="00AA200B" w:rsidRPr="005C7611">
        <w:rPr>
          <w:lang w:val="en-US"/>
        </w:rPr>
        <w:t xml:space="preserve">, </w:t>
      </w:r>
      <w:r w:rsidRPr="005C7611">
        <w:rPr>
          <w:lang w:val="en-US"/>
        </w:rPr>
        <w:t>15, 92–98</w:t>
      </w:r>
    </w:p>
    <w:p w14:paraId="46AA373C" w14:textId="77777777" w:rsidR="00B55AAA" w:rsidRPr="005C7611" w:rsidRDefault="00B55AAA" w:rsidP="006F1873">
      <w:pPr>
        <w:spacing w:after="200" w:line="480" w:lineRule="auto"/>
        <w:rPr>
          <w:lang w:val="en-US"/>
        </w:rPr>
      </w:pPr>
      <w:r w:rsidRPr="005C7611">
        <w:rPr>
          <w:lang w:val="en-US"/>
        </w:rPr>
        <w:t xml:space="preserve">[9] </w:t>
      </w:r>
      <w:r w:rsidRPr="005C7611">
        <w:rPr>
          <w:lang w:val="en-US"/>
        </w:rPr>
        <w:tab/>
        <w:t xml:space="preserve">T.-A. Lin, T. Chatterjee, W.-L. Tsai, W.-K. Lee, M.-J. Wu, M. Jiao, K.-C. Pan, C.-L. </w:t>
      </w:r>
      <w:proofErr w:type="gramStart"/>
      <w:r w:rsidRPr="005C7611">
        <w:rPr>
          <w:lang w:val="en-US"/>
        </w:rPr>
        <w:t>Yi ,</w:t>
      </w:r>
      <w:proofErr w:type="gramEnd"/>
      <w:r w:rsidRPr="005C7611">
        <w:rPr>
          <w:lang w:val="en-US"/>
        </w:rPr>
        <w:t xml:space="preserve"> C.-L. Chung, K.-T. Wong, C.-C. Wu, </w:t>
      </w:r>
      <w:r w:rsidRPr="005C7611">
        <w:rPr>
          <w:i/>
          <w:iCs/>
          <w:lang w:val="en-US"/>
        </w:rPr>
        <w:t>Adv. Mater.</w:t>
      </w:r>
      <w:r w:rsidRPr="005C7611">
        <w:rPr>
          <w:lang w:val="en-US"/>
        </w:rPr>
        <w:t xml:space="preserve"> </w:t>
      </w:r>
      <w:r w:rsidR="00AA200B" w:rsidRPr="005C7611">
        <w:rPr>
          <w:b/>
          <w:bCs/>
          <w:lang w:val="en-US"/>
        </w:rPr>
        <w:t>2016</w:t>
      </w:r>
      <w:r w:rsidR="00AA200B" w:rsidRPr="005C7611">
        <w:rPr>
          <w:lang w:val="en-US"/>
        </w:rPr>
        <w:t xml:space="preserve">, </w:t>
      </w:r>
      <w:r w:rsidRPr="005C7611">
        <w:rPr>
          <w:lang w:val="en-US"/>
        </w:rPr>
        <w:t>28, 6976–6983</w:t>
      </w:r>
    </w:p>
    <w:p w14:paraId="0B15D09E" w14:textId="77777777" w:rsidR="00B55AAA" w:rsidRPr="005C7611" w:rsidRDefault="00B55AAA" w:rsidP="006F1873">
      <w:pPr>
        <w:spacing w:after="200" w:line="480" w:lineRule="auto"/>
        <w:rPr>
          <w:lang w:val="en-US"/>
        </w:rPr>
      </w:pPr>
      <w:r w:rsidRPr="005C7611">
        <w:rPr>
          <w:lang w:val="en-US"/>
        </w:rPr>
        <w:t xml:space="preserve">[10] </w:t>
      </w:r>
      <w:r w:rsidRPr="005C7611">
        <w:rPr>
          <w:lang w:val="en-US"/>
        </w:rPr>
        <w:tab/>
        <w:t xml:space="preserve">Y. Zhang, J. Lee, S. R. Forrest, </w:t>
      </w:r>
      <w:r w:rsidRPr="005C7611">
        <w:rPr>
          <w:i/>
          <w:iCs/>
          <w:lang w:val="en-US"/>
        </w:rPr>
        <w:t>Nat</w:t>
      </w:r>
      <w:r w:rsidR="00AA200B" w:rsidRPr="005C7611">
        <w:rPr>
          <w:i/>
          <w:iCs/>
          <w:lang w:val="en-US"/>
        </w:rPr>
        <w:t>.</w:t>
      </w:r>
      <w:r w:rsidRPr="005C7611">
        <w:rPr>
          <w:i/>
          <w:iCs/>
          <w:lang w:val="en-US"/>
        </w:rPr>
        <w:t xml:space="preserve"> </w:t>
      </w:r>
      <w:proofErr w:type="spellStart"/>
      <w:r w:rsidRPr="005C7611">
        <w:rPr>
          <w:i/>
          <w:iCs/>
          <w:lang w:val="en-US"/>
        </w:rPr>
        <w:t>Commun</w:t>
      </w:r>
      <w:proofErr w:type="spellEnd"/>
      <w:r w:rsidR="00AA200B" w:rsidRPr="005C7611">
        <w:rPr>
          <w:i/>
          <w:iCs/>
          <w:lang w:val="en-US"/>
        </w:rPr>
        <w:t>.</w:t>
      </w:r>
      <w:r w:rsidR="00AA200B" w:rsidRPr="005C7611">
        <w:rPr>
          <w:lang w:val="en-US"/>
        </w:rPr>
        <w:t xml:space="preserve"> </w:t>
      </w:r>
      <w:r w:rsidR="00AA200B" w:rsidRPr="005C7611">
        <w:rPr>
          <w:b/>
          <w:bCs/>
          <w:lang w:val="en-US"/>
        </w:rPr>
        <w:t>2014</w:t>
      </w:r>
      <w:r w:rsidR="00AA200B" w:rsidRPr="005C7611">
        <w:rPr>
          <w:lang w:val="en-US"/>
        </w:rPr>
        <w:t>,</w:t>
      </w:r>
      <w:r w:rsidRPr="005C7611">
        <w:rPr>
          <w:lang w:val="en-US"/>
        </w:rPr>
        <w:t xml:space="preserve"> 5, 5008</w:t>
      </w:r>
    </w:p>
    <w:p w14:paraId="5EF0EC60" w14:textId="77777777" w:rsidR="00B55AAA" w:rsidRPr="005C7611" w:rsidRDefault="00B55AAA" w:rsidP="006F1873">
      <w:pPr>
        <w:spacing w:after="200" w:line="480" w:lineRule="auto"/>
        <w:rPr>
          <w:lang w:val="en-US"/>
        </w:rPr>
      </w:pPr>
      <w:r w:rsidRPr="005C7611">
        <w:rPr>
          <w:lang w:val="en-US"/>
        </w:rPr>
        <w:t xml:space="preserve">[11] </w:t>
      </w:r>
      <w:r w:rsidRPr="005C7611">
        <w:rPr>
          <w:lang w:val="en-US"/>
        </w:rPr>
        <w:tab/>
        <w:t xml:space="preserve">H. Shin, J.-H. Lee, C.-K. Moon, J.-S. Huh, B. Sim, J-J Kim, </w:t>
      </w:r>
      <w:r w:rsidRPr="005C7611">
        <w:rPr>
          <w:i/>
          <w:iCs/>
          <w:lang w:val="en-US"/>
        </w:rPr>
        <w:t>Adv. Mater.</w:t>
      </w:r>
      <w:r w:rsidRPr="005C7611">
        <w:rPr>
          <w:lang w:val="en-US"/>
        </w:rPr>
        <w:t xml:space="preserve"> </w:t>
      </w:r>
      <w:r w:rsidR="00AA200B" w:rsidRPr="005C7611">
        <w:rPr>
          <w:b/>
          <w:bCs/>
          <w:lang w:val="en-US"/>
        </w:rPr>
        <w:t>2016</w:t>
      </w:r>
      <w:r w:rsidR="00AA200B" w:rsidRPr="005C7611">
        <w:rPr>
          <w:lang w:val="en-US"/>
        </w:rPr>
        <w:t xml:space="preserve">, </w:t>
      </w:r>
      <w:r w:rsidRPr="005C7611">
        <w:rPr>
          <w:lang w:val="en-US"/>
        </w:rPr>
        <w:t>28, 4920–4925</w:t>
      </w:r>
    </w:p>
    <w:p w14:paraId="5BA91ACE" w14:textId="77777777" w:rsidR="00B55AAA" w:rsidRPr="005C7611" w:rsidRDefault="00B55AAA" w:rsidP="006F1873">
      <w:pPr>
        <w:spacing w:after="200" w:line="480" w:lineRule="auto"/>
        <w:rPr>
          <w:lang w:val="en-US"/>
        </w:rPr>
      </w:pPr>
      <w:r w:rsidRPr="005C7611">
        <w:rPr>
          <w:lang w:val="en-US"/>
        </w:rPr>
        <w:t xml:space="preserve">[12] </w:t>
      </w:r>
      <w:r w:rsidRPr="005C7611">
        <w:rPr>
          <w:lang w:val="en-US"/>
        </w:rPr>
        <w:tab/>
        <w:t xml:space="preserve">K. </w:t>
      </w:r>
      <w:proofErr w:type="spellStart"/>
      <w:r w:rsidRPr="005C7611">
        <w:rPr>
          <w:lang w:val="en-US"/>
        </w:rPr>
        <w:t>Klimes</w:t>
      </w:r>
      <w:proofErr w:type="spellEnd"/>
      <w:r w:rsidRPr="005C7611">
        <w:rPr>
          <w:lang w:val="en-US"/>
        </w:rPr>
        <w:t xml:space="preserve">, Z.-Q. Zhu, and J. Li, </w:t>
      </w:r>
      <w:r w:rsidRPr="005C7611">
        <w:rPr>
          <w:i/>
          <w:iCs/>
          <w:lang w:val="en-US"/>
        </w:rPr>
        <w:t xml:space="preserve">Adv. </w:t>
      </w:r>
      <w:proofErr w:type="spellStart"/>
      <w:r w:rsidRPr="005C7611">
        <w:rPr>
          <w:i/>
          <w:iCs/>
          <w:lang w:val="en-US"/>
        </w:rPr>
        <w:t>Funct</w:t>
      </w:r>
      <w:proofErr w:type="spellEnd"/>
      <w:r w:rsidRPr="005C7611">
        <w:rPr>
          <w:i/>
          <w:iCs/>
          <w:lang w:val="en-US"/>
        </w:rPr>
        <w:t>. Mater.</w:t>
      </w:r>
      <w:r w:rsidRPr="005C7611">
        <w:rPr>
          <w:lang w:val="en-US"/>
        </w:rPr>
        <w:t xml:space="preserve"> </w:t>
      </w:r>
      <w:r w:rsidR="00AA200B" w:rsidRPr="005C7611">
        <w:rPr>
          <w:b/>
          <w:bCs/>
          <w:lang w:val="en-US"/>
        </w:rPr>
        <w:t>2019</w:t>
      </w:r>
      <w:r w:rsidR="00AA200B" w:rsidRPr="005C7611">
        <w:rPr>
          <w:lang w:val="en-US"/>
        </w:rPr>
        <w:t xml:space="preserve">, </w:t>
      </w:r>
      <w:r w:rsidRPr="005C7611">
        <w:rPr>
          <w:lang w:val="en-US"/>
        </w:rPr>
        <w:t>29, 1903068</w:t>
      </w:r>
    </w:p>
    <w:p w14:paraId="01763B50" w14:textId="77777777" w:rsidR="00B55AAA" w:rsidRPr="005C7611" w:rsidRDefault="00B55AAA" w:rsidP="006F1873">
      <w:pPr>
        <w:spacing w:after="200" w:line="480" w:lineRule="auto"/>
        <w:rPr>
          <w:lang w:val="en-US"/>
        </w:rPr>
      </w:pPr>
      <w:r w:rsidRPr="005C7611">
        <w:rPr>
          <w:lang w:val="en-US"/>
        </w:rPr>
        <w:t xml:space="preserve">[13] </w:t>
      </w:r>
      <w:r w:rsidRPr="005C7611">
        <w:rPr>
          <w:lang w:val="en-US"/>
        </w:rPr>
        <w:tab/>
        <w:t xml:space="preserve">X. Li, J. Zhang, Z. Zhao, L. Wang, H. Yang, Q. Chang, N Jiang, Z Liu, Z. </w:t>
      </w:r>
      <w:proofErr w:type="spellStart"/>
      <w:r w:rsidRPr="005C7611">
        <w:rPr>
          <w:lang w:val="en-US"/>
        </w:rPr>
        <w:t>Bian</w:t>
      </w:r>
      <w:proofErr w:type="spellEnd"/>
      <w:r w:rsidRPr="005C7611">
        <w:rPr>
          <w:lang w:val="en-US"/>
        </w:rPr>
        <w:t xml:space="preserve">, W. Liu, Z. Lu, C. Huang, </w:t>
      </w:r>
      <w:r w:rsidRPr="005C7611">
        <w:rPr>
          <w:i/>
          <w:iCs/>
          <w:lang w:val="en-US"/>
        </w:rPr>
        <w:t>Adv. Mater.</w:t>
      </w:r>
      <w:r w:rsidRPr="005C7611">
        <w:rPr>
          <w:lang w:val="en-US"/>
        </w:rPr>
        <w:t xml:space="preserve"> </w:t>
      </w:r>
      <w:r w:rsidR="00AA200B" w:rsidRPr="005C7611">
        <w:rPr>
          <w:b/>
          <w:bCs/>
          <w:lang w:val="en-US"/>
        </w:rPr>
        <w:t>2018</w:t>
      </w:r>
      <w:r w:rsidR="00AA200B" w:rsidRPr="005C7611">
        <w:rPr>
          <w:lang w:val="en-US"/>
        </w:rPr>
        <w:t xml:space="preserve">, </w:t>
      </w:r>
      <w:r w:rsidRPr="005C7611">
        <w:rPr>
          <w:lang w:val="en-US"/>
        </w:rPr>
        <w:t>30, 1705005</w:t>
      </w:r>
    </w:p>
    <w:p w14:paraId="2FCE23CF" w14:textId="77777777" w:rsidR="00AA200B" w:rsidRPr="005C7611" w:rsidRDefault="00AA200B" w:rsidP="006F1873">
      <w:pPr>
        <w:spacing w:after="200" w:line="480" w:lineRule="auto"/>
        <w:rPr>
          <w:rFonts w:eastAsiaTheme="minorEastAsia"/>
          <w:lang w:val="en-US" w:eastAsia="ko-KR"/>
        </w:rPr>
      </w:pPr>
      <w:r w:rsidRPr="005C7611">
        <w:rPr>
          <w:rFonts w:eastAsiaTheme="minorEastAsia"/>
          <w:lang w:val="en-US" w:eastAsia="ko-KR"/>
        </w:rPr>
        <w:t>[14]</w:t>
      </w:r>
      <w:r w:rsidRPr="005C7611">
        <w:rPr>
          <w:rFonts w:eastAsiaTheme="minorEastAsia"/>
          <w:lang w:val="en-US" w:eastAsia="ko-KR"/>
        </w:rPr>
        <w:tab/>
      </w:r>
      <w:r w:rsidRPr="005C7611">
        <w:rPr>
          <w:lang w:val="en-US"/>
        </w:rPr>
        <w:t>A</w:t>
      </w:r>
      <w:r w:rsidR="00741B3D" w:rsidRPr="005C7611">
        <w:rPr>
          <w:lang w:val="en-US"/>
        </w:rPr>
        <w:t>.</w:t>
      </w:r>
      <w:r w:rsidRPr="005C7611">
        <w:rPr>
          <w:lang w:val="en-US"/>
        </w:rPr>
        <w:t xml:space="preserve"> Endo, K</w:t>
      </w:r>
      <w:r w:rsidR="00741B3D" w:rsidRPr="005C7611">
        <w:rPr>
          <w:lang w:val="en-US"/>
        </w:rPr>
        <w:t>.</w:t>
      </w:r>
      <w:r w:rsidRPr="005C7611">
        <w:rPr>
          <w:lang w:val="en-US"/>
        </w:rPr>
        <w:t xml:space="preserve"> Sato, K</w:t>
      </w:r>
      <w:r w:rsidR="00741B3D" w:rsidRPr="005C7611">
        <w:rPr>
          <w:lang w:val="en-US"/>
        </w:rPr>
        <w:t>.</w:t>
      </w:r>
      <w:r w:rsidRPr="005C7611">
        <w:rPr>
          <w:lang w:val="en-US"/>
        </w:rPr>
        <w:t xml:space="preserve"> Yoshimura, T</w:t>
      </w:r>
      <w:r w:rsidR="00741B3D" w:rsidRPr="005C7611">
        <w:rPr>
          <w:lang w:val="en-US"/>
        </w:rPr>
        <w:t>.</w:t>
      </w:r>
      <w:r w:rsidRPr="005C7611">
        <w:rPr>
          <w:lang w:val="en-US"/>
        </w:rPr>
        <w:t xml:space="preserve"> Kai, A</w:t>
      </w:r>
      <w:r w:rsidR="00741B3D" w:rsidRPr="005C7611">
        <w:rPr>
          <w:lang w:val="en-US"/>
        </w:rPr>
        <w:t>.</w:t>
      </w:r>
      <w:r w:rsidRPr="005C7611">
        <w:rPr>
          <w:lang w:val="en-US"/>
        </w:rPr>
        <w:t xml:space="preserve"> Kawada, H</w:t>
      </w:r>
      <w:r w:rsidR="00741B3D" w:rsidRPr="005C7611">
        <w:rPr>
          <w:lang w:val="en-US"/>
        </w:rPr>
        <w:t>.</w:t>
      </w:r>
      <w:r w:rsidRPr="005C7611">
        <w:rPr>
          <w:lang w:val="en-US"/>
        </w:rPr>
        <w:t xml:space="preserve"> Miyazaki, C</w:t>
      </w:r>
      <w:r w:rsidR="00741B3D" w:rsidRPr="005C7611">
        <w:rPr>
          <w:lang w:val="en-US"/>
        </w:rPr>
        <w:t xml:space="preserve">. </w:t>
      </w:r>
      <w:r w:rsidRPr="005C7611">
        <w:rPr>
          <w:lang w:val="en-US"/>
        </w:rPr>
        <w:t xml:space="preserve">Adachi, </w:t>
      </w:r>
      <w:r w:rsidRPr="005C7611">
        <w:rPr>
          <w:i/>
          <w:iCs/>
          <w:lang w:val="en-US"/>
        </w:rPr>
        <w:t>Appl. Phys. Lett.</w:t>
      </w:r>
      <w:r w:rsidRPr="005C7611">
        <w:rPr>
          <w:lang w:val="en-US"/>
        </w:rPr>
        <w:t xml:space="preserve"> </w:t>
      </w:r>
      <w:r w:rsidRPr="005C7611">
        <w:rPr>
          <w:b/>
          <w:bCs/>
          <w:lang w:val="en-US"/>
        </w:rPr>
        <w:t>2011</w:t>
      </w:r>
      <w:r w:rsidRPr="005C7611">
        <w:rPr>
          <w:lang w:val="en-US"/>
        </w:rPr>
        <w:t>, 98, 083302</w:t>
      </w:r>
    </w:p>
    <w:p w14:paraId="12409B70" w14:textId="77777777" w:rsidR="00B55AAA" w:rsidRPr="005C7611" w:rsidRDefault="00B55AAA" w:rsidP="006F1873">
      <w:pPr>
        <w:spacing w:after="200" w:line="480" w:lineRule="auto"/>
        <w:rPr>
          <w:lang w:val="en-US"/>
        </w:rPr>
      </w:pPr>
      <w:r w:rsidRPr="005C7611">
        <w:rPr>
          <w:lang w:val="en-US"/>
        </w:rPr>
        <w:t>[1</w:t>
      </w:r>
      <w:r w:rsidR="00741B3D" w:rsidRPr="005C7611">
        <w:rPr>
          <w:lang w:val="en-US"/>
        </w:rPr>
        <w:t>5</w:t>
      </w:r>
      <w:r w:rsidRPr="005C7611">
        <w:rPr>
          <w:lang w:val="en-US"/>
        </w:rPr>
        <w:t xml:space="preserve">] </w:t>
      </w:r>
      <w:r w:rsidRPr="005C7611">
        <w:rPr>
          <w:lang w:val="en-US"/>
        </w:rPr>
        <w:tab/>
        <w:t xml:space="preserve">H. Uoyama1, K. </w:t>
      </w:r>
      <w:proofErr w:type="spellStart"/>
      <w:r w:rsidRPr="005C7611">
        <w:rPr>
          <w:lang w:val="en-US"/>
        </w:rPr>
        <w:t>Goushi</w:t>
      </w:r>
      <w:proofErr w:type="spellEnd"/>
      <w:r w:rsidRPr="005C7611">
        <w:rPr>
          <w:lang w:val="en-US"/>
        </w:rPr>
        <w:t xml:space="preserve">, K. Shizu1, H. Nomura, C. Adachi, </w:t>
      </w:r>
      <w:r w:rsidRPr="005C7611">
        <w:rPr>
          <w:i/>
          <w:iCs/>
          <w:lang w:val="en-US"/>
        </w:rPr>
        <w:t>Nature</w:t>
      </w:r>
      <w:r w:rsidRPr="005C7611">
        <w:rPr>
          <w:lang w:val="en-US"/>
        </w:rPr>
        <w:t xml:space="preserve"> </w:t>
      </w:r>
      <w:r w:rsidR="00AA200B" w:rsidRPr="005C7611">
        <w:rPr>
          <w:b/>
          <w:bCs/>
          <w:lang w:val="en-US"/>
        </w:rPr>
        <w:t>2012</w:t>
      </w:r>
      <w:r w:rsidR="00AA200B" w:rsidRPr="005C7611">
        <w:rPr>
          <w:lang w:val="en-US"/>
        </w:rPr>
        <w:t xml:space="preserve">, </w:t>
      </w:r>
      <w:r w:rsidRPr="005C7611">
        <w:rPr>
          <w:lang w:val="en-US"/>
        </w:rPr>
        <w:t>492, 234-238</w:t>
      </w:r>
    </w:p>
    <w:p w14:paraId="5397D17E" w14:textId="77777777" w:rsidR="00B55AAA" w:rsidRPr="005C7611" w:rsidRDefault="00B55AAA" w:rsidP="006F1873">
      <w:pPr>
        <w:spacing w:after="200" w:line="480" w:lineRule="auto"/>
        <w:rPr>
          <w:lang w:val="en-US"/>
        </w:rPr>
      </w:pPr>
      <w:r w:rsidRPr="005C7611">
        <w:rPr>
          <w:lang w:val="en-US"/>
        </w:rPr>
        <w:t>[1</w:t>
      </w:r>
      <w:r w:rsidR="00741B3D" w:rsidRPr="005C7611">
        <w:rPr>
          <w:lang w:val="en-US"/>
        </w:rPr>
        <w:t>6</w:t>
      </w:r>
      <w:r w:rsidRPr="005C7611">
        <w:rPr>
          <w:lang w:val="en-US"/>
        </w:rPr>
        <w:t xml:space="preserve">] </w:t>
      </w:r>
      <w:r w:rsidRPr="005C7611">
        <w:rPr>
          <w:lang w:val="en-US"/>
        </w:rPr>
        <w:tab/>
        <w:t xml:space="preserve">H. </w:t>
      </w:r>
      <w:proofErr w:type="spellStart"/>
      <w:r w:rsidRPr="005C7611">
        <w:rPr>
          <w:lang w:val="en-US"/>
        </w:rPr>
        <w:t>Kaji</w:t>
      </w:r>
      <w:proofErr w:type="spellEnd"/>
      <w:r w:rsidRPr="005C7611">
        <w:rPr>
          <w:lang w:val="en-US"/>
        </w:rPr>
        <w:t xml:space="preserve">, H. Suzuki, T. Fukushima, K. </w:t>
      </w:r>
      <w:proofErr w:type="spellStart"/>
      <w:r w:rsidRPr="005C7611">
        <w:rPr>
          <w:lang w:val="en-US"/>
        </w:rPr>
        <w:t>Shizu</w:t>
      </w:r>
      <w:proofErr w:type="spellEnd"/>
      <w:r w:rsidRPr="005C7611">
        <w:rPr>
          <w:lang w:val="en-US"/>
        </w:rPr>
        <w:t xml:space="preserve">, K. Suzuki, S. Kubo, T. </w:t>
      </w:r>
      <w:proofErr w:type="spellStart"/>
      <w:r w:rsidRPr="005C7611">
        <w:rPr>
          <w:lang w:val="en-US"/>
        </w:rPr>
        <w:t>Komino</w:t>
      </w:r>
      <w:proofErr w:type="spellEnd"/>
      <w:r w:rsidRPr="005C7611">
        <w:rPr>
          <w:lang w:val="en-US"/>
        </w:rPr>
        <w:t xml:space="preserve">, H. </w:t>
      </w:r>
      <w:proofErr w:type="spellStart"/>
      <w:r w:rsidRPr="005C7611">
        <w:rPr>
          <w:lang w:val="en-US"/>
        </w:rPr>
        <w:t>Oiwa</w:t>
      </w:r>
      <w:proofErr w:type="spellEnd"/>
      <w:r w:rsidRPr="005C7611">
        <w:rPr>
          <w:lang w:val="en-US"/>
        </w:rPr>
        <w:t xml:space="preserve">, F. Suzuki, A. </w:t>
      </w:r>
      <w:proofErr w:type="spellStart"/>
      <w:r w:rsidRPr="005C7611">
        <w:rPr>
          <w:lang w:val="en-US"/>
        </w:rPr>
        <w:t>Wakamiya</w:t>
      </w:r>
      <w:proofErr w:type="spellEnd"/>
      <w:r w:rsidRPr="005C7611">
        <w:rPr>
          <w:lang w:val="en-US"/>
        </w:rPr>
        <w:t xml:space="preserve">, Y. Murata, C. Adachi, </w:t>
      </w:r>
      <w:r w:rsidRPr="005C7611">
        <w:rPr>
          <w:i/>
          <w:iCs/>
          <w:lang w:val="en-US"/>
        </w:rPr>
        <w:t>Nat</w:t>
      </w:r>
      <w:r w:rsidR="00B94E3B" w:rsidRPr="005C7611">
        <w:rPr>
          <w:i/>
          <w:iCs/>
          <w:lang w:val="en-US"/>
        </w:rPr>
        <w:t>.</w:t>
      </w:r>
      <w:r w:rsidRPr="005C7611">
        <w:rPr>
          <w:i/>
          <w:iCs/>
          <w:lang w:val="en-US"/>
        </w:rPr>
        <w:t xml:space="preserve"> </w:t>
      </w:r>
      <w:proofErr w:type="spellStart"/>
      <w:r w:rsidRPr="005C7611">
        <w:rPr>
          <w:i/>
          <w:iCs/>
          <w:lang w:val="en-US"/>
        </w:rPr>
        <w:t>Commun</w:t>
      </w:r>
      <w:proofErr w:type="spellEnd"/>
      <w:r w:rsidR="00B94E3B" w:rsidRPr="005C7611">
        <w:rPr>
          <w:i/>
          <w:iCs/>
          <w:lang w:val="en-US"/>
        </w:rPr>
        <w:t>.</w:t>
      </w:r>
      <w:r w:rsidR="00B94E3B" w:rsidRPr="005C7611">
        <w:rPr>
          <w:lang w:val="en-US"/>
        </w:rPr>
        <w:t xml:space="preserve"> </w:t>
      </w:r>
      <w:r w:rsidR="00B94E3B" w:rsidRPr="005C7611">
        <w:rPr>
          <w:b/>
          <w:bCs/>
          <w:lang w:val="en-US"/>
        </w:rPr>
        <w:t>2015</w:t>
      </w:r>
      <w:r w:rsidR="009A61D7" w:rsidRPr="005C7611">
        <w:rPr>
          <w:lang w:val="en-US"/>
        </w:rPr>
        <w:t>,</w:t>
      </w:r>
      <w:r w:rsidRPr="005C7611">
        <w:rPr>
          <w:lang w:val="en-US"/>
        </w:rPr>
        <w:t xml:space="preserve"> 6, 8476</w:t>
      </w:r>
    </w:p>
    <w:p w14:paraId="024CC101" w14:textId="77777777" w:rsidR="00B55AAA" w:rsidRPr="005C7611" w:rsidRDefault="00B55AAA" w:rsidP="006F1873">
      <w:pPr>
        <w:spacing w:after="200" w:line="480" w:lineRule="auto"/>
        <w:rPr>
          <w:lang w:val="en-US"/>
        </w:rPr>
      </w:pPr>
      <w:r w:rsidRPr="005C7611">
        <w:rPr>
          <w:lang w:val="en-US"/>
        </w:rPr>
        <w:t>[1</w:t>
      </w:r>
      <w:r w:rsidR="00741B3D" w:rsidRPr="005C7611">
        <w:rPr>
          <w:lang w:val="en-US"/>
        </w:rPr>
        <w:t>7</w:t>
      </w:r>
      <w:r w:rsidRPr="005C7611">
        <w:rPr>
          <w:lang w:val="en-US"/>
        </w:rPr>
        <w:t xml:space="preserve">] </w:t>
      </w:r>
      <w:r w:rsidRPr="005C7611">
        <w:rPr>
          <w:lang w:val="en-US"/>
        </w:rPr>
        <w:tab/>
        <w:t xml:space="preserve">Q. Zhang, B. Li1, S. Huang, H. Nomura, H. Tanaka, C. Adachi, </w:t>
      </w:r>
      <w:r w:rsidRPr="005C7611">
        <w:rPr>
          <w:i/>
          <w:iCs/>
          <w:lang w:val="en-US"/>
        </w:rPr>
        <w:t>Nat</w:t>
      </w:r>
      <w:r w:rsidR="009A61D7" w:rsidRPr="005C7611">
        <w:rPr>
          <w:i/>
          <w:iCs/>
          <w:lang w:val="en-US"/>
        </w:rPr>
        <w:t>.</w:t>
      </w:r>
      <w:r w:rsidRPr="005C7611">
        <w:rPr>
          <w:i/>
          <w:iCs/>
          <w:lang w:val="en-US"/>
        </w:rPr>
        <w:t xml:space="preserve"> Photonics</w:t>
      </w:r>
      <w:r w:rsidRPr="005C7611">
        <w:rPr>
          <w:lang w:val="en-US"/>
        </w:rPr>
        <w:t xml:space="preserve"> </w:t>
      </w:r>
      <w:r w:rsidR="009A61D7" w:rsidRPr="005C7611">
        <w:rPr>
          <w:b/>
          <w:bCs/>
          <w:lang w:val="en-US"/>
        </w:rPr>
        <w:t>2014</w:t>
      </w:r>
      <w:r w:rsidR="009A61D7" w:rsidRPr="005C7611">
        <w:rPr>
          <w:lang w:val="en-US"/>
        </w:rPr>
        <w:t xml:space="preserve">, </w:t>
      </w:r>
      <w:r w:rsidRPr="005C7611">
        <w:rPr>
          <w:lang w:val="en-US"/>
        </w:rPr>
        <w:t>8, 326-332</w:t>
      </w:r>
    </w:p>
    <w:p w14:paraId="559506A6" w14:textId="77777777" w:rsidR="00B55AAA" w:rsidRPr="005C7611" w:rsidRDefault="00B55AAA" w:rsidP="006F1873">
      <w:pPr>
        <w:spacing w:after="200" w:line="480" w:lineRule="auto"/>
        <w:rPr>
          <w:lang w:val="en-US"/>
        </w:rPr>
      </w:pPr>
      <w:r w:rsidRPr="005C7611">
        <w:rPr>
          <w:lang w:val="en-US"/>
        </w:rPr>
        <w:t>[1</w:t>
      </w:r>
      <w:r w:rsidR="00741B3D" w:rsidRPr="005C7611">
        <w:rPr>
          <w:lang w:val="en-US"/>
        </w:rPr>
        <w:t>8</w:t>
      </w:r>
      <w:r w:rsidRPr="005C7611">
        <w:rPr>
          <w:lang w:val="en-US"/>
        </w:rPr>
        <w:t xml:space="preserve">] </w:t>
      </w:r>
      <w:r w:rsidRPr="005C7611">
        <w:rPr>
          <w:lang w:val="en-US"/>
        </w:rPr>
        <w:tab/>
        <w:t xml:space="preserve">R. </w:t>
      </w:r>
      <w:proofErr w:type="spellStart"/>
      <w:r w:rsidRPr="005C7611">
        <w:rPr>
          <w:lang w:val="en-US"/>
        </w:rPr>
        <w:t>Furue</w:t>
      </w:r>
      <w:proofErr w:type="spellEnd"/>
      <w:r w:rsidRPr="005C7611">
        <w:rPr>
          <w:lang w:val="en-US"/>
        </w:rPr>
        <w:t xml:space="preserve">, K. Matsuo, Y. </w:t>
      </w:r>
      <w:proofErr w:type="spellStart"/>
      <w:r w:rsidRPr="005C7611">
        <w:rPr>
          <w:lang w:val="en-US"/>
        </w:rPr>
        <w:t>Ashikari</w:t>
      </w:r>
      <w:proofErr w:type="spellEnd"/>
      <w:r w:rsidRPr="005C7611">
        <w:rPr>
          <w:lang w:val="en-US"/>
        </w:rPr>
        <w:t xml:space="preserve">, H. </w:t>
      </w:r>
      <w:proofErr w:type="spellStart"/>
      <w:r w:rsidRPr="005C7611">
        <w:rPr>
          <w:lang w:val="en-US"/>
        </w:rPr>
        <w:t>Ooka</w:t>
      </w:r>
      <w:proofErr w:type="spellEnd"/>
      <w:r w:rsidRPr="005C7611">
        <w:rPr>
          <w:lang w:val="en-US"/>
        </w:rPr>
        <w:t xml:space="preserve">, N. </w:t>
      </w:r>
      <w:proofErr w:type="spellStart"/>
      <w:r w:rsidRPr="005C7611">
        <w:rPr>
          <w:lang w:val="en-US"/>
        </w:rPr>
        <w:t>Amanokura</w:t>
      </w:r>
      <w:proofErr w:type="spellEnd"/>
      <w:r w:rsidRPr="005C7611">
        <w:rPr>
          <w:lang w:val="en-US"/>
        </w:rPr>
        <w:t xml:space="preserve">, T. Yasuda, </w:t>
      </w:r>
      <w:r w:rsidRPr="005C7611">
        <w:rPr>
          <w:i/>
          <w:iCs/>
          <w:lang w:val="en-US"/>
        </w:rPr>
        <w:t>Adv. Optical Mater.</w:t>
      </w:r>
      <w:r w:rsidRPr="005C7611">
        <w:rPr>
          <w:lang w:val="en-US"/>
        </w:rPr>
        <w:t xml:space="preserve"> </w:t>
      </w:r>
      <w:r w:rsidR="009A61D7" w:rsidRPr="005C7611">
        <w:rPr>
          <w:b/>
          <w:bCs/>
          <w:lang w:val="en-US"/>
        </w:rPr>
        <w:t>2018</w:t>
      </w:r>
      <w:r w:rsidR="009A61D7" w:rsidRPr="005C7611">
        <w:rPr>
          <w:lang w:val="en-US"/>
        </w:rPr>
        <w:t xml:space="preserve">, </w:t>
      </w:r>
      <w:r w:rsidRPr="005C7611">
        <w:rPr>
          <w:lang w:val="en-US"/>
        </w:rPr>
        <w:t>6, 1701147</w:t>
      </w:r>
    </w:p>
    <w:p w14:paraId="512CEC7E" w14:textId="77777777" w:rsidR="00B55AAA" w:rsidRPr="005C7611" w:rsidRDefault="00B55AAA" w:rsidP="006F1873">
      <w:pPr>
        <w:spacing w:after="200" w:line="480" w:lineRule="auto"/>
        <w:rPr>
          <w:lang w:val="en-US"/>
        </w:rPr>
      </w:pPr>
      <w:r w:rsidRPr="005C7611">
        <w:rPr>
          <w:lang w:val="en-US"/>
        </w:rPr>
        <w:lastRenderedPageBreak/>
        <w:t>[1</w:t>
      </w:r>
      <w:r w:rsidR="00741B3D" w:rsidRPr="005C7611">
        <w:rPr>
          <w:lang w:val="en-US"/>
        </w:rPr>
        <w:t>9</w:t>
      </w:r>
      <w:r w:rsidRPr="005C7611">
        <w:rPr>
          <w:lang w:val="en-US"/>
        </w:rPr>
        <w:t xml:space="preserve">] </w:t>
      </w:r>
      <w:r w:rsidRPr="005C7611">
        <w:rPr>
          <w:lang w:val="en-US"/>
        </w:rPr>
        <w:tab/>
        <w:t xml:space="preserve">T.-L. Wu, M.-J. Huang, C.-C. Lin, P.-Y. Huang, T.-Y. Chou, R.-W. C.-Cheng, H.-W. Lin, R.-S. Liu, C.-H. Cheng, </w:t>
      </w:r>
      <w:r w:rsidRPr="005C7611">
        <w:rPr>
          <w:i/>
          <w:iCs/>
          <w:lang w:val="en-US"/>
        </w:rPr>
        <w:t>Nat</w:t>
      </w:r>
      <w:r w:rsidR="00B94E3B" w:rsidRPr="005C7611">
        <w:rPr>
          <w:i/>
          <w:iCs/>
          <w:lang w:val="en-US"/>
        </w:rPr>
        <w:t>.</w:t>
      </w:r>
      <w:r w:rsidRPr="005C7611">
        <w:rPr>
          <w:i/>
          <w:iCs/>
          <w:lang w:val="en-US"/>
        </w:rPr>
        <w:t xml:space="preserve"> Photonics</w:t>
      </w:r>
      <w:r w:rsidRPr="005C7611">
        <w:rPr>
          <w:lang w:val="en-US"/>
        </w:rPr>
        <w:t xml:space="preserve"> </w:t>
      </w:r>
      <w:r w:rsidR="00B94E3B" w:rsidRPr="005C7611">
        <w:rPr>
          <w:b/>
          <w:bCs/>
          <w:lang w:val="en-US"/>
        </w:rPr>
        <w:t>2018</w:t>
      </w:r>
      <w:r w:rsidR="00B94E3B" w:rsidRPr="005C7611">
        <w:rPr>
          <w:lang w:val="en-US"/>
        </w:rPr>
        <w:t xml:space="preserve">, </w:t>
      </w:r>
      <w:r w:rsidRPr="005C7611">
        <w:rPr>
          <w:lang w:val="en-US"/>
        </w:rPr>
        <w:t>12, 235-240</w:t>
      </w:r>
    </w:p>
    <w:p w14:paraId="4379749E" w14:textId="77777777" w:rsidR="00B55AAA" w:rsidRPr="005C7611" w:rsidRDefault="00B55AAA" w:rsidP="006F1873">
      <w:pPr>
        <w:spacing w:after="200" w:line="480" w:lineRule="auto"/>
        <w:rPr>
          <w:lang w:val="en-US"/>
        </w:rPr>
      </w:pPr>
      <w:r w:rsidRPr="005C7611">
        <w:rPr>
          <w:lang w:val="en-US"/>
        </w:rPr>
        <w:t>[</w:t>
      </w:r>
      <w:r w:rsidR="00741B3D" w:rsidRPr="005C7611">
        <w:rPr>
          <w:lang w:val="en-US"/>
        </w:rPr>
        <w:t>20</w:t>
      </w:r>
      <w:r w:rsidRPr="005C7611">
        <w:rPr>
          <w:lang w:val="en-US"/>
        </w:rPr>
        <w:t xml:space="preserve">] </w:t>
      </w:r>
      <w:r w:rsidRPr="005C7611">
        <w:rPr>
          <w:lang w:val="en-US"/>
        </w:rPr>
        <w:tab/>
        <w:t xml:space="preserve">D. H. </w:t>
      </w:r>
      <w:proofErr w:type="spellStart"/>
      <w:r w:rsidRPr="005C7611">
        <w:rPr>
          <w:lang w:val="en-US"/>
        </w:rPr>
        <w:t>Ahn</w:t>
      </w:r>
      <w:proofErr w:type="spellEnd"/>
      <w:r w:rsidRPr="005C7611">
        <w:rPr>
          <w:lang w:val="en-US"/>
        </w:rPr>
        <w:t xml:space="preserve">, S. W. Kim, H. Lee, I. J. Ko, D. Karthik, J. Y. Lee, J. H. Kwon, </w:t>
      </w:r>
      <w:r w:rsidRPr="005C7611">
        <w:rPr>
          <w:i/>
          <w:iCs/>
          <w:lang w:val="en-US"/>
        </w:rPr>
        <w:t>Nat</w:t>
      </w:r>
      <w:r w:rsidR="00B94E3B" w:rsidRPr="005C7611">
        <w:rPr>
          <w:i/>
          <w:iCs/>
          <w:lang w:val="en-US"/>
        </w:rPr>
        <w:t>.</w:t>
      </w:r>
      <w:r w:rsidRPr="005C7611">
        <w:rPr>
          <w:i/>
          <w:iCs/>
          <w:lang w:val="en-US"/>
        </w:rPr>
        <w:t xml:space="preserve"> Photonics</w:t>
      </w:r>
      <w:r w:rsidRPr="005C7611">
        <w:rPr>
          <w:lang w:val="en-US"/>
        </w:rPr>
        <w:t xml:space="preserve"> </w:t>
      </w:r>
      <w:r w:rsidR="00B94E3B" w:rsidRPr="005C7611">
        <w:rPr>
          <w:b/>
          <w:bCs/>
          <w:lang w:val="en-US"/>
        </w:rPr>
        <w:t>2019</w:t>
      </w:r>
      <w:r w:rsidR="00B94E3B" w:rsidRPr="005C7611">
        <w:rPr>
          <w:lang w:val="en-US"/>
        </w:rPr>
        <w:t xml:space="preserve">, </w:t>
      </w:r>
      <w:r w:rsidRPr="005C7611">
        <w:rPr>
          <w:lang w:val="en-US"/>
        </w:rPr>
        <w:t>13, 540-546</w:t>
      </w:r>
    </w:p>
    <w:p w14:paraId="257B98E2" w14:textId="77777777" w:rsidR="00B55AAA" w:rsidRPr="005C7611" w:rsidRDefault="00B55AAA" w:rsidP="006F1873">
      <w:pPr>
        <w:spacing w:after="200" w:line="480" w:lineRule="auto"/>
        <w:rPr>
          <w:lang w:val="en-US"/>
        </w:rPr>
      </w:pPr>
      <w:r w:rsidRPr="005C7611">
        <w:rPr>
          <w:lang w:val="en-US"/>
        </w:rPr>
        <w:t>[2</w:t>
      </w:r>
      <w:r w:rsidR="00741B3D" w:rsidRPr="005C7611">
        <w:rPr>
          <w:lang w:val="en-US"/>
        </w:rPr>
        <w:t>1</w:t>
      </w:r>
      <w:r w:rsidRPr="005C7611">
        <w:rPr>
          <w:lang w:val="en-US"/>
        </w:rPr>
        <w:t xml:space="preserve">] </w:t>
      </w:r>
      <w:r w:rsidRPr="005C7611">
        <w:rPr>
          <w:lang w:val="en-US"/>
        </w:rPr>
        <w:tab/>
        <w:t xml:space="preserve">C.-K. Moon, K. Suzuki, K. </w:t>
      </w:r>
      <w:proofErr w:type="spellStart"/>
      <w:r w:rsidRPr="005C7611">
        <w:rPr>
          <w:lang w:val="en-US"/>
        </w:rPr>
        <w:t>Shizu</w:t>
      </w:r>
      <w:proofErr w:type="spellEnd"/>
      <w:r w:rsidRPr="005C7611">
        <w:rPr>
          <w:lang w:val="en-US"/>
        </w:rPr>
        <w:t xml:space="preserve">, C. Adachi, H. </w:t>
      </w:r>
      <w:proofErr w:type="spellStart"/>
      <w:r w:rsidRPr="005C7611">
        <w:rPr>
          <w:lang w:val="en-US"/>
        </w:rPr>
        <w:t>Kaji</w:t>
      </w:r>
      <w:proofErr w:type="spellEnd"/>
      <w:r w:rsidRPr="005C7611">
        <w:rPr>
          <w:lang w:val="en-US"/>
        </w:rPr>
        <w:t>, J.-J. Kim</w:t>
      </w:r>
      <w:r w:rsidR="00741B3D" w:rsidRPr="005C7611">
        <w:rPr>
          <w:lang w:val="en-US"/>
        </w:rPr>
        <w:t>,</w:t>
      </w:r>
      <w:r w:rsidRPr="005C7611">
        <w:rPr>
          <w:lang w:val="en-US"/>
        </w:rPr>
        <w:t xml:space="preserve"> </w:t>
      </w:r>
      <w:r w:rsidRPr="005C7611">
        <w:rPr>
          <w:i/>
          <w:iCs/>
          <w:lang w:val="en-US"/>
        </w:rPr>
        <w:t>Adv. Mater.</w:t>
      </w:r>
      <w:r w:rsidRPr="005C7611">
        <w:rPr>
          <w:lang w:val="en-US"/>
        </w:rPr>
        <w:t xml:space="preserve"> </w:t>
      </w:r>
      <w:r w:rsidR="009A61D7" w:rsidRPr="005C7611">
        <w:rPr>
          <w:b/>
          <w:bCs/>
          <w:lang w:val="en-US"/>
        </w:rPr>
        <w:t>2017</w:t>
      </w:r>
      <w:r w:rsidR="009A61D7" w:rsidRPr="005C7611">
        <w:rPr>
          <w:lang w:val="en-US"/>
        </w:rPr>
        <w:t xml:space="preserve">, </w:t>
      </w:r>
      <w:r w:rsidRPr="005C7611">
        <w:rPr>
          <w:lang w:val="en-US"/>
        </w:rPr>
        <w:t>29, 1606448</w:t>
      </w:r>
    </w:p>
    <w:p w14:paraId="11A4D485" w14:textId="77777777" w:rsidR="00741B3D" w:rsidRPr="005C7611" w:rsidRDefault="00741B3D" w:rsidP="006F1873">
      <w:pPr>
        <w:spacing w:after="200" w:line="480" w:lineRule="auto"/>
        <w:rPr>
          <w:lang w:val="en-US"/>
        </w:rPr>
      </w:pPr>
      <w:r w:rsidRPr="005C7611">
        <w:rPr>
          <w:rFonts w:eastAsiaTheme="minorEastAsia"/>
          <w:lang w:val="en-US" w:eastAsia="ko-KR"/>
        </w:rPr>
        <w:t>[22]</w:t>
      </w:r>
      <w:r w:rsidRPr="005C7611">
        <w:rPr>
          <w:rFonts w:eastAsiaTheme="minorEastAsia"/>
          <w:lang w:val="en-US" w:eastAsia="ko-KR"/>
        </w:rPr>
        <w:tab/>
      </w:r>
      <w:r w:rsidRPr="005C7611">
        <w:rPr>
          <w:lang w:val="en-US"/>
        </w:rPr>
        <w:t xml:space="preserve">T. </w:t>
      </w:r>
      <w:proofErr w:type="spellStart"/>
      <w:r w:rsidRPr="005C7611">
        <w:rPr>
          <w:lang w:val="en-US"/>
        </w:rPr>
        <w:t>Hatakeyama</w:t>
      </w:r>
      <w:proofErr w:type="spellEnd"/>
      <w:r w:rsidRPr="005C7611">
        <w:rPr>
          <w:lang w:val="en-US"/>
        </w:rPr>
        <w:t xml:space="preserve">, K. </w:t>
      </w:r>
      <w:proofErr w:type="spellStart"/>
      <w:proofErr w:type="gramStart"/>
      <w:r w:rsidRPr="005C7611">
        <w:rPr>
          <w:lang w:val="en-US"/>
        </w:rPr>
        <w:t>Shiren</w:t>
      </w:r>
      <w:proofErr w:type="spellEnd"/>
      <w:r w:rsidRPr="005C7611">
        <w:rPr>
          <w:lang w:val="en-US"/>
        </w:rPr>
        <w:t xml:space="preserve"> ,</w:t>
      </w:r>
      <w:proofErr w:type="gramEnd"/>
      <w:r w:rsidRPr="005C7611">
        <w:rPr>
          <w:lang w:val="en-US"/>
        </w:rPr>
        <w:t xml:space="preserve"> K. Nakajima , S. Nomura , S. Nakatsuka , K. Kinoshita, J. Ni , Y. Ono, T. Ikuta, </w:t>
      </w:r>
      <w:r w:rsidRPr="005C7611">
        <w:rPr>
          <w:i/>
          <w:iCs/>
          <w:lang w:val="en-US"/>
        </w:rPr>
        <w:t>Adv. Mater.</w:t>
      </w:r>
      <w:r w:rsidRPr="005C7611">
        <w:rPr>
          <w:lang w:val="en-US"/>
        </w:rPr>
        <w:t xml:space="preserve"> </w:t>
      </w:r>
      <w:r w:rsidRPr="005C7611">
        <w:rPr>
          <w:b/>
          <w:bCs/>
          <w:lang w:val="en-US"/>
        </w:rPr>
        <w:t>2016</w:t>
      </w:r>
      <w:r w:rsidRPr="005C7611">
        <w:rPr>
          <w:lang w:val="en-US"/>
        </w:rPr>
        <w:t>, 28, 2777-2781</w:t>
      </w:r>
    </w:p>
    <w:p w14:paraId="7B79B18D" w14:textId="77777777" w:rsidR="00741B3D" w:rsidRPr="005C7611" w:rsidRDefault="00741B3D" w:rsidP="006F1873">
      <w:pPr>
        <w:spacing w:after="200" w:line="480" w:lineRule="auto"/>
        <w:rPr>
          <w:rFonts w:eastAsiaTheme="minorEastAsia"/>
          <w:lang w:val="en-US" w:eastAsia="ko-KR"/>
        </w:rPr>
      </w:pPr>
      <w:r w:rsidRPr="005C7611">
        <w:rPr>
          <w:rFonts w:eastAsiaTheme="minorEastAsia"/>
          <w:lang w:val="en-US" w:eastAsia="ko-KR"/>
        </w:rPr>
        <w:t>[23]</w:t>
      </w:r>
      <w:r w:rsidRPr="005C7611">
        <w:rPr>
          <w:rFonts w:eastAsiaTheme="minorEastAsia"/>
          <w:lang w:val="en-US" w:eastAsia="ko-KR"/>
        </w:rPr>
        <w:tab/>
        <w:t>Y</w:t>
      </w:r>
      <w:r w:rsidR="00B94E3B" w:rsidRPr="005C7611">
        <w:rPr>
          <w:rFonts w:eastAsiaTheme="minorEastAsia"/>
          <w:lang w:val="en-US" w:eastAsia="ko-KR"/>
        </w:rPr>
        <w:t>.</w:t>
      </w:r>
      <w:r w:rsidRPr="005C7611">
        <w:rPr>
          <w:rFonts w:eastAsiaTheme="minorEastAsia"/>
          <w:lang w:val="en-US" w:eastAsia="ko-KR"/>
        </w:rPr>
        <w:t xml:space="preserve"> Kondo, K</w:t>
      </w:r>
      <w:r w:rsidR="00B94E3B" w:rsidRPr="005C7611">
        <w:rPr>
          <w:rFonts w:eastAsiaTheme="minorEastAsia"/>
          <w:lang w:val="en-US" w:eastAsia="ko-KR"/>
        </w:rPr>
        <w:t>.</w:t>
      </w:r>
      <w:r w:rsidRPr="005C7611">
        <w:rPr>
          <w:rFonts w:eastAsiaTheme="minorEastAsia"/>
          <w:lang w:val="en-US" w:eastAsia="ko-KR"/>
        </w:rPr>
        <w:t xml:space="preserve"> </w:t>
      </w:r>
      <w:proofErr w:type="spellStart"/>
      <w:r w:rsidRPr="005C7611">
        <w:rPr>
          <w:rFonts w:eastAsiaTheme="minorEastAsia"/>
          <w:lang w:val="en-US" w:eastAsia="ko-KR"/>
        </w:rPr>
        <w:t>Yoshiura</w:t>
      </w:r>
      <w:proofErr w:type="spellEnd"/>
      <w:r w:rsidRPr="005C7611">
        <w:rPr>
          <w:rFonts w:eastAsiaTheme="minorEastAsia"/>
          <w:lang w:val="en-US" w:eastAsia="ko-KR"/>
        </w:rPr>
        <w:t>, S</w:t>
      </w:r>
      <w:r w:rsidR="00B94E3B" w:rsidRPr="005C7611">
        <w:rPr>
          <w:rFonts w:eastAsiaTheme="minorEastAsia"/>
          <w:lang w:val="en-US" w:eastAsia="ko-KR"/>
        </w:rPr>
        <w:t>.</w:t>
      </w:r>
      <w:r w:rsidRPr="005C7611">
        <w:rPr>
          <w:rFonts w:eastAsiaTheme="minorEastAsia"/>
          <w:lang w:val="en-US" w:eastAsia="ko-KR"/>
        </w:rPr>
        <w:t xml:space="preserve"> </w:t>
      </w:r>
      <w:proofErr w:type="spellStart"/>
      <w:r w:rsidRPr="005C7611">
        <w:rPr>
          <w:rFonts w:eastAsiaTheme="minorEastAsia"/>
          <w:lang w:val="en-US" w:eastAsia="ko-KR"/>
        </w:rPr>
        <w:t>Kitera</w:t>
      </w:r>
      <w:proofErr w:type="spellEnd"/>
      <w:r w:rsidRPr="005C7611">
        <w:rPr>
          <w:rFonts w:eastAsiaTheme="minorEastAsia"/>
          <w:lang w:val="en-US" w:eastAsia="ko-KR"/>
        </w:rPr>
        <w:t>, H</w:t>
      </w:r>
      <w:r w:rsidR="00B94E3B" w:rsidRPr="005C7611">
        <w:rPr>
          <w:rFonts w:eastAsiaTheme="minorEastAsia"/>
          <w:lang w:val="en-US" w:eastAsia="ko-KR"/>
        </w:rPr>
        <w:t>.</w:t>
      </w:r>
      <w:r w:rsidRPr="005C7611">
        <w:rPr>
          <w:rFonts w:eastAsiaTheme="minorEastAsia"/>
          <w:lang w:val="en-US" w:eastAsia="ko-KR"/>
        </w:rPr>
        <w:t xml:space="preserve"> Nishi, S</w:t>
      </w:r>
      <w:r w:rsidR="00B94E3B" w:rsidRPr="005C7611">
        <w:rPr>
          <w:rFonts w:eastAsiaTheme="minorEastAsia"/>
          <w:lang w:val="en-US" w:eastAsia="ko-KR"/>
        </w:rPr>
        <w:t>.</w:t>
      </w:r>
      <w:r w:rsidRPr="005C7611">
        <w:rPr>
          <w:rFonts w:eastAsiaTheme="minorEastAsia"/>
          <w:lang w:val="en-US" w:eastAsia="ko-KR"/>
        </w:rPr>
        <w:t xml:space="preserve"> Oda, H</w:t>
      </w:r>
      <w:r w:rsidR="00B94E3B" w:rsidRPr="005C7611">
        <w:rPr>
          <w:rFonts w:eastAsiaTheme="minorEastAsia"/>
          <w:lang w:val="en-US" w:eastAsia="ko-KR"/>
        </w:rPr>
        <w:t>.</w:t>
      </w:r>
      <w:r w:rsidRPr="005C7611">
        <w:rPr>
          <w:rFonts w:eastAsiaTheme="minorEastAsia"/>
          <w:lang w:val="en-US" w:eastAsia="ko-KR"/>
        </w:rPr>
        <w:t xml:space="preserve"> </w:t>
      </w:r>
      <w:proofErr w:type="spellStart"/>
      <w:r w:rsidRPr="005C7611">
        <w:rPr>
          <w:rFonts w:eastAsiaTheme="minorEastAsia"/>
          <w:lang w:val="en-US" w:eastAsia="ko-KR"/>
        </w:rPr>
        <w:t>Gotoh</w:t>
      </w:r>
      <w:proofErr w:type="spellEnd"/>
      <w:r w:rsidRPr="005C7611">
        <w:rPr>
          <w:rFonts w:eastAsiaTheme="minorEastAsia"/>
          <w:lang w:val="en-US" w:eastAsia="ko-KR"/>
        </w:rPr>
        <w:t>, Y</w:t>
      </w:r>
      <w:r w:rsidR="00B94E3B" w:rsidRPr="005C7611">
        <w:rPr>
          <w:rFonts w:eastAsiaTheme="minorEastAsia"/>
          <w:lang w:val="en-US" w:eastAsia="ko-KR"/>
        </w:rPr>
        <w:t>.</w:t>
      </w:r>
      <w:r w:rsidRPr="005C7611">
        <w:rPr>
          <w:rFonts w:eastAsiaTheme="minorEastAsia"/>
          <w:lang w:val="en-US" w:eastAsia="ko-KR"/>
        </w:rPr>
        <w:t xml:space="preserve"> </w:t>
      </w:r>
      <w:proofErr w:type="spellStart"/>
      <w:r w:rsidRPr="005C7611">
        <w:rPr>
          <w:rFonts w:eastAsiaTheme="minorEastAsia"/>
          <w:lang w:val="en-US" w:eastAsia="ko-KR"/>
        </w:rPr>
        <w:t>Sasada</w:t>
      </w:r>
      <w:proofErr w:type="spellEnd"/>
      <w:r w:rsidRPr="005C7611">
        <w:rPr>
          <w:rFonts w:eastAsiaTheme="minorEastAsia"/>
          <w:lang w:val="en-US" w:eastAsia="ko-KR"/>
        </w:rPr>
        <w:t>, M</w:t>
      </w:r>
      <w:r w:rsidR="00B94E3B" w:rsidRPr="005C7611">
        <w:rPr>
          <w:rFonts w:eastAsiaTheme="minorEastAsia"/>
          <w:lang w:val="en-US" w:eastAsia="ko-KR"/>
        </w:rPr>
        <w:t>.</w:t>
      </w:r>
      <w:r w:rsidRPr="005C7611">
        <w:rPr>
          <w:rFonts w:eastAsiaTheme="minorEastAsia"/>
          <w:lang w:val="en-US" w:eastAsia="ko-KR"/>
        </w:rPr>
        <w:t xml:space="preserve"> </w:t>
      </w:r>
      <w:proofErr w:type="spellStart"/>
      <w:r w:rsidRPr="005C7611">
        <w:rPr>
          <w:rFonts w:eastAsiaTheme="minorEastAsia"/>
          <w:lang w:val="en-US" w:eastAsia="ko-KR"/>
        </w:rPr>
        <w:t>Yanai</w:t>
      </w:r>
      <w:proofErr w:type="spellEnd"/>
      <w:r w:rsidR="00B94E3B" w:rsidRPr="005C7611">
        <w:rPr>
          <w:rFonts w:eastAsiaTheme="minorEastAsia"/>
          <w:lang w:val="en-US" w:eastAsia="ko-KR"/>
        </w:rPr>
        <w:t>,</w:t>
      </w:r>
      <w:r w:rsidRPr="005C7611">
        <w:rPr>
          <w:rFonts w:eastAsiaTheme="minorEastAsia"/>
          <w:lang w:val="en-US" w:eastAsia="ko-KR"/>
        </w:rPr>
        <w:t xml:space="preserve"> T</w:t>
      </w:r>
      <w:r w:rsidR="00B94E3B" w:rsidRPr="005C7611">
        <w:rPr>
          <w:rFonts w:eastAsiaTheme="minorEastAsia"/>
          <w:lang w:val="en-US" w:eastAsia="ko-KR"/>
        </w:rPr>
        <w:t>.</w:t>
      </w:r>
      <w:r w:rsidRPr="005C7611">
        <w:rPr>
          <w:rFonts w:eastAsiaTheme="minorEastAsia"/>
          <w:lang w:val="en-US" w:eastAsia="ko-KR"/>
        </w:rPr>
        <w:t xml:space="preserve"> </w:t>
      </w:r>
      <w:proofErr w:type="spellStart"/>
      <w:r w:rsidRPr="005C7611">
        <w:rPr>
          <w:rFonts w:eastAsiaTheme="minorEastAsia"/>
          <w:lang w:val="en-US" w:eastAsia="ko-KR"/>
        </w:rPr>
        <w:t>Hatakeyama</w:t>
      </w:r>
      <w:proofErr w:type="spellEnd"/>
      <w:r w:rsidR="00B94E3B" w:rsidRPr="005C7611">
        <w:rPr>
          <w:rFonts w:eastAsiaTheme="minorEastAsia"/>
          <w:lang w:val="en-US" w:eastAsia="ko-KR"/>
        </w:rPr>
        <w:t xml:space="preserve">, </w:t>
      </w:r>
      <w:r w:rsidR="00B94E3B" w:rsidRPr="005C7611">
        <w:rPr>
          <w:rFonts w:eastAsiaTheme="minorEastAsia"/>
          <w:i/>
          <w:iCs/>
          <w:lang w:val="en-US" w:eastAsia="ko-KR"/>
        </w:rPr>
        <w:t>Nat</w:t>
      </w:r>
      <w:r w:rsidR="009A61D7" w:rsidRPr="005C7611">
        <w:rPr>
          <w:rFonts w:eastAsiaTheme="minorEastAsia"/>
          <w:i/>
          <w:iCs/>
          <w:lang w:val="en-US" w:eastAsia="ko-KR"/>
        </w:rPr>
        <w:t>.</w:t>
      </w:r>
      <w:r w:rsidR="00B94E3B" w:rsidRPr="005C7611">
        <w:rPr>
          <w:rFonts w:eastAsiaTheme="minorEastAsia"/>
          <w:i/>
          <w:iCs/>
          <w:lang w:val="en-US" w:eastAsia="ko-KR"/>
        </w:rPr>
        <w:t xml:space="preserve"> Photonics</w:t>
      </w:r>
      <w:r w:rsidR="009A61D7" w:rsidRPr="005C7611">
        <w:rPr>
          <w:rFonts w:eastAsiaTheme="minorEastAsia"/>
          <w:lang w:val="en-US" w:eastAsia="ko-KR"/>
        </w:rPr>
        <w:t xml:space="preserve"> </w:t>
      </w:r>
      <w:r w:rsidR="009A61D7" w:rsidRPr="005C7611">
        <w:rPr>
          <w:rFonts w:eastAsiaTheme="minorEastAsia"/>
          <w:b/>
          <w:bCs/>
          <w:lang w:val="en-US" w:eastAsia="ko-KR"/>
        </w:rPr>
        <w:t>2019</w:t>
      </w:r>
      <w:r w:rsidR="009A61D7" w:rsidRPr="005C7611">
        <w:rPr>
          <w:rFonts w:eastAsiaTheme="minorEastAsia"/>
          <w:lang w:val="en-US" w:eastAsia="ko-KR"/>
        </w:rPr>
        <w:t>,</w:t>
      </w:r>
      <w:r w:rsidR="00B94E3B" w:rsidRPr="005C7611">
        <w:rPr>
          <w:rFonts w:eastAsiaTheme="minorEastAsia"/>
          <w:lang w:val="en-US" w:eastAsia="ko-KR"/>
        </w:rPr>
        <w:t xml:space="preserve"> 13, 67</w:t>
      </w:r>
      <w:r w:rsidR="009A61D7" w:rsidRPr="005C7611">
        <w:rPr>
          <w:rFonts w:eastAsiaTheme="minorEastAsia"/>
          <w:lang w:val="en-US" w:eastAsia="ko-KR"/>
        </w:rPr>
        <w:t>8-682</w:t>
      </w:r>
    </w:p>
    <w:p w14:paraId="069D7A1E" w14:textId="77777777" w:rsidR="00B55AAA" w:rsidRPr="005C7611" w:rsidRDefault="00B55AAA" w:rsidP="006F1873">
      <w:pPr>
        <w:spacing w:after="200" w:line="480" w:lineRule="auto"/>
        <w:rPr>
          <w:lang w:val="en-US"/>
        </w:rPr>
      </w:pPr>
      <w:r w:rsidRPr="005C7611">
        <w:rPr>
          <w:lang w:val="en-US"/>
        </w:rPr>
        <w:t>[2</w:t>
      </w:r>
      <w:r w:rsidR="00456FB4" w:rsidRPr="005C7611">
        <w:rPr>
          <w:lang w:val="en-US"/>
        </w:rPr>
        <w:t>4</w:t>
      </w:r>
      <w:r w:rsidRPr="005C7611">
        <w:rPr>
          <w:lang w:val="en-US"/>
        </w:rPr>
        <w:t xml:space="preserve">] </w:t>
      </w:r>
      <w:r w:rsidRPr="005C7611">
        <w:rPr>
          <w:lang w:val="en-US"/>
        </w:rPr>
        <w:tab/>
        <w:t xml:space="preserve">H. </w:t>
      </w:r>
      <w:proofErr w:type="spellStart"/>
      <w:r w:rsidRPr="005C7611">
        <w:rPr>
          <w:lang w:val="en-US"/>
        </w:rPr>
        <w:t>Nakanotani</w:t>
      </w:r>
      <w:proofErr w:type="spellEnd"/>
      <w:r w:rsidRPr="005C7611">
        <w:rPr>
          <w:lang w:val="en-US"/>
        </w:rPr>
        <w:t xml:space="preserve">, T. Higuchi, T. Furukawa, K. Masui, K. Morimoto, M. </w:t>
      </w:r>
      <w:proofErr w:type="spellStart"/>
      <w:r w:rsidRPr="005C7611">
        <w:rPr>
          <w:lang w:val="en-US"/>
        </w:rPr>
        <w:t>Numata</w:t>
      </w:r>
      <w:proofErr w:type="spellEnd"/>
      <w:r w:rsidRPr="005C7611">
        <w:rPr>
          <w:lang w:val="en-US"/>
        </w:rPr>
        <w:t xml:space="preserve">, H. Tanaka, Y. </w:t>
      </w:r>
      <w:proofErr w:type="spellStart"/>
      <w:r w:rsidRPr="005C7611">
        <w:rPr>
          <w:lang w:val="en-US"/>
        </w:rPr>
        <w:t>Sagara</w:t>
      </w:r>
      <w:proofErr w:type="spellEnd"/>
      <w:r w:rsidRPr="005C7611">
        <w:rPr>
          <w:lang w:val="en-US"/>
        </w:rPr>
        <w:t xml:space="preserve">, T Yasuda, C. Adachi, </w:t>
      </w:r>
      <w:r w:rsidRPr="005C7611">
        <w:rPr>
          <w:i/>
          <w:iCs/>
          <w:lang w:val="en-US"/>
        </w:rPr>
        <w:t>Nat</w:t>
      </w:r>
      <w:r w:rsidR="009A61D7" w:rsidRPr="005C7611">
        <w:rPr>
          <w:i/>
          <w:iCs/>
          <w:lang w:val="en-US"/>
        </w:rPr>
        <w:t>.</w:t>
      </w:r>
      <w:r w:rsidRPr="005C7611">
        <w:rPr>
          <w:i/>
          <w:iCs/>
          <w:lang w:val="en-US"/>
        </w:rPr>
        <w:t xml:space="preserve"> </w:t>
      </w:r>
      <w:proofErr w:type="spellStart"/>
      <w:r w:rsidRPr="005C7611">
        <w:rPr>
          <w:i/>
          <w:iCs/>
          <w:lang w:val="en-US"/>
        </w:rPr>
        <w:t>Commun</w:t>
      </w:r>
      <w:proofErr w:type="spellEnd"/>
      <w:r w:rsidR="009A61D7" w:rsidRPr="005C7611">
        <w:rPr>
          <w:i/>
          <w:iCs/>
          <w:lang w:val="en-US"/>
        </w:rPr>
        <w:t>.</w:t>
      </w:r>
      <w:r w:rsidRPr="005C7611">
        <w:rPr>
          <w:lang w:val="en-US"/>
        </w:rPr>
        <w:t xml:space="preserve"> </w:t>
      </w:r>
      <w:r w:rsidR="009A61D7" w:rsidRPr="005C7611">
        <w:rPr>
          <w:b/>
          <w:bCs/>
          <w:lang w:val="en-US"/>
        </w:rPr>
        <w:t>2014</w:t>
      </w:r>
      <w:r w:rsidR="009A61D7" w:rsidRPr="005C7611">
        <w:rPr>
          <w:lang w:val="en-US"/>
        </w:rPr>
        <w:t xml:space="preserve">, </w:t>
      </w:r>
      <w:r w:rsidRPr="005C7611">
        <w:rPr>
          <w:lang w:val="en-US"/>
        </w:rPr>
        <w:t>5, 4016</w:t>
      </w:r>
    </w:p>
    <w:p w14:paraId="6262892B" w14:textId="77777777" w:rsidR="00B55AAA" w:rsidRPr="005C7611" w:rsidRDefault="00B55AAA" w:rsidP="006F1873">
      <w:pPr>
        <w:spacing w:after="200" w:line="480" w:lineRule="auto"/>
        <w:rPr>
          <w:lang w:val="en-US"/>
        </w:rPr>
      </w:pPr>
      <w:r w:rsidRPr="005C7611">
        <w:rPr>
          <w:lang w:val="en-US"/>
        </w:rPr>
        <w:t>[2</w:t>
      </w:r>
      <w:r w:rsidR="00456FB4" w:rsidRPr="005C7611">
        <w:rPr>
          <w:lang w:val="en-US"/>
        </w:rPr>
        <w:t>5</w:t>
      </w:r>
      <w:r w:rsidRPr="005C7611">
        <w:rPr>
          <w:lang w:val="en-US"/>
        </w:rPr>
        <w:t xml:space="preserve">] </w:t>
      </w:r>
      <w:r w:rsidRPr="005C7611">
        <w:rPr>
          <w:lang w:val="en-US"/>
        </w:rPr>
        <w:tab/>
        <w:t xml:space="preserve">M. A. </w:t>
      </w:r>
      <w:proofErr w:type="spellStart"/>
      <w:r w:rsidRPr="005C7611">
        <w:rPr>
          <w:lang w:val="en-US"/>
        </w:rPr>
        <w:t>Baldo</w:t>
      </w:r>
      <w:proofErr w:type="spellEnd"/>
      <w:r w:rsidRPr="005C7611">
        <w:rPr>
          <w:lang w:val="en-US"/>
        </w:rPr>
        <w:t xml:space="preserve">, M. E. Thompson, S. R. Forrest, </w:t>
      </w:r>
      <w:r w:rsidRPr="005C7611">
        <w:rPr>
          <w:i/>
          <w:iCs/>
          <w:lang w:val="en-US"/>
        </w:rPr>
        <w:t>Nature</w:t>
      </w:r>
      <w:r w:rsidR="009A61D7" w:rsidRPr="005C7611">
        <w:rPr>
          <w:lang w:val="en-US"/>
        </w:rPr>
        <w:t xml:space="preserve"> </w:t>
      </w:r>
      <w:r w:rsidR="009A61D7" w:rsidRPr="005C7611">
        <w:rPr>
          <w:b/>
          <w:bCs/>
          <w:lang w:val="en-US"/>
        </w:rPr>
        <w:t>2000</w:t>
      </w:r>
      <w:r w:rsidR="009A61D7" w:rsidRPr="005C7611">
        <w:rPr>
          <w:lang w:val="en-US"/>
        </w:rPr>
        <w:t>,</w:t>
      </w:r>
      <w:r w:rsidRPr="005C7611">
        <w:rPr>
          <w:lang w:val="en-US"/>
        </w:rPr>
        <w:t xml:space="preserve"> 403, 750-753</w:t>
      </w:r>
    </w:p>
    <w:p w14:paraId="79352044" w14:textId="77777777" w:rsidR="00B55AAA" w:rsidRPr="005C7611" w:rsidRDefault="00B55AAA" w:rsidP="006F1873">
      <w:pPr>
        <w:spacing w:after="200" w:line="480" w:lineRule="auto"/>
        <w:rPr>
          <w:lang w:val="en-US"/>
        </w:rPr>
      </w:pPr>
      <w:r w:rsidRPr="005C7611">
        <w:rPr>
          <w:lang w:val="en-US"/>
        </w:rPr>
        <w:t>[2</w:t>
      </w:r>
      <w:r w:rsidR="00456FB4" w:rsidRPr="005C7611">
        <w:rPr>
          <w:lang w:val="en-US"/>
        </w:rPr>
        <w:t>6</w:t>
      </w:r>
      <w:r w:rsidRPr="005C7611">
        <w:rPr>
          <w:lang w:val="en-US"/>
        </w:rPr>
        <w:t xml:space="preserve">] </w:t>
      </w:r>
      <w:r w:rsidRPr="005C7611">
        <w:rPr>
          <w:lang w:val="en-US"/>
        </w:rPr>
        <w:tab/>
        <w:t xml:space="preserve">H.-G. Kim, K.-H. Kim, C.-K. Moon, J.-J. Kim, </w:t>
      </w:r>
      <w:r w:rsidRPr="005C7611">
        <w:rPr>
          <w:i/>
          <w:iCs/>
          <w:lang w:val="en-US"/>
        </w:rPr>
        <w:t>Adv. Optical Mater.</w:t>
      </w:r>
      <w:r w:rsidRPr="005C7611">
        <w:rPr>
          <w:lang w:val="en-US"/>
        </w:rPr>
        <w:t xml:space="preserve"> </w:t>
      </w:r>
      <w:r w:rsidR="009A61D7" w:rsidRPr="005C7611">
        <w:rPr>
          <w:b/>
          <w:bCs/>
          <w:lang w:val="en-US"/>
        </w:rPr>
        <w:t>2017</w:t>
      </w:r>
      <w:r w:rsidR="009A61D7" w:rsidRPr="005C7611">
        <w:rPr>
          <w:lang w:val="en-US"/>
        </w:rPr>
        <w:t xml:space="preserve">, </w:t>
      </w:r>
      <w:r w:rsidRPr="005C7611">
        <w:rPr>
          <w:lang w:val="en-US"/>
        </w:rPr>
        <w:t>5, 1600749</w:t>
      </w:r>
    </w:p>
    <w:p w14:paraId="0623D541" w14:textId="77777777" w:rsidR="00B55AAA" w:rsidRPr="005C7611" w:rsidRDefault="00B55AAA" w:rsidP="006F1873">
      <w:pPr>
        <w:spacing w:after="200" w:line="480" w:lineRule="auto"/>
        <w:rPr>
          <w:lang w:val="en-US"/>
        </w:rPr>
      </w:pPr>
      <w:r w:rsidRPr="005C7611">
        <w:rPr>
          <w:lang w:val="en-US"/>
        </w:rPr>
        <w:t>[2</w:t>
      </w:r>
      <w:r w:rsidR="00456FB4" w:rsidRPr="005C7611">
        <w:rPr>
          <w:lang w:val="en-US"/>
        </w:rPr>
        <w:t>7</w:t>
      </w:r>
      <w:r w:rsidRPr="005C7611">
        <w:rPr>
          <w:lang w:val="en-US"/>
        </w:rPr>
        <w:t xml:space="preserve">] </w:t>
      </w:r>
      <w:r w:rsidRPr="005C7611">
        <w:rPr>
          <w:lang w:val="en-US"/>
        </w:rPr>
        <w:tab/>
        <w:t xml:space="preserve">H.-G. Kim, K.-H. Kim, J.-J. Kim, </w:t>
      </w:r>
      <w:r w:rsidRPr="005C7611">
        <w:rPr>
          <w:i/>
          <w:iCs/>
          <w:lang w:val="en-US"/>
        </w:rPr>
        <w:t>Adv. Mater.</w:t>
      </w:r>
      <w:r w:rsidRPr="005C7611">
        <w:rPr>
          <w:lang w:val="en-US"/>
        </w:rPr>
        <w:t xml:space="preserve"> </w:t>
      </w:r>
      <w:r w:rsidR="009A61D7" w:rsidRPr="005C7611">
        <w:rPr>
          <w:b/>
          <w:bCs/>
          <w:lang w:val="en-US"/>
        </w:rPr>
        <w:t>2017</w:t>
      </w:r>
      <w:r w:rsidR="009A61D7" w:rsidRPr="005C7611">
        <w:rPr>
          <w:lang w:val="en-US"/>
        </w:rPr>
        <w:t xml:space="preserve">, </w:t>
      </w:r>
      <w:r w:rsidRPr="005C7611">
        <w:rPr>
          <w:lang w:val="en-US"/>
        </w:rPr>
        <w:t>29, 1702159</w:t>
      </w:r>
    </w:p>
    <w:p w14:paraId="27B8DE87" w14:textId="77777777" w:rsidR="00B55AAA" w:rsidRPr="005C7611" w:rsidRDefault="00B55AAA" w:rsidP="006F1873">
      <w:pPr>
        <w:spacing w:after="200" w:line="480" w:lineRule="auto"/>
        <w:rPr>
          <w:lang w:val="en-US"/>
        </w:rPr>
      </w:pPr>
      <w:r w:rsidRPr="005C7611">
        <w:rPr>
          <w:lang w:val="en-US"/>
        </w:rPr>
        <w:t>[2</w:t>
      </w:r>
      <w:r w:rsidR="00456FB4" w:rsidRPr="005C7611">
        <w:rPr>
          <w:lang w:val="en-US"/>
        </w:rPr>
        <w:t>8</w:t>
      </w:r>
      <w:r w:rsidRPr="005C7611">
        <w:rPr>
          <w:lang w:val="en-US"/>
        </w:rPr>
        <w:t xml:space="preserve">] </w:t>
      </w:r>
      <w:r w:rsidRPr="005C7611">
        <w:rPr>
          <w:lang w:val="en-US"/>
        </w:rPr>
        <w:tab/>
        <w:t xml:space="preserve">H.-G. Kim, H. Shin, Y. H. Ha, R. Kim, S.-K. Kwon, Y.-H. Kim, J.-J. Kim, </w:t>
      </w:r>
      <w:r w:rsidRPr="005C7611">
        <w:rPr>
          <w:i/>
          <w:iCs/>
          <w:lang w:val="en-US"/>
        </w:rPr>
        <w:t>ACS Appl. Mater. Interfaces</w:t>
      </w:r>
      <w:r w:rsidRPr="005C7611">
        <w:rPr>
          <w:lang w:val="en-US"/>
        </w:rPr>
        <w:t xml:space="preserve"> </w:t>
      </w:r>
      <w:r w:rsidR="009A61D7" w:rsidRPr="005C7611">
        <w:rPr>
          <w:b/>
          <w:bCs/>
          <w:lang w:val="en-US"/>
        </w:rPr>
        <w:t>2019</w:t>
      </w:r>
      <w:r w:rsidR="009A61D7" w:rsidRPr="005C7611">
        <w:rPr>
          <w:lang w:val="en-US"/>
        </w:rPr>
        <w:t xml:space="preserve">, </w:t>
      </w:r>
      <w:r w:rsidRPr="005C7611">
        <w:rPr>
          <w:lang w:val="en-US"/>
        </w:rPr>
        <w:t>11, 26</w:t>
      </w:r>
      <w:r w:rsidR="009A61D7" w:rsidRPr="005C7611">
        <w:rPr>
          <w:lang w:val="en-US"/>
        </w:rPr>
        <w:t>-</w:t>
      </w:r>
      <w:r w:rsidRPr="005C7611">
        <w:rPr>
          <w:lang w:val="en-US"/>
        </w:rPr>
        <w:t>30</w:t>
      </w:r>
    </w:p>
    <w:p w14:paraId="7A3DB88E" w14:textId="77777777" w:rsidR="00B55AAA" w:rsidRPr="005C7611" w:rsidRDefault="00B55AAA" w:rsidP="006F1873">
      <w:pPr>
        <w:spacing w:after="200" w:line="480" w:lineRule="auto"/>
        <w:rPr>
          <w:lang w:val="en-US"/>
        </w:rPr>
      </w:pPr>
      <w:r w:rsidRPr="005C7611">
        <w:rPr>
          <w:lang w:val="en-US"/>
        </w:rPr>
        <w:t>[2</w:t>
      </w:r>
      <w:r w:rsidR="00456FB4" w:rsidRPr="005C7611">
        <w:rPr>
          <w:lang w:val="en-US"/>
        </w:rPr>
        <w:t>9</w:t>
      </w:r>
      <w:r w:rsidRPr="005C7611">
        <w:rPr>
          <w:lang w:val="en-US"/>
        </w:rPr>
        <w:t xml:space="preserve">] </w:t>
      </w:r>
      <w:r w:rsidRPr="005C7611">
        <w:rPr>
          <w:lang w:val="en-US"/>
        </w:rPr>
        <w:tab/>
        <w:t xml:space="preserve">P. Heimel1, A. Mondal, F. May, W. </w:t>
      </w:r>
      <w:proofErr w:type="spellStart"/>
      <w:r w:rsidRPr="005C7611">
        <w:rPr>
          <w:lang w:val="en-US"/>
        </w:rPr>
        <w:t>Kowalsky</w:t>
      </w:r>
      <w:proofErr w:type="spellEnd"/>
      <w:r w:rsidRPr="005C7611">
        <w:rPr>
          <w:lang w:val="en-US"/>
        </w:rPr>
        <w:t xml:space="preserve">, C. </w:t>
      </w:r>
      <w:proofErr w:type="spellStart"/>
      <w:r w:rsidRPr="005C7611">
        <w:rPr>
          <w:lang w:val="en-US"/>
        </w:rPr>
        <w:t>Lennartz</w:t>
      </w:r>
      <w:proofErr w:type="spellEnd"/>
      <w:r w:rsidRPr="005C7611">
        <w:rPr>
          <w:lang w:val="en-US"/>
        </w:rPr>
        <w:t xml:space="preserve">, D. </w:t>
      </w:r>
      <w:proofErr w:type="spellStart"/>
      <w:r w:rsidRPr="005C7611">
        <w:rPr>
          <w:lang w:val="en-US"/>
        </w:rPr>
        <w:t>Andrienko</w:t>
      </w:r>
      <w:proofErr w:type="spellEnd"/>
      <w:r w:rsidRPr="005C7611">
        <w:rPr>
          <w:lang w:val="en-US"/>
        </w:rPr>
        <w:t xml:space="preserve">, R. </w:t>
      </w:r>
      <w:proofErr w:type="spellStart"/>
      <w:r w:rsidRPr="005C7611">
        <w:rPr>
          <w:lang w:val="en-US"/>
        </w:rPr>
        <w:t>Lovrincic</w:t>
      </w:r>
      <w:proofErr w:type="spellEnd"/>
      <w:r w:rsidRPr="005C7611">
        <w:rPr>
          <w:lang w:val="en-US"/>
        </w:rPr>
        <w:t>, Nat</w:t>
      </w:r>
      <w:r w:rsidR="00456FB4" w:rsidRPr="005C7611">
        <w:rPr>
          <w:lang w:val="en-US"/>
        </w:rPr>
        <w:t>.</w:t>
      </w:r>
      <w:r w:rsidRPr="005C7611">
        <w:rPr>
          <w:lang w:val="en-US"/>
        </w:rPr>
        <w:t xml:space="preserve"> </w:t>
      </w:r>
      <w:proofErr w:type="spellStart"/>
      <w:r w:rsidRPr="005C7611">
        <w:rPr>
          <w:lang w:val="en-US"/>
        </w:rPr>
        <w:t>Commun</w:t>
      </w:r>
      <w:proofErr w:type="spellEnd"/>
      <w:r w:rsidR="00456FB4" w:rsidRPr="005C7611">
        <w:rPr>
          <w:lang w:val="en-US"/>
        </w:rPr>
        <w:t>.</w:t>
      </w:r>
      <w:r w:rsidRPr="005C7611">
        <w:rPr>
          <w:lang w:val="en-US"/>
        </w:rPr>
        <w:t xml:space="preserve"> </w:t>
      </w:r>
      <w:r w:rsidR="00456FB4" w:rsidRPr="005C7611">
        <w:rPr>
          <w:b/>
          <w:bCs/>
          <w:lang w:val="en-US"/>
        </w:rPr>
        <w:t>2014</w:t>
      </w:r>
      <w:r w:rsidR="00456FB4" w:rsidRPr="005C7611">
        <w:rPr>
          <w:lang w:val="en-US"/>
        </w:rPr>
        <w:t xml:space="preserve">, </w:t>
      </w:r>
      <w:r w:rsidRPr="005C7611">
        <w:rPr>
          <w:lang w:val="en-US"/>
        </w:rPr>
        <w:t>9, 4990</w:t>
      </w:r>
    </w:p>
    <w:p w14:paraId="2CDE25C9" w14:textId="77777777" w:rsidR="00B55AAA" w:rsidRPr="005C7611" w:rsidRDefault="00B55AAA" w:rsidP="006F1873">
      <w:pPr>
        <w:spacing w:after="200" w:line="480" w:lineRule="auto"/>
        <w:rPr>
          <w:lang w:val="en-US"/>
        </w:rPr>
      </w:pPr>
      <w:r w:rsidRPr="005C7611">
        <w:rPr>
          <w:lang w:val="en-US"/>
        </w:rPr>
        <w:t>[</w:t>
      </w:r>
      <w:r w:rsidR="00BF4D0E" w:rsidRPr="005C7611">
        <w:rPr>
          <w:lang w:val="en-US"/>
        </w:rPr>
        <w:t>30</w:t>
      </w:r>
      <w:r w:rsidRPr="005C7611">
        <w:rPr>
          <w:lang w:val="en-US"/>
        </w:rPr>
        <w:t xml:space="preserve">] </w:t>
      </w:r>
      <w:r w:rsidRPr="005C7611">
        <w:rPr>
          <w:lang w:val="en-US"/>
        </w:rPr>
        <w:tab/>
        <w:t xml:space="preserve">D. Di, A. S. Romanov, L. Yang, J. M. Richter, J. P. H. Rivett, S. Jones, T. H. Thomas, M. A. Jalebi, R. H. Friend, M. </w:t>
      </w:r>
      <w:proofErr w:type="spellStart"/>
      <w:r w:rsidRPr="005C7611">
        <w:rPr>
          <w:lang w:val="en-US"/>
        </w:rPr>
        <w:t>Linnolahti</w:t>
      </w:r>
      <w:proofErr w:type="spellEnd"/>
      <w:r w:rsidRPr="005C7611">
        <w:rPr>
          <w:lang w:val="en-US"/>
        </w:rPr>
        <w:t xml:space="preserve">, M. </w:t>
      </w:r>
      <w:proofErr w:type="spellStart"/>
      <w:r w:rsidRPr="005C7611">
        <w:rPr>
          <w:lang w:val="en-US"/>
        </w:rPr>
        <w:t>Bochmann</w:t>
      </w:r>
      <w:proofErr w:type="spellEnd"/>
      <w:r w:rsidRPr="005C7611">
        <w:rPr>
          <w:lang w:val="en-US"/>
        </w:rPr>
        <w:t xml:space="preserve">, D. </w:t>
      </w:r>
      <w:proofErr w:type="spellStart"/>
      <w:r w:rsidRPr="005C7611">
        <w:rPr>
          <w:lang w:val="en-US"/>
        </w:rPr>
        <w:t>Credgington</w:t>
      </w:r>
      <w:proofErr w:type="spellEnd"/>
      <w:r w:rsidRPr="005C7611">
        <w:rPr>
          <w:lang w:val="en-US"/>
        </w:rPr>
        <w:t xml:space="preserve">, </w:t>
      </w:r>
      <w:r w:rsidRPr="005C7611">
        <w:rPr>
          <w:i/>
          <w:iCs/>
          <w:lang w:val="en-US"/>
        </w:rPr>
        <w:t>Science</w:t>
      </w:r>
      <w:r w:rsidRPr="005C7611">
        <w:rPr>
          <w:lang w:val="en-US"/>
        </w:rPr>
        <w:t xml:space="preserve"> </w:t>
      </w:r>
      <w:r w:rsidR="00456FB4" w:rsidRPr="005C7611">
        <w:rPr>
          <w:b/>
          <w:bCs/>
          <w:lang w:val="en-US"/>
        </w:rPr>
        <w:t>2017</w:t>
      </w:r>
      <w:r w:rsidR="00456FB4" w:rsidRPr="005C7611">
        <w:rPr>
          <w:lang w:val="en-US"/>
        </w:rPr>
        <w:t xml:space="preserve">, </w:t>
      </w:r>
      <w:r w:rsidRPr="005C7611">
        <w:rPr>
          <w:lang w:val="en-US"/>
        </w:rPr>
        <w:t>356, 159</w:t>
      </w:r>
      <w:r w:rsidR="00456FB4" w:rsidRPr="005C7611">
        <w:rPr>
          <w:lang w:val="en-US"/>
        </w:rPr>
        <w:t>-</w:t>
      </w:r>
      <w:r w:rsidRPr="005C7611">
        <w:rPr>
          <w:lang w:val="en-US"/>
        </w:rPr>
        <w:t>163</w:t>
      </w:r>
    </w:p>
    <w:p w14:paraId="615C4FC8" w14:textId="77777777" w:rsidR="00B55AAA" w:rsidRPr="005C7611" w:rsidRDefault="00B55AAA" w:rsidP="006F1873">
      <w:pPr>
        <w:spacing w:after="200" w:line="480" w:lineRule="auto"/>
        <w:rPr>
          <w:lang w:val="en-US"/>
        </w:rPr>
      </w:pPr>
      <w:r w:rsidRPr="005C7611">
        <w:rPr>
          <w:lang w:val="en-US"/>
        </w:rPr>
        <w:lastRenderedPageBreak/>
        <w:t>[</w:t>
      </w:r>
      <w:r w:rsidR="00BF4D0E" w:rsidRPr="005C7611">
        <w:rPr>
          <w:lang w:val="en-US"/>
        </w:rPr>
        <w:t>31</w:t>
      </w:r>
      <w:r w:rsidRPr="005C7611">
        <w:rPr>
          <w:lang w:val="en-US"/>
        </w:rPr>
        <w:t xml:space="preserve">] </w:t>
      </w:r>
      <w:r w:rsidRPr="005C7611">
        <w:rPr>
          <w:lang w:val="en-US"/>
        </w:rPr>
        <w:tab/>
        <w:t xml:space="preserve">P. J. </w:t>
      </w:r>
      <w:proofErr w:type="spellStart"/>
      <w:r w:rsidRPr="005C7611">
        <w:rPr>
          <w:lang w:val="en-US"/>
        </w:rPr>
        <w:t>Conaghan</w:t>
      </w:r>
      <w:proofErr w:type="spellEnd"/>
      <w:r w:rsidRPr="005C7611">
        <w:rPr>
          <w:lang w:val="en-US"/>
        </w:rPr>
        <w:t xml:space="preserve">, S. M. Menke, A. S. Romanov, S. T. E. Jones, A. J. Pearson, E. W. Evans, M. </w:t>
      </w:r>
      <w:proofErr w:type="spellStart"/>
      <w:r w:rsidRPr="005C7611">
        <w:rPr>
          <w:lang w:val="en-US"/>
        </w:rPr>
        <w:t>Bochmann</w:t>
      </w:r>
      <w:proofErr w:type="spellEnd"/>
      <w:r w:rsidRPr="005C7611">
        <w:rPr>
          <w:lang w:val="en-US"/>
        </w:rPr>
        <w:t xml:space="preserve">, N. C. </w:t>
      </w:r>
      <w:proofErr w:type="spellStart"/>
      <w:r w:rsidRPr="005C7611">
        <w:rPr>
          <w:lang w:val="en-US"/>
        </w:rPr>
        <w:t>Greenham</w:t>
      </w:r>
      <w:proofErr w:type="spellEnd"/>
      <w:r w:rsidRPr="005C7611">
        <w:rPr>
          <w:lang w:val="en-US"/>
        </w:rPr>
        <w:t xml:space="preserve">, D. </w:t>
      </w:r>
      <w:proofErr w:type="spellStart"/>
      <w:r w:rsidRPr="005C7611">
        <w:rPr>
          <w:lang w:val="en-US"/>
        </w:rPr>
        <w:t>Credgington</w:t>
      </w:r>
      <w:proofErr w:type="spellEnd"/>
      <w:r w:rsidRPr="005C7611">
        <w:rPr>
          <w:lang w:val="en-US"/>
        </w:rPr>
        <w:t xml:space="preserve">, </w:t>
      </w:r>
      <w:r w:rsidRPr="005C7611">
        <w:rPr>
          <w:i/>
          <w:iCs/>
          <w:lang w:val="en-US"/>
        </w:rPr>
        <w:t>Adv. Mater.</w:t>
      </w:r>
      <w:r w:rsidRPr="005C7611">
        <w:rPr>
          <w:lang w:val="en-US"/>
        </w:rPr>
        <w:t xml:space="preserve"> </w:t>
      </w:r>
      <w:r w:rsidR="00456FB4" w:rsidRPr="005C7611">
        <w:rPr>
          <w:b/>
          <w:bCs/>
          <w:lang w:val="en-US"/>
        </w:rPr>
        <w:t>2018</w:t>
      </w:r>
      <w:r w:rsidR="00456FB4" w:rsidRPr="005C7611">
        <w:rPr>
          <w:lang w:val="en-US"/>
        </w:rPr>
        <w:t xml:space="preserve">, </w:t>
      </w:r>
      <w:r w:rsidRPr="005C7611">
        <w:rPr>
          <w:lang w:val="en-US"/>
        </w:rPr>
        <w:t>30, 1802285</w:t>
      </w:r>
    </w:p>
    <w:p w14:paraId="2D6D9B9A" w14:textId="4961E3E3" w:rsidR="00B55AAA" w:rsidRPr="005C7611" w:rsidRDefault="00B55AAA" w:rsidP="006F1873">
      <w:pPr>
        <w:spacing w:after="200" w:line="480" w:lineRule="auto"/>
        <w:rPr>
          <w:lang w:val="en-US"/>
        </w:rPr>
      </w:pPr>
      <w:r w:rsidRPr="005C7611">
        <w:rPr>
          <w:lang w:val="en-US"/>
        </w:rPr>
        <w:t>[</w:t>
      </w:r>
      <w:r w:rsidR="00BF4D0E" w:rsidRPr="005C7611">
        <w:rPr>
          <w:lang w:val="en-US"/>
        </w:rPr>
        <w:t>32</w:t>
      </w:r>
      <w:r w:rsidRPr="005C7611">
        <w:rPr>
          <w:lang w:val="en-US"/>
        </w:rPr>
        <w:t xml:space="preserve">] </w:t>
      </w:r>
      <w:r w:rsidRPr="005C7611">
        <w:rPr>
          <w:lang w:val="en-US"/>
        </w:rPr>
        <w:tab/>
        <w:t xml:space="preserve">J. Feng, E. J. </w:t>
      </w:r>
      <w:proofErr w:type="spellStart"/>
      <w:r w:rsidRPr="005C7611">
        <w:rPr>
          <w:lang w:val="en-US"/>
        </w:rPr>
        <w:t>Taffet</w:t>
      </w:r>
      <w:proofErr w:type="spellEnd"/>
      <w:r w:rsidRPr="005C7611">
        <w:rPr>
          <w:lang w:val="en-US"/>
        </w:rPr>
        <w:t xml:space="preserve">, A.-P. M. </w:t>
      </w:r>
      <w:proofErr w:type="spellStart"/>
      <w:r w:rsidRPr="005C7611">
        <w:rPr>
          <w:lang w:val="en-US"/>
        </w:rPr>
        <w:t>Reponen</w:t>
      </w:r>
      <w:proofErr w:type="spellEnd"/>
      <w:r w:rsidRPr="005C7611">
        <w:rPr>
          <w:lang w:val="en-US"/>
        </w:rPr>
        <w:t xml:space="preserve">, A. S. Romanov, Y. Olivier, V. </w:t>
      </w:r>
      <w:proofErr w:type="spellStart"/>
      <w:r w:rsidRPr="005C7611">
        <w:rPr>
          <w:lang w:val="en-US"/>
        </w:rPr>
        <w:t>Lemaur</w:t>
      </w:r>
      <w:proofErr w:type="spellEnd"/>
      <w:r w:rsidRPr="005C7611">
        <w:rPr>
          <w:lang w:val="en-US"/>
        </w:rPr>
        <w:t xml:space="preserve">, L. Yang, M. </w:t>
      </w:r>
      <w:proofErr w:type="spellStart"/>
      <w:r w:rsidRPr="005C7611">
        <w:rPr>
          <w:lang w:val="en-US"/>
        </w:rPr>
        <w:t>Linnolahti</w:t>
      </w:r>
      <w:proofErr w:type="spellEnd"/>
      <w:r w:rsidRPr="005C7611">
        <w:rPr>
          <w:lang w:val="en-US"/>
        </w:rPr>
        <w:t xml:space="preserve">, M. </w:t>
      </w:r>
      <w:proofErr w:type="spellStart"/>
      <w:r w:rsidRPr="005C7611">
        <w:rPr>
          <w:lang w:val="en-US"/>
        </w:rPr>
        <w:t>Bochmann</w:t>
      </w:r>
      <w:proofErr w:type="spellEnd"/>
      <w:r w:rsidRPr="005C7611">
        <w:rPr>
          <w:lang w:val="en-US"/>
        </w:rPr>
        <w:t xml:space="preserve">, D. </w:t>
      </w:r>
      <w:proofErr w:type="spellStart"/>
      <w:r w:rsidRPr="005C7611">
        <w:rPr>
          <w:lang w:val="en-US"/>
        </w:rPr>
        <w:t>Beljonne</w:t>
      </w:r>
      <w:proofErr w:type="spellEnd"/>
      <w:r w:rsidRPr="005C7611">
        <w:rPr>
          <w:lang w:val="en-US"/>
        </w:rPr>
        <w:t xml:space="preserve">, D. </w:t>
      </w:r>
      <w:proofErr w:type="spellStart"/>
      <w:r w:rsidRPr="005C7611">
        <w:rPr>
          <w:lang w:val="en-US"/>
        </w:rPr>
        <w:t>Credgington</w:t>
      </w:r>
      <w:proofErr w:type="spellEnd"/>
      <w:r w:rsidRPr="005C7611">
        <w:rPr>
          <w:lang w:val="en-US"/>
        </w:rPr>
        <w:t xml:space="preserve">, </w:t>
      </w:r>
      <w:r w:rsidRPr="005C7611">
        <w:rPr>
          <w:i/>
          <w:iCs/>
          <w:lang w:val="en-US" w:eastAsia="ko-KR"/>
        </w:rPr>
        <w:t>Chem. Mater.</w:t>
      </w:r>
      <w:r w:rsidR="00456FB4" w:rsidRPr="005C7611">
        <w:rPr>
          <w:lang w:val="en-US" w:eastAsia="ko-KR"/>
        </w:rPr>
        <w:t xml:space="preserve"> </w:t>
      </w:r>
      <w:r w:rsidR="00456FB4" w:rsidRPr="005C7611">
        <w:rPr>
          <w:b/>
          <w:bCs/>
          <w:lang w:val="en-US" w:eastAsia="ko-KR"/>
        </w:rPr>
        <w:t>2020</w:t>
      </w:r>
      <w:r w:rsidR="00456FB4" w:rsidRPr="005C7611">
        <w:rPr>
          <w:lang w:val="en-US" w:eastAsia="ko-KR"/>
        </w:rPr>
        <w:t>,</w:t>
      </w:r>
      <w:r w:rsidRPr="005C7611">
        <w:rPr>
          <w:lang w:val="en-US" w:eastAsia="ko-KR"/>
        </w:rPr>
        <w:t xml:space="preserve"> </w:t>
      </w:r>
      <w:r w:rsidR="00297772">
        <w:rPr>
          <w:lang w:val="en-US" w:eastAsia="ko-KR"/>
        </w:rPr>
        <w:t>32, 4743-4753</w:t>
      </w:r>
      <w:bookmarkStart w:id="2" w:name="_GoBack"/>
      <w:bookmarkEnd w:id="2"/>
    </w:p>
    <w:p w14:paraId="60F724A8" w14:textId="77777777" w:rsidR="00B55AAA" w:rsidRPr="005C7611" w:rsidRDefault="00B55AAA" w:rsidP="006F1873">
      <w:pPr>
        <w:spacing w:after="200" w:line="480" w:lineRule="auto"/>
        <w:rPr>
          <w:lang w:val="en-US"/>
        </w:rPr>
      </w:pPr>
      <w:r w:rsidRPr="005C7611">
        <w:rPr>
          <w:lang w:val="en-US"/>
        </w:rPr>
        <w:t>[3</w:t>
      </w:r>
      <w:r w:rsidR="00BF4D0E" w:rsidRPr="005C7611">
        <w:rPr>
          <w:lang w:val="en-US"/>
        </w:rPr>
        <w:t>3</w:t>
      </w:r>
      <w:r w:rsidRPr="005C7611">
        <w:rPr>
          <w:lang w:val="en-US"/>
        </w:rPr>
        <w:t xml:space="preserve">] </w:t>
      </w:r>
      <w:r w:rsidRPr="005C7611">
        <w:rPr>
          <w:lang w:val="en-US"/>
        </w:rPr>
        <w:tab/>
        <w:t xml:space="preserve">Y.-S. Wu, T.-H. Liu, H.-H. Chen, C. H. Chen, </w:t>
      </w:r>
      <w:r w:rsidRPr="005C7611">
        <w:rPr>
          <w:i/>
          <w:iCs/>
          <w:lang w:val="en-US"/>
        </w:rPr>
        <w:t>Thin Solid Films</w:t>
      </w:r>
      <w:r w:rsidRPr="005C7611">
        <w:rPr>
          <w:lang w:val="en-US"/>
        </w:rPr>
        <w:t xml:space="preserve"> </w:t>
      </w:r>
      <w:r w:rsidR="00456FB4" w:rsidRPr="005C7611">
        <w:rPr>
          <w:b/>
          <w:bCs/>
          <w:lang w:val="en-US"/>
        </w:rPr>
        <w:t>2006</w:t>
      </w:r>
      <w:r w:rsidR="00456FB4" w:rsidRPr="005C7611">
        <w:rPr>
          <w:lang w:val="en-US"/>
        </w:rPr>
        <w:t xml:space="preserve">, </w:t>
      </w:r>
      <w:r w:rsidRPr="005C7611">
        <w:rPr>
          <w:lang w:val="en-US"/>
        </w:rPr>
        <w:t>496, 626</w:t>
      </w:r>
      <w:r w:rsidR="00456FB4" w:rsidRPr="005C7611">
        <w:rPr>
          <w:lang w:val="en-US"/>
        </w:rPr>
        <w:t>-</w:t>
      </w:r>
      <w:r w:rsidRPr="005C7611">
        <w:rPr>
          <w:lang w:val="en-US"/>
        </w:rPr>
        <w:t>630</w:t>
      </w:r>
    </w:p>
    <w:p w14:paraId="04462657" w14:textId="77777777" w:rsidR="00B55AAA" w:rsidRPr="005C7611" w:rsidRDefault="00B55AAA" w:rsidP="006F1873">
      <w:pPr>
        <w:spacing w:after="200" w:line="480" w:lineRule="auto"/>
        <w:rPr>
          <w:lang w:val="en-US"/>
        </w:rPr>
      </w:pPr>
      <w:r w:rsidRPr="005C7611">
        <w:rPr>
          <w:lang w:val="en-US"/>
        </w:rPr>
        <w:t>[3</w:t>
      </w:r>
      <w:r w:rsidR="00BF4D0E" w:rsidRPr="005C7611">
        <w:rPr>
          <w:lang w:val="en-US"/>
        </w:rPr>
        <w:t>4</w:t>
      </w:r>
      <w:r w:rsidRPr="005C7611">
        <w:rPr>
          <w:lang w:val="en-US"/>
        </w:rPr>
        <w:t xml:space="preserve">] </w:t>
      </w:r>
      <w:r w:rsidRPr="005C7611">
        <w:rPr>
          <w:lang w:val="en-US"/>
        </w:rPr>
        <w:tab/>
        <w:t xml:space="preserve">Y. Sato, T. Ogata, S. </w:t>
      </w:r>
      <w:proofErr w:type="spellStart"/>
      <w:r w:rsidRPr="005C7611">
        <w:rPr>
          <w:lang w:val="en-US"/>
        </w:rPr>
        <w:t>Ichinosawa</w:t>
      </w:r>
      <w:proofErr w:type="spellEnd"/>
      <w:r w:rsidRPr="005C7611">
        <w:rPr>
          <w:lang w:val="en-US"/>
        </w:rPr>
        <w:t xml:space="preserve">, Y. Murata, </w:t>
      </w:r>
      <w:r w:rsidRPr="005C7611">
        <w:rPr>
          <w:i/>
          <w:iCs/>
          <w:lang w:val="en-US"/>
        </w:rPr>
        <w:t>Synthetic Metals</w:t>
      </w:r>
      <w:r w:rsidRPr="005C7611">
        <w:rPr>
          <w:lang w:val="en-US"/>
        </w:rPr>
        <w:t xml:space="preserve"> </w:t>
      </w:r>
      <w:r w:rsidR="00456FB4" w:rsidRPr="005C7611">
        <w:rPr>
          <w:b/>
          <w:bCs/>
          <w:lang w:val="en-US"/>
        </w:rPr>
        <w:t>1997</w:t>
      </w:r>
      <w:r w:rsidR="00456FB4" w:rsidRPr="005C7611">
        <w:rPr>
          <w:lang w:val="en-US"/>
        </w:rPr>
        <w:t xml:space="preserve">, </w:t>
      </w:r>
      <w:r w:rsidRPr="005C7611">
        <w:rPr>
          <w:lang w:val="en-US"/>
        </w:rPr>
        <w:t>91, 103-107</w:t>
      </w:r>
    </w:p>
    <w:p w14:paraId="12397AE6" w14:textId="77777777" w:rsidR="00B55AAA" w:rsidRPr="005C7611" w:rsidRDefault="00B55AAA" w:rsidP="006F1873">
      <w:pPr>
        <w:spacing w:after="200" w:line="480" w:lineRule="auto"/>
        <w:rPr>
          <w:lang w:val="en-US"/>
        </w:rPr>
      </w:pPr>
      <w:r w:rsidRPr="005C7611">
        <w:rPr>
          <w:lang w:val="en-US"/>
        </w:rPr>
        <w:t>[3</w:t>
      </w:r>
      <w:r w:rsidR="00BF4D0E" w:rsidRPr="005C7611">
        <w:rPr>
          <w:lang w:val="en-US"/>
        </w:rPr>
        <w:t>5</w:t>
      </w:r>
      <w:r w:rsidRPr="005C7611">
        <w:rPr>
          <w:lang w:val="en-US"/>
        </w:rPr>
        <w:t xml:space="preserve">] </w:t>
      </w:r>
      <w:r w:rsidRPr="005C7611">
        <w:rPr>
          <w:lang w:val="en-US"/>
        </w:rPr>
        <w:tab/>
        <w:t xml:space="preserve">H. </w:t>
      </w:r>
      <w:proofErr w:type="spellStart"/>
      <w:r w:rsidRPr="005C7611">
        <w:rPr>
          <w:lang w:val="en-US"/>
        </w:rPr>
        <w:t>Mattoussi</w:t>
      </w:r>
      <w:proofErr w:type="spellEnd"/>
      <w:r w:rsidRPr="005C7611">
        <w:rPr>
          <w:lang w:val="en-US"/>
        </w:rPr>
        <w:t xml:space="preserve">, H. Murata, C. D. Merritt, Y. </w:t>
      </w:r>
      <w:proofErr w:type="spellStart"/>
      <w:r w:rsidRPr="005C7611">
        <w:rPr>
          <w:lang w:val="en-US"/>
        </w:rPr>
        <w:t>Iizumi</w:t>
      </w:r>
      <w:proofErr w:type="spellEnd"/>
      <w:r w:rsidRPr="005C7611">
        <w:rPr>
          <w:lang w:val="en-US"/>
        </w:rPr>
        <w:t xml:space="preserve">, J. Kido, Z. H. </w:t>
      </w:r>
      <w:proofErr w:type="spellStart"/>
      <w:r w:rsidRPr="005C7611">
        <w:rPr>
          <w:lang w:val="en-US"/>
        </w:rPr>
        <w:t>Kafafi</w:t>
      </w:r>
      <w:proofErr w:type="spellEnd"/>
      <w:r w:rsidRPr="005C7611">
        <w:rPr>
          <w:lang w:val="en-US"/>
        </w:rPr>
        <w:t xml:space="preserve">, </w:t>
      </w:r>
      <w:r w:rsidRPr="005C7611">
        <w:rPr>
          <w:i/>
          <w:iCs/>
          <w:lang w:val="en-US"/>
        </w:rPr>
        <w:t>J. Appl. Phys.</w:t>
      </w:r>
      <w:r w:rsidR="00456FB4" w:rsidRPr="005C7611">
        <w:rPr>
          <w:lang w:val="en-US"/>
        </w:rPr>
        <w:t xml:space="preserve"> </w:t>
      </w:r>
      <w:r w:rsidR="00456FB4" w:rsidRPr="005C7611">
        <w:rPr>
          <w:b/>
          <w:bCs/>
          <w:lang w:val="en-US"/>
        </w:rPr>
        <w:t>2006</w:t>
      </w:r>
      <w:r w:rsidR="00456FB4" w:rsidRPr="005C7611">
        <w:rPr>
          <w:lang w:val="en-US"/>
        </w:rPr>
        <w:t xml:space="preserve"> </w:t>
      </w:r>
      <w:r w:rsidRPr="005C7611">
        <w:rPr>
          <w:lang w:val="en-US"/>
        </w:rPr>
        <w:t>86, 2642-2650</w:t>
      </w:r>
    </w:p>
    <w:p w14:paraId="422C923C" w14:textId="77777777" w:rsidR="00B55AAA" w:rsidRPr="005C7611" w:rsidRDefault="00B55AAA" w:rsidP="006F1873">
      <w:pPr>
        <w:spacing w:after="200" w:line="480" w:lineRule="auto"/>
        <w:rPr>
          <w:lang w:val="en-US"/>
        </w:rPr>
      </w:pPr>
      <w:r w:rsidRPr="005C7611">
        <w:rPr>
          <w:lang w:val="en-US"/>
        </w:rPr>
        <w:t>[3</w:t>
      </w:r>
      <w:r w:rsidR="00BF4D0E" w:rsidRPr="005C7611">
        <w:rPr>
          <w:lang w:val="en-US"/>
        </w:rPr>
        <w:t>6</w:t>
      </w:r>
      <w:r w:rsidRPr="005C7611">
        <w:rPr>
          <w:lang w:val="en-US"/>
        </w:rPr>
        <w:t xml:space="preserve">] </w:t>
      </w:r>
      <w:r w:rsidRPr="005C7611">
        <w:rPr>
          <w:lang w:val="en-US"/>
        </w:rPr>
        <w:tab/>
        <w:t xml:space="preserve">Q. </w:t>
      </w:r>
      <w:proofErr w:type="gramStart"/>
      <w:r w:rsidRPr="005C7611">
        <w:rPr>
          <w:lang w:val="en-US"/>
        </w:rPr>
        <w:t>Zhang ,</w:t>
      </w:r>
      <w:proofErr w:type="gramEnd"/>
      <w:r w:rsidRPr="005C7611">
        <w:rPr>
          <w:lang w:val="en-US"/>
        </w:rPr>
        <w:t xml:space="preserve"> D. Tsang , H. </w:t>
      </w:r>
      <w:proofErr w:type="spellStart"/>
      <w:r w:rsidRPr="005C7611">
        <w:rPr>
          <w:lang w:val="en-US"/>
        </w:rPr>
        <w:t>Kuwabara</w:t>
      </w:r>
      <w:proofErr w:type="spellEnd"/>
      <w:r w:rsidRPr="005C7611">
        <w:rPr>
          <w:lang w:val="en-US"/>
        </w:rPr>
        <w:t xml:space="preserve"> , Y. </w:t>
      </w:r>
      <w:proofErr w:type="spellStart"/>
      <w:r w:rsidRPr="005C7611">
        <w:rPr>
          <w:lang w:val="en-US"/>
        </w:rPr>
        <w:t>Hatae</w:t>
      </w:r>
      <w:proofErr w:type="spellEnd"/>
      <w:r w:rsidRPr="005C7611">
        <w:rPr>
          <w:lang w:val="en-US"/>
        </w:rPr>
        <w:t xml:space="preserve"> , B. Li, T. Takahashi , S. Y. Lee , T. Yasuda , C. Adachi, </w:t>
      </w:r>
      <w:r w:rsidRPr="005C7611">
        <w:rPr>
          <w:i/>
          <w:iCs/>
          <w:lang w:val="en-US"/>
        </w:rPr>
        <w:t>Adv. Mater.</w:t>
      </w:r>
      <w:r w:rsidRPr="005C7611">
        <w:rPr>
          <w:lang w:val="en-US"/>
        </w:rPr>
        <w:t xml:space="preserve"> </w:t>
      </w:r>
      <w:r w:rsidR="00456FB4" w:rsidRPr="005C7611">
        <w:rPr>
          <w:b/>
          <w:bCs/>
          <w:lang w:val="en-US"/>
        </w:rPr>
        <w:t>2015</w:t>
      </w:r>
      <w:r w:rsidR="00456FB4" w:rsidRPr="005C7611">
        <w:rPr>
          <w:lang w:val="en-US"/>
        </w:rPr>
        <w:t xml:space="preserve">, </w:t>
      </w:r>
      <w:r w:rsidRPr="005C7611">
        <w:rPr>
          <w:lang w:val="en-US"/>
        </w:rPr>
        <w:t>27, 2096-2100</w:t>
      </w:r>
    </w:p>
    <w:p w14:paraId="42F2E8FB" w14:textId="77777777" w:rsidR="00B55AAA" w:rsidRPr="005C7611" w:rsidRDefault="00B55AAA" w:rsidP="006F1873">
      <w:pPr>
        <w:spacing w:after="200" w:line="480" w:lineRule="auto"/>
        <w:rPr>
          <w:lang w:val="en-US"/>
        </w:rPr>
      </w:pPr>
      <w:r w:rsidRPr="005C7611">
        <w:rPr>
          <w:lang w:val="en-US"/>
        </w:rPr>
        <w:t>[3</w:t>
      </w:r>
      <w:r w:rsidR="00BF4D0E" w:rsidRPr="005C7611">
        <w:rPr>
          <w:lang w:val="en-US"/>
        </w:rPr>
        <w:t>7</w:t>
      </w:r>
      <w:r w:rsidRPr="005C7611">
        <w:rPr>
          <w:lang w:val="en-US"/>
        </w:rPr>
        <w:t xml:space="preserve">] </w:t>
      </w:r>
      <w:r w:rsidRPr="005C7611">
        <w:rPr>
          <w:lang w:val="en-US"/>
        </w:rPr>
        <w:tab/>
        <w:t xml:space="preserve">J. C. d. Mello, H. F. Wittmann, R. H. Friend, </w:t>
      </w:r>
      <w:r w:rsidRPr="005C7611">
        <w:rPr>
          <w:i/>
          <w:iCs/>
          <w:lang w:val="en-US"/>
        </w:rPr>
        <w:t>Adv. Mater.</w:t>
      </w:r>
      <w:r w:rsidRPr="005C7611">
        <w:rPr>
          <w:lang w:val="en-US"/>
        </w:rPr>
        <w:t xml:space="preserve"> </w:t>
      </w:r>
      <w:r w:rsidR="00456FB4" w:rsidRPr="005C7611">
        <w:rPr>
          <w:b/>
          <w:bCs/>
          <w:lang w:val="en-US"/>
        </w:rPr>
        <w:t>1997</w:t>
      </w:r>
      <w:r w:rsidR="00456FB4" w:rsidRPr="005C7611">
        <w:rPr>
          <w:lang w:val="en-US"/>
        </w:rPr>
        <w:t xml:space="preserve">, </w:t>
      </w:r>
      <w:r w:rsidRPr="005C7611">
        <w:rPr>
          <w:lang w:val="en-US"/>
        </w:rPr>
        <w:t>9, 230-232</w:t>
      </w:r>
    </w:p>
    <w:p w14:paraId="7BE0AF36" w14:textId="77777777" w:rsidR="00B55AAA" w:rsidRPr="005C7611" w:rsidRDefault="00B55AAA" w:rsidP="006F1873">
      <w:pPr>
        <w:spacing w:after="200" w:line="480" w:lineRule="auto"/>
        <w:rPr>
          <w:lang w:val="en-US"/>
        </w:rPr>
      </w:pPr>
      <w:r w:rsidRPr="005C7611">
        <w:rPr>
          <w:lang w:val="en-US"/>
        </w:rPr>
        <w:t>[3</w:t>
      </w:r>
      <w:r w:rsidR="00DD2296" w:rsidRPr="005C7611">
        <w:rPr>
          <w:lang w:val="en-US"/>
        </w:rPr>
        <w:t>8</w:t>
      </w:r>
      <w:r w:rsidRPr="005C7611">
        <w:rPr>
          <w:lang w:val="en-US"/>
        </w:rPr>
        <w:t xml:space="preserve">] </w:t>
      </w:r>
      <w:r w:rsidRPr="005C7611">
        <w:rPr>
          <w:lang w:val="en-US"/>
        </w:rPr>
        <w:tab/>
        <w:t xml:space="preserve">J. Feng, L. Yang, A. S. Romanov, J. </w:t>
      </w:r>
      <w:proofErr w:type="spellStart"/>
      <w:r w:rsidRPr="005C7611">
        <w:rPr>
          <w:lang w:val="en-US"/>
        </w:rPr>
        <w:t>Ratanapreechachai</w:t>
      </w:r>
      <w:proofErr w:type="spellEnd"/>
      <w:r w:rsidRPr="005C7611">
        <w:rPr>
          <w:lang w:val="en-US"/>
        </w:rPr>
        <w:t xml:space="preserve">, A.-P. M. </w:t>
      </w:r>
      <w:proofErr w:type="spellStart"/>
      <w:r w:rsidRPr="005C7611">
        <w:rPr>
          <w:lang w:val="en-US"/>
        </w:rPr>
        <w:t>Reponen</w:t>
      </w:r>
      <w:proofErr w:type="spellEnd"/>
      <w:r w:rsidRPr="005C7611">
        <w:rPr>
          <w:lang w:val="en-US"/>
        </w:rPr>
        <w:t xml:space="preserve">, S. T. E. Jones, M. </w:t>
      </w:r>
      <w:proofErr w:type="spellStart"/>
      <w:r w:rsidRPr="005C7611">
        <w:rPr>
          <w:lang w:val="en-US"/>
        </w:rPr>
        <w:t>Linnolahti</w:t>
      </w:r>
      <w:proofErr w:type="spellEnd"/>
      <w:r w:rsidRPr="005C7611">
        <w:rPr>
          <w:lang w:val="en-US"/>
        </w:rPr>
        <w:t xml:space="preserve">, T. J. H. Hele, A. Köhler, H. </w:t>
      </w:r>
      <w:proofErr w:type="spellStart"/>
      <w:r w:rsidRPr="005C7611">
        <w:rPr>
          <w:lang w:val="en-US"/>
        </w:rPr>
        <w:t>Bässler</w:t>
      </w:r>
      <w:proofErr w:type="spellEnd"/>
      <w:r w:rsidRPr="005C7611">
        <w:rPr>
          <w:lang w:val="en-US"/>
        </w:rPr>
        <w:t xml:space="preserve">, M. </w:t>
      </w:r>
      <w:proofErr w:type="spellStart"/>
      <w:r w:rsidRPr="005C7611">
        <w:rPr>
          <w:lang w:val="en-US"/>
        </w:rPr>
        <w:t>Bochmann</w:t>
      </w:r>
      <w:proofErr w:type="spellEnd"/>
      <w:r w:rsidRPr="005C7611">
        <w:rPr>
          <w:lang w:val="en-US"/>
        </w:rPr>
        <w:t xml:space="preserve">, D. </w:t>
      </w:r>
      <w:proofErr w:type="spellStart"/>
      <w:r w:rsidRPr="005C7611">
        <w:rPr>
          <w:lang w:val="en-US"/>
        </w:rPr>
        <w:t>Credgington</w:t>
      </w:r>
      <w:proofErr w:type="spellEnd"/>
      <w:r w:rsidRPr="005C7611">
        <w:rPr>
          <w:lang w:val="en-US"/>
        </w:rPr>
        <w:t xml:space="preserve">, </w:t>
      </w:r>
      <w:r w:rsidRPr="005C7611">
        <w:rPr>
          <w:i/>
          <w:iCs/>
          <w:lang w:val="en-US"/>
        </w:rPr>
        <w:t xml:space="preserve">Adv. </w:t>
      </w:r>
      <w:proofErr w:type="spellStart"/>
      <w:r w:rsidRPr="005C7611">
        <w:rPr>
          <w:i/>
          <w:iCs/>
          <w:lang w:val="en-US"/>
        </w:rPr>
        <w:t>Funct</w:t>
      </w:r>
      <w:proofErr w:type="spellEnd"/>
      <w:r w:rsidRPr="005C7611">
        <w:rPr>
          <w:i/>
          <w:iCs/>
          <w:lang w:val="en-US"/>
        </w:rPr>
        <w:t>. Mater.</w:t>
      </w:r>
      <w:r w:rsidRPr="005C7611">
        <w:rPr>
          <w:lang w:val="en-US"/>
        </w:rPr>
        <w:t xml:space="preserve"> </w:t>
      </w:r>
      <w:r w:rsidR="00456FB4" w:rsidRPr="005C7611">
        <w:rPr>
          <w:b/>
          <w:bCs/>
          <w:lang w:val="en-US"/>
        </w:rPr>
        <w:t>2020</w:t>
      </w:r>
      <w:r w:rsidR="00456FB4" w:rsidRPr="005C7611">
        <w:rPr>
          <w:lang w:val="en-US"/>
        </w:rPr>
        <w:t xml:space="preserve">, </w:t>
      </w:r>
      <w:r w:rsidRPr="005C7611">
        <w:rPr>
          <w:lang w:val="en-US"/>
        </w:rPr>
        <w:t>1908715</w:t>
      </w:r>
    </w:p>
    <w:p w14:paraId="75AE9623" w14:textId="77777777" w:rsidR="00B55AAA" w:rsidRPr="005C7611" w:rsidRDefault="00B55AAA" w:rsidP="006F1873">
      <w:pPr>
        <w:spacing w:after="200" w:line="480" w:lineRule="auto"/>
        <w:rPr>
          <w:lang w:val="en-US"/>
        </w:rPr>
      </w:pPr>
      <w:r w:rsidRPr="005C7611">
        <w:rPr>
          <w:lang w:val="en-US"/>
        </w:rPr>
        <w:t>[3</w:t>
      </w:r>
      <w:r w:rsidR="00DD2296" w:rsidRPr="005C7611">
        <w:rPr>
          <w:lang w:val="en-US"/>
        </w:rPr>
        <w:t>9</w:t>
      </w:r>
      <w:r w:rsidRPr="005C7611">
        <w:rPr>
          <w:lang w:val="en-US"/>
        </w:rPr>
        <w:t xml:space="preserve">] </w:t>
      </w:r>
      <w:r w:rsidRPr="005C7611">
        <w:rPr>
          <w:lang w:val="en-US"/>
        </w:rPr>
        <w:tab/>
        <w:t xml:space="preserve">D. Zhang, X. Song, M. Cai, L. </w:t>
      </w:r>
      <w:proofErr w:type="spellStart"/>
      <w:r w:rsidRPr="005C7611">
        <w:rPr>
          <w:lang w:val="en-US"/>
        </w:rPr>
        <w:t>Duan</w:t>
      </w:r>
      <w:proofErr w:type="spellEnd"/>
      <w:r w:rsidRPr="005C7611">
        <w:rPr>
          <w:lang w:val="en-US"/>
        </w:rPr>
        <w:t xml:space="preserve">, </w:t>
      </w:r>
      <w:r w:rsidRPr="005C7611">
        <w:rPr>
          <w:i/>
          <w:iCs/>
          <w:lang w:val="en-US"/>
        </w:rPr>
        <w:t>Adv. Mater.</w:t>
      </w:r>
      <w:r w:rsidRPr="005C7611">
        <w:rPr>
          <w:lang w:val="en-US"/>
        </w:rPr>
        <w:t xml:space="preserve"> </w:t>
      </w:r>
      <w:r w:rsidR="00456FB4" w:rsidRPr="005C7611">
        <w:rPr>
          <w:b/>
          <w:bCs/>
          <w:lang w:val="en-US"/>
        </w:rPr>
        <w:t>2018</w:t>
      </w:r>
      <w:r w:rsidR="00456FB4" w:rsidRPr="005C7611">
        <w:rPr>
          <w:lang w:val="en-US"/>
        </w:rPr>
        <w:t xml:space="preserve">, </w:t>
      </w:r>
      <w:r w:rsidRPr="005C7611">
        <w:rPr>
          <w:lang w:val="en-US"/>
        </w:rPr>
        <w:t>30, 1705250</w:t>
      </w:r>
    </w:p>
    <w:p w14:paraId="45C2AFBB" w14:textId="77777777" w:rsidR="00B55AAA" w:rsidRPr="005C7611" w:rsidRDefault="00B55AAA" w:rsidP="006F1873">
      <w:pPr>
        <w:spacing w:after="200" w:line="480" w:lineRule="auto"/>
        <w:rPr>
          <w:lang w:val="en-US"/>
        </w:rPr>
      </w:pPr>
      <w:r w:rsidRPr="005C7611">
        <w:rPr>
          <w:lang w:val="en-US"/>
        </w:rPr>
        <w:t>[</w:t>
      </w:r>
      <w:r w:rsidR="00DD2296" w:rsidRPr="005C7611">
        <w:rPr>
          <w:lang w:val="en-US"/>
        </w:rPr>
        <w:t>40</w:t>
      </w:r>
      <w:r w:rsidRPr="005C7611">
        <w:rPr>
          <w:lang w:val="en-US"/>
        </w:rPr>
        <w:t xml:space="preserve">] </w:t>
      </w:r>
      <w:r w:rsidRPr="005C7611">
        <w:rPr>
          <w:lang w:val="en-US"/>
        </w:rPr>
        <w:tab/>
        <w:t xml:space="preserve">T. </w:t>
      </w:r>
      <w:proofErr w:type="spellStart"/>
      <w:r w:rsidRPr="005C7611">
        <w:rPr>
          <w:lang w:val="en-US"/>
        </w:rPr>
        <w:t>Förster</w:t>
      </w:r>
      <w:proofErr w:type="spellEnd"/>
      <w:r w:rsidRPr="005C7611">
        <w:rPr>
          <w:lang w:val="en-US"/>
        </w:rPr>
        <w:t xml:space="preserve">, </w:t>
      </w:r>
      <w:r w:rsidRPr="005C7611">
        <w:rPr>
          <w:i/>
          <w:iCs/>
          <w:lang w:val="en-US"/>
        </w:rPr>
        <w:t>Discuss. Faraday Soc.</w:t>
      </w:r>
      <w:r w:rsidRPr="005C7611">
        <w:rPr>
          <w:lang w:val="en-US"/>
        </w:rPr>
        <w:t xml:space="preserve"> </w:t>
      </w:r>
      <w:r w:rsidR="00456FB4" w:rsidRPr="005C7611">
        <w:rPr>
          <w:b/>
          <w:bCs/>
          <w:lang w:val="en-US"/>
        </w:rPr>
        <w:t>1959</w:t>
      </w:r>
      <w:r w:rsidR="00456FB4" w:rsidRPr="005C7611">
        <w:rPr>
          <w:lang w:val="en-US"/>
        </w:rPr>
        <w:t xml:space="preserve">, </w:t>
      </w:r>
      <w:r w:rsidRPr="005C7611">
        <w:rPr>
          <w:lang w:val="en-US"/>
        </w:rPr>
        <w:t>27, 7</w:t>
      </w:r>
    </w:p>
    <w:p w14:paraId="58DC6BE1" w14:textId="77777777" w:rsidR="00B55AAA" w:rsidRPr="005C7611" w:rsidRDefault="00B55AAA" w:rsidP="006F1873">
      <w:pPr>
        <w:spacing w:after="200" w:line="480" w:lineRule="auto"/>
        <w:rPr>
          <w:lang w:val="en-US"/>
        </w:rPr>
      </w:pPr>
      <w:r w:rsidRPr="005C7611">
        <w:rPr>
          <w:lang w:val="en-US"/>
        </w:rPr>
        <w:t>[</w:t>
      </w:r>
      <w:r w:rsidR="00DD2296" w:rsidRPr="005C7611">
        <w:rPr>
          <w:lang w:val="en-US"/>
        </w:rPr>
        <w:t>41</w:t>
      </w:r>
      <w:r w:rsidRPr="005C7611">
        <w:rPr>
          <w:lang w:val="en-US"/>
        </w:rPr>
        <w:t xml:space="preserve">] </w:t>
      </w:r>
      <w:r w:rsidRPr="005C7611">
        <w:rPr>
          <w:lang w:val="en-US"/>
        </w:rPr>
        <w:tab/>
        <w:t xml:space="preserve">B. E. Hardin, E. T. Hoke1, P. B. Armstrong, J.-H. Yum, P. Comte, T. Torres, J. M. J. Fréchet, M. K. </w:t>
      </w:r>
      <w:proofErr w:type="spellStart"/>
      <w:r w:rsidRPr="005C7611">
        <w:rPr>
          <w:lang w:val="en-US"/>
        </w:rPr>
        <w:t>Nazeeruddin</w:t>
      </w:r>
      <w:proofErr w:type="spellEnd"/>
      <w:r w:rsidRPr="005C7611">
        <w:rPr>
          <w:lang w:val="en-US"/>
        </w:rPr>
        <w:t xml:space="preserve">, M. </w:t>
      </w:r>
      <w:proofErr w:type="spellStart"/>
      <w:r w:rsidRPr="005C7611">
        <w:rPr>
          <w:lang w:val="en-US"/>
        </w:rPr>
        <w:t>Grätzel</w:t>
      </w:r>
      <w:proofErr w:type="spellEnd"/>
      <w:r w:rsidRPr="005C7611">
        <w:rPr>
          <w:lang w:val="en-US"/>
        </w:rPr>
        <w:t xml:space="preserve">, M. D. McGehee, </w:t>
      </w:r>
      <w:r w:rsidRPr="005C7611">
        <w:rPr>
          <w:i/>
          <w:iCs/>
          <w:lang w:val="en-US"/>
        </w:rPr>
        <w:t>Nat</w:t>
      </w:r>
      <w:r w:rsidR="00456FB4" w:rsidRPr="005C7611">
        <w:rPr>
          <w:i/>
          <w:iCs/>
          <w:lang w:val="en-US"/>
        </w:rPr>
        <w:t>.</w:t>
      </w:r>
      <w:r w:rsidRPr="005C7611">
        <w:rPr>
          <w:i/>
          <w:iCs/>
          <w:lang w:val="en-US"/>
        </w:rPr>
        <w:t xml:space="preserve"> Photonics</w:t>
      </w:r>
      <w:r w:rsidRPr="005C7611">
        <w:rPr>
          <w:lang w:val="en-US"/>
        </w:rPr>
        <w:t xml:space="preserve"> </w:t>
      </w:r>
      <w:r w:rsidR="00456FB4" w:rsidRPr="005C7611">
        <w:rPr>
          <w:b/>
          <w:bCs/>
          <w:lang w:val="en-US"/>
        </w:rPr>
        <w:t>2009</w:t>
      </w:r>
      <w:r w:rsidR="00456FB4" w:rsidRPr="005C7611">
        <w:rPr>
          <w:lang w:val="en-US"/>
        </w:rPr>
        <w:t xml:space="preserve">, </w:t>
      </w:r>
      <w:r w:rsidRPr="005C7611">
        <w:rPr>
          <w:lang w:val="en-US"/>
        </w:rPr>
        <w:t>3, 406-411</w:t>
      </w:r>
    </w:p>
    <w:p w14:paraId="1B237381" w14:textId="77777777" w:rsidR="00B55AAA" w:rsidRPr="005C7611" w:rsidRDefault="00B55AAA" w:rsidP="006F1873">
      <w:pPr>
        <w:spacing w:after="200" w:line="480" w:lineRule="auto"/>
        <w:rPr>
          <w:lang w:val="en-US"/>
        </w:rPr>
      </w:pPr>
      <w:r w:rsidRPr="005C7611">
        <w:rPr>
          <w:lang w:val="en-US"/>
        </w:rPr>
        <w:t>[</w:t>
      </w:r>
      <w:r w:rsidR="00DD2296" w:rsidRPr="005C7611">
        <w:rPr>
          <w:lang w:val="en-US"/>
        </w:rPr>
        <w:t>42</w:t>
      </w:r>
      <w:r w:rsidRPr="005C7611">
        <w:rPr>
          <w:lang w:val="en-US"/>
        </w:rPr>
        <w:t xml:space="preserve">] </w:t>
      </w:r>
      <w:r w:rsidRPr="005C7611">
        <w:rPr>
          <w:lang w:val="en-US"/>
        </w:rPr>
        <w:tab/>
        <w:t xml:space="preserve">A. </w:t>
      </w:r>
      <w:proofErr w:type="spellStart"/>
      <w:r w:rsidRPr="005C7611">
        <w:rPr>
          <w:lang w:val="en-US"/>
        </w:rPr>
        <w:t>Adronov</w:t>
      </w:r>
      <w:proofErr w:type="spellEnd"/>
      <w:r w:rsidRPr="005C7611">
        <w:rPr>
          <w:lang w:val="en-US"/>
        </w:rPr>
        <w:t xml:space="preserve">, J. M. J. Fréchet, </w:t>
      </w:r>
      <w:r w:rsidRPr="005C7611">
        <w:rPr>
          <w:i/>
          <w:iCs/>
          <w:lang w:val="en-US"/>
        </w:rPr>
        <w:t xml:space="preserve">Chem. </w:t>
      </w:r>
      <w:proofErr w:type="spellStart"/>
      <w:r w:rsidRPr="005C7611">
        <w:rPr>
          <w:i/>
          <w:iCs/>
          <w:lang w:val="en-US"/>
        </w:rPr>
        <w:t>Commun</w:t>
      </w:r>
      <w:proofErr w:type="spellEnd"/>
      <w:r w:rsidRPr="005C7611">
        <w:rPr>
          <w:i/>
          <w:iCs/>
          <w:lang w:val="en-US"/>
        </w:rPr>
        <w:t>.</w:t>
      </w:r>
      <w:r w:rsidRPr="005C7611">
        <w:rPr>
          <w:lang w:val="en-US"/>
        </w:rPr>
        <w:t xml:space="preserve"> </w:t>
      </w:r>
      <w:r w:rsidR="00456FB4" w:rsidRPr="005C7611">
        <w:rPr>
          <w:b/>
          <w:bCs/>
          <w:lang w:val="en-US"/>
        </w:rPr>
        <w:t>2000</w:t>
      </w:r>
      <w:r w:rsidR="00456FB4" w:rsidRPr="005C7611">
        <w:rPr>
          <w:lang w:val="en-US"/>
        </w:rPr>
        <w:t xml:space="preserve">, </w:t>
      </w:r>
      <w:r w:rsidRPr="005C7611">
        <w:rPr>
          <w:lang w:val="en-US"/>
        </w:rPr>
        <w:t>1701</w:t>
      </w:r>
      <w:r w:rsidR="00456FB4" w:rsidRPr="005C7611">
        <w:rPr>
          <w:lang w:val="en-US"/>
        </w:rPr>
        <w:t>-</w:t>
      </w:r>
      <w:r w:rsidRPr="005C7611">
        <w:rPr>
          <w:lang w:val="en-US"/>
        </w:rPr>
        <w:t>1710</w:t>
      </w:r>
    </w:p>
    <w:p w14:paraId="3A12CA65" w14:textId="77777777" w:rsidR="00B55AAA" w:rsidRPr="005C7611" w:rsidRDefault="00B55AAA" w:rsidP="006F1873">
      <w:pPr>
        <w:spacing w:after="200" w:line="480" w:lineRule="auto"/>
        <w:rPr>
          <w:lang w:val="en-US"/>
        </w:rPr>
      </w:pPr>
      <w:r w:rsidRPr="005C7611">
        <w:rPr>
          <w:lang w:val="en-US"/>
        </w:rPr>
        <w:t>[4</w:t>
      </w:r>
      <w:r w:rsidR="00DD2296" w:rsidRPr="005C7611">
        <w:rPr>
          <w:lang w:val="en-US"/>
        </w:rPr>
        <w:t>3</w:t>
      </w:r>
      <w:r w:rsidRPr="005C7611">
        <w:rPr>
          <w:lang w:val="en-US"/>
        </w:rPr>
        <w:t xml:space="preserve">] </w:t>
      </w:r>
      <w:r w:rsidRPr="005C7611">
        <w:rPr>
          <w:lang w:val="en-US"/>
        </w:rPr>
        <w:tab/>
        <w:t xml:space="preserve">J. </w:t>
      </w:r>
      <w:proofErr w:type="spellStart"/>
      <w:r w:rsidRPr="005C7611">
        <w:rPr>
          <w:lang w:val="en-US"/>
        </w:rPr>
        <w:t>Baumanna</w:t>
      </w:r>
      <w:proofErr w:type="spellEnd"/>
      <w:r w:rsidRPr="005C7611">
        <w:rPr>
          <w:lang w:val="en-US"/>
        </w:rPr>
        <w:t xml:space="preserve">, M. D. </w:t>
      </w:r>
      <w:proofErr w:type="spellStart"/>
      <w:r w:rsidRPr="005C7611">
        <w:rPr>
          <w:lang w:val="en-US"/>
        </w:rPr>
        <w:t>Fayer</w:t>
      </w:r>
      <w:proofErr w:type="spellEnd"/>
      <w:r w:rsidRPr="005C7611">
        <w:rPr>
          <w:lang w:val="en-US"/>
        </w:rPr>
        <w:t xml:space="preserve">, </w:t>
      </w:r>
      <w:r w:rsidRPr="005C7611">
        <w:rPr>
          <w:i/>
          <w:iCs/>
          <w:lang w:val="en-US"/>
        </w:rPr>
        <w:t>J. Chem. Phys.</w:t>
      </w:r>
      <w:r w:rsidRPr="005C7611">
        <w:rPr>
          <w:lang w:val="en-US"/>
        </w:rPr>
        <w:t xml:space="preserve"> </w:t>
      </w:r>
      <w:r w:rsidR="00456FB4" w:rsidRPr="005C7611">
        <w:rPr>
          <w:b/>
          <w:bCs/>
          <w:lang w:val="en-US"/>
        </w:rPr>
        <w:t>1986</w:t>
      </w:r>
      <w:r w:rsidR="00456FB4" w:rsidRPr="005C7611">
        <w:rPr>
          <w:lang w:val="en-US"/>
        </w:rPr>
        <w:t xml:space="preserve">, </w:t>
      </w:r>
      <w:r w:rsidRPr="005C7611">
        <w:rPr>
          <w:lang w:val="en-US"/>
        </w:rPr>
        <w:t>85, 4087</w:t>
      </w:r>
    </w:p>
    <w:p w14:paraId="7DEB56CF" w14:textId="77777777" w:rsidR="00B55AAA" w:rsidRPr="005C7611" w:rsidRDefault="00B55AAA" w:rsidP="006F1873">
      <w:pPr>
        <w:spacing w:after="200" w:line="480" w:lineRule="auto"/>
        <w:rPr>
          <w:lang w:val="en-US"/>
        </w:rPr>
      </w:pPr>
      <w:r w:rsidRPr="005C7611">
        <w:rPr>
          <w:lang w:val="en-US"/>
        </w:rPr>
        <w:lastRenderedPageBreak/>
        <w:t>[4</w:t>
      </w:r>
      <w:r w:rsidR="00DD2296" w:rsidRPr="005C7611">
        <w:rPr>
          <w:lang w:val="en-US"/>
        </w:rPr>
        <w:t>4</w:t>
      </w:r>
      <w:r w:rsidRPr="005C7611">
        <w:rPr>
          <w:lang w:val="en-US"/>
        </w:rPr>
        <w:t xml:space="preserve">] </w:t>
      </w:r>
      <w:r w:rsidRPr="005C7611">
        <w:rPr>
          <w:lang w:val="en-US"/>
        </w:rPr>
        <w:tab/>
        <w:t xml:space="preserve">S. M. Menke, R. J. Holmes, </w:t>
      </w:r>
      <w:r w:rsidRPr="005C7611">
        <w:rPr>
          <w:i/>
          <w:iCs/>
          <w:lang w:val="en-US"/>
        </w:rPr>
        <w:t>J. Phys. Chem. C</w:t>
      </w:r>
      <w:r w:rsidRPr="005C7611">
        <w:rPr>
          <w:lang w:val="en-US"/>
        </w:rPr>
        <w:t xml:space="preserve"> </w:t>
      </w:r>
      <w:r w:rsidR="00456FB4" w:rsidRPr="005C7611">
        <w:rPr>
          <w:b/>
          <w:bCs/>
          <w:lang w:val="en-US"/>
        </w:rPr>
        <w:t>2016</w:t>
      </w:r>
      <w:r w:rsidR="00456FB4" w:rsidRPr="005C7611">
        <w:rPr>
          <w:lang w:val="en-US"/>
        </w:rPr>
        <w:t xml:space="preserve">, </w:t>
      </w:r>
      <w:r w:rsidRPr="005C7611">
        <w:rPr>
          <w:lang w:val="en-US"/>
        </w:rPr>
        <w:t>120, 8502-8508</w:t>
      </w:r>
    </w:p>
    <w:p w14:paraId="486E4666" w14:textId="77777777" w:rsidR="00B55AAA" w:rsidRPr="005C7611" w:rsidRDefault="00B55AAA" w:rsidP="006F1873">
      <w:pPr>
        <w:spacing w:after="200" w:line="480" w:lineRule="auto"/>
        <w:rPr>
          <w:lang w:val="en-US"/>
        </w:rPr>
      </w:pPr>
      <w:r w:rsidRPr="005C7611">
        <w:rPr>
          <w:lang w:val="en-US"/>
        </w:rPr>
        <w:t>[4</w:t>
      </w:r>
      <w:r w:rsidR="00DD2296" w:rsidRPr="005C7611">
        <w:rPr>
          <w:lang w:val="en-US"/>
        </w:rPr>
        <w:t>5</w:t>
      </w:r>
      <w:r w:rsidRPr="005C7611">
        <w:rPr>
          <w:lang w:val="en-US"/>
        </w:rPr>
        <w:t xml:space="preserve">] </w:t>
      </w:r>
      <w:r w:rsidRPr="005C7611">
        <w:rPr>
          <w:lang w:val="en-US"/>
        </w:rPr>
        <w:tab/>
        <w:t xml:space="preserve">W. A. </w:t>
      </w:r>
      <w:proofErr w:type="spellStart"/>
      <w:r w:rsidRPr="005C7611">
        <w:rPr>
          <w:lang w:val="en-US"/>
        </w:rPr>
        <w:t>Luhman</w:t>
      </w:r>
      <w:proofErr w:type="spellEnd"/>
      <w:r w:rsidRPr="005C7611">
        <w:rPr>
          <w:lang w:val="en-US"/>
        </w:rPr>
        <w:t xml:space="preserve">, R. J. Holmes, </w:t>
      </w:r>
      <w:r w:rsidRPr="005C7611">
        <w:rPr>
          <w:i/>
          <w:iCs/>
          <w:lang w:val="en-US"/>
        </w:rPr>
        <w:t xml:space="preserve">Adv. </w:t>
      </w:r>
      <w:proofErr w:type="spellStart"/>
      <w:r w:rsidRPr="005C7611">
        <w:rPr>
          <w:i/>
          <w:iCs/>
          <w:lang w:val="en-US"/>
        </w:rPr>
        <w:t>Funct</w:t>
      </w:r>
      <w:proofErr w:type="spellEnd"/>
      <w:r w:rsidRPr="005C7611">
        <w:rPr>
          <w:i/>
          <w:iCs/>
          <w:lang w:val="en-US"/>
        </w:rPr>
        <w:t>. Mater.</w:t>
      </w:r>
      <w:r w:rsidRPr="005C7611">
        <w:rPr>
          <w:lang w:val="en-US"/>
        </w:rPr>
        <w:t xml:space="preserve"> </w:t>
      </w:r>
      <w:r w:rsidR="00456FB4" w:rsidRPr="005C7611">
        <w:rPr>
          <w:b/>
          <w:bCs/>
          <w:lang w:val="en-US"/>
        </w:rPr>
        <w:t>2011</w:t>
      </w:r>
      <w:r w:rsidR="00456FB4" w:rsidRPr="005C7611">
        <w:rPr>
          <w:lang w:val="en-US"/>
        </w:rPr>
        <w:t xml:space="preserve">, </w:t>
      </w:r>
      <w:r w:rsidRPr="005C7611">
        <w:rPr>
          <w:lang w:val="en-US"/>
        </w:rPr>
        <w:t>21, 764-771</w:t>
      </w:r>
    </w:p>
    <w:p w14:paraId="498F92FE" w14:textId="77777777" w:rsidR="00B55AAA" w:rsidRPr="005C7611" w:rsidRDefault="00B55AAA" w:rsidP="006F1873">
      <w:pPr>
        <w:spacing w:after="200" w:line="480" w:lineRule="auto"/>
        <w:rPr>
          <w:lang w:val="en-US"/>
        </w:rPr>
      </w:pPr>
      <w:r w:rsidRPr="005C7611">
        <w:rPr>
          <w:lang w:val="en-US"/>
        </w:rPr>
        <w:t>[4</w:t>
      </w:r>
      <w:r w:rsidR="00DD2296" w:rsidRPr="005C7611">
        <w:rPr>
          <w:lang w:val="en-US"/>
        </w:rPr>
        <w:t>6</w:t>
      </w:r>
      <w:r w:rsidRPr="005C7611">
        <w:rPr>
          <w:lang w:val="en-US"/>
        </w:rPr>
        <w:t xml:space="preserve">] </w:t>
      </w:r>
      <w:r w:rsidRPr="005C7611">
        <w:rPr>
          <w:lang w:val="en-US"/>
        </w:rPr>
        <w:tab/>
        <w:t xml:space="preserve">P. </w:t>
      </w:r>
      <w:proofErr w:type="spellStart"/>
      <w:r w:rsidRPr="005C7611">
        <w:rPr>
          <w:lang w:val="en-US"/>
        </w:rPr>
        <w:t>Peumans</w:t>
      </w:r>
      <w:proofErr w:type="spellEnd"/>
      <w:r w:rsidRPr="005C7611">
        <w:rPr>
          <w:lang w:val="en-US"/>
        </w:rPr>
        <w:t xml:space="preserve">, A. </w:t>
      </w:r>
      <w:proofErr w:type="spellStart"/>
      <w:r w:rsidRPr="005C7611">
        <w:rPr>
          <w:lang w:val="en-US"/>
        </w:rPr>
        <w:t>Yakimov</w:t>
      </w:r>
      <w:proofErr w:type="spellEnd"/>
      <w:r w:rsidRPr="005C7611">
        <w:rPr>
          <w:lang w:val="en-US"/>
        </w:rPr>
        <w:t xml:space="preserve">, S. R. Forrest, </w:t>
      </w:r>
      <w:r w:rsidRPr="005C7611">
        <w:rPr>
          <w:i/>
          <w:iCs/>
          <w:lang w:val="en-US"/>
        </w:rPr>
        <w:t>J. Appl. Phys.</w:t>
      </w:r>
      <w:r w:rsidRPr="005C7611">
        <w:rPr>
          <w:lang w:val="en-US"/>
        </w:rPr>
        <w:t xml:space="preserve"> </w:t>
      </w:r>
      <w:r w:rsidR="00456FB4" w:rsidRPr="005C7611">
        <w:rPr>
          <w:b/>
          <w:bCs/>
          <w:lang w:val="en-US"/>
        </w:rPr>
        <w:t>2003</w:t>
      </w:r>
      <w:r w:rsidR="00456FB4" w:rsidRPr="005C7611">
        <w:rPr>
          <w:lang w:val="en-US"/>
        </w:rPr>
        <w:t xml:space="preserve">, </w:t>
      </w:r>
      <w:r w:rsidRPr="005C7611">
        <w:rPr>
          <w:lang w:val="en-US"/>
        </w:rPr>
        <w:t>93, 3693</w:t>
      </w:r>
    </w:p>
    <w:p w14:paraId="2406EF3F" w14:textId="77777777" w:rsidR="00B55AAA" w:rsidRPr="005C7611" w:rsidRDefault="00B55AAA" w:rsidP="00004A23">
      <w:pPr>
        <w:pStyle w:val="MainText"/>
      </w:pPr>
    </w:p>
    <w:p w14:paraId="3914F69D" w14:textId="083A29C3" w:rsidR="00004A23" w:rsidRPr="005C7611" w:rsidRDefault="00F43D12" w:rsidP="00004A23">
      <w:pPr>
        <w:pStyle w:val="Legend"/>
      </w:pPr>
      <w:r w:rsidRPr="005C7611">
        <w:rPr>
          <w:noProof/>
        </w:rPr>
        <w:drawing>
          <wp:inline distT="0" distB="0" distL="0" distR="0" wp14:anchorId="109B9E58" wp14:editId="18108F91">
            <wp:extent cx="5760720" cy="2539365"/>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539365"/>
                    </a:xfrm>
                    <a:prstGeom prst="rect">
                      <a:avLst/>
                    </a:prstGeom>
                    <a:noFill/>
                    <a:ln>
                      <a:noFill/>
                    </a:ln>
                  </pic:spPr>
                </pic:pic>
              </a:graphicData>
            </a:graphic>
          </wp:inline>
        </w:drawing>
      </w:r>
    </w:p>
    <w:p w14:paraId="7445BDBF" w14:textId="77777777" w:rsidR="00E2571A" w:rsidRPr="005C7611" w:rsidRDefault="002D16A0" w:rsidP="002D16A0">
      <w:pPr>
        <w:pStyle w:val="Legend"/>
        <w:rPr>
          <w:szCs w:val="28"/>
        </w:rPr>
      </w:pPr>
      <w:r w:rsidRPr="005C7611">
        <w:rPr>
          <w:b/>
        </w:rPr>
        <w:t>Figure 1.</w:t>
      </w:r>
      <w:r w:rsidRPr="005C7611">
        <w:t xml:space="preserve"> </w:t>
      </w:r>
      <w:r w:rsidR="00522926" w:rsidRPr="005C7611">
        <w:rPr>
          <w:szCs w:val="28"/>
        </w:rPr>
        <w:t xml:space="preserve">(a) Chemical structures and (b) PL and absorption spectra of CMA1, CMA4, rubrene, and </w:t>
      </w:r>
      <w:proofErr w:type="spellStart"/>
      <w:r w:rsidR="00522926" w:rsidRPr="005C7611">
        <w:rPr>
          <w:szCs w:val="28"/>
        </w:rPr>
        <w:t>TBRb</w:t>
      </w:r>
      <w:proofErr w:type="spellEnd"/>
      <w:r w:rsidR="00522926" w:rsidRPr="005C7611">
        <w:rPr>
          <w:szCs w:val="28"/>
        </w:rPr>
        <w:t>.</w:t>
      </w:r>
    </w:p>
    <w:p w14:paraId="328D4AFD" w14:textId="77777777" w:rsidR="00522926" w:rsidRPr="005C7611" w:rsidRDefault="00522926" w:rsidP="002D16A0">
      <w:pPr>
        <w:pStyle w:val="Legend"/>
        <w:rPr>
          <w:szCs w:val="28"/>
        </w:rPr>
      </w:pPr>
    </w:p>
    <w:p w14:paraId="71829676" w14:textId="77777777" w:rsidR="00522926" w:rsidRPr="005C7611" w:rsidRDefault="00522926" w:rsidP="002D16A0">
      <w:pPr>
        <w:pStyle w:val="Legend"/>
      </w:pPr>
      <w:r w:rsidRPr="005C7611">
        <w:rPr>
          <w:noProof/>
          <w:szCs w:val="28"/>
        </w:rPr>
        <w:drawing>
          <wp:inline distT="0" distB="0" distL="0" distR="0" wp14:anchorId="42BFEA5F" wp14:editId="578F12CF">
            <wp:extent cx="5731510" cy="2069605"/>
            <wp:effectExtent l="0" t="0" r="2540" b="6985"/>
            <wp:docPr id="2" name="Picture 1" descr="C:\Users\hc512\Desktop\Hwan-Hee\publication\matrix free HP_1\figure\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c512\Desktop\Hwan-Hee\publication\matrix free HP_1\figure\Figure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069605"/>
                    </a:xfrm>
                    <a:prstGeom prst="rect">
                      <a:avLst/>
                    </a:prstGeom>
                    <a:noFill/>
                    <a:ln>
                      <a:noFill/>
                    </a:ln>
                  </pic:spPr>
                </pic:pic>
              </a:graphicData>
            </a:graphic>
          </wp:inline>
        </w:drawing>
      </w:r>
    </w:p>
    <w:p w14:paraId="39D322CE" w14:textId="77777777" w:rsidR="00522926" w:rsidRPr="005C7611" w:rsidRDefault="00522926" w:rsidP="00522926">
      <w:pPr>
        <w:jc w:val="both"/>
        <w:rPr>
          <w:szCs w:val="28"/>
          <w:lang w:val="en-US"/>
        </w:rPr>
      </w:pPr>
      <w:r w:rsidRPr="005C7611">
        <w:rPr>
          <w:b/>
          <w:bCs/>
          <w:szCs w:val="28"/>
          <w:lang w:val="en-US"/>
        </w:rPr>
        <w:t>Figure 2.</w:t>
      </w:r>
      <w:r w:rsidRPr="005C7611">
        <w:rPr>
          <w:szCs w:val="28"/>
          <w:lang w:val="en-US"/>
        </w:rPr>
        <w:t xml:space="preserve"> (a) Schematic illustration of the structures for PL quenching measurements. (b) PL spectra variation with the different thickness of an </w:t>
      </w:r>
      <w:proofErr w:type="spellStart"/>
      <w:r w:rsidRPr="005C7611">
        <w:rPr>
          <w:szCs w:val="28"/>
          <w:lang w:val="en-US"/>
        </w:rPr>
        <w:t>mCP</w:t>
      </w:r>
      <w:proofErr w:type="spellEnd"/>
      <w:r w:rsidRPr="005C7611">
        <w:rPr>
          <w:szCs w:val="28"/>
          <w:lang w:val="en-US"/>
        </w:rPr>
        <w:t xml:space="preserve"> spacer layer. </w:t>
      </w:r>
    </w:p>
    <w:p w14:paraId="73EB0F13" w14:textId="77777777" w:rsidR="00522926" w:rsidRPr="005C7611" w:rsidRDefault="00522926" w:rsidP="002D16A0">
      <w:pPr>
        <w:pStyle w:val="Legend"/>
      </w:pPr>
    </w:p>
    <w:p w14:paraId="1BAE4EBB" w14:textId="7694CC4D" w:rsidR="00522926" w:rsidRPr="005C7611" w:rsidRDefault="00D427D4" w:rsidP="002D16A0">
      <w:pPr>
        <w:pStyle w:val="Legend"/>
      </w:pPr>
      <w:r w:rsidRPr="005C7611">
        <w:rPr>
          <w:noProof/>
        </w:rPr>
        <w:lastRenderedPageBreak/>
        <w:drawing>
          <wp:inline distT="0" distB="0" distL="0" distR="0" wp14:anchorId="26963455" wp14:editId="44477BD6">
            <wp:extent cx="5731200" cy="2071495"/>
            <wp:effectExtent l="0" t="0" r="3175" b="508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200" cy="2071495"/>
                    </a:xfrm>
                    <a:prstGeom prst="rect">
                      <a:avLst/>
                    </a:prstGeom>
                    <a:noFill/>
                    <a:ln>
                      <a:noFill/>
                    </a:ln>
                  </pic:spPr>
                </pic:pic>
              </a:graphicData>
            </a:graphic>
          </wp:inline>
        </w:drawing>
      </w:r>
    </w:p>
    <w:p w14:paraId="090F151C" w14:textId="21BF520A" w:rsidR="00487F77" w:rsidRPr="005C7611" w:rsidRDefault="00487F77" w:rsidP="00487F77">
      <w:pPr>
        <w:jc w:val="both"/>
        <w:rPr>
          <w:lang w:val="en-US"/>
        </w:rPr>
      </w:pPr>
      <w:r w:rsidRPr="005C7611">
        <w:rPr>
          <w:b/>
          <w:bCs/>
          <w:lang w:val="en-US"/>
        </w:rPr>
        <w:t>Figure 3.</w:t>
      </w:r>
      <w:r w:rsidRPr="005C7611">
        <w:rPr>
          <w:lang w:val="en-US"/>
        </w:rPr>
        <w:t xml:space="preserve"> (a) Variation of the exciton quenching efficiency of CMA4 and (b) normali</w:t>
      </w:r>
      <w:r w:rsidR="0019269F" w:rsidRPr="005C7611">
        <w:rPr>
          <w:lang w:val="en-US"/>
        </w:rPr>
        <w:t>z</w:t>
      </w:r>
      <w:r w:rsidRPr="005C7611">
        <w:rPr>
          <w:lang w:val="en-US"/>
        </w:rPr>
        <w:t>ed integrated PL intensity from rubrene as a function of spacer layer thickness. Exciton quenching for CMA4 is attributed to both FRET and DET between 0 nm and 1 nm thick spacer layer. For higher spacer thicknesses, the regimes in which first DET, and then FRET, are turned off are shown. The PL of rubrene is sensiti</w:t>
      </w:r>
      <w:r w:rsidR="008050C5" w:rsidRPr="005C7611">
        <w:rPr>
          <w:lang w:val="en-US"/>
        </w:rPr>
        <w:t>z</w:t>
      </w:r>
      <w:r w:rsidRPr="005C7611">
        <w:rPr>
          <w:lang w:val="en-US"/>
        </w:rPr>
        <w:t xml:space="preserve">ed only via FRET, so no signature from the change in DET efficiency is seen. </w:t>
      </w:r>
    </w:p>
    <w:p w14:paraId="22A976FD" w14:textId="77777777" w:rsidR="00487F77" w:rsidRPr="005C7611" w:rsidRDefault="00487F77" w:rsidP="00487F77">
      <w:pPr>
        <w:jc w:val="both"/>
        <w:rPr>
          <w:lang w:val="en-US"/>
        </w:rPr>
      </w:pPr>
    </w:p>
    <w:p w14:paraId="5A469B01" w14:textId="77777777" w:rsidR="00487F77" w:rsidRPr="005C7611" w:rsidRDefault="00487F77" w:rsidP="00487F77">
      <w:pPr>
        <w:jc w:val="both"/>
        <w:rPr>
          <w:color w:val="5B9BD5" w:themeColor="accent5"/>
          <w:lang w:val="en-US"/>
        </w:rPr>
      </w:pPr>
      <w:r w:rsidRPr="005C7611">
        <w:rPr>
          <w:noProof/>
          <w:lang w:val="en-US"/>
        </w:rPr>
        <w:drawing>
          <wp:inline distT="0" distB="0" distL="0" distR="0" wp14:anchorId="6B8ED2C9" wp14:editId="6139531E">
            <wp:extent cx="5731510" cy="2219960"/>
            <wp:effectExtent l="0" t="0" r="2540" b="889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219960"/>
                    </a:xfrm>
                    <a:prstGeom prst="rect">
                      <a:avLst/>
                    </a:prstGeom>
                    <a:noFill/>
                    <a:ln>
                      <a:noFill/>
                    </a:ln>
                  </pic:spPr>
                </pic:pic>
              </a:graphicData>
            </a:graphic>
          </wp:inline>
        </w:drawing>
      </w:r>
    </w:p>
    <w:p w14:paraId="61B5600F" w14:textId="77777777" w:rsidR="00487F77" w:rsidRPr="005C7611" w:rsidRDefault="00487F77" w:rsidP="00487F77">
      <w:pPr>
        <w:jc w:val="both"/>
        <w:rPr>
          <w:szCs w:val="28"/>
          <w:lang w:val="en-US"/>
        </w:rPr>
      </w:pPr>
      <w:r w:rsidRPr="005C7611">
        <w:rPr>
          <w:b/>
          <w:bCs/>
          <w:szCs w:val="28"/>
          <w:lang w:val="en-US"/>
        </w:rPr>
        <w:t>Figure 4.</w:t>
      </w:r>
      <w:r w:rsidRPr="005C7611">
        <w:rPr>
          <w:szCs w:val="28"/>
          <w:lang w:val="en-US"/>
        </w:rPr>
        <w:t xml:space="preserve"> (a) Schematic representation of the energy diagram for exciton decay and energy transfer pathways for CMA based </w:t>
      </w:r>
      <w:proofErr w:type="spellStart"/>
      <w:r w:rsidRPr="005C7611">
        <w:rPr>
          <w:szCs w:val="28"/>
          <w:lang w:val="en-US"/>
        </w:rPr>
        <w:t>hyperfluorescence</w:t>
      </w:r>
      <w:proofErr w:type="spellEnd"/>
      <w:r w:rsidRPr="005C7611">
        <w:rPr>
          <w:szCs w:val="28"/>
          <w:lang w:val="en-US"/>
        </w:rPr>
        <w:t xml:space="preserve">. (b) The ratio of DET and FRET rates for the films of rubrene or </w:t>
      </w:r>
      <w:proofErr w:type="spellStart"/>
      <w:r w:rsidRPr="005C7611">
        <w:rPr>
          <w:szCs w:val="28"/>
          <w:lang w:val="en-US"/>
        </w:rPr>
        <w:t>TBRb</w:t>
      </w:r>
      <w:proofErr w:type="spellEnd"/>
      <w:r w:rsidRPr="005C7611">
        <w:rPr>
          <w:szCs w:val="28"/>
          <w:lang w:val="en-US"/>
        </w:rPr>
        <w:t xml:space="preserve"> doped in CMA1 or CMA4 with the variation of doping concentration. The FRET rate was derived from Equation (8), and the DET rate was calculated from Equation (7).</w:t>
      </w:r>
    </w:p>
    <w:p w14:paraId="06331278" w14:textId="77777777" w:rsidR="00487F77" w:rsidRPr="005C7611" w:rsidRDefault="00487F77" w:rsidP="00487F77">
      <w:pPr>
        <w:jc w:val="both"/>
        <w:rPr>
          <w:color w:val="5B9BD5" w:themeColor="accent5"/>
          <w:lang w:val="en-US"/>
        </w:rPr>
      </w:pPr>
    </w:p>
    <w:p w14:paraId="70583219" w14:textId="00446AD6" w:rsidR="00487F77" w:rsidRPr="005C7611" w:rsidRDefault="00D427D4" w:rsidP="002D16A0">
      <w:pPr>
        <w:pStyle w:val="Legend"/>
      </w:pPr>
      <w:r w:rsidRPr="005C7611">
        <w:rPr>
          <w:noProof/>
        </w:rPr>
        <w:lastRenderedPageBreak/>
        <w:drawing>
          <wp:inline distT="0" distB="0" distL="0" distR="0" wp14:anchorId="59E66863" wp14:editId="39FD1FE0">
            <wp:extent cx="5731200" cy="5000270"/>
            <wp:effectExtent l="0" t="0" r="3175"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200" cy="5000270"/>
                    </a:xfrm>
                    <a:prstGeom prst="rect">
                      <a:avLst/>
                    </a:prstGeom>
                    <a:noFill/>
                    <a:ln>
                      <a:noFill/>
                    </a:ln>
                  </pic:spPr>
                </pic:pic>
              </a:graphicData>
            </a:graphic>
          </wp:inline>
        </w:drawing>
      </w:r>
    </w:p>
    <w:p w14:paraId="0286E53E" w14:textId="6B3021ED" w:rsidR="00487F77" w:rsidRPr="005C7611" w:rsidRDefault="00487F77" w:rsidP="00487F77">
      <w:pPr>
        <w:jc w:val="both"/>
        <w:rPr>
          <w:szCs w:val="28"/>
          <w:lang w:val="en-US"/>
        </w:rPr>
      </w:pPr>
      <w:r w:rsidRPr="005C7611">
        <w:rPr>
          <w:b/>
          <w:bCs/>
          <w:szCs w:val="28"/>
          <w:lang w:val="en-US"/>
        </w:rPr>
        <w:t>Figure 5.</w:t>
      </w:r>
      <w:r w:rsidRPr="005C7611">
        <w:rPr>
          <w:szCs w:val="28"/>
          <w:lang w:val="en-US"/>
        </w:rPr>
        <w:t xml:space="preserve"> (a) Device structure and energy diagram of CMA based hyperfluorescent OLEDs. (b) Electroluminescent spectra of the </w:t>
      </w:r>
      <w:proofErr w:type="gramStart"/>
      <w:r w:rsidRPr="005C7611">
        <w:rPr>
          <w:szCs w:val="28"/>
          <w:lang w:val="en-US"/>
        </w:rPr>
        <w:t>mCP:CMA</w:t>
      </w:r>
      <w:proofErr w:type="gramEnd"/>
      <w:r w:rsidRPr="005C7611">
        <w:rPr>
          <w:szCs w:val="28"/>
          <w:lang w:val="en-US"/>
        </w:rPr>
        <w:t xml:space="preserve">1 and mCP:CMA4 based devices with and without </w:t>
      </w:r>
      <w:proofErr w:type="spellStart"/>
      <w:r w:rsidRPr="005C7611">
        <w:rPr>
          <w:szCs w:val="28"/>
          <w:lang w:val="en-US"/>
        </w:rPr>
        <w:t>TBRb</w:t>
      </w:r>
      <w:proofErr w:type="spellEnd"/>
      <w:r w:rsidRPr="005C7611">
        <w:rPr>
          <w:szCs w:val="28"/>
          <w:lang w:val="en-US"/>
        </w:rPr>
        <w:t xml:space="preserve"> doping. (c) and (d) show electroluminescent spectra of the devices based on CMA1 and CMA4 with varying </w:t>
      </w:r>
      <w:proofErr w:type="spellStart"/>
      <w:r w:rsidRPr="005C7611">
        <w:rPr>
          <w:szCs w:val="28"/>
          <w:lang w:val="en-US"/>
        </w:rPr>
        <w:t>TBRb</w:t>
      </w:r>
      <w:proofErr w:type="spellEnd"/>
      <w:r w:rsidRPr="005C7611">
        <w:rPr>
          <w:szCs w:val="28"/>
          <w:lang w:val="en-US"/>
        </w:rPr>
        <w:t xml:space="preserve"> concentration.</w:t>
      </w:r>
    </w:p>
    <w:p w14:paraId="0C152E41" w14:textId="77777777" w:rsidR="00487F77" w:rsidRPr="005C7611" w:rsidRDefault="00487F77" w:rsidP="00487F77">
      <w:pPr>
        <w:jc w:val="both"/>
        <w:rPr>
          <w:szCs w:val="28"/>
          <w:lang w:val="en-US"/>
        </w:rPr>
      </w:pPr>
    </w:p>
    <w:p w14:paraId="239C25F8" w14:textId="77777777" w:rsidR="00487F77" w:rsidRPr="005C7611" w:rsidRDefault="00487F77" w:rsidP="00487F77">
      <w:pPr>
        <w:jc w:val="both"/>
        <w:rPr>
          <w:szCs w:val="28"/>
          <w:lang w:val="en-US"/>
        </w:rPr>
      </w:pPr>
      <w:r w:rsidRPr="005C7611">
        <w:rPr>
          <w:noProof/>
          <w:lang w:val="en-US"/>
        </w:rPr>
        <w:lastRenderedPageBreak/>
        <w:drawing>
          <wp:inline distT="0" distB="0" distL="0" distR="0" wp14:anchorId="2F8B660C" wp14:editId="11D6B720">
            <wp:extent cx="5731510" cy="4328160"/>
            <wp:effectExtent l="0" t="0" r="254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328160"/>
                    </a:xfrm>
                    <a:prstGeom prst="rect">
                      <a:avLst/>
                    </a:prstGeom>
                    <a:noFill/>
                    <a:ln>
                      <a:noFill/>
                    </a:ln>
                  </pic:spPr>
                </pic:pic>
              </a:graphicData>
            </a:graphic>
          </wp:inline>
        </w:drawing>
      </w:r>
    </w:p>
    <w:p w14:paraId="386967F6" w14:textId="77777777" w:rsidR="00487F77" w:rsidRPr="005C7611" w:rsidRDefault="00487F77" w:rsidP="00487F77">
      <w:pPr>
        <w:jc w:val="both"/>
        <w:rPr>
          <w:szCs w:val="28"/>
          <w:lang w:val="en-US"/>
        </w:rPr>
      </w:pPr>
      <w:r w:rsidRPr="005C7611">
        <w:rPr>
          <w:b/>
          <w:bCs/>
          <w:szCs w:val="28"/>
          <w:lang w:val="en-US"/>
        </w:rPr>
        <w:t>Figure 6.</w:t>
      </w:r>
      <w:r w:rsidRPr="005C7611">
        <w:rPr>
          <w:lang w:val="en-US"/>
        </w:rPr>
        <w:t xml:space="preserve"> </w:t>
      </w:r>
      <w:r w:rsidRPr="005C7611">
        <w:rPr>
          <w:szCs w:val="28"/>
          <w:lang w:val="en-US"/>
        </w:rPr>
        <w:t xml:space="preserve">Characteristics of hyperfluorescent OLED devices based on CMA1 and CMA4 with </w:t>
      </w:r>
      <w:proofErr w:type="spellStart"/>
      <w:r w:rsidRPr="005C7611">
        <w:rPr>
          <w:szCs w:val="28"/>
          <w:lang w:val="en-US"/>
        </w:rPr>
        <w:t>TBRb</w:t>
      </w:r>
      <w:proofErr w:type="spellEnd"/>
      <w:r w:rsidRPr="005C7611">
        <w:rPr>
          <w:szCs w:val="28"/>
          <w:lang w:val="en-US"/>
        </w:rPr>
        <w:t xml:space="preserve"> doping. (a) and (b) present EQE vs current density. (c) and (d) show PCE vs luminance.</w:t>
      </w:r>
    </w:p>
    <w:p w14:paraId="3EC620E5" w14:textId="77777777" w:rsidR="00487F77" w:rsidRPr="005C7611" w:rsidRDefault="00487F77" w:rsidP="00487F77">
      <w:pPr>
        <w:jc w:val="both"/>
        <w:rPr>
          <w:szCs w:val="28"/>
          <w:lang w:val="en-US"/>
        </w:rPr>
      </w:pPr>
    </w:p>
    <w:p w14:paraId="51E8CF27" w14:textId="77777777" w:rsidR="002E3C98" w:rsidRPr="005C7611" w:rsidRDefault="002E3C98" w:rsidP="002D16A0">
      <w:pPr>
        <w:pStyle w:val="Legend"/>
      </w:pPr>
    </w:p>
    <w:p w14:paraId="6B5FDC76" w14:textId="77777777" w:rsidR="009B62E4" w:rsidRPr="005C7611" w:rsidRDefault="009B62E4" w:rsidP="009B62E4">
      <w:pPr>
        <w:pStyle w:val="Legend"/>
      </w:pPr>
      <w:r w:rsidRPr="005C7611">
        <w:rPr>
          <w:b/>
        </w:rPr>
        <w:t>Table 1.</w:t>
      </w:r>
      <w:r w:rsidR="00487F77" w:rsidRPr="005C7611">
        <w:rPr>
          <w:b/>
        </w:rPr>
        <w:t xml:space="preserve"> </w:t>
      </w:r>
      <w:r w:rsidR="00487F77" w:rsidRPr="005C7611">
        <w:rPr>
          <w:szCs w:val="28"/>
        </w:rPr>
        <w:t xml:space="preserve">The PLQE values of CMAs and those diluted in </w:t>
      </w:r>
      <w:proofErr w:type="spellStart"/>
      <w:r w:rsidR="00487F77" w:rsidRPr="005C7611">
        <w:rPr>
          <w:szCs w:val="28"/>
        </w:rPr>
        <w:t>mCP</w:t>
      </w:r>
      <w:proofErr w:type="spellEnd"/>
      <w:r w:rsidR="00487F77" w:rsidRPr="005C7611">
        <w:rPr>
          <w:szCs w:val="28"/>
        </w:rPr>
        <w:t xml:space="preserve"> and the Forster radii for each combination of those with rubrene and </w:t>
      </w:r>
      <w:proofErr w:type="spellStart"/>
      <w:r w:rsidR="00487F77" w:rsidRPr="005C7611">
        <w:rPr>
          <w:szCs w:val="28"/>
        </w:rPr>
        <w:t>TBRb</w:t>
      </w:r>
      <w:proofErr w:type="spellEnd"/>
      <w:r w:rsidR="00487F77" w:rsidRPr="005C7611">
        <w:rPr>
          <w:szCs w:val="28"/>
        </w:rPr>
        <w:t>.</w:t>
      </w:r>
      <w:r w:rsidRPr="005C7611">
        <w:t xml:space="preserve"> </w:t>
      </w:r>
    </w:p>
    <w:p w14:paraId="57999E24" w14:textId="77777777" w:rsidR="00487F77" w:rsidRPr="005C7611" w:rsidRDefault="00487F77" w:rsidP="009B62E4">
      <w:pPr>
        <w:pStyle w:val="Legend"/>
      </w:pPr>
    </w:p>
    <w:tbl>
      <w:tblPr>
        <w:tblW w:w="9102" w:type="dxa"/>
        <w:tblLook w:val="01E0" w:firstRow="1" w:lastRow="1" w:firstColumn="1" w:lastColumn="1" w:noHBand="0" w:noVBand="0"/>
      </w:tblPr>
      <w:tblGrid>
        <w:gridCol w:w="1044"/>
        <w:gridCol w:w="894"/>
        <w:gridCol w:w="1791"/>
        <w:gridCol w:w="1791"/>
        <w:gridCol w:w="1791"/>
        <w:gridCol w:w="1791"/>
      </w:tblGrid>
      <w:tr w:rsidR="00285498" w:rsidRPr="005C7611" w14:paraId="267E9357" w14:textId="77777777" w:rsidTr="00285498">
        <w:trPr>
          <w:trHeight w:val="305"/>
        </w:trPr>
        <w:tc>
          <w:tcPr>
            <w:tcW w:w="1938" w:type="dxa"/>
            <w:gridSpan w:val="2"/>
            <w:tcBorders>
              <w:bottom w:val="single" w:sz="4" w:space="0" w:color="000000"/>
            </w:tcBorders>
            <w:shd w:val="clear" w:color="auto" w:fill="auto"/>
            <w:vAlign w:val="center"/>
          </w:tcPr>
          <w:p w14:paraId="3B54ADE9" w14:textId="77777777" w:rsidR="00462F12" w:rsidRPr="005C7611" w:rsidRDefault="00462F12" w:rsidP="00285498">
            <w:pPr>
              <w:pStyle w:val="TableHead"/>
              <w:jc w:val="center"/>
              <w:rPr>
                <w:sz w:val="20"/>
                <w:szCs w:val="18"/>
                <w:lang w:val="en-US"/>
              </w:rPr>
            </w:pPr>
            <w:bookmarkStart w:id="3" w:name="_Hlk42977610"/>
          </w:p>
        </w:tc>
        <w:tc>
          <w:tcPr>
            <w:tcW w:w="1791" w:type="dxa"/>
            <w:tcBorders>
              <w:bottom w:val="single" w:sz="4" w:space="0" w:color="000000"/>
            </w:tcBorders>
            <w:shd w:val="clear" w:color="auto" w:fill="auto"/>
            <w:vAlign w:val="center"/>
          </w:tcPr>
          <w:p w14:paraId="3AA08D86" w14:textId="77777777" w:rsidR="00462F12" w:rsidRPr="005C7611" w:rsidRDefault="00285498" w:rsidP="00285498">
            <w:pPr>
              <w:pStyle w:val="TableHead"/>
              <w:jc w:val="center"/>
              <w:rPr>
                <w:sz w:val="20"/>
                <w:szCs w:val="18"/>
                <w:lang w:val="en-US"/>
              </w:rPr>
            </w:pPr>
            <w:r w:rsidRPr="005C7611">
              <w:rPr>
                <w:sz w:val="20"/>
                <w:szCs w:val="18"/>
                <w:lang w:val="en-US"/>
              </w:rPr>
              <w:t>CMA1 100%</w:t>
            </w:r>
          </w:p>
        </w:tc>
        <w:tc>
          <w:tcPr>
            <w:tcW w:w="1791" w:type="dxa"/>
            <w:tcBorders>
              <w:bottom w:val="single" w:sz="4" w:space="0" w:color="000000"/>
            </w:tcBorders>
            <w:shd w:val="clear" w:color="auto" w:fill="auto"/>
            <w:vAlign w:val="center"/>
          </w:tcPr>
          <w:p w14:paraId="3C622B44" w14:textId="77777777" w:rsidR="00462F12" w:rsidRPr="005C7611" w:rsidRDefault="00285498" w:rsidP="00285498">
            <w:pPr>
              <w:pStyle w:val="TableHead"/>
              <w:jc w:val="center"/>
              <w:rPr>
                <w:sz w:val="20"/>
                <w:szCs w:val="18"/>
                <w:lang w:val="en-US"/>
              </w:rPr>
            </w:pPr>
            <w:proofErr w:type="gramStart"/>
            <w:r w:rsidRPr="005C7611">
              <w:rPr>
                <w:sz w:val="20"/>
                <w:szCs w:val="18"/>
                <w:lang w:val="en-US"/>
              </w:rPr>
              <w:t>mCP:CMA</w:t>
            </w:r>
            <w:proofErr w:type="gramEnd"/>
            <w:r w:rsidRPr="005C7611">
              <w:rPr>
                <w:sz w:val="20"/>
                <w:szCs w:val="18"/>
                <w:lang w:val="en-US"/>
              </w:rPr>
              <w:t>1 20%</w:t>
            </w:r>
          </w:p>
        </w:tc>
        <w:tc>
          <w:tcPr>
            <w:tcW w:w="1791" w:type="dxa"/>
            <w:tcBorders>
              <w:bottom w:val="single" w:sz="4" w:space="0" w:color="000000"/>
            </w:tcBorders>
            <w:shd w:val="clear" w:color="auto" w:fill="auto"/>
            <w:vAlign w:val="center"/>
          </w:tcPr>
          <w:p w14:paraId="1D22A486" w14:textId="77777777" w:rsidR="00462F12" w:rsidRPr="005C7611" w:rsidRDefault="00285498" w:rsidP="00285498">
            <w:pPr>
              <w:pStyle w:val="TableHead"/>
              <w:jc w:val="center"/>
              <w:rPr>
                <w:sz w:val="20"/>
                <w:szCs w:val="18"/>
                <w:lang w:val="en-US"/>
              </w:rPr>
            </w:pPr>
            <w:r w:rsidRPr="005C7611">
              <w:rPr>
                <w:sz w:val="20"/>
                <w:szCs w:val="18"/>
                <w:lang w:val="en-US"/>
              </w:rPr>
              <w:t>CMA</w:t>
            </w:r>
            <w:r w:rsidR="00462F12" w:rsidRPr="005C7611">
              <w:rPr>
                <w:sz w:val="20"/>
                <w:szCs w:val="18"/>
                <w:lang w:val="en-US"/>
              </w:rPr>
              <w:t>4</w:t>
            </w:r>
            <w:r w:rsidRPr="005C7611">
              <w:rPr>
                <w:sz w:val="20"/>
                <w:szCs w:val="18"/>
                <w:lang w:val="en-US"/>
              </w:rPr>
              <w:t xml:space="preserve"> 100%</w:t>
            </w:r>
          </w:p>
        </w:tc>
        <w:tc>
          <w:tcPr>
            <w:tcW w:w="1791" w:type="dxa"/>
            <w:tcBorders>
              <w:bottom w:val="single" w:sz="4" w:space="0" w:color="000000"/>
            </w:tcBorders>
            <w:shd w:val="clear" w:color="auto" w:fill="auto"/>
            <w:vAlign w:val="center"/>
          </w:tcPr>
          <w:p w14:paraId="550E73D5" w14:textId="77777777" w:rsidR="00462F12" w:rsidRPr="005C7611" w:rsidRDefault="00285498" w:rsidP="00285498">
            <w:pPr>
              <w:pStyle w:val="TableHead"/>
              <w:jc w:val="center"/>
              <w:rPr>
                <w:rFonts w:eastAsiaTheme="minorEastAsia"/>
                <w:sz w:val="20"/>
                <w:szCs w:val="18"/>
                <w:lang w:val="en-US" w:eastAsia="ko-KR"/>
              </w:rPr>
            </w:pPr>
            <w:proofErr w:type="gramStart"/>
            <w:r w:rsidRPr="005C7611">
              <w:rPr>
                <w:rFonts w:eastAsiaTheme="minorEastAsia"/>
                <w:sz w:val="20"/>
                <w:szCs w:val="18"/>
                <w:lang w:val="en-US" w:eastAsia="ko-KR"/>
              </w:rPr>
              <w:t>mCP:CMA</w:t>
            </w:r>
            <w:proofErr w:type="gramEnd"/>
            <w:r w:rsidRPr="005C7611">
              <w:rPr>
                <w:rFonts w:eastAsiaTheme="minorEastAsia"/>
                <w:sz w:val="20"/>
                <w:szCs w:val="18"/>
                <w:lang w:val="en-US" w:eastAsia="ko-KR"/>
              </w:rPr>
              <w:t>1 20%</w:t>
            </w:r>
          </w:p>
        </w:tc>
      </w:tr>
      <w:tr w:rsidR="001F7784" w:rsidRPr="005C7611" w14:paraId="65E78863" w14:textId="77777777" w:rsidTr="00285498">
        <w:trPr>
          <w:trHeight w:val="372"/>
        </w:trPr>
        <w:tc>
          <w:tcPr>
            <w:tcW w:w="1938" w:type="dxa"/>
            <w:gridSpan w:val="2"/>
            <w:tcBorders>
              <w:top w:val="single" w:sz="4" w:space="0" w:color="000000"/>
              <w:bottom w:val="single" w:sz="4" w:space="0" w:color="000000"/>
            </w:tcBorders>
            <w:shd w:val="clear" w:color="auto" w:fill="auto"/>
            <w:vAlign w:val="center"/>
          </w:tcPr>
          <w:p w14:paraId="60E725BA" w14:textId="77777777" w:rsidR="001F7784" w:rsidRPr="005C7611" w:rsidRDefault="00285498" w:rsidP="00285498">
            <w:pPr>
              <w:pStyle w:val="TableHead"/>
              <w:jc w:val="center"/>
              <w:rPr>
                <w:rFonts w:eastAsiaTheme="minorEastAsia"/>
                <w:sz w:val="20"/>
                <w:szCs w:val="18"/>
                <w:lang w:val="en-US" w:eastAsia="ko-KR"/>
              </w:rPr>
            </w:pPr>
            <w:r w:rsidRPr="005C7611">
              <w:rPr>
                <w:rFonts w:eastAsiaTheme="minorEastAsia"/>
                <w:sz w:val="20"/>
                <w:szCs w:val="18"/>
                <w:lang w:val="en-US" w:eastAsia="ko-KR"/>
              </w:rPr>
              <w:t>PLQE (%)</w:t>
            </w:r>
          </w:p>
        </w:tc>
        <w:tc>
          <w:tcPr>
            <w:tcW w:w="1791" w:type="dxa"/>
            <w:tcBorders>
              <w:top w:val="single" w:sz="4" w:space="0" w:color="000000"/>
              <w:bottom w:val="single" w:sz="4" w:space="0" w:color="000000"/>
            </w:tcBorders>
            <w:shd w:val="clear" w:color="auto" w:fill="auto"/>
            <w:vAlign w:val="center"/>
          </w:tcPr>
          <w:p w14:paraId="1E9F4875" w14:textId="77777777" w:rsidR="001F7784" w:rsidRPr="005C7611" w:rsidRDefault="00285498" w:rsidP="00285498">
            <w:pPr>
              <w:pStyle w:val="TableHead"/>
              <w:jc w:val="center"/>
              <w:rPr>
                <w:rFonts w:eastAsiaTheme="minorEastAsia"/>
                <w:sz w:val="20"/>
                <w:szCs w:val="18"/>
                <w:lang w:val="en-US" w:eastAsia="ko-KR"/>
              </w:rPr>
            </w:pPr>
            <w:r w:rsidRPr="005C7611">
              <w:rPr>
                <w:rFonts w:eastAsiaTheme="minorEastAsia"/>
                <w:sz w:val="20"/>
                <w:szCs w:val="18"/>
                <w:lang w:val="en-US" w:eastAsia="ko-KR"/>
              </w:rPr>
              <w:t>83</w:t>
            </w:r>
          </w:p>
        </w:tc>
        <w:tc>
          <w:tcPr>
            <w:tcW w:w="1791" w:type="dxa"/>
            <w:tcBorders>
              <w:top w:val="single" w:sz="4" w:space="0" w:color="000000"/>
              <w:bottom w:val="single" w:sz="4" w:space="0" w:color="000000"/>
            </w:tcBorders>
            <w:shd w:val="clear" w:color="auto" w:fill="auto"/>
            <w:vAlign w:val="center"/>
          </w:tcPr>
          <w:p w14:paraId="5FAB7BF5" w14:textId="77777777" w:rsidR="001F7784" w:rsidRPr="005C7611" w:rsidRDefault="00285498" w:rsidP="00285498">
            <w:pPr>
              <w:pStyle w:val="TableHead"/>
              <w:jc w:val="center"/>
              <w:rPr>
                <w:rFonts w:eastAsiaTheme="minorEastAsia"/>
                <w:sz w:val="20"/>
                <w:szCs w:val="18"/>
                <w:lang w:val="en-US" w:eastAsia="ko-KR"/>
              </w:rPr>
            </w:pPr>
            <w:r w:rsidRPr="005C7611">
              <w:rPr>
                <w:rFonts w:eastAsiaTheme="minorEastAsia"/>
                <w:sz w:val="20"/>
                <w:szCs w:val="18"/>
                <w:lang w:val="en-US" w:eastAsia="ko-KR"/>
              </w:rPr>
              <w:t>86</w:t>
            </w:r>
          </w:p>
        </w:tc>
        <w:tc>
          <w:tcPr>
            <w:tcW w:w="1791" w:type="dxa"/>
            <w:tcBorders>
              <w:top w:val="single" w:sz="4" w:space="0" w:color="000000"/>
              <w:bottom w:val="single" w:sz="4" w:space="0" w:color="000000"/>
            </w:tcBorders>
            <w:shd w:val="clear" w:color="auto" w:fill="auto"/>
            <w:vAlign w:val="center"/>
          </w:tcPr>
          <w:p w14:paraId="50BF3C78" w14:textId="77777777" w:rsidR="001F7784" w:rsidRPr="005C7611" w:rsidRDefault="00285498" w:rsidP="00285498">
            <w:pPr>
              <w:pStyle w:val="TableHead"/>
              <w:jc w:val="center"/>
              <w:rPr>
                <w:rFonts w:eastAsiaTheme="minorEastAsia"/>
                <w:sz w:val="20"/>
                <w:szCs w:val="18"/>
                <w:lang w:val="en-US" w:eastAsia="ko-KR"/>
              </w:rPr>
            </w:pPr>
            <w:r w:rsidRPr="005C7611">
              <w:rPr>
                <w:rFonts w:eastAsiaTheme="minorEastAsia"/>
                <w:sz w:val="20"/>
                <w:szCs w:val="18"/>
                <w:lang w:val="en-US" w:eastAsia="ko-KR"/>
              </w:rPr>
              <w:t>76</w:t>
            </w:r>
          </w:p>
        </w:tc>
        <w:tc>
          <w:tcPr>
            <w:tcW w:w="1791" w:type="dxa"/>
            <w:tcBorders>
              <w:top w:val="single" w:sz="4" w:space="0" w:color="000000"/>
              <w:bottom w:val="single" w:sz="4" w:space="0" w:color="000000"/>
            </w:tcBorders>
            <w:shd w:val="clear" w:color="auto" w:fill="auto"/>
            <w:vAlign w:val="center"/>
          </w:tcPr>
          <w:p w14:paraId="537FB8F6" w14:textId="77777777" w:rsidR="001F7784" w:rsidRPr="005C7611" w:rsidRDefault="00285498" w:rsidP="00285498">
            <w:pPr>
              <w:pStyle w:val="TableHead"/>
              <w:jc w:val="center"/>
              <w:rPr>
                <w:rFonts w:eastAsiaTheme="minorEastAsia"/>
                <w:sz w:val="20"/>
                <w:szCs w:val="18"/>
                <w:lang w:val="en-US" w:eastAsia="ko-KR"/>
              </w:rPr>
            </w:pPr>
            <w:r w:rsidRPr="005C7611">
              <w:rPr>
                <w:rFonts w:eastAsiaTheme="minorEastAsia"/>
                <w:sz w:val="20"/>
                <w:szCs w:val="18"/>
                <w:lang w:val="en-US" w:eastAsia="ko-KR"/>
              </w:rPr>
              <w:t>82</w:t>
            </w:r>
          </w:p>
        </w:tc>
      </w:tr>
      <w:tr w:rsidR="00285498" w:rsidRPr="005C7611" w14:paraId="249BCEB2" w14:textId="77777777" w:rsidTr="00285498">
        <w:trPr>
          <w:trHeight w:val="435"/>
        </w:trPr>
        <w:tc>
          <w:tcPr>
            <w:tcW w:w="1044" w:type="dxa"/>
            <w:tcBorders>
              <w:top w:val="single" w:sz="4" w:space="0" w:color="000000"/>
            </w:tcBorders>
            <w:shd w:val="clear" w:color="auto" w:fill="auto"/>
            <w:vAlign w:val="center"/>
          </w:tcPr>
          <w:p w14:paraId="7E6821B1" w14:textId="77777777" w:rsidR="00285498" w:rsidRPr="005C7611" w:rsidRDefault="00285498" w:rsidP="00285498">
            <w:pPr>
              <w:pStyle w:val="TableBody"/>
              <w:jc w:val="center"/>
              <w:rPr>
                <w:sz w:val="20"/>
                <w:szCs w:val="18"/>
                <w:lang w:val="en-US"/>
              </w:rPr>
            </w:pPr>
            <w:r w:rsidRPr="005C7611">
              <w:rPr>
                <w:sz w:val="20"/>
                <w:szCs w:val="18"/>
                <w:lang w:val="en-US"/>
              </w:rPr>
              <w:t>Rubrene</w:t>
            </w:r>
          </w:p>
        </w:tc>
        <w:tc>
          <w:tcPr>
            <w:tcW w:w="894" w:type="dxa"/>
            <w:vMerge w:val="restart"/>
            <w:tcBorders>
              <w:top w:val="single" w:sz="4" w:space="0" w:color="000000"/>
            </w:tcBorders>
            <w:shd w:val="clear" w:color="auto" w:fill="auto"/>
            <w:vAlign w:val="center"/>
          </w:tcPr>
          <w:p w14:paraId="7BE17A6F" w14:textId="77777777" w:rsidR="00285498" w:rsidRPr="005C7611" w:rsidRDefault="00285498" w:rsidP="00285498">
            <w:pPr>
              <w:pStyle w:val="TableBody"/>
              <w:jc w:val="center"/>
              <w:rPr>
                <w:rFonts w:eastAsiaTheme="minorEastAsia"/>
                <w:sz w:val="20"/>
                <w:szCs w:val="18"/>
                <w:lang w:val="en-US" w:eastAsia="ko-KR"/>
              </w:rPr>
            </w:pPr>
            <w:r w:rsidRPr="005C7611">
              <w:rPr>
                <w:rFonts w:eastAsiaTheme="minorEastAsia"/>
                <w:i/>
                <w:iCs/>
                <w:sz w:val="20"/>
                <w:szCs w:val="18"/>
                <w:lang w:val="en-US" w:eastAsia="ko-KR"/>
              </w:rPr>
              <w:t>R</w:t>
            </w:r>
            <w:r w:rsidRPr="005C7611">
              <w:rPr>
                <w:rFonts w:eastAsiaTheme="minorEastAsia"/>
                <w:sz w:val="20"/>
                <w:szCs w:val="18"/>
                <w:vertAlign w:val="subscript"/>
                <w:lang w:val="en-US" w:eastAsia="ko-KR"/>
              </w:rPr>
              <w:t>0</w:t>
            </w:r>
            <w:r w:rsidRPr="005C7611">
              <w:rPr>
                <w:rFonts w:eastAsiaTheme="minorEastAsia"/>
                <w:sz w:val="20"/>
                <w:szCs w:val="18"/>
                <w:lang w:val="en-US" w:eastAsia="ko-KR"/>
              </w:rPr>
              <w:t xml:space="preserve"> (nm)</w:t>
            </w:r>
          </w:p>
        </w:tc>
        <w:tc>
          <w:tcPr>
            <w:tcW w:w="1791" w:type="dxa"/>
            <w:tcBorders>
              <w:top w:val="single" w:sz="4" w:space="0" w:color="000000"/>
            </w:tcBorders>
            <w:shd w:val="clear" w:color="auto" w:fill="auto"/>
            <w:vAlign w:val="center"/>
          </w:tcPr>
          <w:p w14:paraId="1422ED56" w14:textId="77777777" w:rsidR="00285498" w:rsidRPr="005C7611" w:rsidRDefault="00285498" w:rsidP="00285498">
            <w:pPr>
              <w:pStyle w:val="TableBody"/>
              <w:jc w:val="center"/>
              <w:rPr>
                <w:sz w:val="20"/>
                <w:szCs w:val="18"/>
                <w:lang w:val="en-US"/>
              </w:rPr>
            </w:pPr>
            <w:r w:rsidRPr="005C7611">
              <w:rPr>
                <w:sz w:val="20"/>
                <w:szCs w:val="18"/>
                <w:lang w:val="en-US"/>
              </w:rPr>
              <w:t>3.48</w:t>
            </w:r>
          </w:p>
        </w:tc>
        <w:tc>
          <w:tcPr>
            <w:tcW w:w="1791" w:type="dxa"/>
            <w:tcBorders>
              <w:top w:val="single" w:sz="4" w:space="0" w:color="000000"/>
            </w:tcBorders>
            <w:shd w:val="clear" w:color="auto" w:fill="auto"/>
            <w:vAlign w:val="center"/>
          </w:tcPr>
          <w:p w14:paraId="1AF7BD35" w14:textId="77777777" w:rsidR="00285498" w:rsidRPr="005C7611" w:rsidRDefault="00285498" w:rsidP="00285498">
            <w:pPr>
              <w:pStyle w:val="TableBody"/>
              <w:jc w:val="center"/>
              <w:rPr>
                <w:rFonts w:eastAsiaTheme="minorEastAsia"/>
                <w:sz w:val="20"/>
                <w:szCs w:val="18"/>
                <w:lang w:val="en-US" w:eastAsia="ko-KR"/>
              </w:rPr>
            </w:pPr>
            <w:r w:rsidRPr="005C7611">
              <w:rPr>
                <w:rFonts w:eastAsiaTheme="minorEastAsia"/>
                <w:sz w:val="20"/>
                <w:szCs w:val="18"/>
                <w:lang w:val="en-US" w:eastAsia="ko-KR"/>
              </w:rPr>
              <w:t>3.40</w:t>
            </w:r>
          </w:p>
        </w:tc>
        <w:tc>
          <w:tcPr>
            <w:tcW w:w="1791" w:type="dxa"/>
            <w:tcBorders>
              <w:top w:val="single" w:sz="4" w:space="0" w:color="000000"/>
            </w:tcBorders>
            <w:shd w:val="clear" w:color="auto" w:fill="auto"/>
            <w:vAlign w:val="center"/>
          </w:tcPr>
          <w:p w14:paraId="2D22603D" w14:textId="77777777" w:rsidR="00285498" w:rsidRPr="005C7611" w:rsidRDefault="00285498" w:rsidP="00285498">
            <w:pPr>
              <w:pStyle w:val="TableBody"/>
              <w:jc w:val="center"/>
              <w:rPr>
                <w:rFonts w:eastAsiaTheme="minorEastAsia"/>
                <w:sz w:val="20"/>
                <w:szCs w:val="18"/>
                <w:lang w:val="en-US" w:eastAsia="ko-KR"/>
              </w:rPr>
            </w:pPr>
            <w:r w:rsidRPr="005C7611">
              <w:rPr>
                <w:rFonts w:eastAsiaTheme="minorEastAsia"/>
                <w:sz w:val="20"/>
                <w:szCs w:val="18"/>
                <w:lang w:val="en-US" w:eastAsia="ko-KR"/>
              </w:rPr>
              <w:t>3.30</w:t>
            </w:r>
          </w:p>
        </w:tc>
        <w:tc>
          <w:tcPr>
            <w:tcW w:w="1791" w:type="dxa"/>
            <w:tcBorders>
              <w:top w:val="single" w:sz="4" w:space="0" w:color="000000"/>
            </w:tcBorders>
            <w:shd w:val="clear" w:color="auto" w:fill="auto"/>
            <w:vAlign w:val="center"/>
          </w:tcPr>
          <w:p w14:paraId="1AD2D0AA" w14:textId="77777777" w:rsidR="00285498" w:rsidRPr="005C7611" w:rsidRDefault="00285498" w:rsidP="00285498">
            <w:pPr>
              <w:pStyle w:val="TableBody"/>
              <w:jc w:val="center"/>
              <w:rPr>
                <w:rFonts w:eastAsiaTheme="minorEastAsia"/>
                <w:sz w:val="20"/>
                <w:szCs w:val="18"/>
                <w:lang w:val="en-US" w:eastAsia="ko-KR"/>
              </w:rPr>
            </w:pPr>
            <w:r w:rsidRPr="005C7611">
              <w:rPr>
                <w:rFonts w:eastAsiaTheme="minorEastAsia"/>
                <w:sz w:val="20"/>
                <w:szCs w:val="18"/>
                <w:lang w:val="en-US" w:eastAsia="ko-KR"/>
              </w:rPr>
              <w:t>3.34</w:t>
            </w:r>
          </w:p>
        </w:tc>
      </w:tr>
      <w:tr w:rsidR="00285498" w:rsidRPr="005C7611" w14:paraId="78D312B4" w14:textId="77777777" w:rsidTr="00285498">
        <w:trPr>
          <w:trHeight w:val="435"/>
        </w:trPr>
        <w:tc>
          <w:tcPr>
            <w:tcW w:w="1044" w:type="dxa"/>
            <w:tcBorders>
              <w:bottom w:val="single" w:sz="4" w:space="0" w:color="000000"/>
            </w:tcBorders>
            <w:shd w:val="clear" w:color="auto" w:fill="auto"/>
            <w:vAlign w:val="center"/>
          </w:tcPr>
          <w:p w14:paraId="08553A57" w14:textId="77777777" w:rsidR="00285498" w:rsidRPr="005C7611" w:rsidRDefault="00285498" w:rsidP="00285498">
            <w:pPr>
              <w:pStyle w:val="TableBody"/>
              <w:jc w:val="center"/>
              <w:rPr>
                <w:rFonts w:eastAsiaTheme="minorEastAsia"/>
                <w:sz w:val="20"/>
                <w:szCs w:val="18"/>
                <w:lang w:val="en-US" w:eastAsia="ko-KR"/>
              </w:rPr>
            </w:pPr>
            <w:proofErr w:type="spellStart"/>
            <w:r w:rsidRPr="005C7611">
              <w:rPr>
                <w:rFonts w:eastAsiaTheme="minorEastAsia"/>
                <w:sz w:val="20"/>
                <w:szCs w:val="18"/>
                <w:lang w:val="en-US" w:eastAsia="ko-KR"/>
              </w:rPr>
              <w:t>TBRb</w:t>
            </w:r>
            <w:proofErr w:type="spellEnd"/>
          </w:p>
        </w:tc>
        <w:tc>
          <w:tcPr>
            <w:tcW w:w="894" w:type="dxa"/>
            <w:vMerge/>
            <w:tcBorders>
              <w:bottom w:val="single" w:sz="4" w:space="0" w:color="000000"/>
            </w:tcBorders>
            <w:shd w:val="clear" w:color="auto" w:fill="auto"/>
            <w:vAlign w:val="center"/>
          </w:tcPr>
          <w:p w14:paraId="48ABCD82" w14:textId="77777777" w:rsidR="00285498" w:rsidRPr="005C7611" w:rsidRDefault="00285498" w:rsidP="00285498">
            <w:pPr>
              <w:pStyle w:val="TableBody"/>
              <w:jc w:val="center"/>
              <w:rPr>
                <w:sz w:val="20"/>
                <w:szCs w:val="18"/>
                <w:lang w:val="en-US"/>
              </w:rPr>
            </w:pPr>
          </w:p>
        </w:tc>
        <w:tc>
          <w:tcPr>
            <w:tcW w:w="1791" w:type="dxa"/>
            <w:tcBorders>
              <w:bottom w:val="single" w:sz="4" w:space="0" w:color="000000"/>
            </w:tcBorders>
            <w:shd w:val="clear" w:color="auto" w:fill="auto"/>
            <w:vAlign w:val="center"/>
          </w:tcPr>
          <w:p w14:paraId="01F7CD05" w14:textId="77777777" w:rsidR="00285498" w:rsidRPr="005C7611" w:rsidRDefault="00285498" w:rsidP="00285498">
            <w:pPr>
              <w:pStyle w:val="TableBody"/>
              <w:jc w:val="center"/>
              <w:rPr>
                <w:rFonts w:eastAsiaTheme="minorEastAsia"/>
                <w:sz w:val="20"/>
                <w:szCs w:val="18"/>
                <w:lang w:val="en-US" w:eastAsia="ko-KR"/>
              </w:rPr>
            </w:pPr>
            <w:r w:rsidRPr="005C7611">
              <w:rPr>
                <w:rFonts w:eastAsiaTheme="minorEastAsia"/>
                <w:sz w:val="20"/>
                <w:szCs w:val="18"/>
                <w:lang w:val="en-US" w:eastAsia="ko-KR"/>
              </w:rPr>
              <w:t>3.79</w:t>
            </w:r>
          </w:p>
        </w:tc>
        <w:tc>
          <w:tcPr>
            <w:tcW w:w="1791" w:type="dxa"/>
            <w:tcBorders>
              <w:bottom w:val="single" w:sz="4" w:space="0" w:color="000000"/>
            </w:tcBorders>
            <w:shd w:val="clear" w:color="auto" w:fill="auto"/>
            <w:vAlign w:val="center"/>
          </w:tcPr>
          <w:p w14:paraId="1A80F5A9" w14:textId="77777777" w:rsidR="00285498" w:rsidRPr="005C7611" w:rsidRDefault="00285498" w:rsidP="00285498">
            <w:pPr>
              <w:pStyle w:val="TableBody"/>
              <w:jc w:val="center"/>
              <w:rPr>
                <w:rFonts w:eastAsiaTheme="minorEastAsia"/>
                <w:sz w:val="20"/>
                <w:szCs w:val="18"/>
                <w:lang w:val="en-US" w:eastAsia="ko-KR"/>
              </w:rPr>
            </w:pPr>
            <w:r w:rsidRPr="005C7611">
              <w:rPr>
                <w:rFonts w:eastAsiaTheme="minorEastAsia"/>
                <w:sz w:val="20"/>
                <w:szCs w:val="18"/>
                <w:lang w:val="en-US" w:eastAsia="ko-KR"/>
              </w:rPr>
              <w:t>3.70</w:t>
            </w:r>
          </w:p>
        </w:tc>
        <w:tc>
          <w:tcPr>
            <w:tcW w:w="1791" w:type="dxa"/>
            <w:tcBorders>
              <w:bottom w:val="single" w:sz="4" w:space="0" w:color="000000"/>
            </w:tcBorders>
            <w:shd w:val="clear" w:color="auto" w:fill="auto"/>
            <w:vAlign w:val="center"/>
          </w:tcPr>
          <w:p w14:paraId="605D1AC1" w14:textId="77777777" w:rsidR="00285498" w:rsidRPr="005C7611" w:rsidRDefault="00285498" w:rsidP="00285498">
            <w:pPr>
              <w:pStyle w:val="TableBody"/>
              <w:jc w:val="center"/>
              <w:rPr>
                <w:rFonts w:eastAsiaTheme="minorEastAsia"/>
                <w:sz w:val="20"/>
                <w:szCs w:val="18"/>
                <w:lang w:val="en-US" w:eastAsia="ko-KR"/>
              </w:rPr>
            </w:pPr>
            <w:r w:rsidRPr="005C7611">
              <w:rPr>
                <w:rFonts w:eastAsiaTheme="minorEastAsia"/>
                <w:sz w:val="20"/>
                <w:szCs w:val="18"/>
                <w:lang w:val="en-US" w:eastAsia="ko-KR"/>
              </w:rPr>
              <w:t>3.62</w:t>
            </w:r>
          </w:p>
        </w:tc>
        <w:tc>
          <w:tcPr>
            <w:tcW w:w="1791" w:type="dxa"/>
            <w:tcBorders>
              <w:bottom w:val="single" w:sz="4" w:space="0" w:color="000000"/>
            </w:tcBorders>
            <w:shd w:val="clear" w:color="auto" w:fill="auto"/>
            <w:vAlign w:val="center"/>
          </w:tcPr>
          <w:p w14:paraId="6ED83E18" w14:textId="77777777" w:rsidR="00285498" w:rsidRPr="005C7611" w:rsidRDefault="00285498" w:rsidP="00285498">
            <w:pPr>
              <w:pStyle w:val="TableBody"/>
              <w:jc w:val="center"/>
              <w:rPr>
                <w:rFonts w:eastAsiaTheme="minorEastAsia"/>
                <w:sz w:val="20"/>
                <w:szCs w:val="18"/>
                <w:lang w:val="en-US" w:eastAsia="ko-KR"/>
              </w:rPr>
            </w:pPr>
            <w:r w:rsidRPr="005C7611">
              <w:rPr>
                <w:rFonts w:eastAsiaTheme="minorEastAsia"/>
                <w:sz w:val="20"/>
                <w:szCs w:val="18"/>
                <w:lang w:val="en-US" w:eastAsia="ko-KR"/>
              </w:rPr>
              <w:t>3.64</w:t>
            </w:r>
          </w:p>
        </w:tc>
      </w:tr>
      <w:bookmarkEnd w:id="3"/>
    </w:tbl>
    <w:p w14:paraId="54818A7C" w14:textId="77777777" w:rsidR="002E3C98" w:rsidRPr="005C7611" w:rsidRDefault="002E3C98" w:rsidP="00AD50BA">
      <w:pPr>
        <w:rPr>
          <w:lang w:val="en-US"/>
        </w:rPr>
      </w:pPr>
    </w:p>
    <w:p w14:paraId="08AAA412" w14:textId="77777777" w:rsidR="005F2A22" w:rsidRPr="005C7611" w:rsidRDefault="005F2A22" w:rsidP="00AD50BA">
      <w:pPr>
        <w:rPr>
          <w:lang w:val="en-US"/>
        </w:rPr>
      </w:pPr>
    </w:p>
    <w:p w14:paraId="15650508" w14:textId="36470CB1" w:rsidR="002E3C98" w:rsidRPr="005C7611" w:rsidRDefault="00E55978" w:rsidP="00AD50BA">
      <w:pPr>
        <w:rPr>
          <w:lang w:val="en-US"/>
        </w:rPr>
      </w:pPr>
      <w:r w:rsidRPr="005C7611">
        <w:rPr>
          <w:b/>
          <w:lang w:val="en-US"/>
        </w:rPr>
        <w:t xml:space="preserve">Table 2. </w:t>
      </w:r>
      <w:r w:rsidRPr="005C7611">
        <w:rPr>
          <w:szCs w:val="28"/>
          <w:lang w:val="en-US"/>
        </w:rPr>
        <w:t xml:space="preserve">The PLQE values of rubrene or </w:t>
      </w:r>
      <w:proofErr w:type="spellStart"/>
      <w:r w:rsidRPr="005C7611">
        <w:rPr>
          <w:szCs w:val="28"/>
          <w:lang w:val="en-US"/>
        </w:rPr>
        <w:t>TBRb</w:t>
      </w:r>
      <w:proofErr w:type="spellEnd"/>
      <w:r w:rsidRPr="005C7611">
        <w:rPr>
          <w:szCs w:val="28"/>
          <w:lang w:val="en-US"/>
        </w:rPr>
        <w:t xml:space="preserve"> doped in CMA1, CMA4 and those diluted (at 20%) in </w:t>
      </w:r>
      <w:proofErr w:type="spellStart"/>
      <w:r w:rsidRPr="005C7611">
        <w:rPr>
          <w:szCs w:val="28"/>
          <w:lang w:val="en-US"/>
        </w:rPr>
        <w:t>mCP</w:t>
      </w:r>
      <w:proofErr w:type="spellEnd"/>
      <w:r w:rsidRPr="005C7611">
        <w:rPr>
          <w:szCs w:val="28"/>
          <w:lang w:val="en-US"/>
        </w:rPr>
        <w:t>.</w:t>
      </w:r>
    </w:p>
    <w:p w14:paraId="5F7ECA1D" w14:textId="77777777" w:rsidR="002E3C98" w:rsidRPr="005C7611" w:rsidRDefault="002E3C98" w:rsidP="00AD50BA">
      <w:pPr>
        <w:rPr>
          <w:lang w:val="en-US"/>
        </w:rPr>
      </w:pPr>
    </w:p>
    <w:tbl>
      <w:tblPr>
        <w:tblW w:w="9102" w:type="dxa"/>
        <w:tblLook w:val="01E0" w:firstRow="1" w:lastRow="1" w:firstColumn="1" w:lastColumn="1" w:noHBand="0" w:noVBand="0"/>
      </w:tblPr>
      <w:tblGrid>
        <w:gridCol w:w="1272"/>
        <w:gridCol w:w="798"/>
        <w:gridCol w:w="1172"/>
        <w:gridCol w:w="1172"/>
        <w:gridCol w:w="1172"/>
        <w:gridCol w:w="1172"/>
        <w:gridCol w:w="1172"/>
        <w:gridCol w:w="1172"/>
      </w:tblGrid>
      <w:tr w:rsidR="00E55978" w:rsidRPr="005C7611" w14:paraId="58E2C5F4" w14:textId="77777777" w:rsidTr="005F2A22">
        <w:trPr>
          <w:trHeight w:val="305"/>
        </w:trPr>
        <w:tc>
          <w:tcPr>
            <w:tcW w:w="1938" w:type="dxa"/>
            <w:gridSpan w:val="2"/>
            <w:tcBorders>
              <w:bottom w:val="single" w:sz="4" w:space="0" w:color="000000"/>
            </w:tcBorders>
            <w:shd w:val="clear" w:color="auto" w:fill="auto"/>
            <w:vAlign w:val="center"/>
          </w:tcPr>
          <w:p w14:paraId="1E1C9BF2" w14:textId="77777777" w:rsidR="00E55978" w:rsidRPr="005C7611" w:rsidRDefault="00E55978" w:rsidP="00E55978">
            <w:pPr>
              <w:pStyle w:val="TableHead"/>
              <w:jc w:val="center"/>
              <w:rPr>
                <w:sz w:val="20"/>
                <w:szCs w:val="18"/>
                <w:lang w:val="en-US"/>
              </w:rPr>
            </w:pPr>
          </w:p>
        </w:tc>
        <w:tc>
          <w:tcPr>
            <w:tcW w:w="3582" w:type="dxa"/>
            <w:gridSpan w:val="3"/>
            <w:tcBorders>
              <w:bottom w:val="single" w:sz="4" w:space="0" w:color="auto"/>
            </w:tcBorders>
            <w:shd w:val="clear" w:color="auto" w:fill="auto"/>
            <w:vAlign w:val="center"/>
          </w:tcPr>
          <w:p w14:paraId="4A974B7C" w14:textId="77777777" w:rsidR="00E55978" w:rsidRPr="005C7611" w:rsidRDefault="00E55978" w:rsidP="00E55978">
            <w:pPr>
              <w:pStyle w:val="TableHead"/>
              <w:jc w:val="center"/>
              <w:rPr>
                <w:rFonts w:eastAsiaTheme="minorEastAsia"/>
                <w:sz w:val="20"/>
                <w:szCs w:val="18"/>
                <w:lang w:val="en-US" w:eastAsia="ko-KR"/>
              </w:rPr>
            </w:pPr>
            <w:r w:rsidRPr="005C7611">
              <w:rPr>
                <w:rFonts w:eastAsiaTheme="minorEastAsia"/>
                <w:sz w:val="20"/>
                <w:szCs w:val="18"/>
                <w:lang w:val="en-US" w:eastAsia="ko-KR"/>
              </w:rPr>
              <w:t>Rubrene</w:t>
            </w:r>
          </w:p>
        </w:tc>
        <w:tc>
          <w:tcPr>
            <w:tcW w:w="3582" w:type="dxa"/>
            <w:gridSpan w:val="3"/>
            <w:tcBorders>
              <w:left w:val="nil"/>
              <w:bottom w:val="single" w:sz="4" w:space="0" w:color="auto"/>
            </w:tcBorders>
            <w:shd w:val="clear" w:color="auto" w:fill="auto"/>
            <w:vAlign w:val="center"/>
          </w:tcPr>
          <w:p w14:paraId="2937B335" w14:textId="77777777" w:rsidR="00E55978" w:rsidRPr="005C7611" w:rsidRDefault="00E55978" w:rsidP="00E55978">
            <w:pPr>
              <w:pStyle w:val="TableHead"/>
              <w:jc w:val="center"/>
              <w:rPr>
                <w:rFonts w:eastAsiaTheme="minorEastAsia"/>
                <w:sz w:val="20"/>
                <w:szCs w:val="18"/>
                <w:lang w:val="en-US" w:eastAsia="ko-KR"/>
              </w:rPr>
            </w:pPr>
            <w:proofErr w:type="spellStart"/>
            <w:r w:rsidRPr="005C7611">
              <w:rPr>
                <w:rFonts w:eastAsiaTheme="minorEastAsia"/>
                <w:sz w:val="20"/>
                <w:szCs w:val="18"/>
                <w:lang w:val="en-US" w:eastAsia="ko-KR"/>
              </w:rPr>
              <w:t>TBRb</w:t>
            </w:r>
            <w:proofErr w:type="spellEnd"/>
          </w:p>
        </w:tc>
      </w:tr>
      <w:tr w:rsidR="00E55978" w:rsidRPr="005C7611" w14:paraId="40D00A79" w14:textId="77777777" w:rsidTr="005F2A22">
        <w:trPr>
          <w:trHeight w:val="372"/>
        </w:trPr>
        <w:tc>
          <w:tcPr>
            <w:tcW w:w="1938" w:type="dxa"/>
            <w:gridSpan w:val="2"/>
            <w:tcBorders>
              <w:top w:val="single" w:sz="4" w:space="0" w:color="000000"/>
              <w:bottom w:val="single" w:sz="4" w:space="0" w:color="000000"/>
            </w:tcBorders>
            <w:shd w:val="clear" w:color="auto" w:fill="auto"/>
            <w:vAlign w:val="center"/>
          </w:tcPr>
          <w:p w14:paraId="0ED10958" w14:textId="77777777" w:rsidR="00E55978" w:rsidRPr="005C7611" w:rsidRDefault="00E55978" w:rsidP="00962F36">
            <w:pPr>
              <w:pStyle w:val="TableHead"/>
              <w:jc w:val="center"/>
              <w:rPr>
                <w:rFonts w:eastAsiaTheme="minorEastAsia"/>
                <w:sz w:val="20"/>
                <w:szCs w:val="18"/>
                <w:lang w:val="en-US" w:eastAsia="ko-KR"/>
              </w:rPr>
            </w:pPr>
            <w:r w:rsidRPr="005C7611">
              <w:rPr>
                <w:rFonts w:eastAsiaTheme="minorEastAsia"/>
                <w:sz w:val="20"/>
                <w:szCs w:val="18"/>
                <w:lang w:val="en-US" w:eastAsia="ko-KR"/>
              </w:rPr>
              <w:t>Doping (%)</w:t>
            </w:r>
          </w:p>
        </w:tc>
        <w:tc>
          <w:tcPr>
            <w:tcW w:w="1194" w:type="dxa"/>
            <w:tcBorders>
              <w:top w:val="single" w:sz="4" w:space="0" w:color="auto"/>
              <w:bottom w:val="single" w:sz="4" w:space="0" w:color="auto"/>
            </w:tcBorders>
            <w:shd w:val="clear" w:color="auto" w:fill="auto"/>
            <w:vAlign w:val="center"/>
          </w:tcPr>
          <w:p w14:paraId="0460376F" w14:textId="77777777" w:rsidR="00E55978" w:rsidRPr="005C7611" w:rsidRDefault="005F2A22" w:rsidP="00962F36">
            <w:pPr>
              <w:pStyle w:val="TableHead"/>
              <w:jc w:val="center"/>
              <w:rPr>
                <w:rFonts w:eastAsiaTheme="minorEastAsia"/>
                <w:sz w:val="20"/>
                <w:szCs w:val="18"/>
                <w:lang w:val="en-US" w:eastAsia="ko-KR"/>
              </w:rPr>
            </w:pPr>
            <w:r w:rsidRPr="005C7611">
              <w:rPr>
                <w:rFonts w:eastAsiaTheme="minorEastAsia"/>
                <w:sz w:val="20"/>
                <w:szCs w:val="18"/>
                <w:lang w:val="en-US" w:eastAsia="ko-KR"/>
              </w:rPr>
              <w:t>2</w:t>
            </w:r>
          </w:p>
        </w:tc>
        <w:tc>
          <w:tcPr>
            <w:tcW w:w="1194" w:type="dxa"/>
            <w:tcBorders>
              <w:top w:val="single" w:sz="4" w:space="0" w:color="auto"/>
              <w:bottom w:val="single" w:sz="4" w:space="0" w:color="auto"/>
            </w:tcBorders>
            <w:shd w:val="clear" w:color="auto" w:fill="auto"/>
            <w:vAlign w:val="center"/>
          </w:tcPr>
          <w:p w14:paraId="7A3B5538" w14:textId="77777777" w:rsidR="00E55978" w:rsidRPr="005C7611" w:rsidRDefault="005F2A22" w:rsidP="00962F36">
            <w:pPr>
              <w:pStyle w:val="TableHead"/>
              <w:jc w:val="center"/>
              <w:rPr>
                <w:rFonts w:eastAsiaTheme="minorEastAsia"/>
                <w:sz w:val="20"/>
                <w:szCs w:val="18"/>
                <w:lang w:val="en-US" w:eastAsia="ko-KR"/>
              </w:rPr>
            </w:pPr>
            <w:r w:rsidRPr="005C7611">
              <w:rPr>
                <w:rFonts w:eastAsiaTheme="minorEastAsia"/>
                <w:sz w:val="20"/>
                <w:szCs w:val="18"/>
                <w:lang w:val="en-US" w:eastAsia="ko-KR"/>
              </w:rPr>
              <w:t>4</w:t>
            </w:r>
          </w:p>
        </w:tc>
        <w:tc>
          <w:tcPr>
            <w:tcW w:w="1194" w:type="dxa"/>
            <w:tcBorders>
              <w:top w:val="single" w:sz="4" w:space="0" w:color="auto"/>
              <w:bottom w:val="single" w:sz="4" w:space="0" w:color="auto"/>
            </w:tcBorders>
            <w:shd w:val="clear" w:color="auto" w:fill="auto"/>
            <w:vAlign w:val="center"/>
          </w:tcPr>
          <w:p w14:paraId="51413283" w14:textId="77777777" w:rsidR="00E55978" w:rsidRPr="005C7611" w:rsidRDefault="005F2A22" w:rsidP="00962F36">
            <w:pPr>
              <w:pStyle w:val="TableHead"/>
              <w:jc w:val="center"/>
              <w:rPr>
                <w:rFonts w:eastAsiaTheme="minorEastAsia"/>
                <w:sz w:val="20"/>
                <w:szCs w:val="18"/>
                <w:lang w:val="en-US" w:eastAsia="ko-KR"/>
              </w:rPr>
            </w:pPr>
            <w:r w:rsidRPr="005C7611">
              <w:rPr>
                <w:rFonts w:eastAsiaTheme="minorEastAsia"/>
                <w:sz w:val="20"/>
                <w:szCs w:val="18"/>
                <w:lang w:val="en-US" w:eastAsia="ko-KR"/>
              </w:rPr>
              <w:t>10</w:t>
            </w:r>
          </w:p>
        </w:tc>
        <w:tc>
          <w:tcPr>
            <w:tcW w:w="1194" w:type="dxa"/>
            <w:tcBorders>
              <w:top w:val="single" w:sz="4" w:space="0" w:color="auto"/>
              <w:left w:val="nil"/>
              <w:bottom w:val="single" w:sz="4" w:space="0" w:color="auto"/>
            </w:tcBorders>
            <w:shd w:val="clear" w:color="auto" w:fill="auto"/>
            <w:vAlign w:val="center"/>
          </w:tcPr>
          <w:p w14:paraId="4D3BBE74" w14:textId="77777777" w:rsidR="00E55978" w:rsidRPr="005C7611" w:rsidRDefault="005F2A22" w:rsidP="00962F36">
            <w:pPr>
              <w:pStyle w:val="TableHead"/>
              <w:jc w:val="center"/>
              <w:rPr>
                <w:rFonts w:eastAsiaTheme="minorEastAsia"/>
                <w:sz w:val="20"/>
                <w:szCs w:val="18"/>
                <w:lang w:val="en-US" w:eastAsia="ko-KR"/>
              </w:rPr>
            </w:pPr>
            <w:r w:rsidRPr="005C7611">
              <w:rPr>
                <w:rFonts w:eastAsiaTheme="minorEastAsia"/>
                <w:sz w:val="20"/>
                <w:szCs w:val="18"/>
                <w:lang w:val="en-US" w:eastAsia="ko-KR"/>
              </w:rPr>
              <w:t>2</w:t>
            </w:r>
          </w:p>
        </w:tc>
        <w:tc>
          <w:tcPr>
            <w:tcW w:w="1194" w:type="dxa"/>
            <w:tcBorders>
              <w:top w:val="single" w:sz="4" w:space="0" w:color="auto"/>
              <w:bottom w:val="single" w:sz="4" w:space="0" w:color="auto"/>
            </w:tcBorders>
            <w:shd w:val="clear" w:color="auto" w:fill="auto"/>
            <w:vAlign w:val="center"/>
          </w:tcPr>
          <w:p w14:paraId="08065371" w14:textId="77777777" w:rsidR="00E55978" w:rsidRPr="005C7611" w:rsidRDefault="005F2A22" w:rsidP="00962F36">
            <w:pPr>
              <w:pStyle w:val="TableHead"/>
              <w:jc w:val="center"/>
              <w:rPr>
                <w:rFonts w:eastAsiaTheme="minorEastAsia"/>
                <w:sz w:val="20"/>
                <w:szCs w:val="18"/>
                <w:lang w:val="en-US" w:eastAsia="ko-KR"/>
              </w:rPr>
            </w:pPr>
            <w:r w:rsidRPr="005C7611">
              <w:rPr>
                <w:rFonts w:eastAsiaTheme="minorEastAsia"/>
                <w:sz w:val="20"/>
                <w:szCs w:val="18"/>
                <w:lang w:val="en-US" w:eastAsia="ko-KR"/>
              </w:rPr>
              <w:t>4</w:t>
            </w:r>
          </w:p>
        </w:tc>
        <w:tc>
          <w:tcPr>
            <w:tcW w:w="1194" w:type="dxa"/>
            <w:tcBorders>
              <w:top w:val="single" w:sz="4" w:space="0" w:color="auto"/>
              <w:bottom w:val="single" w:sz="4" w:space="0" w:color="auto"/>
            </w:tcBorders>
            <w:shd w:val="clear" w:color="auto" w:fill="auto"/>
            <w:vAlign w:val="center"/>
          </w:tcPr>
          <w:p w14:paraId="75BBCDB8" w14:textId="77777777" w:rsidR="00E55978" w:rsidRPr="005C7611" w:rsidRDefault="005F2A22" w:rsidP="00962F36">
            <w:pPr>
              <w:pStyle w:val="TableHead"/>
              <w:jc w:val="center"/>
              <w:rPr>
                <w:rFonts w:eastAsiaTheme="minorEastAsia"/>
                <w:sz w:val="20"/>
                <w:szCs w:val="18"/>
                <w:lang w:val="en-US" w:eastAsia="ko-KR"/>
              </w:rPr>
            </w:pPr>
            <w:r w:rsidRPr="005C7611">
              <w:rPr>
                <w:rFonts w:eastAsiaTheme="minorEastAsia"/>
                <w:sz w:val="20"/>
                <w:szCs w:val="18"/>
                <w:lang w:val="en-US" w:eastAsia="ko-KR"/>
              </w:rPr>
              <w:t>10</w:t>
            </w:r>
          </w:p>
        </w:tc>
      </w:tr>
      <w:tr w:rsidR="00E55978" w:rsidRPr="005C7611" w14:paraId="0ABE08F3" w14:textId="77777777" w:rsidTr="005F2A22">
        <w:trPr>
          <w:trHeight w:val="170"/>
        </w:trPr>
        <w:tc>
          <w:tcPr>
            <w:tcW w:w="1137" w:type="dxa"/>
            <w:tcBorders>
              <w:top w:val="single" w:sz="4" w:space="0" w:color="000000"/>
            </w:tcBorders>
            <w:shd w:val="clear" w:color="auto" w:fill="auto"/>
            <w:vAlign w:val="center"/>
          </w:tcPr>
          <w:p w14:paraId="082E9CE7" w14:textId="77777777" w:rsidR="00E55978" w:rsidRPr="005C7611" w:rsidRDefault="00E55978" w:rsidP="00962F36">
            <w:pPr>
              <w:pStyle w:val="TableBody"/>
              <w:jc w:val="center"/>
              <w:rPr>
                <w:sz w:val="20"/>
                <w:szCs w:val="18"/>
                <w:lang w:val="en-US"/>
              </w:rPr>
            </w:pPr>
            <w:r w:rsidRPr="005C7611">
              <w:rPr>
                <w:sz w:val="20"/>
                <w:szCs w:val="18"/>
                <w:lang w:val="en-US"/>
              </w:rPr>
              <w:t>CMA1</w:t>
            </w:r>
          </w:p>
        </w:tc>
        <w:tc>
          <w:tcPr>
            <w:tcW w:w="801" w:type="dxa"/>
            <w:vMerge w:val="restart"/>
            <w:tcBorders>
              <w:top w:val="single" w:sz="4" w:space="0" w:color="000000"/>
            </w:tcBorders>
            <w:shd w:val="clear" w:color="auto" w:fill="auto"/>
            <w:vAlign w:val="center"/>
          </w:tcPr>
          <w:p w14:paraId="7F45EE54" w14:textId="77777777" w:rsidR="00E55978" w:rsidRPr="005C7611" w:rsidRDefault="00E55978" w:rsidP="00962F36">
            <w:pPr>
              <w:pStyle w:val="TableBody"/>
              <w:jc w:val="center"/>
              <w:rPr>
                <w:rFonts w:eastAsiaTheme="minorEastAsia"/>
                <w:sz w:val="20"/>
                <w:szCs w:val="18"/>
                <w:lang w:val="en-US" w:eastAsia="ko-KR"/>
              </w:rPr>
            </w:pPr>
            <w:r w:rsidRPr="005C7611">
              <w:rPr>
                <w:rFonts w:eastAsiaTheme="minorEastAsia"/>
                <w:sz w:val="20"/>
                <w:szCs w:val="18"/>
                <w:lang w:val="en-US" w:eastAsia="ko-KR"/>
              </w:rPr>
              <w:t>PLQE (%)</w:t>
            </w:r>
          </w:p>
        </w:tc>
        <w:tc>
          <w:tcPr>
            <w:tcW w:w="1194" w:type="dxa"/>
            <w:tcBorders>
              <w:top w:val="single" w:sz="4" w:space="0" w:color="000000"/>
            </w:tcBorders>
            <w:shd w:val="clear" w:color="auto" w:fill="auto"/>
            <w:vAlign w:val="center"/>
          </w:tcPr>
          <w:p w14:paraId="38D5175C" w14:textId="77777777" w:rsidR="00E55978" w:rsidRPr="005C7611" w:rsidRDefault="005F2A22" w:rsidP="00962F36">
            <w:pPr>
              <w:pStyle w:val="TableBody"/>
              <w:jc w:val="center"/>
              <w:rPr>
                <w:rFonts w:eastAsiaTheme="minorEastAsia"/>
                <w:sz w:val="20"/>
                <w:szCs w:val="18"/>
                <w:lang w:val="en-US" w:eastAsia="ko-KR"/>
              </w:rPr>
            </w:pPr>
            <w:r w:rsidRPr="005C7611">
              <w:rPr>
                <w:rFonts w:eastAsiaTheme="minorEastAsia"/>
                <w:sz w:val="20"/>
                <w:szCs w:val="18"/>
                <w:lang w:val="en-US" w:eastAsia="ko-KR"/>
              </w:rPr>
              <w:t>38</w:t>
            </w:r>
          </w:p>
        </w:tc>
        <w:tc>
          <w:tcPr>
            <w:tcW w:w="1194" w:type="dxa"/>
            <w:tcBorders>
              <w:top w:val="single" w:sz="4" w:space="0" w:color="000000"/>
            </w:tcBorders>
            <w:shd w:val="clear" w:color="auto" w:fill="auto"/>
            <w:vAlign w:val="center"/>
          </w:tcPr>
          <w:p w14:paraId="61EDEE39" w14:textId="77777777" w:rsidR="00E55978" w:rsidRPr="005C7611" w:rsidRDefault="005F2A22" w:rsidP="00962F36">
            <w:pPr>
              <w:pStyle w:val="TableBody"/>
              <w:jc w:val="center"/>
              <w:rPr>
                <w:rFonts w:eastAsiaTheme="minorEastAsia"/>
                <w:sz w:val="20"/>
                <w:szCs w:val="18"/>
                <w:lang w:val="en-US" w:eastAsia="ko-KR"/>
              </w:rPr>
            </w:pPr>
            <w:r w:rsidRPr="005C7611">
              <w:rPr>
                <w:rFonts w:eastAsiaTheme="minorEastAsia"/>
                <w:sz w:val="20"/>
                <w:szCs w:val="18"/>
                <w:lang w:val="en-US" w:eastAsia="ko-KR"/>
              </w:rPr>
              <w:t>25</w:t>
            </w:r>
          </w:p>
        </w:tc>
        <w:tc>
          <w:tcPr>
            <w:tcW w:w="1194" w:type="dxa"/>
            <w:tcBorders>
              <w:top w:val="single" w:sz="4" w:space="0" w:color="000000"/>
            </w:tcBorders>
            <w:shd w:val="clear" w:color="auto" w:fill="auto"/>
            <w:vAlign w:val="center"/>
          </w:tcPr>
          <w:p w14:paraId="7FD8FDAF" w14:textId="77777777" w:rsidR="00E55978" w:rsidRPr="005C7611" w:rsidRDefault="005F2A22" w:rsidP="00962F36">
            <w:pPr>
              <w:pStyle w:val="TableBody"/>
              <w:jc w:val="center"/>
              <w:rPr>
                <w:rFonts w:eastAsiaTheme="minorEastAsia"/>
                <w:sz w:val="20"/>
                <w:szCs w:val="18"/>
                <w:lang w:val="en-US" w:eastAsia="ko-KR"/>
              </w:rPr>
            </w:pPr>
            <w:r w:rsidRPr="005C7611">
              <w:rPr>
                <w:rFonts w:eastAsiaTheme="minorEastAsia"/>
                <w:sz w:val="20"/>
                <w:szCs w:val="18"/>
                <w:lang w:val="en-US" w:eastAsia="ko-KR"/>
              </w:rPr>
              <w:t>8</w:t>
            </w:r>
          </w:p>
        </w:tc>
        <w:tc>
          <w:tcPr>
            <w:tcW w:w="1194" w:type="dxa"/>
            <w:tcBorders>
              <w:top w:val="single" w:sz="4" w:space="0" w:color="000000"/>
              <w:left w:val="nil"/>
            </w:tcBorders>
            <w:shd w:val="clear" w:color="auto" w:fill="auto"/>
            <w:vAlign w:val="center"/>
          </w:tcPr>
          <w:p w14:paraId="428921E1" w14:textId="77777777" w:rsidR="00E55978" w:rsidRPr="005C7611" w:rsidRDefault="005F2A22" w:rsidP="00962F36">
            <w:pPr>
              <w:pStyle w:val="TableBody"/>
              <w:jc w:val="center"/>
              <w:rPr>
                <w:rFonts w:eastAsiaTheme="minorEastAsia"/>
                <w:sz w:val="20"/>
                <w:szCs w:val="18"/>
                <w:lang w:val="en-US" w:eastAsia="ko-KR"/>
              </w:rPr>
            </w:pPr>
            <w:r w:rsidRPr="005C7611">
              <w:rPr>
                <w:rFonts w:eastAsiaTheme="minorEastAsia"/>
                <w:sz w:val="20"/>
                <w:szCs w:val="18"/>
                <w:lang w:val="en-US" w:eastAsia="ko-KR"/>
              </w:rPr>
              <w:t>57</w:t>
            </w:r>
          </w:p>
        </w:tc>
        <w:tc>
          <w:tcPr>
            <w:tcW w:w="1194" w:type="dxa"/>
            <w:tcBorders>
              <w:top w:val="single" w:sz="4" w:space="0" w:color="000000"/>
            </w:tcBorders>
            <w:shd w:val="clear" w:color="auto" w:fill="auto"/>
            <w:vAlign w:val="center"/>
          </w:tcPr>
          <w:p w14:paraId="21E57F98" w14:textId="77777777" w:rsidR="00E55978" w:rsidRPr="005C7611" w:rsidRDefault="005F2A22" w:rsidP="00962F36">
            <w:pPr>
              <w:pStyle w:val="TableBody"/>
              <w:jc w:val="center"/>
              <w:rPr>
                <w:rFonts w:eastAsiaTheme="minorEastAsia"/>
                <w:sz w:val="20"/>
                <w:szCs w:val="18"/>
                <w:lang w:val="en-US" w:eastAsia="ko-KR"/>
              </w:rPr>
            </w:pPr>
            <w:r w:rsidRPr="005C7611">
              <w:rPr>
                <w:rFonts w:eastAsiaTheme="minorEastAsia"/>
                <w:sz w:val="20"/>
                <w:szCs w:val="18"/>
                <w:lang w:val="en-US" w:eastAsia="ko-KR"/>
              </w:rPr>
              <w:t>37</w:t>
            </w:r>
          </w:p>
        </w:tc>
        <w:tc>
          <w:tcPr>
            <w:tcW w:w="1194" w:type="dxa"/>
            <w:tcBorders>
              <w:top w:val="single" w:sz="4" w:space="0" w:color="000000"/>
            </w:tcBorders>
            <w:shd w:val="clear" w:color="auto" w:fill="auto"/>
            <w:vAlign w:val="center"/>
          </w:tcPr>
          <w:p w14:paraId="7C5CAF4D" w14:textId="77777777" w:rsidR="00E55978" w:rsidRPr="005C7611" w:rsidRDefault="005F2A22" w:rsidP="00962F36">
            <w:pPr>
              <w:pStyle w:val="TableBody"/>
              <w:jc w:val="center"/>
              <w:rPr>
                <w:rFonts w:eastAsiaTheme="minorEastAsia"/>
                <w:sz w:val="20"/>
                <w:szCs w:val="18"/>
                <w:lang w:val="en-US" w:eastAsia="ko-KR"/>
              </w:rPr>
            </w:pPr>
            <w:r w:rsidRPr="005C7611">
              <w:rPr>
                <w:rFonts w:eastAsiaTheme="minorEastAsia"/>
                <w:sz w:val="20"/>
                <w:szCs w:val="18"/>
                <w:lang w:val="en-US" w:eastAsia="ko-KR"/>
              </w:rPr>
              <w:t>24</w:t>
            </w:r>
          </w:p>
        </w:tc>
      </w:tr>
      <w:tr w:rsidR="00E55978" w:rsidRPr="005C7611" w14:paraId="04E5CBFF" w14:textId="77777777" w:rsidTr="005F2A22">
        <w:trPr>
          <w:trHeight w:val="168"/>
        </w:trPr>
        <w:tc>
          <w:tcPr>
            <w:tcW w:w="1137" w:type="dxa"/>
            <w:shd w:val="clear" w:color="auto" w:fill="auto"/>
            <w:vAlign w:val="center"/>
          </w:tcPr>
          <w:p w14:paraId="3769FC03" w14:textId="77777777" w:rsidR="00E55978" w:rsidRPr="005C7611" w:rsidRDefault="00E55978" w:rsidP="00962F36">
            <w:pPr>
              <w:pStyle w:val="TableBody"/>
              <w:jc w:val="center"/>
              <w:rPr>
                <w:rFonts w:eastAsiaTheme="minorEastAsia"/>
                <w:sz w:val="20"/>
                <w:szCs w:val="18"/>
                <w:lang w:val="en-US" w:eastAsia="ko-KR"/>
              </w:rPr>
            </w:pPr>
            <w:r w:rsidRPr="005C7611">
              <w:rPr>
                <w:rFonts w:eastAsiaTheme="minorEastAsia"/>
                <w:sz w:val="20"/>
                <w:szCs w:val="18"/>
                <w:lang w:val="en-US" w:eastAsia="ko-KR"/>
              </w:rPr>
              <w:t>CMA4</w:t>
            </w:r>
          </w:p>
        </w:tc>
        <w:tc>
          <w:tcPr>
            <w:tcW w:w="801" w:type="dxa"/>
            <w:vMerge/>
            <w:shd w:val="clear" w:color="auto" w:fill="auto"/>
            <w:vAlign w:val="center"/>
          </w:tcPr>
          <w:p w14:paraId="77F5DF98" w14:textId="77777777" w:rsidR="00E55978" w:rsidRPr="005C7611" w:rsidRDefault="00E55978" w:rsidP="00962F36">
            <w:pPr>
              <w:pStyle w:val="TableBody"/>
              <w:jc w:val="center"/>
              <w:rPr>
                <w:sz w:val="20"/>
                <w:szCs w:val="18"/>
                <w:lang w:val="en-US"/>
              </w:rPr>
            </w:pPr>
          </w:p>
        </w:tc>
        <w:tc>
          <w:tcPr>
            <w:tcW w:w="1194" w:type="dxa"/>
            <w:shd w:val="clear" w:color="auto" w:fill="auto"/>
            <w:vAlign w:val="center"/>
          </w:tcPr>
          <w:p w14:paraId="2E8FC8A0" w14:textId="77777777" w:rsidR="00E55978" w:rsidRPr="005C7611" w:rsidRDefault="005F2A22" w:rsidP="00962F36">
            <w:pPr>
              <w:pStyle w:val="TableBody"/>
              <w:jc w:val="center"/>
              <w:rPr>
                <w:rFonts w:eastAsiaTheme="minorEastAsia"/>
                <w:sz w:val="20"/>
                <w:szCs w:val="18"/>
                <w:lang w:val="en-US" w:eastAsia="ko-KR"/>
              </w:rPr>
            </w:pPr>
            <w:r w:rsidRPr="005C7611">
              <w:rPr>
                <w:rFonts w:eastAsiaTheme="minorEastAsia"/>
                <w:sz w:val="20"/>
                <w:szCs w:val="18"/>
                <w:lang w:val="en-US" w:eastAsia="ko-KR"/>
              </w:rPr>
              <w:t>34</w:t>
            </w:r>
          </w:p>
        </w:tc>
        <w:tc>
          <w:tcPr>
            <w:tcW w:w="1194" w:type="dxa"/>
            <w:shd w:val="clear" w:color="auto" w:fill="auto"/>
            <w:vAlign w:val="center"/>
          </w:tcPr>
          <w:p w14:paraId="5D106615" w14:textId="77777777" w:rsidR="00E55978" w:rsidRPr="005C7611" w:rsidRDefault="005F2A22" w:rsidP="00962F36">
            <w:pPr>
              <w:pStyle w:val="TableBody"/>
              <w:jc w:val="center"/>
              <w:rPr>
                <w:rFonts w:eastAsiaTheme="minorEastAsia"/>
                <w:sz w:val="20"/>
                <w:szCs w:val="18"/>
                <w:lang w:val="en-US" w:eastAsia="ko-KR"/>
              </w:rPr>
            </w:pPr>
            <w:r w:rsidRPr="005C7611">
              <w:rPr>
                <w:rFonts w:eastAsiaTheme="minorEastAsia"/>
                <w:sz w:val="20"/>
                <w:szCs w:val="18"/>
                <w:lang w:val="en-US" w:eastAsia="ko-KR"/>
              </w:rPr>
              <w:t>19</w:t>
            </w:r>
          </w:p>
        </w:tc>
        <w:tc>
          <w:tcPr>
            <w:tcW w:w="1194" w:type="dxa"/>
            <w:shd w:val="clear" w:color="auto" w:fill="auto"/>
            <w:vAlign w:val="center"/>
          </w:tcPr>
          <w:p w14:paraId="59292A2A" w14:textId="77777777" w:rsidR="00E55978" w:rsidRPr="005C7611" w:rsidRDefault="005F2A22" w:rsidP="00962F36">
            <w:pPr>
              <w:pStyle w:val="TableBody"/>
              <w:jc w:val="center"/>
              <w:rPr>
                <w:rFonts w:eastAsiaTheme="minorEastAsia"/>
                <w:sz w:val="20"/>
                <w:szCs w:val="18"/>
                <w:lang w:val="en-US" w:eastAsia="ko-KR"/>
              </w:rPr>
            </w:pPr>
            <w:r w:rsidRPr="005C7611">
              <w:rPr>
                <w:rFonts w:eastAsiaTheme="minorEastAsia"/>
                <w:sz w:val="20"/>
                <w:szCs w:val="18"/>
                <w:lang w:val="en-US" w:eastAsia="ko-KR"/>
              </w:rPr>
              <w:t>8</w:t>
            </w:r>
          </w:p>
        </w:tc>
        <w:tc>
          <w:tcPr>
            <w:tcW w:w="1194" w:type="dxa"/>
            <w:tcBorders>
              <w:left w:val="nil"/>
            </w:tcBorders>
            <w:shd w:val="clear" w:color="auto" w:fill="auto"/>
            <w:vAlign w:val="center"/>
          </w:tcPr>
          <w:p w14:paraId="1B4374BD" w14:textId="77777777" w:rsidR="00E55978" w:rsidRPr="005C7611" w:rsidRDefault="005F2A22" w:rsidP="00962F36">
            <w:pPr>
              <w:pStyle w:val="TableBody"/>
              <w:jc w:val="center"/>
              <w:rPr>
                <w:rFonts w:eastAsiaTheme="minorEastAsia"/>
                <w:sz w:val="20"/>
                <w:szCs w:val="18"/>
                <w:lang w:val="en-US" w:eastAsia="ko-KR"/>
              </w:rPr>
            </w:pPr>
            <w:r w:rsidRPr="005C7611">
              <w:rPr>
                <w:rFonts w:eastAsiaTheme="minorEastAsia"/>
                <w:sz w:val="20"/>
                <w:szCs w:val="18"/>
                <w:lang w:val="en-US" w:eastAsia="ko-KR"/>
              </w:rPr>
              <w:t>45</w:t>
            </w:r>
          </w:p>
        </w:tc>
        <w:tc>
          <w:tcPr>
            <w:tcW w:w="1194" w:type="dxa"/>
            <w:shd w:val="clear" w:color="auto" w:fill="auto"/>
            <w:vAlign w:val="center"/>
          </w:tcPr>
          <w:p w14:paraId="05E22438" w14:textId="77777777" w:rsidR="00E55978" w:rsidRPr="005C7611" w:rsidRDefault="005F2A22" w:rsidP="00962F36">
            <w:pPr>
              <w:pStyle w:val="TableBody"/>
              <w:jc w:val="center"/>
              <w:rPr>
                <w:rFonts w:eastAsiaTheme="minorEastAsia"/>
                <w:sz w:val="20"/>
                <w:szCs w:val="18"/>
                <w:lang w:val="en-US" w:eastAsia="ko-KR"/>
              </w:rPr>
            </w:pPr>
            <w:r w:rsidRPr="005C7611">
              <w:rPr>
                <w:rFonts w:eastAsiaTheme="minorEastAsia"/>
                <w:sz w:val="20"/>
                <w:szCs w:val="18"/>
                <w:lang w:val="en-US" w:eastAsia="ko-KR"/>
              </w:rPr>
              <w:t>50</w:t>
            </w:r>
          </w:p>
        </w:tc>
        <w:tc>
          <w:tcPr>
            <w:tcW w:w="1194" w:type="dxa"/>
            <w:shd w:val="clear" w:color="auto" w:fill="auto"/>
            <w:vAlign w:val="center"/>
          </w:tcPr>
          <w:p w14:paraId="4F943C9A" w14:textId="77777777" w:rsidR="00E55978" w:rsidRPr="005C7611" w:rsidRDefault="005F2A22" w:rsidP="00962F36">
            <w:pPr>
              <w:pStyle w:val="TableBody"/>
              <w:jc w:val="center"/>
              <w:rPr>
                <w:rFonts w:eastAsiaTheme="minorEastAsia"/>
                <w:sz w:val="20"/>
                <w:szCs w:val="18"/>
                <w:lang w:val="en-US" w:eastAsia="ko-KR"/>
              </w:rPr>
            </w:pPr>
            <w:r w:rsidRPr="005C7611">
              <w:rPr>
                <w:rFonts w:eastAsiaTheme="minorEastAsia"/>
                <w:sz w:val="20"/>
                <w:szCs w:val="18"/>
                <w:lang w:val="en-US" w:eastAsia="ko-KR"/>
              </w:rPr>
              <w:t>40</w:t>
            </w:r>
          </w:p>
        </w:tc>
      </w:tr>
      <w:tr w:rsidR="00E55978" w:rsidRPr="005C7611" w14:paraId="5E05BE53" w14:textId="77777777" w:rsidTr="005F2A22">
        <w:trPr>
          <w:trHeight w:val="168"/>
        </w:trPr>
        <w:tc>
          <w:tcPr>
            <w:tcW w:w="1137" w:type="dxa"/>
            <w:shd w:val="clear" w:color="auto" w:fill="auto"/>
            <w:vAlign w:val="center"/>
          </w:tcPr>
          <w:p w14:paraId="7ECFA643" w14:textId="77777777" w:rsidR="00E55978" w:rsidRPr="005C7611" w:rsidRDefault="00E55978" w:rsidP="00962F36">
            <w:pPr>
              <w:pStyle w:val="TableBody"/>
              <w:jc w:val="center"/>
              <w:rPr>
                <w:rFonts w:eastAsiaTheme="minorEastAsia"/>
                <w:sz w:val="20"/>
                <w:szCs w:val="18"/>
                <w:lang w:val="en-US" w:eastAsia="ko-KR"/>
              </w:rPr>
            </w:pPr>
            <w:proofErr w:type="gramStart"/>
            <w:r w:rsidRPr="005C7611">
              <w:rPr>
                <w:rFonts w:eastAsiaTheme="minorEastAsia"/>
                <w:sz w:val="20"/>
                <w:szCs w:val="18"/>
                <w:lang w:val="en-US" w:eastAsia="ko-KR"/>
              </w:rPr>
              <w:t>mCP:CMA</w:t>
            </w:r>
            <w:proofErr w:type="gramEnd"/>
            <w:r w:rsidRPr="005C7611">
              <w:rPr>
                <w:rFonts w:eastAsiaTheme="minorEastAsia"/>
                <w:sz w:val="20"/>
                <w:szCs w:val="18"/>
                <w:lang w:val="en-US" w:eastAsia="ko-KR"/>
              </w:rPr>
              <w:t>1</w:t>
            </w:r>
          </w:p>
        </w:tc>
        <w:tc>
          <w:tcPr>
            <w:tcW w:w="801" w:type="dxa"/>
            <w:vMerge/>
            <w:shd w:val="clear" w:color="auto" w:fill="auto"/>
            <w:vAlign w:val="center"/>
          </w:tcPr>
          <w:p w14:paraId="7F2A541E" w14:textId="77777777" w:rsidR="00E55978" w:rsidRPr="005C7611" w:rsidRDefault="00E55978" w:rsidP="00962F36">
            <w:pPr>
              <w:pStyle w:val="TableBody"/>
              <w:jc w:val="center"/>
              <w:rPr>
                <w:sz w:val="20"/>
                <w:szCs w:val="18"/>
                <w:lang w:val="en-US"/>
              </w:rPr>
            </w:pPr>
          </w:p>
        </w:tc>
        <w:tc>
          <w:tcPr>
            <w:tcW w:w="1194" w:type="dxa"/>
            <w:shd w:val="clear" w:color="auto" w:fill="auto"/>
            <w:vAlign w:val="center"/>
          </w:tcPr>
          <w:p w14:paraId="15EA05CD" w14:textId="77777777" w:rsidR="00E55978" w:rsidRPr="005C7611" w:rsidRDefault="005F2A22" w:rsidP="00962F36">
            <w:pPr>
              <w:pStyle w:val="TableBody"/>
              <w:jc w:val="center"/>
              <w:rPr>
                <w:rFonts w:eastAsiaTheme="minorEastAsia"/>
                <w:sz w:val="20"/>
                <w:szCs w:val="18"/>
                <w:lang w:val="en-US" w:eastAsia="ko-KR"/>
              </w:rPr>
            </w:pPr>
            <w:r w:rsidRPr="005C7611">
              <w:rPr>
                <w:rFonts w:eastAsiaTheme="minorEastAsia"/>
                <w:sz w:val="20"/>
                <w:szCs w:val="18"/>
                <w:lang w:val="en-US" w:eastAsia="ko-KR"/>
              </w:rPr>
              <w:t>78</w:t>
            </w:r>
          </w:p>
        </w:tc>
        <w:tc>
          <w:tcPr>
            <w:tcW w:w="1194" w:type="dxa"/>
            <w:shd w:val="clear" w:color="auto" w:fill="auto"/>
            <w:vAlign w:val="center"/>
          </w:tcPr>
          <w:p w14:paraId="4DED4989" w14:textId="77777777" w:rsidR="00E55978" w:rsidRPr="005C7611" w:rsidRDefault="005F2A22" w:rsidP="00962F36">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1194" w:type="dxa"/>
            <w:shd w:val="clear" w:color="auto" w:fill="auto"/>
            <w:vAlign w:val="center"/>
          </w:tcPr>
          <w:p w14:paraId="232AF239" w14:textId="77777777" w:rsidR="00E55978" w:rsidRPr="005C7611" w:rsidRDefault="005F2A22" w:rsidP="00962F36">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1194" w:type="dxa"/>
            <w:tcBorders>
              <w:left w:val="nil"/>
            </w:tcBorders>
            <w:shd w:val="clear" w:color="auto" w:fill="auto"/>
            <w:vAlign w:val="center"/>
          </w:tcPr>
          <w:p w14:paraId="419B4C4C" w14:textId="77777777" w:rsidR="00E55978" w:rsidRPr="005C7611" w:rsidRDefault="005F2A22" w:rsidP="00962F36">
            <w:pPr>
              <w:pStyle w:val="TableBody"/>
              <w:jc w:val="center"/>
              <w:rPr>
                <w:rFonts w:eastAsiaTheme="minorEastAsia"/>
                <w:sz w:val="20"/>
                <w:szCs w:val="18"/>
                <w:lang w:val="en-US" w:eastAsia="ko-KR"/>
              </w:rPr>
            </w:pPr>
            <w:r w:rsidRPr="005C7611">
              <w:rPr>
                <w:rFonts w:eastAsiaTheme="minorEastAsia"/>
                <w:sz w:val="20"/>
                <w:szCs w:val="18"/>
                <w:lang w:val="en-US" w:eastAsia="ko-KR"/>
              </w:rPr>
              <w:t>74</w:t>
            </w:r>
          </w:p>
        </w:tc>
        <w:tc>
          <w:tcPr>
            <w:tcW w:w="1194" w:type="dxa"/>
            <w:shd w:val="clear" w:color="auto" w:fill="auto"/>
            <w:vAlign w:val="center"/>
          </w:tcPr>
          <w:p w14:paraId="7DCAE668" w14:textId="77777777" w:rsidR="00E55978" w:rsidRPr="005C7611" w:rsidRDefault="005F2A22" w:rsidP="00962F36">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1194" w:type="dxa"/>
            <w:shd w:val="clear" w:color="auto" w:fill="auto"/>
            <w:vAlign w:val="center"/>
          </w:tcPr>
          <w:p w14:paraId="6BF62C13" w14:textId="77777777" w:rsidR="00E55978" w:rsidRPr="005C7611" w:rsidRDefault="005F2A22" w:rsidP="00962F36">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r>
      <w:tr w:rsidR="00E55978" w:rsidRPr="005C7611" w14:paraId="6CD233C8" w14:textId="77777777" w:rsidTr="005F2A22">
        <w:trPr>
          <w:trHeight w:val="168"/>
        </w:trPr>
        <w:tc>
          <w:tcPr>
            <w:tcW w:w="1137" w:type="dxa"/>
            <w:shd w:val="clear" w:color="auto" w:fill="auto"/>
            <w:vAlign w:val="center"/>
          </w:tcPr>
          <w:p w14:paraId="1D6365DF" w14:textId="77777777" w:rsidR="00E55978" w:rsidRPr="005C7611" w:rsidRDefault="00E55978" w:rsidP="00962F36">
            <w:pPr>
              <w:pStyle w:val="TableBody"/>
              <w:jc w:val="center"/>
              <w:rPr>
                <w:rFonts w:eastAsiaTheme="minorEastAsia"/>
                <w:sz w:val="20"/>
                <w:szCs w:val="18"/>
                <w:lang w:val="en-US" w:eastAsia="ko-KR"/>
              </w:rPr>
            </w:pPr>
            <w:proofErr w:type="gramStart"/>
            <w:r w:rsidRPr="005C7611">
              <w:rPr>
                <w:rFonts w:eastAsiaTheme="minorEastAsia"/>
                <w:sz w:val="20"/>
                <w:szCs w:val="18"/>
                <w:lang w:val="en-US" w:eastAsia="ko-KR"/>
              </w:rPr>
              <w:t>mCP:CMA</w:t>
            </w:r>
            <w:proofErr w:type="gramEnd"/>
            <w:r w:rsidRPr="005C7611">
              <w:rPr>
                <w:rFonts w:eastAsiaTheme="minorEastAsia"/>
                <w:sz w:val="20"/>
                <w:szCs w:val="18"/>
                <w:lang w:val="en-US" w:eastAsia="ko-KR"/>
              </w:rPr>
              <w:t>4</w:t>
            </w:r>
          </w:p>
        </w:tc>
        <w:tc>
          <w:tcPr>
            <w:tcW w:w="801" w:type="dxa"/>
            <w:vMerge/>
            <w:shd w:val="clear" w:color="auto" w:fill="auto"/>
            <w:vAlign w:val="center"/>
          </w:tcPr>
          <w:p w14:paraId="0947EF30" w14:textId="77777777" w:rsidR="00E55978" w:rsidRPr="005C7611" w:rsidRDefault="00E55978" w:rsidP="00962F36">
            <w:pPr>
              <w:pStyle w:val="TableBody"/>
              <w:jc w:val="center"/>
              <w:rPr>
                <w:sz w:val="20"/>
                <w:szCs w:val="18"/>
                <w:lang w:val="en-US"/>
              </w:rPr>
            </w:pPr>
          </w:p>
        </w:tc>
        <w:tc>
          <w:tcPr>
            <w:tcW w:w="1194" w:type="dxa"/>
            <w:shd w:val="clear" w:color="auto" w:fill="auto"/>
            <w:vAlign w:val="center"/>
          </w:tcPr>
          <w:p w14:paraId="27AFA961" w14:textId="77777777" w:rsidR="00E55978" w:rsidRPr="005C7611" w:rsidRDefault="005F2A22" w:rsidP="00962F36">
            <w:pPr>
              <w:pStyle w:val="TableBody"/>
              <w:jc w:val="center"/>
              <w:rPr>
                <w:rFonts w:eastAsiaTheme="minorEastAsia"/>
                <w:sz w:val="20"/>
                <w:szCs w:val="18"/>
                <w:lang w:val="en-US" w:eastAsia="ko-KR"/>
              </w:rPr>
            </w:pPr>
            <w:r w:rsidRPr="005C7611">
              <w:rPr>
                <w:rFonts w:eastAsiaTheme="minorEastAsia"/>
                <w:sz w:val="20"/>
                <w:szCs w:val="18"/>
                <w:lang w:val="en-US" w:eastAsia="ko-KR"/>
              </w:rPr>
              <w:t>67</w:t>
            </w:r>
          </w:p>
        </w:tc>
        <w:tc>
          <w:tcPr>
            <w:tcW w:w="1194" w:type="dxa"/>
            <w:shd w:val="clear" w:color="auto" w:fill="auto"/>
            <w:vAlign w:val="center"/>
          </w:tcPr>
          <w:p w14:paraId="1901B6C6" w14:textId="77777777" w:rsidR="00E55978" w:rsidRPr="005C7611" w:rsidRDefault="005F2A22" w:rsidP="00962F36">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1194" w:type="dxa"/>
            <w:shd w:val="clear" w:color="auto" w:fill="auto"/>
            <w:vAlign w:val="center"/>
          </w:tcPr>
          <w:p w14:paraId="71CD76CF" w14:textId="77777777" w:rsidR="00E55978" w:rsidRPr="005C7611" w:rsidRDefault="005F2A22" w:rsidP="00962F36">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1194" w:type="dxa"/>
            <w:tcBorders>
              <w:left w:val="nil"/>
            </w:tcBorders>
            <w:shd w:val="clear" w:color="auto" w:fill="auto"/>
            <w:vAlign w:val="center"/>
          </w:tcPr>
          <w:p w14:paraId="7253DBD5" w14:textId="77777777" w:rsidR="00E55978" w:rsidRPr="005C7611" w:rsidRDefault="005F2A22" w:rsidP="00962F36">
            <w:pPr>
              <w:pStyle w:val="TableBody"/>
              <w:jc w:val="center"/>
              <w:rPr>
                <w:rFonts w:eastAsiaTheme="minorEastAsia"/>
                <w:sz w:val="20"/>
                <w:szCs w:val="18"/>
                <w:lang w:val="en-US" w:eastAsia="ko-KR"/>
              </w:rPr>
            </w:pPr>
            <w:r w:rsidRPr="005C7611">
              <w:rPr>
                <w:rFonts w:eastAsiaTheme="minorEastAsia"/>
                <w:sz w:val="20"/>
                <w:szCs w:val="18"/>
                <w:lang w:val="en-US" w:eastAsia="ko-KR"/>
              </w:rPr>
              <w:t>73</w:t>
            </w:r>
          </w:p>
        </w:tc>
        <w:tc>
          <w:tcPr>
            <w:tcW w:w="1194" w:type="dxa"/>
            <w:shd w:val="clear" w:color="auto" w:fill="auto"/>
            <w:vAlign w:val="center"/>
          </w:tcPr>
          <w:p w14:paraId="1625654E" w14:textId="77777777" w:rsidR="00E55978" w:rsidRPr="005C7611" w:rsidRDefault="005F2A22" w:rsidP="00962F36">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1194" w:type="dxa"/>
            <w:shd w:val="clear" w:color="auto" w:fill="auto"/>
            <w:vAlign w:val="center"/>
          </w:tcPr>
          <w:p w14:paraId="33AC1C9B" w14:textId="77777777" w:rsidR="00E55978" w:rsidRPr="005C7611" w:rsidRDefault="005F2A22" w:rsidP="00962F36">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r>
    </w:tbl>
    <w:p w14:paraId="571978D0" w14:textId="77777777" w:rsidR="002E3C98" w:rsidRPr="005C7611" w:rsidRDefault="002E3C98" w:rsidP="002E3C98">
      <w:pPr>
        <w:pStyle w:val="Legend"/>
        <w:rPr>
          <w:szCs w:val="28"/>
        </w:rPr>
      </w:pPr>
      <w:r w:rsidRPr="005C7611">
        <w:rPr>
          <w:b/>
        </w:rPr>
        <w:lastRenderedPageBreak/>
        <w:t xml:space="preserve">Table </w:t>
      </w:r>
      <w:r w:rsidR="00E55978" w:rsidRPr="005C7611">
        <w:rPr>
          <w:b/>
        </w:rPr>
        <w:t>3</w:t>
      </w:r>
      <w:r w:rsidRPr="005C7611">
        <w:rPr>
          <w:b/>
        </w:rPr>
        <w:t xml:space="preserve">. </w:t>
      </w:r>
      <w:r w:rsidR="00922430" w:rsidRPr="005C7611">
        <w:t>Summary of the performance for the hyperfluorescent OLED devices.</w:t>
      </w:r>
    </w:p>
    <w:p w14:paraId="073CB8D4" w14:textId="77777777" w:rsidR="002E3C98" w:rsidRPr="005C7611" w:rsidRDefault="002E3C98" w:rsidP="002E3C98">
      <w:pPr>
        <w:pStyle w:val="Legend"/>
      </w:pPr>
    </w:p>
    <w:tbl>
      <w:tblPr>
        <w:tblW w:w="9072" w:type="dxa"/>
        <w:tblCellMar>
          <w:left w:w="0" w:type="dxa"/>
          <w:right w:w="0" w:type="dxa"/>
        </w:tblCellMar>
        <w:tblLook w:val="01E0" w:firstRow="1" w:lastRow="1" w:firstColumn="1" w:lastColumn="1" w:noHBand="0" w:noVBand="0"/>
      </w:tblPr>
      <w:tblGrid>
        <w:gridCol w:w="1219"/>
        <w:gridCol w:w="800"/>
        <w:gridCol w:w="630"/>
        <w:gridCol w:w="744"/>
        <w:gridCol w:w="962"/>
        <w:gridCol w:w="1065"/>
        <w:gridCol w:w="1208"/>
        <w:gridCol w:w="1026"/>
        <w:gridCol w:w="1418"/>
      </w:tblGrid>
      <w:tr w:rsidR="00947B2F" w:rsidRPr="005C7611" w14:paraId="71B89C20" w14:textId="77777777" w:rsidTr="00B935AB">
        <w:trPr>
          <w:trHeight w:val="313"/>
        </w:trPr>
        <w:tc>
          <w:tcPr>
            <w:tcW w:w="1219" w:type="dxa"/>
            <w:tcBorders>
              <w:bottom w:val="single" w:sz="4" w:space="0" w:color="auto"/>
            </w:tcBorders>
            <w:shd w:val="clear" w:color="auto" w:fill="auto"/>
            <w:vAlign w:val="center"/>
          </w:tcPr>
          <w:p w14:paraId="3F8B5AC2" w14:textId="77777777" w:rsidR="00947B2F" w:rsidRPr="005C7611" w:rsidRDefault="00947B2F" w:rsidP="002E3C98">
            <w:pPr>
              <w:pStyle w:val="TableHead"/>
              <w:jc w:val="center"/>
              <w:rPr>
                <w:sz w:val="20"/>
                <w:szCs w:val="18"/>
                <w:lang w:val="en-US"/>
              </w:rPr>
            </w:pPr>
          </w:p>
        </w:tc>
        <w:tc>
          <w:tcPr>
            <w:tcW w:w="800" w:type="dxa"/>
            <w:tcBorders>
              <w:bottom w:val="single" w:sz="4" w:space="0" w:color="auto"/>
            </w:tcBorders>
            <w:shd w:val="clear" w:color="auto" w:fill="auto"/>
            <w:vAlign w:val="center"/>
          </w:tcPr>
          <w:p w14:paraId="602591BA" w14:textId="77777777" w:rsidR="00947B2F" w:rsidRPr="005C7611" w:rsidRDefault="00947B2F" w:rsidP="002E3C98">
            <w:pPr>
              <w:pStyle w:val="TableHead"/>
              <w:jc w:val="center"/>
              <w:rPr>
                <w:rFonts w:eastAsiaTheme="minorEastAsia"/>
                <w:sz w:val="20"/>
                <w:szCs w:val="18"/>
                <w:lang w:val="en-US" w:eastAsia="ko-KR"/>
              </w:rPr>
            </w:pPr>
            <w:r w:rsidRPr="005C7611">
              <w:rPr>
                <w:rFonts w:eastAsiaTheme="minorEastAsia"/>
                <w:sz w:val="20"/>
                <w:szCs w:val="18"/>
                <w:lang w:val="en-US" w:eastAsia="ko-KR"/>
              </w:rPr>
              <w:t>Doping</w:t>
            </w:r>
          </w:p>
          <w:p w14:paraId="1C5470D4" w14:textId="77777777" w:rsidR="00947B2F" w:rsidRPr="005C7611" w:rsidRDefault="00947B2F" w:rsidP="002E3C98">
            <w:pPr>
              <w:pStyle w:val="TableHead"/>
              <w:jc w:val="center"/>
              <w:rPr>
                <w:rFonts w:eastAsiaTheme="minorEastAsia"/>
                <w:sz w:val="20"/>
                <w:szCs w:val="18"/>
                <w:lang w:val="en-US" w:eastAsia="ko-KR"/>
              </w:rPr>
            </w:pPr>
            <w:r w:rsidRPr="005C7611">
              <w:rPr>
                <w:rFonts w:eastAsiaTheme="minorEastAsia"/>
                <w:sz w:val="20"/>
                <w:szCs w:val="18"/>
                <w:lang w:val="en-US" w:eastAsia="ko-KR"/>
              </w:rPr>
              <w:t>(%)</w:t>
            </w:r>
          </w:p>
        </w:tc>
        <w:tc>
          <w:tcPr>
            <w:tcW w:w="630" w:type="dxa"/>
            <w:tcBorders>
              <w:bottom w:val="single" w:sz="4" w:space="0" w:color="auto"/>
            </w:tcBorders>
            <w:shd w:val="clear" w:color="auto" w:fill="auto"/>
            <w:vAlign w:val="center"/>
          </w:tcPr>
          <w:p w14:paraId="6E7929D6" w14:textId="77777777" w:rsidR="00947B2F" w:rsidRPr="005C7611" w:rsidRDefault="00947B2F" w:rsidP="002E3C98">
            <w:pPr>
              <w:pStyle w:val="TableHead"/>
              <w:jc w:val="center"/>
              <w:rPr>
                <w:rFonts w:eastAsiaTheme="minorEastAsia"/>
                <w:sz w:val="20"/>
                <w:szCs w:val="18"/>
                <w:vertAlign w:val="superscript"/>
                <w:lang w:val="en-US" w:eastAsia="ko-KR"/>
              </w:rPr>
            </w:pPr>
            <w:proofErr w:type="spellStart"/>
            <w:r w:rsidRPr="005C7611">
              <w:rPr>
                <w:rFonts w:eastAsiaTheme="minorEastAsia"/>
                <w:sz w:val="20"/>
                <w:szCs w:val="18"/>
                <w:lang w:val="en-US" w:eastAsia="ko-KR"/>
              </w:rPr>
              <w:t>V</w:t>
            </w:r>
            <w:r w:rsidRPr="005C7611">
              <w:rPr>
                <w:rFonts w:eastAsiaTheme="minorEastAsia"/>
                <w:sz w:val="20"/>
                <w:szCs w:val="18"/>
                <w:vertAlign w:val="subscript"/>
                <w:lang w:val="en-US" w:eastAsia="ko-KR"/>
              </w:rPr>
              <w:t>on</w:t>
            </w:r>
            <w:r w:rsidRPr="005C7611">
              <w:rPr>
                <w:rFonts w:eastAsiaTheme="minorEastAsia"/>
                <w:sz w:val="20"/>
                <w:szCs w:val="18"/>
                <w:vertAlign w:val="superscript"/>
                <w:lang w:val="en-US" w:eastAsia="ko-KR"/>
              </w:rPr>
              <w:t>a</w:t>
            </w:r>
            <w:proofErr w:type="spellEnd"/>
            <w:r w:rsidRPr="005C7611">
              <w:rPr>
                <w:rFonts w:eastAsiaTheme="minorEastAsia"/>
                <w:sz w:val="20"/>
                <w:szCs w:val="18"/>
                <w:vertAlign w:val="superscript"/>
                <w:lang w:val="en-US" w:eastAsia="ko-KR"/>
              </w:rPr>
              <w:t>)</w:t>
            </w:r>
          </w:p>
          <w:p w14:paraId="3946F91E" w14:textId="77777777" w:rsidR="00947B2F" w:rsidRPr="005C7611" w:rsidRDefault="00947B2F" w:rsidP="002E3C98">
            <w:pPr>
              <w:pStyle w:val="TableHead"/>
              <w:jc w:val="center"/>
              <w:rPr>
                <w:rFonts w:eastAsiaTheme="minorEastAsia"/>
                <w:sz w:val="20"/>
                <w:szCs w:val="18"/>
                <w:lang w:val="en-US" w:eastAsia="ko-KR"/>
              </w:rPr>
            </w:pPr>
            <w:r w:rsidRPr="005C7611">
              <w:rPr>
                <w:rFonts w:eastAsiaTheme="minorEastAsia"/>
                <w:sz w:val="20"/>
                <w:szCs w:val="18"/>
                <w:lang w:val="en-US" w:eastAsia="ko-KR"/>
              </w:rPr>
              <w:t>(V)</w:t>
            </w:r>
          </w:p>
        </w:tc>
        <w:tc>
          <w:tcPr>
            <w:tcW w:w="744" w:type="dxa"/>
            <w:tcBorders>
              <w:bottom w:val="single" w:sz="4" w:space="0" w:color="auto"/>
            </w:tcBorders>
            <w:shd w:val="clear" w:color="auto" w:fill="auto"/>
            <w:vAlign w:val="center"/>
          </w:tcPr>
          <w:p w14:paraId="72CFCFD5" w14:textId="77777777" w:rsidR="00947B2F" w:rsidRPr="005C7611" w:rsidRDefault="00947B2F" w:rsidP="002E3C98">
            <w:pPr>
              <w:pStyle w:val="TableHead"/>
              <w:jc w:val="center"/>
              <w:rPr>
                <w:rFonts w:eastAsiaTheme="minorEastAsia"/>
                <w:sz w:val="20"/>
                <w:szCs w:val="18"/>
                <w:vertAlign w:val="subscript"/>
                <w:lang w:val="en-US" w:eastAsia="ko-KR"/>
              </w:rPr>
            </w:pPr>
            <w:r w:rsidRPr="005C7611">
              <w:rPr>
                <w:rFonts w:eastAsiaTheme="minorEastAsia"/>
                <w:sz w:val="20"/>
                <w:szCs w:val="18"/>
                <w:lang w:val="en-US" w:eastAsia="ko-KR"/>
              </w:rPr>
              <w:t>V</w:t>
            </w:r>
            <w:r w:rsidRPr="005C7611">
              <w:rPr>
                <w:rFonts w:eastAsiaTheme="minorEastAsia"/>
                <w:sz w:val="20"/>
                <w:szCs w:val="18"/>
                <w:vertAlign w:val="subscript"/>
                <w:lang w:val="en-US" w:eastAsia="ko-KR"/>
              </w:rPr>
              <w:t>1000 nit</w:t>
            </w:r>
          </w:p>
          <w:p w14:paraId="296519B6" w14:textId="77777777" w:rsidR="00947B2F" w:rsidRPr="005C7611" w:rsidRDefault="00947B2F" w:rsidP="002E3C98">
            <w:pPr>
              <w:pStyle w:val="TableHead"/>
              <w:jc w:val="center"/>
              <w:rPr>
                <w:rFonts w:eastAsiaTheme="minorEastAsia"/>
                <w:sz w:val="20"/>
                <w:szCs w:val="18"/>
                <w:lang w:val="en-US" w:eastAsia="ko-KR"/>
              </w:rPr>
            </w:pPr>
            <w:r w:rsidRPr="005C7611">
              <w:rPr>
                <w:rFonts w:eastAsiaTheme="minorEastAsia"/>
                <w:sz w:val="20"/>
                <w:szCs w:val="18"/>
                <w:lang w:val="en-US" w:eastAsia="ko-KR"/>
              </w:rPr>
              <w:t>(V)</w:t>
            </w:r>
          </w:p>
        </w:tc>
        <w:tc>
          <w:tcPr>
            <w:tcW w:w="962" w:type="dxa"/>
            <w:tcBorders>
              <w:bottom w:val="single" w:sz="4" w:space="0" w:color="auto"/>
            </w:tcBorders>
            <w:shd w:val="clear" w:color="auto" w:fill="auto"/>
            <w:vAlign w:val="center"/>
          </w:tcPr>
          <w:p w14:paraId="2698345C" w14:textId="7E9BC931" w:rsidR="00947B2F" w:rsidRPr="005C7611" w:rsidRDefault="00947B2F" w:rsidP="002E3C98">
            <w:pPr>
              <w:pStyle w:val="TableBody"/>
              <w:jc w:val="center"/>
              <w:rPr>
                <w:rFonts w:eastAsiaTheme="minorEastAsia"/>
                <w:sz w:val="20"/>
                <w:szCs w:val="18"/>
                <w:lang w:val="en-US" w:eastAsia="ko-KR"/>
              </w:rPr>
            </w:pPr>
            <w:proofErr w:type="spellStart"/>
            <w:r w:rsidRPr="005C7611">
              <w:rPr>
                <w:rFonts w:eastAsiaTheme="minorEastAsia"/>
                <w:sz w:val="20"/>
                <w:szCs w:val="18"/>
                <w:lang w:val="en-US" w:eastAsia="ko-KR"/>
              </w:rPr>
              <w:t>EQE</w:t>
            </w:r>
            <w:r w:rsidRPr="005C7611">
              <w:rPr>
                <w:rFonts w:eastAsiaTheme="minorEastAsia"/>
                <w:sz w:val="20"/>
                <w:szCs w:val="18"/>
                <w:vertAlign w:val="subscript"/>
                <w:lang w:val="en-US" w:eastAsia="ko-KR"/>
              </w:rPr>
              <w:t>Max</w:t>
            </w:r>
            <w:proofErr w:type="spellEnd"/>
          </w:p>
          <w:p w14:paraId="381D6DB6" w14:textId="4CE5942A"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1065" w:type="dxa"/>
            <w:tcBorders>
              <w:bottom w:val="single" w:sz="4" w:space="0" w:color="auto"/>
            </w:tcBorders>
          </w:tcPr>
          <w:p w14:paraId="6D86B375" w14:textId="5D1830F9" w:rsidR="00947B2F" w:rsidRPr="005C7611" w:rsidRDefault="00947B2F" w:rsidP="002E3C98">
            <w:pPr>
              <w:pStyle w:val="TableBody"/>
              <w:jc w:val="center"/>
              <w:rPr>
                <w:rFonts w:eastAsiaTheme="minorEastAsia"/>
                <w:sz w:val="20"/>
                <w:szCs w:val="18"/>
                <w:vertAlign w:val="subscript"/>
                <w:lang w:val="en-US" w:eastAsia="ko-KR"/>
              </w:rPr>
            </w:pPr>
            <w:r w:rsidRPr="005C7611">
              <w:rPr>
                <w:rFonts w:eastAsiaTheme="minorEastAsia"/>
                <w:sz w:val="20"/>
                <w:szCs w:val="18"/>
                <w:lang w:val="en-US" w:eastAsia="ko-KR"/>
              </w:rPr>
              <w:t>EQE</w:t>
            </w:r>
            <w:r w:rsidRPr="005C7611">
              <w:rPr>
                <w:rFonts w:eastAsiaTheme="minorEastAsia"/>
                <w:sz w:val="20"/>
                <w:szCs w:val="18"/>
                <w:vertAlign w:val="subscript"/>
                <w:lang w:val="en-US" w:eastAsia="ko-KR"/>
              </w:rPr>
              <w:t>1000 nit</w:t>
            </w:r>
          </w:p>
          <w:p w14:paraId="568A3F54" w14:textId="032C7F31"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1208" w:type="dxa"/>
            <w:tcBorders>
              <w:bottom w:val="single" w:sz="4" w:space="0" w:color="auto"/>
            </w:tcBorders>
            <w:shd w:val="clear" w:color="auto" w:fill="auto"/>
            <w:vAlign w:val="center"/>
          </w:tcPr>
          <w:p w14:paraId="5C06B31C" w14:textId="71483664" w:rsidR="00947B2F" w:rsidRPr="005C7611" w:rsidRDefault="00947B2F" w:rsidP="002E3C98">
            <w:pPr>
              <w:pStyle w:val="TableBody"/>
              <w:jc w:val="center"/>
              <w:rPr>
                <w:rFonts w:eastAsiaTheme="minorEastAsia"/>
                <w:sz w:val="20"/>
                <w:szCs w:val="18"/>
                <w:lang w:val="en-US" w:eastAsia="ko-KR"/>
              </w:rPr>
            </w:pPr>
            <w:proofErr w:type="spellStart"/>
            <w:r w:rsidRPr="005C7611">
              <w:rPr>
                <w:rFonts w:eastAsiaTheme="minorEastAsia"/>
                <w:sz w:val="20"/>
                <w:szCs w:val="18"/>
                <w:lang w:val="en-US" w:eastAsia="ko-KR"/>
              </w:rPr>
              <w:t>PCE</w:t>
            </w:r>
            <w:r w:rsidRPr="005C7611">
              <w:rPr>
                <w:rFonts w:eastAsiaTheme="minorEastAsia"/>
                <w:sz w:val="20"/>
                <w:szCs w:val="18"/>
                <w:vertAlign w:val="subscript"/>
                <w:lang w:val="en-US" w:eastAsia="ko-KR"/>
              </w:rPr>
              <w:t>Max</w:t>
            </w:r>
            <w:proofErr w:type="spellEnd"/>
          </w:p>
          <w:p w14:paraId="08122AC4" w14:textId="07E498FC"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w:t>
            </w:r>
            <w:proofErr w:type="spellStart"/>
            <w:r w:rsidRPr="005C7611">
              <w:rPr>
                <w:rFonts w:eastAsiaTheme="minorEastAsia"/>
                <w:sz w:val="20"/>
                <w:szCs w:val="18"/>
                <w:lang w:val="en-US" w:eastAsia="ko-KR"/>
              </w:rPr>
              <w:t>lm</w:t>
            </w:r>
            <w:proofErr w:type="spellEnd"/>
            <w:r w:rsidRPr="005C7611">
              <w:rPr>
                <w:rFonts w:eastAsiaTheme="minorEastAsia"/>
                <w:sz w:val="20"/>
                <w:szCs w:val="18"/>
                <w:lang w:val="en-US" w:eastAsia="ko-KR"/>
              </w:rPr>
              <w:t>/W)</w:t>
            </w:r>
          </w:p>
        </w:tc>
        <w:tc>
          <w:tcPr>
            <w:tcW w:w="1026" w:type="dxa"/>
            <w:tcBorders>
              <w:bottom w:val="single" w:sz="4" w:space="0" w:color="auto"/>
            </w:tcBorders>
            <w:shd w:val="clear" w:color="auto" w:fill="auto"/>
            <w:vAlign w:val="center"/>
          </w:tcPr>
          <w:p w14:paraId="3BFF62C4" w14:textId="77777777"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PCE</w:t>
            </w:r>
            <w:r w:rsidRPr="005C7611">
              <w:rPr>
                <w:rFonts w:eastAsiaTheme="minorEastAsia"/>
                <w:sz w:val="20"/>
                <w:szCs w:val="18"/>
                <w:vertAlign w:val="subscript"/>
                <w:lang w:val="en-US" w:eastAsia="ko-KR"/>
              </w:rPr>
              <w:t>1000 nit</w:t>
            </w:r>
          </w:p>
          <w:p w14:paraId="4F7CD092" w14:textId="77777777"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w:t>
            </w:r>
            <w:proofErr w:type="spellStart"/>
            <w:r w:rsidRPr="005C7611">
              <w:rPr>
                <w:rFonts w:eastAsiaTheme="minorEastAsia"/>
                <w:sz w:val="20"/>
                <w:szCs w:val="18"/>
                <w:lang w:val="en-US" w:eastAsia="ko-KR"/>
              </w:rPr>
              <w:t>lm</w:t>
            </w:r>
            <w:proofErr w:type="spellEnd"/>
            <w:r w:rsidRPr="005C7611">
              <w:rPr>
                <w:rFonts w:eastAsiaTheme="minorEastAsia"/>
                <w:sz w:val="20"/>
                <w:szCs w:val="18"/>
                <w:lang w:val="en-US" w:eastAsia="ko-KR"/>
              </w:rPr>
              <w:t>/W)</w:t>
            </w:r>
          </w:p>
        </w:tc>
        <w:tc>
          <w:tcPr>
            <w:tcW w:w="1418" w:type="dxa"/>
            <w:tcBorders>
              <w:bottom w:val="single" w:sz="4" w:space="0" w:color="auto"/>
            </w:tcBorders>
            <w:shd w:val="clear" w:color="auto" w:fill="auto"/>
            <w:vAlign w:val="center"/>
          </w:tcPr>
          <w:p w14:paraId="025A42F1" w14:textId="77777777"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CIE</w:t>
            </w:r>
          </w:p>
          <w:p w14:paraId="5BC6B91E" w14:textId="77777777"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w:t>
            </w:r>
            <w:proofErr w:type="spellStart"/>
            <w:proofErr w:type="gramStart"/>
            <w:r w:rsidRPr="005C7611">
              <w:rPr>
                <w:rFonts w:eastAsiaTheme="minorEastAsia"/>
                <w:sz w:val="20"/>
                <w:szCs w:val="18"/>
                <w:lang w:val="en-US" w:eastAsia="ko-KR"/>
              </w:rPr>
              <w:t>x,y</w:t>
            </w:r>
            <w:proofErr w:type="spellEnd"/>
            <w:proofErr w:type="gramEnd"/>
            <w:r w:rsidRPr="005C7611">
              <w:rPr>
                <w:rFonts w:eastAsiaTheme="minorEastAsia"/>
                <w:sz w:val="20"/>
                <w:szCs w:val="18"/>
                <w:lang w:val="en-US" w:eastAsia="ko-KR"/>
              </w:rPr>
              <w:t>)</w:t>
            </w:r>
          </w:p>
        </w:tc>
      </w:tr>
      <w:tr w:rsidR="00947B2F" w:rsidRPr="005C7611" w14:paraId="2A935E2C" w14:textId="77777777" w:rsidTr="00B935AB">
        <w:trPr>
          <w:trHeight w:val="370"/>
        </w:trPr>
        <w:tc>
          <w:tcPr>
            <w:tcW w:w="1219" w:type="dxa"/>
            <w:vMerge w:val="restart"/>
            <w:tcBorders>
              <w:top w:val="single" w:sz="4" w:space="0" w:color="auto"/>
            </w:tcBorders>
            <w:shd w:val="clear" w:color="auto" w:fill="auto"/>
            <w:vAlign w:val="center"/>
          </w:tcPr>
          <w:p w14:paraId="524A5B81" w14:textId="77777777" w:rsidR="00947B2F" w:rsidRPr="005C7611" w:rsidRDefault="00947B2F" w:rsidP="002E3C98">
            <w:pPr>
              <w:pStyle w:val="TableHead"/>
              <w:jc w:val="center"/>
              <w:rPr>
                <w:rFonts w:eastAsiaTheme="minorEastAsia"/>
                <w:sz w:val="20"/>
                <w:szCs w:val="18"/>
                <w:lang w:val="en-US" w:eastAsia="ko-KR"/>
              </w:rPr>
            </w:pPr>
            <w:proofErr w:type="gramStart"/>
            <w:r w:rsidRPr="005C7611">
              <w:rPr>
                <w:rFonts w:eastAsiaTheme="minorEastAsia"/>
                <w:sz w:val="20"/>
                <w:szCs w:val="18"/>
                <w:lang w:val="en-US" w:eastAsia="ko-KR"/>
              </w:rPr>
              <w:t>mCP:CMA</w:t>
            </w:r>
            <w:proofErr w:type="gramEnd"/>
            <w:r w:rsidRPr="005C7611">
              <w:rPr>
                <w:rFonts w:eastAsiaTheme="minorEastAsia"/>
                <w:sz w:val="20"/>
                <w:szCs w:val="18"/>
                <w:lang w:val="en-US" w:eastAsia="ko-KR"/>
              </w:rPr>
              <w:t>1</w:t>
            </w:r>
          </w:p>
        </w:tc>
        <w:tc>
          <w:tcPr>
            <w:tcW w:w="800" w:type="dxa"/>
            <w:tcBorders>
              <w:top w:val="single" w:sz="4" w:space="0" w:color="auto"/>
            </w:tcBorders>
            <w:shd w:val="clear" w:color="auto" w:fill="auto"/>
            <w:vAlign w:val="center"/>
          </w:tcPr>
          <w:p w14:paraId="09A542A7" w14:textId="77777777"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0</w:t>
            </w:r>
          </w:p>
        </w:tc>
        <w:tc>
          <w:tcPr>
            <w:tcW w:w="630" w:type="dxa"/>
            <w:tcBorders>
              <w:top w:val="single" w:sz="4" w:space="0" w:color="auto"/>
            </w:tcBorders>
            <w:shd w:val="clear" w:color="auto" w:fill="auto"/>
            <w:vAlign w:val="center"/>
          </w:tcPr>
          <w:p w14:paraId="23FAAB87" w14:textId="77777777"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3.5</w:t>
            </w:r>
          </w:p>
        </w:tc>
        <w:tc>
          <w:tcPr>
            <w:tcW w:w="744" w:type="dxa"/>
            <w:tcBorders>
              <w:top w:val="single" w:sz="4" w:space="0" w:color="auto"/>
            </w:tcBorders>
            <w:shd w:val="clear" w:color="auto" w:fill="auto"/>
            <w:vAlign w:val="center"/>
          </w:tcPr>
          <w:p w14:paraId="62932FFC" w14:textId="77777777"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5.7</w:t>
            </w:r>
          </w:p>
        </w:tc>
        <w:tc>
          <w:tcPr>
            <w:tcW w:w="962" w:type="dxa"/>
            <w:tcBorders>
              <w:top w:val="single" w:sz="4" w:space="0" w:color="auto"/>
            </w:tcBorders>
            <w:shd w:val="clear" w:color="auto" w:fill="auto"/>
            <w:vAlign w:val="center"/>
          </w:tcPr>
          <w:p w14:paraId="43A4BD80" w14:textId="77777777"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24.1</w:t>
            </w:r>
          </w:p>
        </w:tc>
        <w:tc>
          <w:tcPr>
            <w:tcW w:w="1065" w:type="dxa"/>
            <w:tcBorders>
              <w:top w:val="single" w:sz="4" w:space="0" w:color="auto"/>
            </w:tcBorders>
            <w:vAlign w:val="center"/>
          </w:tcPr>
          <w:p w14:paraId="3EC17353" w14:textId="6AE16555" w:rsidR="00947B2F" w:rsidRPr="005C7611" w:rsidRDefault="001621E6"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22.4</w:t>
            </w:r>
          </w:p>
        </w:tc>
        <w:tc>
          <w:tcPr>
            <w:tcW w:w="1208" w:type="dxa"/>
            <w:tcBorders>
              <w:top w:val="single" w:sz="4" w:space="0" w:color="auto"/>
            </w:tcBorders>
            <w:shd w:val="clear" w:color="auto" w:fill="auto"/>
            <w:vAlign w:val="center"/>
          </w:tcPr>
          <w:p w14:paraId="2206A102" w14:textId="10AC583A"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41.5</w:t>
            </w:r>
          </w:p>
        </w:tc>
        <w:tc>
          <w:tcPr>
            <w:tcW w:w="1026" w:type="dxa"/>
            <w:tcBorders>
              <w:top w:val="single" w:sz="4" w:space="0" w:color="auto"/>
            </w:tcBorders>
            <w:shd w:val="clear" w:color="auto" w:fill="auto"/>
            <w:vAlign w:val="center"/>
          </w:tcPr>
          <w:p w14:paraId="735B8478" w14:textId="77777777"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25.8</w:t>
            </w:r>
          </w:p>
        </w:tc>
        <w:tc>
          <w:tcPr>
            <w:tcW w:w="1418" w:type="dxa"/>
            <w:tcBorders>
              <w:top w:val="single" w:sz="4" w:space="0" w:color="auto"/>
            </w:tcBorders>
            <w:shd w:val="clear" w:color="auto" w:fill="auto"/>
            <w:vAlign w:val="center"/>
          </w:tcPr>
          <w:p w14:paraId="18F5D905" w14:textId="77777777"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(0.206, 0.336)</w:t>
            </w:r>
          </w:p>
        </w:tc>
      </w:tr>
      <w:tr w:rsidR="00947B2F" w:rsidRPr="005C7611" w14:paraId="56847479" w14:textId="77777777" w:rsidTr="00B935AB">
        <w:trPr>
          <w:trHeight w:val="370"/>
        </w:trPr>
        <w:tc>
          <w:tcPr>
            <w:tcW w:w="1219" w:type="dxa"/>
            <w:vMerge/>
            <w:tcBorders>
              <w:bottom w:val="single" w:sz="4" w:space="0" w:color="auto"/>
            </w:tcBorders>
            <w:shd w:val="clear" w:color="auto" w:fill="auto"/>
            <w:vAlign w:val="center"/>
          </w:tcPr>
          <w:p w14:paraId="72909127" w14:textId="77777777" w:rsidR="00947B2F" w:rsidRPr="005C7611" w:rsidRDefault="00947B2F" w:rsidP="002E3C98">
            <w:pPr>
              <w:pStyle w:val="TableHead"/>
              <w:jc w:val="center"/>
              <w:rPr>
                <w:rFonts w:eastAsiaTheme="minorEastAsia"/>
                <w:sz w:val="20"/>
                <w:szCs w:val="18"/>
                <w:lang w:val="en-US" w:eastAsia="ko-KR"/>
              </w:rPr>
            </w:pPr>
          </w:p>
        </w:tc>
        <w:tc>
          <w:tcPr>
            <w:tcW w:w="800" w:type="dxa"/>
            <w:tcBorders>
              <w:bottom w:val="single" w:sz="4" w:space="0" w:color="auto"/>
            </w:tcBorders>
            <w:shd w:val="clear" w:color="auto" w:fill="auto"/>
            <w:vAlign w:val="center"/>
          </w:tcPr>
          <w:p w14:paraId="2F1D76D6" w14:textId="77777777"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2</w:t>
            </w:r>
          </w:p>
        </w:tc>
        <w:tc>
          <w:tcPr>
            <w:tcW w:w="630" w:type="dxa"/>
            <w:tcBorders>
              <w:bottom w:val="single" w:sz="4" w:space="0" w:color="auto"/>
            </w:tcBorders>
            <w:shd w:val="clear" w:color="auto" w:fill="auto"/>
            <w:vAlign w:val="center"/>
          </w:tcPr>
          <w:p w14:paraId="1864B85A" w14:textId="77777777"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3.6</w:t>
            </w:r>
          </w:p>
        </w:tc>
        <w:tc>
          <w:tcPr>
            <w:tcW w:w="744" w:type="dxa"/>
            <w:tcBorders>
              <w:bottom w:val="single" w:sz="4" w:space="0" w:color="auto"/>
            </w:tcBorders>
            <w:shd w:val="clear" w:color="auto" w:fill="auto"/>
            <w:vAlign w:val="center"/>
          </w:tcPr>
          <w:p w14:paraId="6B01088B" w14:textId="77777777"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7.4</w:t>
            </w:r>
          </w:p>
        </w:tc>
        <w:tc>
          <w:tcPr>
            <w:tcW w:w="962" w:type="dxa"/>
            <w:tcBorders>
              <w:bottom w:val="single" w:sz="4" w:space="0" w:color="auto"/>
            </w:tcBorders>
            <w:shd w:val="clear" w:color="auto" w:fill="auto"/>
            <w:vAlign w:val="center"/>
          </w:tcPr>
          <w:p w14:paraId="21B1B103" w14:textId="77777777"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16.3</w:t>
            </w:r>
          </w:p>
        </w:tc>
        <w:tc>
          <w:tcPr>
            <w:tcW w:w="1065" w:type="dxa"/>
            <w:tcBorders>
              <w:bottom w:val="single" w:sz="4" w:space="0" w:color="auto"/>
            </w:tcBorders>
            <w:vAlign w:val="center"/>
          </w:tcPr>
          <w:p w14:paraId="190B518F" w14:textId="6686E391" w:rsidR="00947B2F" w:rsidRPr="005C7611" w:rsidRDefault="001621E6"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11.9</w:t>
            </w:r>
          </w:p>
        </w:tc>
        <w:tc>
          <w:tcPr>
            <w:tcW w:w="1208" w:type="dxa"/>
            <w:tcBorders>
              <w:bottom w:val="single" w:sz="4" w:space="0" w:color="auto"/>
            </w:tcBorders>
            <w:shd w:val="clear" w:color="auto" w:fill="auto"/>
            <w:vAlign w:val="center"/>
          </w:tcPr>
          <w:p w14:paraId="38E084F3" w14:textId="1E721138"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40.3</w:t>
            </w:r>
          </w:p>
        </w:tc>
        <w:tc>
          <w:tcPr>
            <w:tcW w:w="1026" w:type="dxa"/>
            <w:tcBorders>
              <w:bottom w:val="single" w:sz="4" w:space="0" w:color="auto"/>
            </w:tcBorders>
            <w:shd w:val="clear" w:color="auto" w:fill="auto"/>
            <w:vAlign w:val="center"/>
          </w:tcPr>
          <w:p w14:paraId="18593559" w14:textId="77777777"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15.0</w:t>
            </w:r>
          </w:p>
        </w:tc>
        <w:tc>
          <w:tcPr>
            <w:tcW w:w="1418" w:type="dxa"/>
            <w:tcBorders>
              <w:bottom w:val="single" w:sz="4" w:space="0" w:color="auto"/>
            </w:tcBorders>
            <w:shd w:val="clear" w:color="auto" w:fill="auto"/>
            <w:vAlign w:val="center"/>
          </w:tcPr>
          <w:p w14:paraId="31604D5B" w14:textId="77777777"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(0.405, 0.453)</w:t>
            </w:r>
          </w:p>
        </w:tc>
      </w:tr>
      <w:tr w:rsidR="00947B2F" w:rsidRPr="005C7611" w14:paraId="1CDE48F3" w14:textId="77777777" w:rsidTr="00B935AB">
        <w:trPr>
          <w:trHeight w:val="370"/>
        </w:trPr>
        <w:tc>
          <w:tcPr>
            <w:tcW w:w="1219" w:type="dxa"/>
            <w:vMerge w:val="restart"/>
            <w:tcBorders>
              <w:top w:val="single" w:sz="4" w:space="0" w:color="auto"/>
            </w:tcBorders>
            <w:shd w:val="clear" w:color="auto" w:fill="auto"/>
            <w:vAlign w:val="center"/>
          </w:tcPr>
          <w:p w14:paraId="32752CAF" w14:textId="77777777"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CMA1</w:t>
            </w:r>
          </w:p>
        </w:tc>
        <w:tc>
          <w:tcPr>
            <w:tcW w:w="800" w:type="dxa"/>
            <w:tcBorders>
              <w:top w:val="single" w:sz="4" w:space="0" w:color="auto"/>
            </w:tcBorders>
            <w:shd w:val="clear" w:color="auto" w:fill="auto"/>
            <w:vAlign w:val="center"/>
          </w:tcPr>
          <w:p w14:paraId="54401089" w14:textId="77777777"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0</w:t>
            </w:r>
          </w:p>
        </w:tc>
        <w:tc>
          <w:tcPr>
            <w:tcW w:w="630" w:type="dxa"/>
            <w:tcBorders>
              <w:top w:val="single" w:sz="4" w:space="0" w:color="auto"/>
            </w:tcBorders>
            <w:shd w:val="clear" w:color="auto" w:fill="auto"/>
            <w:vAlign w:val="center"/>
          </w:tcPr>
          <w:p w14:paraId="38C7453E" w14:textId="77777777"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3.3</w:t>
            </w:r>
          </w:p>
        </w:tc>
        <w:tc>
          <w:tcPr>
            <w:tcW w:w="744" w:type="dxa"/>
            <w:tcBorders>
              <w:top w:val="single" w:sz="4" w:space="0" w:color="auto"/>
            </w:tcBorders>
            <w:shd w:val="clear" w:color="auto" w:fill="auto"/>
            <w:vAlign w:val="center"/>
          </w:tcPr>
          <w:p w14:paraId="4FB81D76" w14:textId="77777777"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4.8</w:t>
            </w:r>
          </w:p>
        </w:tc>
        <w:tc>
          <w:tcPr>
            <w:tcW w:w="962" w:type="dxa"/>
            <w:tcBorders>
              <w:top w:val="single" w:sz="4" w:space="0" w:color="auto"/>
            </w:tcBorders>
            <w:shd w:val="clear" w:color="auto" w:fill="auto"/>
            <w:vAlign w:val="center"/>
          </w:tcPr>
          <w:p w14:paraId="654F0BB6" w14:textId="77777777"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21.5</w:t>
            </w:r>
          </w:p>
        </w:tc>
        <w:tc>
          <w:tcPr>
            <w:tcW w:w="1065" w:type="dxa"/>
            <w:tcBorders>
              <w:top w:val="single" w:sz="4" w:space="0" w:color="auto"/>
            </w:tcBorders>
            <w:vAlign w:val="center"/>
          </w:tcPr>
          <w:p w14:paraId="7EECF12A" w14:textId="1C8540FA" w:rsidR="00947B2F" w:rsidRPr="005C7611" w:rsidRDefault="001621E6"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20.7</w:t>
            </w:r>
          </w:p>
        </w:tc>
        <w:tc>
          <w:tcPr>
            <w:tcW w:w="1208" w:type="dxa"/>
            <w:tcBorders>
              <w:top w:val="single" w:sz="4" w:space="0" w:color="auto"/>
            </w:tcBorders>
            <w:shd w:val="clear" w:color="auto" w:fill="auto"/>
            <w:vAlign w:val="center"/>
          </w:tcPr>
          <w:p w14:paraId="248128C6" w14:textId="6244A7F9"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55.5</w:t>
            </w:r>
          </w:p>
        </w:tc>
        <w:tc>
          <w:tcPr>
            <w:tcW w:w="1026" w:type="dxa"/>
            <w:tcBorders>
              <w:top w:val="single" w:sz="4" w:space="0" w:color="auto"/>
            </w:tcBorders>
            <w:shd w:val="clear" w:color="auto" w:fill="auto"/>
            <w:vAlign w:val="center"/>
          </w:tcPr>
          <w:p w14:paraId="0A05FDBD" w14:textId="77777777"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36.3</w:t>
            </w:r>
          </w:p>
        </w:tc>
        <w:tc>
          <w:tcPr>
            <w:tcW w:w="1418" w:type="dxa"/>
            <w:tcBorders>
              <w:top w:val="single" w:sz="4" w:space="0" w:color="auto"/>
            </w:tcBorders>
            <w:shd w:val="clear" w:color="auto" w:fill="auto"/>
            <w:vAlign w:val="center"/>
          </w:tcPr>
          <w:p w14:paraId="22E3EBEB" w14:textId="77777777"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(0.274, 0.466)</w:t>
            </w:r>
          </w:p>
        </w:tc>
      </w:tr>
      <w:tr w:rsidR="00947B2F" w:rsidRPr="005C7611" w14:paraId="7AE77D4B" w14:textId="77777777" w:rsidTr="00B935AB">
        <w:trPr>
          <w:trHeight w:val="370"/>
        </w:trPr>
        <w:tc>
          <w:tcPr>
            <w:tcW w:w="1219" w:type="dxa"/>
            <w:vMerge/>
            <w:shd w:val="clear" w:color="auto" w:fill="auto"/>
            <w:vAlign w:val="center"/>
          </w:tcPr>
          <w:p w14:paraId="16A15D0F" w14:textId="77777777" w:rsidR="00947B2F" w:rsidRPr="005C7611" w:rsidRDefault="00947B2F" w:rsidP="002E3C98">
            <w:pPr>
              <w:pStyle w:val="TableBody"/>
              <w:jc w:val="center"/>
              <w:rPr>
                <w:rFonts w:eastAsiaTheme="minorEastAsia"/>
                <w:sz w:val="20"/>
                <w:szCs w:val="18"/>
                <w:lang w:val="en-US" w:eastAsia="ko-KR"/>
              </w:rPr>
            </w:pPr>
          </w:p>
        </w:tc>
        <w:tc>
          <w:tcPr>
            <w:tcW w:w="800" w:type="dxa"/>
            <w:shd w:val="clear" w:color="auto" w:fill="auto"/>
            <w:vAlign w:val="center"/>
          </w:tcPr>
          <w:p w14:paraId="477BC691" w14:textId="77777777"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2</w:t>
            </w:r>
          </w:p>
        </w:tc>
        <w:tc>
          <w:tcPr>
            <w:tcW w:w="630" w:type="dxa"/>
            <w:shd w:val="clear" w:color="auto" w:fill="auto"/>
            <w:vAlign w:val="center"/>
          </w:tcPr>
          <w:p w14:paraId="727D7267" w14:textId="77777777"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3.3</w:t>
            </w:r>
          </w:p>
        </w:tc>
        <w:tc>
          <w:tcPr>
            <w:tcW w:w="744" w:type="dxa"/>
            <w:shd w:val="clear" w:color="auto" w:fill="auto"/>
            <w:vAlign w:val="center"/>
          </w:tcPr>
          <w:p w14:paraId="519ACF6E" w14:textId="77777777"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4.8</w:t>
            </w:r>
          </w:p>
        </w:tc>
        <w:tc>
          <w:tcPr>
            <w:tcW w:w="962" w:type="dxa"/>
            <w:shd w:val="clear" w:color="auto" w:fill="auto"/>
            <w:vAlign w:val="center"/>
          </w:tcPr>
          <w:p w14:paraId="3B148C19" w14:textId="77777777"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15.2</w:t>
            </w:r>
          </w:p>
        </w:tc>
        <w:tc>
          <w:tcPr>
            <w:tcW w:w="1065" w:type="dxa"/>
            <w:vAlign w:val="center"/>
          </w:tcPr>
          <w:p w14:paraId="35470106" w14:textId="3031C2B3" w:rsidR="00947B2F" w:rsidRPr="005C7611" w:rsidRDefault="001621E6"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14.0</w:t>
            </w:r>
          </w:p>
        </w:tc>
        <w:tc>
          <w:tcPr>
            <w:tcW w:w="1208" w:type="dxa"/>
            <w:shd w:val="clear" w:color="auto" w:fill="auto"/>
            <w:vAlign w:val="center"/>
          </w:tcPr>
          <w:p w14:paraId="1E4F6C75" w14:textId="62ECE62C"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43.5</w:t>
            </w:r>
          </w:p>
        </w:tc>
        <w:tc>
          <w:tcPr>
            <w:tcW w:w="1026" w:type="dxa"/>
            <w:shd w:val="clear" w:color="auto" w:fill="auto"/>
            <w:vAlign w:val="center"/>
          </w:tcPr>
          <w:p w14:paraId="68008205" w14:textId="77777777"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29.0</w:t>
            </w:r>
          </w:p>
        </w:tc>
        <w:tc>
          <w:tcPr>
            <w:tcW w:w="1418" w:type="dxa"/>
            <w:shd w:val="clear" w:color="auto" w:fill="auto"/>
            <w:vAlign w:val="center"/>
          </w:tcPr>
          <w:p w14:paraId="7688D886" w14:textId="77777777"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(0.431, 0.494)</w:t>
            </w:r>
          </w:p>
        </w:tc>
      </w:tr>
      <w:tr w:rsidR="00947B2F" w:rsidRPr="005C7611" w14:paraId="76E0BEDC" w14:textId="77777777" w:rsidTr="00B935AB">
        <w:trPr>
          <w:trHeight w:val="370"/>
        </w:trPr>
        <w:tc>
          <w:tcPr>
            <w:tcW w:w="1219" w:type="dxa"/>
            <w:vMerge/>
            <w:shd w:val="clear" w:color="auto" w:fill="auto"/>
            <w:vAlign w:val="center"/>
          </w:tcPr>
          <w:p w14:paraId="1DBEA6C0" w14:textId="77777777" w:rsidR="00947B2F" w:rsidRPr="005C7611" w:rsidRDefault="00947B2F" w:rsidP="002E3C98">
            <w:pPr>
              <w:pStyle w:val="TableBody"/>
              <w:jc w:val="center"/>
              <w:rPr>
                <w:rFonts w:eastAsiaTheme="minorEastAsia"/>
                <w:sz w:val="20"/>
                <w:szCs w:val="18"/>
                <w:lang w:val="en-US" w:eastAsia="ko-KR"/>
              </w:rPr>
            </w:pPr>
          </w:p>
        </w:tc>
        <w:tc>
          <w:tcPr>
            <w:tcW w:w="800" w:type="dxa"/>
            <w:shd w:val="clear" w:color="auto" w:fill="auto"/>
            <w:vAlign w:val="center"/>
          </w:tcPr>
          <w:p w14:paraId="360FDB02" w14:textId="77777777"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4</w:t>
            </w:r>
          </w:p>
        </w:tc>
        <w:tc>
          <w:tcPr>
            <w:tcW w:w="630" w:type="dxa"/>
            <w:shd w:val="clear" w:color="auto" w:fill="auto"/>
            <w:vAlign w:val="center"/>
          </w:tcPr>
          <w:p w14:paraId="1951AB9A" w14:textId="77777777"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3.3</w:t>
            </w:r>
          </w:p>
        </w:tc>
        <w:tc>
          <w:tcPr>
            <w:tcW w:w="744" w:type="dxa"/>
            <w:shd w:val="clear" w:color="auto" w:fill="auto"/>
            <w:vAlign w:val="center"/>
          </w:tcPr>
          <w:p w14:paraId="6D30FE8C" w14:textId="77777777"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5.1</w:t>
            </w:r>
          </w:p>
        </w:tc>
        <w:tc>
          <w:tcPr>
            <w:tcW w:w="962" w:type="dxa"/>
            <w:shd w:val="clear" w:color="auto" w:fill="auto"/>
            <w:vAlign w:val="center"/>
          </w:tcPr>
          <w:p w14:paraId="0BA22544" w14:textId="77777777"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9.9</w:t>
            </w:r>
          </w:p>
        </w:tc>
        <w:tc>
          <w:tcPr>
            <w:tcW w:w="1065" w:type="dxa"/>
            <w:vAlign w:val="center"/>
          </w:tcPr>
          <w:p w14:paraId="7745CECA" w14:textId="2DF2B982" w:rsidR="00947B2F" w:rsidRPr="005C7611" w:rsidRDefault="001621E6"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6.8</w:t>
            </w:r>
          </w:p>
        </w:tc>
        <w:tc>
          <w:tcPr>
            <w:tcW w:w="1208" w:type="dxa"/>
            <w:shd w:val="clear" w:color="auto" w:fill="auto"/>
            <w:vAlign w:val="center"/>
          </w:tcPr>
          <w:p w14:paraId="667C6476" w14:textId="7FFF1140"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29.0</w:t>
            </w:r>
          </w:p>
        </w:tc>
        <w:tc>
          <w:tcPr>
            <w:tcW w:w="1026" w:type="dxa"/>
            <w:shd w:val="clear" w:color="auto" w:fill="auto"/>
            <w:vAlign w:val="center"/>
          </w:tcPr>
          <w:p w14:paraId="4D26FD00" w14:textId="77777777"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12.7</w:t>
            </w:r>
          </w:p>
        </w:tc>
        <w:tc>
          <w:tcPr>
            <w:tcW w:w="1418" w:type="dxa"/>
            <w:shd w:val="clear" w:color="auto" w:fill="auto"/>
            <w:vAlign w:val="center"/>
          </w:tcPr>
          <w:p w14:paraId="6BC4C5AF" w14:textId="77777777"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(0.501, 0.486)</w:t>
            </w:r>
          </w:p>
        </w:tc>
      </w:tr>
      <w:tr w:rsidR="00947B2F" w:rsidRPr="005C7611" w14:paraId="52A5ECEB" w14:textId="77777777" w:rsidTr="00B935AB">
        <w:trPr>
          <w:trHeight w:val="370"/>
        </w:trPr>
        <w:tc>
          <w:tcPr>
            <w:tcW w:w="1219" w:type="dxa"/>
            <w:vMerge/>
            <w:shd w:val="clear" w:color="auto" w:fill="auto"/>
            <w:vAlign w:val="center"/>
          </w:tcPr>
          <w:p w14:paraId="2706FA88" w14:textId="77777777" w:rsidR="00947B2F" w:rsidRPr="005C7611" w:rsidRDefault="00947B2F" w:rsidP="002E3C98">
            <w:pPr>
              <w:pStyle w:val="TableBody"/>
              <w:jc w:val="center"/>
              <w:rPr>
                <w:rFonts w:eastAsiaTheme="minorEastAsia"/>
                <w:sz w:val="20"/>
                <w:szCs w:val="18"/>
                <w:lang w:val="en-US" w:eastAsia="ko-KR"/>
              </w:rPr>
            </w:pPr>
          </w:p>
        </w:tc>
        <w:tc>
          <w:tcPr>
            <w:tcW w:w="800" w:type="dxa"/>
            <w:shd w:val="clear" w:color="auto" w:fill="auto"/>
            <w:vAlign w:val="center"/>
          </w:tcPr>
          <w:p w14:paraId="51C5E994" w14:textId="77777777"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10</w:t>
            </w:r>
          </w:p>
        </w:tc>
        <w:tc>
          <w:tcPr>
            <w:tcW w:w="630" w:type="dxa"/>
            <w:shd w:val="clear" w:color="auto" w:fill="auto"/>
            <w:vAlign w:val="center"/>
          </w:tcPr>
          <w:p w14:paraId="309EB91E" w14:textId="77777777"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3.3</w:t>
            </w:r>
          </w:p>
        </w:tc>
        <w:tc>
          <w:tcPr>
            <w:tcW w:w="744" w:type="dxa"/>
            <w:shd w:val="clear" w:color="auto" w:fill="auto"/>
            <w:vAlign w:val="center"/>
          </w:tcPr>
          <w:p w14:paraId="54309262" w14:textId="77777777"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5.3</w:t>
            </w:r>
          </w:p>
        </w:tc>
        <w:tc>
          <w:tcPr>
            <w:tcW w:w="962" w:type="dxa"/>
            <w:shd w:val="clear" w:color="auto" w:fill="auto"/>
            <w:vAlign w:val="center"/>
          </w:tcPr>
          <w:p w14:paraId="666C9550" w14:textId="77777777"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7.9</w:t>
            </w:r>
          </w:p>
        </w:tc>
        <w:tc>
          <w:tcPr>
            <w:tcW w:w="1065" w:type="dxa"/>
            <w:vAlign w:val="center"/>
          </w:tcPr>
          <w:p w14:paraId="462964CF" w14:textId="7A4677E8" w:rsidR="00947B2F" w:rsidRPr="005C7611" w:rsidRDefault="001621E6"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5.2</w:t>
            </w:r>
          </w:p>
        </w:tc>
        <w:tc>
          <w:tcPr>
            <w:tcW w:w="1208" w:type="dxa"/>
            <w:shd w:val="clear" w:color="auto" w:fill="auto"/>
            <w:vAlign w:val="center"/>
          </w:tcPr>
          <w:p w14:paraId="6EA9047D" w14:textId="4C1B160A"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22.6</w:t>
            </w:r>
          </w:p>
        </w:tc>
        <w:tc>
          <w:tcPr>
            <w:tcW w:w="1026" w:type="dxa"/>
            <w:shd w:val="clear" w:color="auto" w:fill="auto"/>
            <w:vAlign w:val="center"/>
          </w:tcPr>
          <w:p w14:paraId="651E14DC" w14:textId="77777777"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9.2</w:t>
            </w:r>
          </w:p>
        </w:tc>
        <w:tc>
          <w:tcPr>
            <w:tcW w:w="1418" w:type="dxa"/>
            <w:shd w:val="clear" w:color="auto" w:fill="auto"/>
            <w:vAlign w:val="center"/>
          </w:tcPr>
          <w:p w14:paraId="4E133A07" w14:textId="77777777" w:rsidR="00947B2F" w:rsidRPr="005C7611" w:rsidRDefault="00947B2F" w:rsidP="002E3C98">
            <w:pPr>
              <w:pStyle w:val="TableBody"/>
              <w:jc w:val="center"/>
              <w:rPr>
                <w:rFonts w:eastAsiaTheme="minorEastAsia"/>
                <w:sz w:val="20"/>
                <w:szCs w:val="18"/>
                <w:lang w:val="en-US" w:eastAsia="ko-KR"/>
              </w:rPr>
            </w:pPr>
            <w:r w:rsidRPr="005C7611">
              <w:rPr>
                <w:rFonts w:eastAsiaTheme="minorEastAsia"/>
                <w:sz w:val="20"/>
                <w:szCs w:val="18"/>
                <w:lang w:val="en-US" w:eastAsia="ko-KR"/>
              </w:rPr>
              <w:t>(0.508, 0.481)</w:t>
            </w:r>
          </w:p>
        </w:tc>
      </w:tr>
      <w:tr w:rsidR="00947B2F" w:rsidRPr="005C7611" w14:paraId="7B3D4686" w14:textId="77777777" w:rsidTr="00B935AB">
        <w:trPr>
          <w:trHeight w:val="370"/>
        </w:trPr>
        <w:tc>
          <w:tcPr>
            <w:tcW w:w="1219" w:type="dxa"/>
            <w:vMerge w:val="restart"/>
            <w:tcBorders>
              <w:top w:val="single" w:sz="4" w:space="0" w:color="auto"/>
            </w:tcBorders>
            <w:shd w:val="clear" w:color="auto" w:fill="auto"/>
            <w:vAlign w:val="center"/>
          </w:tcPr>
          <w:p w14:paraId="427ECD0F" w14:textId="77777777" w:rsidR="00947B2F" w:rsidRPr="005C7611" w:rsidRDefault="00947B2F" w:rsidP="00922430">
            <w:pPr>
              <w:pStyle w:val="TableHead"/>
              <w:jc w:val="center"/>
              <w:rPr>
                <w:rFonts w:eastAsiaTheme="minorEastAsia"/>
                <w:sz w:val="20"/>
                <w:szCs w:val="18"/>
                <w:lang w:val="en-US" w:eastAsia="ko-KR"/>
              </w:rPr>
            </w:pPr>
            <w:proofErr w:type="gramStart"/>
            <w:r w:rsidRPr="005C7611">
              <w:rPr>
                <w:rFonts w:eastAsiaTheme="minorEastAsia"/>
                <w:sz w:val="20"/>
                <w:szCs w:val="18"/>
                <w:lang w:val="en-US" w:eastAsia="ko-KR"/>
              </w:rPr>
              <w:t>mCP:CMA</w:t>
            </w:r>
            <w:proofErr w:type="gramEnd"/>
            <w:r w:rsidRPr="005C7611">
              <w:rPr>
                <w:rFonts w:eastAsiaTheme="minorEastAsia"/>
                <w:sz w:val="20"/>
                <w:szCs w:val="18"/>
                <w:lang w:val="en-US" w:eastAsia="ko-KR"/>
              </w:rPr>
              <w:t>4</w:t>
            </w:r>
          </w:p>
        </w:tc>
        <w:tc>
          <w:tcPr>
            <w:tcW w:w="800" w:type="dxa"/>
            <w:tcBorders>
              <w:top w:val="single" w:sz="4" w:space="0" w:color="auto"/>
            </w:tcBorders>
            <w:shd w:val="clear" w:color="auto" w:fill="auto"/>
            <w:vAlign w:val="center"/>
          </w:tcPr>
          <w:p w14:paraId="158DA28D" w14:textId="77777777" w:rsidR="00947B2F" w:rsidRPr="005C7611" w:rsidRDefault="00947B2F"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0</w:t>
            </w:r>
          </w:p>
        </w:tc>
        <w:tc>
          <w:tcPr>
            <w:tcW w:w="630" w:type="dxa"/>
            <w:tcBorders>
              <w:top w:val="single" w:sz="4" w:space="0" w:color="auto"/>
            </w:tcBorders>
            <w:shd w:val="clear" w:color="auto" w:fill="auto"/>
            <w:vAlign w:val="center"/>
          </w:tcPr>
          <w:p w14:paraId="75A1B67D" w14:textId="77777777" w:rsidR="00947B2F" w:rsidRPr="005C7611" w:rsidRDefault="00947B2F"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4.3</w:t>
            </w:r>
          </w:p>
        </w:tc>
        <w:tc>
          <w:tcPr>
            <w:tcW w:w="744" w:type="dxa"/>
            <w:tcBorders>
              <w:top w:val="single" w:sz="4" w:space="0" w:color="auto"/>
            </w:tcBorders>
            <w:shd w:val="clear" w:color="auto" w:fill="auto"/>
            <w:vAlign w:val="center"/>
          </w:tcPr>
          <w:p w14:paraId="57E2CD40" w14:textId="77777777" w:rsidR="00947B2F" w:rsidRPr="005C7611" w:rsidRDefault="00947B2F"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7.5</w:t>
            </w:r>
          </w:p>
        </w:tc>
        <w:tc>
          <w:tcPr>
            <w:tcW w:w="962" w:type="dxa"/>
            <w:tcBorders>
              <w:top w:val="single" w:sz="4" w:space="0" w:color="auto"/>
            </w:tcBorders>
            <w:shd w:val="clear" w:color="auto" w:fill="auto"/>
            <w:vAlign w:val="center"/>
          </w:tcPr>
          <w:p w14:paraId="32E8E332" w14:textId="77777777" w:rsidR="00947B2F" w:rsidRPr="005C7611" w:rsidRDefault="00947B2F"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25.6</w:t>
            </w:r>
          </w:p>
        </w:tc>
        <w:tc>
          <w:tcPr>
            <w:tcW w:w="1065" w:type="dxa"/>
            <w:tcBorders>
              <w:top w:val="single" w:sz="4" w:space="0" w:color="auto"/>
            </w:tcBorders>
            <w:vAlign w:val="center"/>
          </w:tcPr>
          <w:p w14:paraId="3F1B306B" w14:textId="45EA35A1" w:rsidR="00947B2F" w:rsidRPr="005C7611" w:rsidRDefault="001621E6"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24.2</w:t>
            </w:r>
          </w:p>
        </w:tc>
        <w:tc>
          <w:tcPr>
            <w:tcW w:w="1208" w:type="dxa"/>
            <w:tcBorders>
              <w:top w:val="single" w:sz="4" w:space="0" w:color="auto"/>
            </w:tcBorders>
            <w:shd w:val="clear" w:color="auto" w:fill="auto"/>
            <w:vAlign w:val="center"/>
          </w:tcPr>
          <w:p w14:paraId="2B60D1ED" w14:textId="3D0D379C" w:rsidR="00947B2F" w:rsidRPr="005C7611" w:rsidRDefault="00947B2F"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47.0</w:t>
            </w:r>
          </w:p>
        </w:tc>
        <w:tc>
          <w:tcPr>
            <w:tcW w:w="1026" w:type="dxa"/>
            <w:tcBorders>
              <w:top w:val="single" w:sz="4" w:space="0" w:color="auto"/>
            </w:tcBorders>
            <w:shd w:val="clear" w:color="auto" w:fill="auto"/>
            <w:vAlign w:val="center"/>
          </w:tcPr>
          <w:p w14:paraId="3C6245FE" w14:textId="77777777" w:rsidR="00947B2F" w:rsidRPr="005C7611" w:rsidRDefault="00947B2F"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27.8</w:t>
            </w:r>
          </w:p>
        </w:tc>
        <w:tc>
          <w:tcPr>
            <w:tcW w:w="1418" w:type="dxa"/>
            <w:tcBorders>
              <w:top w:val="single" w:sz="4" w:space="0" w:color="auto"/>
            </w:tcBorders>
            <w:shd w:val="clear" w:color="auto" w:fill="auto"/>
            <w:vAlign w:val="center"/>
          </w:tcPr>
          <w:p w14:paraId="2123F366" w14:textId="77777777" w:rsidR="00947B2F" w:rsidRPr="005C7611" w:rsidRDefault="00947B2F"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(0.294, 0.473)</w:t>
            </w:r>
          </w:p>
        </w:tc>
      </w:tr>
      <w:tr w:rsidR="00947B2F" w:rsidRPr="005C7611" w14:paraId="3B851B1A" w14:textId="77777777" w:rsidTr="00B935AB">
        <w:trPr>
          <w:trHeight w:val="370"/>
        </w:trPr>
        <w:tc>
          <w:tcPr>
            <w:tcW w:w="1219" w:type="dxa"/>
            <w:vMerge/>
            <w:tcBorders>
              <w:bottom w:val="single" w:sz="4" w:space="0" w:color="auto"/>
            </w:tcBorders>
            <w:shd w:val="clear" w:color="auto" w:fill="auto"/>
            <w:vAlign w:val="center"/>
          </w:tcPr>
          <w:p w14:paraId="78C784E7" w14:textId="77777777" w:rsidR="00947B2F" w:rsidRPr="005C7611" w:rsidRDefault="00947B2F" w:rsidP="00922430">
            <w:pPr>
              <w:pStyle w:val="TableHead"/>
              <w:jc w:val="center"/>
              <w:rPr>
                <w:rFonts w:eastAsiaTheme="minorEastAsia"/>
                <w:sz w:val="20"/>
                <w:szCs w:val="18"/>
                <w:lang w:val="en-US" w:eastAsia="ko-KR"/>
              </w:rPr>
            </w:pPr>
          </w:p>
        </w:tc>
        <w:tc>
          <w:tcPr>
            <w:tcW w:w="800" w:type="dxa"/>
            <w:tcBorders>
              <w:bottom w:val="single" w:sz="4" w:space="0" w:color="auto"/>
            </w:tcBorders>
            <w:shd w:val="clear" w:color="auto" w:fill="auto"/>
            <w:vAlign w:val="center"/>
          </w:tcPr>
          <w:p w14:paraId="1942866F" w14:textId="77777777" w:rsidR="00947B2F" w:rsidRPr="005C7611" w:rsidRDefault="00947B2F"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2</w:t>
            </w:r>
          </w:p>
        </w:tc>
        <w:tc>
          <w:tcPr>
            <w:tcW w:w="630" w:type="dxa"/>
            <w:tcBorders>
              <w:bottom w:val="single" w:sz="4" w:space="0" w:color="auto"/>
            </w:tcBorders>
            <w:shd w:val="clear" w:color="auto" w:fill="auto"/>
            <w:vAlign w:val="center"/>
          </w:tcPr>
          <w:p w14:paraId="282C152F" w14:textId="77777777" w:rsidR="00947B2F" w:rsidRPr="005C7611" w:rsidRDefault="00947B2F"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4.3</w:t>
            </w:r>
          </w:p>
        </w:tc>
        <w:tc>
          <w:tcPr>
            <w:tcW w:w="744" w:type="dxa"/>
            <w:tcBorders>
              <w:bottom w:val="single" w:sz="4" w:space="0" w:color="auto"/>
            </w:tcBorders>
            <w:shd w:val="clear" w:color="auto" w:fill="auto"/>
            <w:vAlign w:val="center"/>
          </w:tcPr>
          <w:p w14:paraId="3E358324" w14:textId="77777777" w:rsidR="00947B2F" w:rsidRPr="005C7611" w:rsidRDefault="00947B2F"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7.2</w:t>
            </w:r>
          </w:p>
        </w:tc>
        <w:tc>
          <w:tcPr>
            <w:tcW w:w="962" w:type="dxa"/>
            <w:tcBorders>
              <w:bottom w:val="single" w:sz="4" w:space="0" w:color="auto"/>
            </w:tcBorders>
            <w:shd w:val="clear" w:color="auto" w:fill="auto"/>
            <w:vAlign w:val="center"/>
          </w:tcPr>
          <w:p w14:paraId="25F4D877" w14:textId="77777777" w:rsidR="00947B2F" w:rsidRPr="005C7611" w:rsidRDefault="00947B2F"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18.1</w:t>
            </w:r>
          </w:p>
        </w:tc>
        <w:tc>
          <w:tcPr>
            <w:tcW w:w="1065" w:type="dxa"/>
            <w:tcBorders>
              <w:bottom w:val="single" w:sz="4" w:space="0" w:color="auto"/>
            </w:tcBorders>
            <w:vAlign w:val="center"/>
          </w:tcPr>
          <w:p w14:paraId="29BC272A" w14:textId="13CB7DCB" w:rsidR="00947B2F" w:rsidRPr="005C7611" w:rsidRDefault="001621E6"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15.8</w:t>
            </w:r>
          </w:p>
        </w:tc>
        <w:tc>
          <w:tcPr>
            <w:tcW w:w="1208" w:type="dxa"/>
            <w:tcBorders>
              <w:bottom w:val="single" w:sz="4" w:space="0" w:color="auto"/>
            </w:tcBorders>
            <w:shd w:val="clear" w:color="auto" w:fill="auto"/>
            <w:vAlign w:val="center"/>
          </w:tcPr>
          <w:p w14:paraId="3D2125A5" w14:textId="111D3D0F" w:rsidR="00947B2F" w:rsidRPr="005C7611" w:rsidRDefault="00947B2F"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39.1</w:t>
            </w:r>
          </w:p>
        </w:tc>
        <w:tc>
          <w:tcPr>
            <w:tcW w:w="1026" w:type="dxa"/>
            <w:tcBorders>
              <w:bottom w:val="single" w:sz="4" w:space="0" w:color="auto"/>
            </w:tcBorders>
            <w:shd w:val="clear" w:color="auto" w:fill="auto"/>
            <w:vAlign w:val="center"/>
          </w:tcPr>
          <w:p w14:paraId="3BAE11AB" w14:textId="77777777" w:rsidR="00947B2F" w:rsidRPr="005C7611" w:rsidRDefault="00947B2F"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21.3</w:t>
            </w:r>
          </w:p>
        </w:tc>
        <w:tc>
          <w:tcPr>
            <w:tcW w:w="1418" w:type="dxa"/>
            <w:tcBorders>
              <w:bottom w:val="single" w:sz="4" w:space="0" w:color="auto"/>
            </w:tcBorders>
            <w:shd w:val="clear" w:color="auto" w:fill="auto"/>
            <w:vAlign w:val="center"/>
          </w:tcPr>
          <w:p w14:paraId="1FE8A816" w14:textId="77777777" w:rsidR="00947B2F" w:rsidRPr="005C7611" w:rsidRDefault="00947B2F"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(0.411, 0.497)</w:t>
            </w:r>
          </w:p>
        </w:tc>
      </w:tr>
      <w:tr w:rsidR="00947B2F" w:rsidRPr="005C7611" w14:paraId="0FFE8F30" w14:textId="77777777" w:rsidTr="00B935AB">
        <w:trPr>
          <w:trHeight w:val="370"/>
        </w:trPr>
        <w:tc>
          <w:tcPr>
            <w:tcW w:w="1219" w:type="dxa"/>
            <w:vMerge w:val="restart"/>
            <w:tcBorders>
              <w:top w:val="single" w:sz="4" w:space="0" w:color="auto"/>
            </w:tcBorders>
            <w:shd w:val="clear" w:color="auto" w:fill="auto"/>
            <w:vAlign w:val="center"/>
          </w:tcPr>
          <w:p w14:paraId="7C6D7661" w14:textId="77777777" w:rsidR="00947B2F" w:rsidRPr="005C7611" w:rsidRDefault="00947B2F"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CMA4</w:t>
            </w:r>
          </w:p>
        </w:tc>
        <w:tc>
          <w:tcPr>
            <w:tcW w:w="800" w:type="dxa"/>
            <w:tcBorders>
              <w:top w:val="single" w:sz="4" w:space="0" w:color="auto"/>
            </w:tcBorders>
            <w:shd w:val="clear" w:color="auto" w:fill="auto"/>
            <w:vAlign w:val="center"/>
          </w:tcPr>
          <w:p w14:paraId="0E636173" w14:textId="77777777" w:rsidR="00947B2F" w:rsidRPr="005C7611" w:rsidRDefault="00947B2F"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0</w:t>
            </w:r>
          </w:p>
        </w:tc>
        <w:tc>
          <w:tcPr>
            <w:tcW w:w="630" w:type="dxa"/>
            <w:tcBorders>
              <w:top w:val="single" w:sz="4" w:space="0" w:color="auto"/>
            </w:tcBorders>
            <w:shd w:val="clear" w:color="auto" w:fill="auto"/>
            <w:vAlign w:val="center"/>
          </w:tcPr>
          <w:p w14:paraId="159E3626" w14:textId="77777777" w:rsidR="00947B2F" w:rsidRPr="005C7611" w:rsidRDefault="00947B2F"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4.4</w:t>
            </w:r>
          </w:p>
        </w:tc>
        <w:tc>
          <w:tcPr>
            <w:tcW w:w="744" w:type="dxa"/>
            <w:tcBorders>
              <w:top w:val="single" w:sz="4" w:space="0" w:color="auto"/>
            </w:tcBorders>
            <w:shd w:val="clear" w:color="auto" w:fill="auto"/>
            <w:vAlign w:val="center"/>
          </w:tcPr>
          <w:p w14:paraId="718FFA36" w14:textId="77777777" w:rsidR="00947B2F" w:rsidRPr="005C7611" w:rsidRDefault="00947B2F"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5.7</w:t>
            </w:r>
          </w:p>
        </w:tc>
        <w:tc>
          <w:tcPr>
            <w:tcW w:w="962" w:type="dxa"/>
            <w:tcBorders>
              <w:top w:val="single" w:sz="4" w:space="0" w:color="auto"/>
            </w:tcBorders>
            <w:shd w:val="clear" w:color="auto" w:fill="auto"/>
            <w:vAlign w:val="center"/>
          </w:tcPr>
          <w:p w14:paraId="3B7EE27A" w14:textId="77777777" w:rsidR="00947B2F" w:rsidRPr="005C7611" w:rsidRDefault="00947B2F"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16.0</w:t>
            </w:r>
          </w:p>
        </w:tc>
        <w:tc>
          <w:tcPr>
            <w:tcW w:w="1065" w:type="dxa"/>
            <w:tcBorders>
              <w:top w:val="single" w:sz="4" w:space="0" w:color="auto"/>
            </w:tcBorders>
            <w:vAlign w:val="center"/>
          </w:tcPr>
          <w:p w14:paraId="0F397E8F" w14:textId="0EF31F13" w:rsidR="00947B2F" w:rsidRPr="005C7611" w:rsidRDefault="001621E6"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15.7</w:t>
            </w:r>
          </w:p>
        </w:tc>
        <w:tc>
          <w:tcPr>
            <w:tcW w:w="1208" w:type="dxa"/>
            <w:tcBorders>
              <w:top w:val="single" w:sz="4" w:space="0" w:color="auto"/>
            </w:tcBorders>
            <w:shd w:val="clear" w:color="auto" w:fill="auto"/>
            <w:vAlign w:val="center"/>
          </w:tcPr>
          <w:p w14:paraId="0DC33BB7" w14:textId="3237515F" w:rsidR="00947B2F" w:rsidRPr="005C7611" w:rsidRDefault="00947B2F"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32.9</w:t>
            </w:r>
          </w:p>
        </w:tc>
        <w:tc>
          <w:tcPr>
            <w:tcW w:w="1026" w:type="dxa"/>
            <w:tcBorders>
              <w:top w:val="single" w:sz="4" w:space="0" w:color="auto"/>
            </w:tcBorders>
            <w:shd w:val="clear" w:color="auto" w:fill="auto"/>
            <w:vAlign w:val="center"/>
          </w:tcPr>
          <w:p w14:paraId="15D68358" w14:textId="77777777" w:rsidR="00947B2F" w:rsidRPr="005C7611" w:rsidRDefault="00947B2F"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26.7</w:t>
            </w:r>
          </w:p>
        </w:tc>
        <w:tc>
          <w:tcPr>
            <w:tcW w:w="1418" w:type="dxa"/>
            <w:tcBorders>
              <w:top w:val="single" w:sz="4" w:space="0" w:color="auto"/>
            </w:tcBorders>
            <w:shd w:val="clear" w:color="auto" w:fill="auto"/>
            <w:vAlign w:val="center"/>
          </w:tcPr>
          <w:p w14:paraId="617992B8" w14:textId="77777777" w:rsidR="00947B2F" w:rsidRPr="005C7611" w:rsidRDefault="00947B2F"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(0.375, 0.541)</w:t>
            </w:r>
          </w:p>
        </w:tc>
      </w:tr>
      <w:tr w:rsidR="00947B2F" w:rsidRPr="005C7611" w14:paraId="755D5FBB" w14:textId="77777777" w:rsidTr="00B935AB">
        <w:trPr>
          <w:trHeight w:val="370"/>
        </w:trPr>
        <w:tc>
          <w:tcPr>
            <w:tcW w:w="1219" w:type="dxa"/>
            <w:vMerge/>
            <w:shd w:val="clear" w:color="auto" w:fill="auto"/>
            <w:vAlign w:val="center"/>
          </w:tcPr>
          <w:p w14:paraId="33C7DEF5" w14:textId="77777777" w:rsidR="00947B2F" w:rsidRPr="005C7611" w:rsidRDefault="00947B2F" w:rsidP="00922430">
            <w:pPr>
              <w:pStyle w:val="TableBody"/>
              <w:jc w:val="center"/>
              <w:rPr>
                <w:rFonts w:eastAsiaTheme="minorEastAsia"/>
                <w:sz w:val="20"/>
                <w:szCs w:val="18"/>
                <w:lang w:val="en-US" w:eastAsia="ko-KR"/>
              </w:rPr>
            </w:pPr>
          </w:p>
        </w:tc>
        <w:tc>
          <w:tcPr>
            <w:tcW w:w="800" w:type="dxa"/>
            <w:shd w:val="clear" w:color="auto" w:fill="auto"/>
            <w:vAlign w:val="center"/>
          </w:tcPr>
          <w:p w14:paraId="15C13187" w14:textId="77777777" w:rsidR="00947B2F" w:rsidRPr="005C7611" w:rsidRDefault="00947B2F"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2</w:t>
            </w:r>
          </w:p>
        </w:tc>
        <w:tc>
          <w:tcPr>
            <w:tcW w:w="630" w:type="dxa"/>
            <w:shd w:val="clear" w:color="auto" w:fill="auto"/>
            <w:vAlign w:val="center"/>
          </w:tcPr>
          <w:p w14:paraId="2F95B753" w14:textId="77777777" w:rsidR="00947B2F" w:rsidRPr="005C7611" w:rsidRDefault="00947B2F"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4.4</w:t>
            </w:r>
          </w:p>
        </w:tc>
        <w:tc>
          <w:tcPr>
            <w:tcW w:w="744" w:type="dxa"/>
            <w:shd w:val="clear" w:color="auto" w:fill="auto"/>
            <w:vAlign w:val="center"/>
          </w:tcPr>
          <w:p w14:paraId="1DA6B63C" w14:textId="77777777" w:rsidR="00947B2F" w:rsidRPr="005C7611" w:rsidRDefault="00947B2F"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6.1</w:t>
            </w:r>
          </w:p>
        </w:tc>
        <w:tc>
          <w:tcPr>
            <w:tcW w:w="962" w:type="dxa"/>
            <w:shd w:val="clear" w:color="auto" w:fill="auto"/>
            <w:vAlign w:val="center"/>
          </w:tcPr>
          <w:p w14:paraId="1FA9CF6D" w14:textId="77777777" w:rsidR="00947B2F" w:rsidRPr="005C7611" w:rsidRDefault="00947B2F"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16.5</w:t>
            </w:r>
          </w:p>
        </w:tc>
        <w:tc>
          <w:tcPr>
            <w:tcW w:w="1065" w:type="dxa"/>
            <w:vAlign w:val="center"/>
          </w:tcPr>
          <w:p w14:paraId="7081A788" w14:textId="2B8FF021" w:rsidR="00947B2F" w:rsidRPr="005C7611" w:rsidRDefault="001621E6"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14.3</w:t>
            </w:r>
          </w:p>
        </w:tc>
        <w:tc>
          <w:tcPr>
            <w:tcW w:w="1208" w:type="dxa"/>
            <w:shd w:val="clear" w:color="auto" w:fill="auto"/>
            <w:vAlign w:val="center"/>
          </w:tcPr>
          <w:p w14:paraId="508741D8" w14:textId="2BB8EDA5" w:rsidR="00947B2F" w:rsidRPr="005C7611" w:rsidRDefault="00947B2F"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37.6</w:t>
            </w:r>
          </w:p>
        </w:tc>
        <w:tc>
          <w:tcPr>
            <w:tcW w:w="1026" w:type="dxa"/>
            <w:shd w:val="clear" w:color="auto" w:fill="auto"/>
            <w:vAlign w:val="center"/>
          </w:tcPr>
          <w:p w14:paraId="6FF5CC9D" w14:textId="77777777" w:rsidR="00947B2F" w:rsidRPr="005C7611" w:rsidRDefault="00947B2F"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23.7</w:t>
            </w:r>
          </w:p>
        </w:tc>
        <w:tc>
          <w:tcPr>
            <w:tcW w:w="1418" w:type="dxa"/>
            <w:shd w:val="clear" w:color="auto" w:fill="auto"/>
            <w:vAlign w:val="center"/>
          </w:tcPr>
          <w:p w14:paraId="43B7985F" w14:textId="77777777" w:rsidR="00947B2F" w:rsidRPr="005C7611" w:rsidRDefault="00947B2F"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(0.423, 0.524)</w:t>
            </w:r>
          </w:p>
        </w:tc>
      </w:tr>
      <w:tr w:rsidR="00947B2F" w:rsidRPr="005C7611" w14:paraId="23E76E95" w14:textId="77777777" w:rsidTr="00B935AB">
        <w:trPr>
          <w:trHeight w:val="370"/>
        </w:trPr>
        <w:tc>
          <w:tcPr>
            <w:tcW w:w="1219" w:type="dxa"/>
            <w:vMerge/>
            <w:shd w:val="clear" w:color="auto" w:fill="auto"/>
            <w:vAlign w:val="center"/>
          </w:tcPr>
          <w:p w14:paraId="1A2E865E" w14:textId="77777777" w:rsidR="00947B2F" w:rsidRPr="005C7611" w:rsidRDefault="00947B2F" w:rsidP="00922430">
            <w:pPr>
              <w:pStyle w:val="TableBody"/>
              <w:jc w:val="center"/>
              <w:rPr>
                <w:rFonts w:eastAsiaTheme="minorEastAsia"/>
                <w:sz w:val="20"/>
                <w:szCs w:val="18"/>
                <w:lang w:val="en-US" w:eastAsia="ko-KR"/>
              </w:rPr>
            </w:pPr>
          </w:p>
        </w:tc>
        <w:tc>
          <w:tcPr>
            <w:tcW w:w="800" w:type="dxa"/>
            <w:shd w:val="clear" w:color="auto" w:fill="auto"/>
            <w:vAlign w:val="center"/>
          </w:tcPr>
          <w:p w14:paraId="05E57A53" w14:textId="77777777" w:rsidR="00947B2F" w:rsidRPr="005C7611" w:rsidRDefault="00947B2F"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4</w:t>
            </w:r>
          </w:p>
        </w:tc>
        <w:tc>
          <w:tcPr>
            <w:tcW w:w="630" w:type="dxa"/>
            <w:shd w:val="clear" w:color="auto" w:fill="auto"/>
            <w:vAlign w:val="center"/>
          </w:tcPr>
          <w:p w14:paraId="4F928224" w14:textId="77777777" w:rsidR="00947B2F" w:rsidRPr="005C7611" w:rsidRDefault="00947B2F"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4.6</w:t>
            </w:r>
          </w:p>
        </w:tc>
        <w:tc>
          <w:tcPr>
            <w:tcW w:w="744" w:type="dxa"/>
            <w:shd w:val="clear" w:color="auto" w:fill="auto"/>
            <w:vAlign w:val="center"/>
          </w:tcPr>
          <w:p w14:paraId="42977D90" w14:textId="77777777" w:rsidR="00947B2F" w:rsidRPr="005C7611" w:rsidRDefault="00947B2F"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6.6</w:t>
            </w:r>
          </w:p>
        </w:tc>
        <w:tc>
          <w:tcPr>
            <w:tcW w:w="962" w:type="dxa"/>
            <w:shd w:val="clear" w:color="auto" w:fill="auto"/>
            <w:vAlign w:val="center"/>
          </w:tcPr>
          <w:p w14:paraId="48B8D906" w14:textId="77777777" w:rsidR="00947B2F" w:rsidRPr="005C7611" w:rsidRDefault="00947B2F"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16.1</w:t>
            </w:r>
          </w:p>
        </w:tc>
        <w:tc>
          <w:tcPr>
            <w:tcW w:w="1065" w:type="dxa"/>
            <w:vAlign w:val="center"/>
          </w:tcPr>
          <w:p w14:paraId="122BE990" w14:textId="25A47F5E" w:rsidR="00947B2F" w:rsidRPr="005C7611" w:rsidRDefault="001621E6"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11.2</w:t>
            </w:r>
          </w:p>
        </w:tc>
        <w:tc>
          <w:tcPr>
            <w:tcW w:w="1208" w:type="dxa"/>
            <w:shd w:val="clear" w:color="auto" w:fill="auto"/>
            <w:vAlign w:val="center"/>
          </w:tcPr>
          <w:p w14:paraId="766AA19B" w14:textId="39050F62" w:rsidR="00947B2F" w:rsidRPr="005C7611" w:rsidRDefault="00947B2F"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34.8</w:t>
            </w:r>
          </w:p>
        </w:tc>
        <w:tc>
          <w:tcPr>
            <w:tcW w:w="1026" w:type="dxa"/>
            <w:shd w:val="clear" w:color="auto" w:fill="auto"/>
            <w:vAlign w:val="center"/>
          </w:tcPr>
          <w:p w14:paraId="73C69CC2" w14:textId="77777777" w:rsidR="00947B2F" w:rsidRPr="005C7611" w:rsidRDefault="00947B2F"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16.9</w:t>
            </w:r>
          </w:p>
        </w:tc>
        <w:tc>
          <w:tcPr>
            <w:tcW w:w="1418" w:type="dxa"/>
            <w:shd w:val="clear" w:color="auto" w:fill="auto"/>
            <w:vAlign w:val="center"/>
          </w:tcPr>
          <w:p w14:paraId="2578BC95" w14:textId="77777777" w:rsidR="00947B2F" w:rsidRPr="005C7611" w:rsidRDefault="00947B2F"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(0.481, 0.502)</w:t>
            </w:r>
          </w:p>
        </w:tc>
      </w:tr>
      <w:tr w:rsidR="00947B2F" w:rsidRPr="005C7611" w14:paraId="6D618AF9" w14:textId="77777777" w:rsidTr="00B935AB">
        <w:trPr>
          <w:trHeight w:val="370"/>
        </w:trPr>
        <w:tc>
          <w:tcPr>
            <w:tcW w:w="1219" w:type="dxa"/>
            <w:vMerge/>
            <w:shd w:val="clear" w:color="auto" w:fill="auto"/>
            <w:vAlign w:val="center"/>
          </w:tcPr>
          <w:p w14:paraId="008A046D" w14:textId="77777777" w:rsidR="00947B2F" w:rsidRPr="005C7611" w:rsidRDefault="00947B2F" w:rsidP="00922430">
            <w:pPr>
              <w:pStyle w:val="TableBody"/>
              <w:jc w:val="center"/>
              <w:rPr>
                <w:rFonts w:eastAsiaTheme="minorEastAsia"/>
                <w:sz w:val="20"/>
                <w:szCs w:val="18"/>
                <w:lang w:val="en-US" w:eastAsia="ko-KR"/>
              </w:rPr>
            </w:pPr>
          </w:p>
        </w:tc>
        <w:tc>
          <w:tcPr>
            <w:tcW w:w="800" w:type="dxa"/>
            <w:shd w:val="clear" w:color="auto" w:fill="auto"/>
            <w:vAlign w:val="center"/>
          </w:tcPr>
          <w:p w14:paraId="49D88936" w14:textId="77777777" w:rsidR="00947B2F" w:rsidRPr="005C7611" w:rsidRDefault="00947B2F"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10</w:t>
            </w:r>
          </w:p>
        </w:tc>
        <w:tc>
          <w:tcPr>
            <w:tcW w:w="630" w:type="dxa"/>
            <w:shd w:val="clear" w:color="auto" w:fill="auto"/>
            <w:vAlign w:val="center"/>
          </w:tcPr>
          <w:p w14:paraId="1314BEA1" w14:textId="77777777" w:rsidR="00947B2F" w:rsidRPr="005C7611" w:rsidRDefault="00947B2F"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4.6</w:t>
            </w:r>
          </w:p>
        </w:tc>
        <w:tc>
          <w:tcPr>
            <w:tcW w:w="744" w:type="dxa"/>
            <w:shd w:val="clear" w:color="auto" w:fill="auto"/>
            <w:vAlign w:val="center"/>
          </w:tcPr>
          <w:p w14:paraId="1DE1D58C" w14:textId="77777777" w:rsidR="00947B2F" w:rsidRPr="005C7611" w:rsidRDefault="00947B2F"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6.6</w:t>
            </w:r>
          </w:p>
        </w:tc>
        <w:tc>
          <w:tcPr>
            <w:tcW w:w="962" w:type="dxa"/>
            <w:shd w:val="clear" w:color="auto" w:fill="auto"/>
            <w:vAlign w:val="center"/>
          </w:tcPr>
          <w:p w14:paraId="7BCA1207" w14:textId="77777777" w:rsidR="00947B2F" w:rsidRPr="005C7611" w:rsidRDefault="00947B2F"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11.9</w:t>
            </w:r>
          </w:p>
        </w:tc>
        <w:tc>
          <w:tcPr>
            <w:tcW w:w="1065" w:type="dxa"/>
            <w:vAlign w:val="center"/>
          </w:tcPr>
          <w:p w14:paraId="13BBF227" w14:textId="5CA6A994" w:rsidR="00947B2F" w:rsidRPr="005C7611" w:rsidRDefault="001621E6"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8.3</w:t>
            </w:r>
          </w:p>
        </w:tc>
        <w:tc>
          <w:tcPr>
            <w:tcW w:w="1208" w:type="dxa"/>
            <w:shd w:val="clear" w:color="auto" w:fill="auto"/>
            <w:vAlign w:val="center"/>
          </w:tcPr>
          <w:p w14:paraId="1222A343" w14:textId="39ABED50" w:rsidR="00947B2F" w:rsidRPr="005C7611" w:rsidRDefault="00947B2F"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24.2</w:t>
            </w:r>
          </w:p>
        </w:tc>
        <w:tc>
          <w:tcPr>
            <w:tcW w:w="1026" w:type="dxa"/>
            <w:shd w:val="clear" w:color="auto" w:fill="auto"/>
            <w:vAlign w:val="center"/>
          </w:tcPr>
          <w:p w14:paraId="55DDF99C" w14:textId="77777777" w:rsidR="00947B2F" w:rsidRPr="005C7611" w:rsidRDefault="00947B2F"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12.0</w:t>
            </w:r>
          </w:p>
        </w:tc>
        <w:tc>
          <w:tcPr>
            <w:tcW w:w="1418" w:type="dxa"/>
            <w:shd w:val="clear" w:color="auto" w:fill="auto"/>
            <w:vAlign w:val="center"/>
          </w:tcPr>
          <w:p w14:paraId="3FBDBF52" w14:textId="77777777" w:rsidR="00947B2F" w:rsidRPr="005C7611" w:rsidRDefault="00947B2F" w:rsidP="00922430">
            <w:pPr>
              <w:pStyle w:val="TableBody"/>
              <w:jc w:val="center"/>
              <w:rPr>
                <w:rFonts w:eastAsiaTheme="minorEastAsia"/>
                <w:sz w:val="20"/>
                <w:szCs w:val="18"/>
                <w:lang w:val="en-US" w:eastAsia="ko-KR"/>
              </w:rPr>
            </w:pPr>
            <w:r w:rsidRPr="005C7611">
              <w:rPr>
                <w:rFonts w:eastAsiaTheme="minorEastAsia"/>
                <w:sz w:val="20"/>
                <w:szCs w:val="18"/>
                <w:lang w:val="en-US" w:eastAsia="ko-KR"/>
              </w:rPr>
              <w:t>(0.503, 0.487)</w:t>
            </w:r>
          </w:p>
        </w:tc>
      </w:tr>
    </w:tbl>
    <w:p w14:paraId="521D58A9" w14:textId="77777777" w:rsidR="00562E2B" w:rsidRPr="005C7611" w:rsidRDefault="002E3C98" w:rsidP="00562E2B">
      <w:pPr>
        <w:rPr>
          <w:color w:val="FF0000"/>
          <w:lang w:val="en-US"/>
        </w:rPr>
      </w:pPr>
      <w:proofErr w:type="gramStart"/>
      <w:r w:rsidRPr="005C7611">
        <w:rPr>
          <w:vertAlign w:val="superscript"/>
          <w:lang w:val="en-US"/>
        </w:rPr>
        <w:t>a)</w:t>
      </w:r>
      <w:r w:rsidRPr="005C7611">
        <w:rPr>
          <w:lang w:val="en-US"/>
        </w:rPr>
        <w:t>At</w:t>
      </w:r>
      <w:proofErr w:type="gramEnd"/>
      <w:r w:rsidRPr="005C7611">
        <w:rPr>
          <w:lang w:val="en-US"/>
        </w:rPr>
        <w:t xml:space="preserve"> 1 cd/m</w:t>
      </w:r>
      <w:r w:rsidRPr="005C7611">
        <w:rPr>
          <w:vertAlign w:val="superscript"/>
          <w:lang w:val="en-US"/>
        </w:rPr>
        <w:t>2</w:t>
      </w:r>
    </w:p>
    <w:p w14:paraId="4ADF1BF1" w14:textId="77777777" w:rsidR="0059526F" w:rsidRPr="005C7611" w:rsidRDefault="00004A23" w:rsidP="0059526F">
      <w:pPr>
        <w:rPr>
          <w:color w:val="FF0000"/>
          <w:lang w:val="en-US"/>
        </w:rPr>
      </w:pPr>
      <w:r w:rsidRPr="005C7611">
        <w:rPr>
          <w:lang w:val="en-US"/>
        </w:rPr>
        <w:br w:type="page"/>
      </w:r>
    </w:p>
    <w:p w14:paraId="6C3FD081" w14:textId="77777777" w:rsidR="0059526F" w:rsidRPr="005C7611" w:rsidRDefault="0059526F" w:rsidP="0059526F">
      <w:pPr>
        <w:spacing w:line="480" w:lineRule="auto"/>
        <w:rPr>
          <w:lang w:val="en-US"/>
        </w:rPr>
      </w:pPr>
      <w:r w:rsidRPr="005C7611">
        <w:rPr>
          <w:lang w:val="en-US"/>
        </w:rPr>
        <w:lastRenderedPageBreak/>
        <w:t xml:space="preserve">Copyright WILEY-VCH Verlag GmbH &amp; Co. </w:t>
      </w:r>
      <w:proofErr w:type="spellStart"/>
      <w:r w:rsidRPr="005C7611">
        <w:rPr>
          <w:lang w:val="en-US"/>
        </w:rPr>
        <w:t>KGaA</w:t>
      </w:r>
      <w:proofErr w:type="spellEnd"/>
      <w:r w:rsidRPr="005C7611">
        <w:rPr>
          <w:lang w:val="en-US"/>
        </w:rPr>
        <w:t xml:space="preserve">, 69469 Weinheim, Germany, </w:t>
      </w:r>
      <w:r w:rsidR="006C3782" w:rsidRPr="005C7611">
        <w:rPr>
          <w:lang w:val="en-US"/>
        </w:rPr>
        <w:t>201</w:t>
      </w:r>
      <w:r w:rsidR="00522E88" w:rsidRPr="005C7611">
        <w:rPr>
          <w:lang w:val="en-US"/>
        </w:rPr>
        <w:t>8</w:t>
      </w:r>
      <w:r w:rsidRPr="005C7611">
        <w:rPr>
          <w:lang w:val="en-US"/>
        </w:rPr>
        <w:t>.</w:t>
      </w:r>
    </w:p>
    <w:p w14:paraId="672ECA8A" w14:textId="77777777" w:rsidR="0059526F" w:rsidRPr="005C7611" w:rsidRDefault="0059526F" w:rsidP="0059526F">
      <w:pPr>
        <w:pStyle w:val="Title2"/>
        <w:rPr>
          <w:b w:val="0"/>
          <w:color w:val="FF0000"/>
        </w:rPr>
      </w:pPr>
    </w:p>
    <w:p w14:paraId="091CFCB5" w14:textId="77777777" w:rsidR="0059526F" w:rsidRPr="005C7611" w:rsidRDefault="0059526F" w:rsidP="0059526F">
      <w:pPr>
        <w:pStyle w:val="Title2"/>
        <w:rPr>
          <w:b w:val="0"/>
          <w:color w:val="000000"/>
          <w:sz w:val="32"/>
          <w:szCs w:val="32"/>
        </w:rPr>
      </w:pPr>
      <w:r w:rsidRPr="005C7611">
        <w:rPr>
          <w:b w:val="0"/>
          <w:color w:val="000000"/>
          <w:sz w:val="32"/>
          <w:szCs w:val="32"/>
        </w:rPr>
        <w:t xml:space="preserve">Supporting Information </w:t>
      </w:r>
    </w:p>
    <w:p w14:paraId="381766CC" w14:textId="77777777" w:rsidR="0059526F" w:rsidRPr="005C7611" w:rsidRDefault="0059526F" w:rsidP="0059526F">
      <w:pPr>
        <w:pStyle w:val="Tableofcontents"/>
        <w:rPr>
          <w:color w:val="FF0000"/>
        </w:rPr>
      </w:pPr>
    </w:p>
    <w:p w14:paraId="74CF7F0A" w14:textId="77777777" w:rsidR="001013F4" w:rsidRPr="005C7611" w:rsidRDefault="001013F4" w:rsidP="0059526F">
      <w:pPr>
        <w:pStyle w:val="Tableofcontents"/>
      </w:pPr>
    </w:p>
    <w:p w14:paraId="5749A827" w14:textId="77777777" w:rsidR="007B2B77" w:rsidRPr="005C7611" w:rsidRDefault="007B2B77" w:rsidP="007B2B77">
      <w:pPr>
        <w:pStyle w:val="Title2"/>
        <w:rPr>
          <w:b w:val="0"/>
          <w:color w:val="FF0000"/>
        </w:rPr>
      </w:pPr>
      <w:r w:rsidRPr="005C7611">
        <w:t>Matrix-free Hyperfluorescent Organic Light-Emitting Diodes Based on Carbene-Metal-Amides</w:t>
      </w:r>
    </w:p>
    <w:p w14:paraId="3FC4D462" w14:textId="77777777" w:rsidR="007B2B77" w:rsidRPr="005C7611" w:rsidRDefault="007B2B77" w:rsidP="007B2B77">
      <w:pPr>
        <w:pStyle w:val="Tableofcontents"/>
      </w:pPr>
    </w:p>
    <w:p w14:paraId="7D1482DF" w14:textId="77777777" w:rsidR="007B2B77" w:rsidRPr="005C7611" w:rsidRDefault="007B2B77" w:rsidP="007B2B77">
      <w:pPr>
        <w:pStyle w:val="AuthorsFull"/>
      </w:pPr>
      <w:r w:rsidRPr="005C7611">
        <w:t>Hwan-</w:t>
      </w:r>
      <w:proofErr w:type="spellStart"/>
      <w:r w:rsidRPr="005C7611">
        <w:t>Hee</w:t>
      </w:r>
      <w:proofErr w:type="spellEnd"/>
      <w:r w:rsidRPr="005C7611">
        <w:t xml:space="preserve"> Cho, Alexander S. Romanov, Manfred </w:t>
      </w:r>
      <w:proofErr w:type="spellStart"/>
      <w:r w:rsidRPr="005C7611">
        <w:t>Bochmann</w:t>
      </w:r>
      <w:proofErr w:type="spellEnd"/>
      <w:r w:rsidRPr="005C7611">
        <w:t xml:space="preserve">, Neil C. </w:t>
      </w:r>
      <w:proofErr w:type="spellStart"/>
      <w:r w:rsidRPr="005C7611">
        <w:t>Greenham</w:t>
      </w:r>
      <w:proofErr w:type="spellEnd"/>
      <w:r w:rsidRPr="005C7611">
        <w:t xml:space="preserve"> and Dan </w:t>
      </w:r>
      <w:proofErr w:type="spellStart"/>
      <w:r w:rsidRPr="005C7611">
        <w:t>Credgington</w:t>
      </w:r>
      <w:proofErr w:type="spellEnd"/>
      <w:r w:rsidRPr="005C7611">
        <w:t xml:space="preserve">* </w:t>
      </w:r>
    </w:p>
    <w:p w14:paraId="16EDABF6" w14:textId="77777777" w:rsidR="0059526F" w:rsidRPr="005C7611" w:rsidRDefault="0059526F" w:rsidP="0059526F">
      <w:pPr>
        <w:pStyle w:val="Tableofcontents"/>
      </w:pPr>
    </w:p>
    <w:p w14:paraId="36EAB517" w14:textId="77777777" w:rsidR="007B2B77" w:rsidRPr="005C7611" w:rsidRDefault="007B2B77" w:rsidP="0059526F">
      <w:pPr>
        <w:pStyle w:val="Tableofcontents"/>
      </w:pPr>
    </w:p>
    <w:p w14:paraId="6531FA16" w14:textId="77777777" w:rsidR="007B2B77" w:rsidRPr="005C7611" w:rsidRDefault="007B2B77" w:rsidP="007B2B77">
      <w:pPr>
        <w:jc w:val="center"/>
        <w:rPr>
          <w:b/>
          <w:bCs/>
          <w:szCs w:val="28"/>
          <w:lang w:val="en-US"/>
        </w:rPr>
      </w:pPr>
      <w:r w:rsidRPr="005C7611">
        <w:rPr>
          <w:noProof/>
          <w:lang w:val="en-US"/>
        </w:rPr>
        <w:drawing>
          <wp:inline distT="0" distB="0" distL="0" distR="0" wp14:anchorId="753BF527" wp14:editId="1838D1A8">
            <wp:extent cx="4345229" cy="3320695"/>
            <wp:effectExtent l="0" t="0" r="0" b="0"/>
            <wp:docPr id="30" name="Picture 30" descr="C:\Users\hc512\Desktop\Hwan-Hee\publication\matrix free HP_1\figure\Figure 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c512\Desktop\Hwan-Hee\publication\matrix free HP_1\figure\Figure S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1336" cy="3325362"/>
                    </a:xfrm>
                    <a:prstGeom prst="rect">
                      <a:avLst/>
                    </a:prstGeom>
                    <a:noFill/>
                    <a:ln>
                      <a:noFill/>
                    </a:ln>
                  </pic:spPr>
                </pic:pic>
              </a:graphicData>
            </a:graphic>
          </wp:inline>
        </w:drawing>
      </w:r>
    </w:p>
    <w:p w14:paraId="495409D0" w14:textId="4F6D5893" w:rsidR="007B2B77" w:rsidRPr="005C7611" w:rsidRDefault="007B2B77" w:rsidP="007B2B77">
      <w:pPr>
        <w:jc w:val="both"/>
        <w:rPr>
          <w:szCs w:val="28"/>
          <w:lang w:val="en-US"/>
        </w:rPr>
      </w:pPr>
      <w:r w:rsidRPr="005C7611">
        <w:rPr>
          <w:b/>
          <w:bCs/>
          <w:szCs w:val="28"/>
          <w:lang w:val="en-US"/>
        </w:rPr>
        <w:t>Figure S1.</w:t>
      </w:r>
      <w:r w:rsidRPr="005C7611">
        <w:rPr>
          <w:lang w:val="en-US"/>
        </w:rPr>
        <w:t xml:space="preserve"> Refractive index of CMA1,</w:t>
      </w:r>
      <w:r w:rsidR="0019269F" w:rsidRPr="005C7611">
        <w:rPr>
          <w:lang w:val="en-US"/>
        </w:rPr>
        <w:t xml:space="preserve"> </w:t>
      </w:r>
      <w:r w:rsidRPr="005C7611">
        <w:rPr>
          <w:lang w:val="en-US"/>
        </w:rPr>
        <w:t xml:space="preserve">CMA4, and </w:t>
      </w:r>
      <w:proofErr w:type="spellStart"/>
      <w:r w:rsidRPr="005C7611">
        <w:rPr>
          <w:lang w:val="en-US"/>
        </w:rPr>
        <w:t>mCP</w:t>
      </w:r>
      <w:proofErr w:type="spellEnd"/>
      <w:r w:rsidRPr="005C7611">
        <w:rPr>
          <w:szCs w:val="28"/>
          <w:lang w:val="en-US"/>
        </w:rPr>
        <w:t>.</w:t>
      </w:r>
    </w:p>
    <w:p w14:paraId="38095903" w14:textId="77777777" w:rsidR="007B2B77" w:rsidRPr="005C7611" w:rsidRDefault="007B2B77" w:rsidP="007B2B77">
      <w:pPr>
        <w:jc w:val="both"/>
        <w:rPr>
          <w:szCs w:val="28"/>
          <w:lang w:val="en-US"/>
        </w:rPr>
      </w:pPr>
    </w:p>
    <w:p w14:paraId="59A8A9DF" w14:textId="77777777" w:rsidR="007B2B77" w:rsidRPr="005C7611" w:rsidRDefault="007B2B77" w:rsidP="007B2B77">
      <w:pPr>
        <w:pStyle w:val="Tableofcontents"/>
        <w:jc w:val="center"/>
      </w:pPr>
    </w:p>
    <w:p w14:paraId="3689AB6D" w14:textId="6D7B545E" w:rsidR="007B2B77" w:rsidRPr="005C7611" w:rsidRDefault="0039145D" w:rsidP="007B2B77">
      <w:pPr>
        <w:pStyle w:val="Maintext0"/>
        <w:rPr>
          <w:color w:val="FF0000"/>
        </w:rPr>
      </w:pPr>
      <w:r w:rsidRPr="005C7611">
        <w:rPr>
          <w:noProof/>
        </w:rPr>
        <w:lastRenderedPageBreak/>
        <w:drawing>
          <wp:inline distT="0" distB="0" distL="0" distR="0" wp14:anchorId="0E5DFAF7" wp14:editId="0B5B81F8">
            <wp:extent cx="5731200" cy="5882187"/>
            <wp:effectExtent l="0" t="0" r="3175" b="4445"/>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200" cy="5882187"/>
                    </a:xfrm>
                    <a:prstGeom prst="rect">
                      <a:avLst/>
                    </a:prstGeom>
                    <a:noFill/>
                    <a:ln>
                      <a:noFill/>
                    </a:ln>
                  </pic:spPr>
                </pic:pic>
              </a:graphicData>
            </a:graphic>
          </wp:inline>
        </w:drawing>
      </w:r>
    </w:p>
    <w:p w14:paraId="5A823F26" w14:textId="77777777" w:rsidR="007B2B77" w:rsidRPr="005C7611" w:rsidRDefault="007B2B77" w:rsidP="007B2B77">
      <w:pPr>
        <w:jc w:val="both"/>
        <w:rPr>
          <w:lang w:val="en-US"/>
        </w:rPr>
      </w:pPr>
      <w:r w:rsidRPr="005C7611">
        <w:rPr>
          <w:b/>
          <w:bCs/>
          <w:szCs w:val="28"/>
          <w:lang w:val="en-US"/>
        </w:rPr>
        <w:t>Figure S2.</w:t>
      </w:r>
      <w:r w:rsidRPr="005C7611">
        <w:rPr>
          <w:lang w:val="en-US"/>
        </w:rPr>
        <w:t xml:space="preserve"> (a) and (b) show PL spectra of 2% rubrene or </w:t>
      </w:r>
      <w:proofErr w:type="spellStart"/>
      <w:r w:rsidRPr="005C7611">
        <w:rPr>
          <w:lang w:val="en-US"/>
        </w:rPr>
        <w:t>TBRb</w:t>
      </w:r>
      <w:proofErr w:type="spellEnd"/>
      <w:r w:rsidRPr="005C7611">
        <w:rPr>
          <w:lang w:val="en-US"/>
        </w:rPr>
        <w:t xml:space="preserve"> doped in </w:t>
      </w:r>
      <w:proofErr w:type="gramStart"/>
      <w:r w:rsidRPr="005C7611">
        <w:rPr>
          <w:lang w:val="en-US"/>
        </w:rPr>
        <w:t>mCP:CMA</w:t>
      </w:r>
      <w:proofErr w:type="gramEnd"/>
      <w:r w:rsidRPr="005C7611">
        <w:rPr>
          <w:lang w:val="en-US"/>
        </w:rPr>
        <w:t xml:space="preserve">1 20% and mCP:CMA4 20% films. PL spectra of rubrene or </w:t>
      </w:r>
      <w:proofErr w:type="spellStart"/>
      <w:r w:rsidRPr="005C7611">
        <w:rPr>
          <w:lang w:val="en-US"/>
        </w:rPr>
        <w:t>TBRb</w:t>
      </w:r>
      <w:proofErr w:type="spellEnd"/>
      <w:r w:rsidRPr="005C7611">
        <w:rPr>
          <w:lang w:val="en-US"/>
        </w:rPr>
        <w:t xml:space="preserve"> doped in CMA1 or CMA4 films are plotted in (c), (d), (e), and (f), respectively, with the variation of doping concentration.</w:t>
      </w:r>
    </w:p>
    <w:p w14:paraId="51BD8ABE" w14:textId="77777777" w:rsidR="007B2B77" w:rsidRPr="005C7611" w:rsidRDefault="007B2B77" w:rsidP="007B2B77">
      <w:pPr>
        <w:pStyle w:val="Maintext0"/>
      </w:pPr>
    </w:p>
    <w:p w14:paraId="6F80711D" w14:textId="68465CAF" w:rsidR="007B2B77" w:rsidRPr="005C7611" w:rsidRDefault="00FC14B6" w:rsidP="007B2B77">
      <w:pPr>
        <w:pStyle w:val="Maintext0"/>
        <w:rPr>
          <w:color w:val="FF0000"/>
        </w:rPr>
      </w:pPr>
      <w:r w:rsidRPr="005C7611">
        <w:rPr>
          <w:noProof/>
        </w:rPr>
        <w:lastRenderedPageBreak/>
        <w:drawing>
          <wp:inline distT="0" distB="0" distL="0" distR="0" wp14:anchorId="461F9C61" wp14:editId="47C09094">
            <wp:extent cx="5731200" cy="6417276"/>
            <wp:effectExtent l="0" t="0" r="3175" b="3175"/>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200" cy="6417276"/>
                    </a:xfrm>
                    <a:prstGeom prst="rect">
                      <a:avLst/>
                    </a:prstGeom>
                    <a:noFill/>
                    <a:ln>
                      <a:noFill/>
                    </a:ln>
                  </pic:spPr>
                </pic:pic>
              </a:graphicData>
            </a:graphic>
          </wp:inline>
        </w:drawing>
      </w:r>
    </w:p>
    <w:p w14:paraId="2D805A6D" w14:textId="77777777" w:rsidR="007B2B77" w:rsidRPr="005C7611" w:rsidRDefault="007B2B77" w:rsidP="007B2B77">
      <w:pPr>
        <w:pStyle w:val="Maintext0"/>
      </w:pPr>
      <w:r w:rsidRPr="005C7611">
        <w:rPr>
          <w:b/>
          <w:bCs/>
          <w:szCs w:val="28"/>
        </w:rPr>
        <w:t>Figure S3.</w:t>
      </w:r>
      <w:r w:rsidRPr="005C7611">
        <w:t xml:space="preserve"> Comparison of transient PL kinetics. (a) and (b) show the transient PL for dopant-free </w:t>
      </w:r>
      <w:proofErr w:type="gramStart"/>
      <w:r w:rsidRPr="005C7611">
        <w:t>mCP:CMA</w:t>
      </w:r>
      <w:proofErr w:type="gramEnd"/>
      <w:r w:rsidRPr="005C7611">
        <w:t xml:space="preserve">1 or CMA4 20% and rubrene or </w:t>
      </w:r>
      <w:proofErr w:type="spellStart"/>
      <w:r w:rsidRPr="005C7611">
        <w:t>TBRb</w:t>
      </w:r>
      <w:proofErr w:type="spellEnd"/>
      <w:r w:rsidRPr="005C7611">
        <w:t xml:space="preserve"> doped in mCP:CMA1 or CMA4 20% films. (c), (d), (e), and (f) display the transient PL for dopant-free CMA1 or CMA4 and rubrene or </w:t>
      </w:r>
      <w:proofErr w:type="spellStart"/>
      <w:r w:rsidRPr="005C7611">
        <w:t>TBRb</w:t>
      </w:r>
      <w:proofErr w:type="spellEnd"/>
      <w:r w:rsidRPr="005C7611">
        <w:t xml:space="preserve"> doped in CMA1 or CMA4 films.</w:t>
      </w:r>
    </w:p>
    <w:p w14:paraId="3019C8DD" w14:textId="77777777" w:rsidR="007B2B77" w:rsidRPr="005C7611" w:rsidRDefault="007B2B77" w:rsidP="007B2B77">
      <w:pPr>
        <w:pStyle w:val="Maintext0"/>
      </w:pPr>
    </w:p>
    <w:p w14:paraId="683B81C7" w14:textId="77777777" w:rsidR="007B2B77" w:rsidRPr="005C7611" w:rsidRDefault="007B2B77" w:rsidP="007B2B77">
      <w:pPr>
        <w:pStyle w:val="Maintext0"/>
      </w:pPr>
      <w:r w:rsidRPr="005C7611">
        <w:rPr>
          <w:noProof/>
        </w:rPr>
        <w:lastRenderedPageBreak/>
        <w:drawing>
          <wp:inline distT="0" distB="0" distL="0" distR="0" wp14:anchorId="460EEA77" wp14:editId="4545A382">
            <wp:extent cx="5731510" cy="4444365"/>
            <wp:effectExtent l="0" t="0" r="254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444365"/>
                    </a:xfrm>
                    <a:prstGeom prst="rect">
                      <a:avLst/>
                    </a:prstGeom>
                    <a:noFill/>
                    <a:ln>
                      <a:noFill/>
                    </a:ln>
                  </pic:spPr>
                </pic:pic>
              </a:graphicData>
            </a:graphic>
          </wp:inline>
        </w:drawing>
      </w:r>
    </w:p>
    <w:p w14:paraId="4DEE91AC" w14:textId="77777777" w:rsidR="007B2B77" w:rsidRPr="005C7611" w:rsidRDefault="007B2B77" w:rsidP="007B2B77">
      <w:pPr>
        <w:pStyle w:val="Maintext0"/>
      </w:pPr>
      <w:r w:rsidRPr="005C7611">
        <w:rPr>
          <w:b/>
          <w:bCs/>
          <w:szCs w:val="28"/>
        </w:rPr>
        <w:t>Figure S4.</w:t>
      </w:r>
      <w:r w:rsidRPr="005C7611">
        <w:t xml:space="preserve"> Comparison of FRET efficiency and the proportion of the emission spectra: with varying doping concentration, (a) and (c) are for rubrene doped in CMA1 or CMA4 films, and (b) and (d) are for </w:t>
      </w:r>
      <w:proofErr w:type="spellStart"/>
      <w:r w:rsidRPr="005C7611">
        <w:t>TBRb</w:t>
      </w:r>
      <w:proofErr w:type="spellEnd"/>
      <w:r w:rsidRPr="005C7611">
        <w:t xml:space="preserve"> doped in CMA1 or CMA4 films.</w:t>
      </w:r>
    </w:p>
    <w:p w14:paraId="54576048" w14:textId="77777777" w:rsidR="007B2B77" w:rsidRPr="005C7611" w:rsidRDefault="007B2B77" w:rsidP="007B2B77">
      <w:pPr>
        <w:pStyle w:val="Maintext0"/>
      </w:pPr>
    </w:p>
    <w:p w14:paraId="37157A1B" w14:textId="77777777" w:rsidR="007B2B77" w:rsidRPr="005C7611" w:rsidRDefault="007B2B77" w:rsidP="007B2B77">
      <w:pPr>
        <w:pStyle w:val="Maintext0"/>
        <w:rPr>
          <w:color w:val="FF0000"/>
        </w:rPr>
      </w:pPr>
      <w:r w:rsidRPr="005C7611">
        <w:rPr>
          <w:noProof/>
        </w:rPr>
        <w:lastRenderedPageBreak/>
        <w:drawing>
          <wp:inline distT="0" distB="0" distL="0" distR="0" wp14:anchorId="1B9E889F" wp14:editId="2BEBFFCC">
            <wp:extent cx="5731510" cy="4260850"/>
            <wp:effectExtent l="0" t="0" r="2540" b="635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260850"/>
                    </a:xfrm>
                    <a:prstGeom prst="rect">
                      <a:avLst/>
                    </a:prstGeom>
                    <a:noFill/>
                    <a:ln>
                      <a:noFill/>
                    </a:ln>
                  </pic:spPr>
                </pic:pic>
              </a:graphicData>
            </a:graphic>
          </wp:inline>
        </w:drawing>
      </w:r>
    </w:p>
    <w:p w14:paraId="4DFA3061" w14:textId="77777777" w:rsidR="007B2B77" w:rsidRPr="005C7611" w:rsidRDefault="007B2B77" w:rsidP="007B2B77">
      <w:pPr>
        <w:pStyle w:val="Maintext0"/>
        <w:rPr>
          <w:color w:val="FF0000"/>
        </w:rPr>
      </w:pPr>
      <w:r w:rsidRPr="005C7611">
        <w:rPr>
          <w:b/>
          <w:bCs/>
          <w:szCs w:val="28"/>
        </w:rPr>
        <w:t>Figure S5.</w:t>
      </w:r>
      <w:r w:rsidRPr="005C7611">
        <w:t xml:space="preserve"> Characteristics of current density vs voltage and luminance vs voltage. (a), (b) CMA1 based devices. (c), (d) CMA4 based devices.</w:t>
      </w:r>
    </w:p>
    <w:p w14:paraId="121ED986" w14:textId="77777777" w:rsidR="007B2B77" w:rsidRPr="005C7611" w:rsidRDefault="007B2B77" w:rsidP="007B2B77">
      <w:pPr>
        <w:pStyle w:val="Maintext0"/>
      </w:pPr>
    </w:p>
    <w:p w14:paraId="448BACD1" w14:textId="77777777" w:rsidR="007B2B77" w:rsidRPr="005C7611" w:rsidRDefault="007B2B77" w:rsidP="007B2B77">
      <w:pPr>
        <w:pStyle w:val="Maintext0"/>
      </w:pPr>
    </w:p>
    <w:p w14:paraId="3D719E2D" w14:textId="77777777" w:rsidR="00BE308D" w:rsidRPr="005C7611" w:rsidRDefault="00BE308D" w:rsidP="007B2B77">
      <w:pPr>
        <w:pStyle w:val="Maintext0"/>
      </w:pPr>
    </w:p>
    <w:p w14:paraId="4ACDEC6E" w14:textId="77777777" w:rsidR="00BE308D" w:rsidRPr="005C7611" w:rsidRDefault="00BE308D" w:rsidP="007B2B77">
      <w:pPr>
        <w:pStyle w:val="Maintext0"/>
      </w:pPr>
    </w:p>
    <w:p w14:paraId="58F407C2" w14:textId="77777777" w:rsidR="00BE308D" w:rsidRPr="005C7611" w:rsidRDefault="00BE308D" w:rsidP="007B2B77">
      <w:pPr>
        <w:pStyle w:val="Maintext0"/>
      </w:pPr>
    </w:p>
    <w:p w14:paraId="24DA887A" w14:textId="77777777" w:rsidR="00BE308D" w:rsidRPr="005C7611" w:rsidRDefault="00BE308D" w:rsidP="007B2B77">
      <w:pPr>
        <w:pStyle w:val="Maintext0"/>
      </w:pPr>
    </w:p>
    <w:p w14:paraId="6EB2727B" w14:textId="77777777" w:rsidR="00BE308D" w:rsidRPr="005C7611" w:rsidRDefault="00BE308D" w:rsidP="007B2B77">
      <w:pPr>
        <w:pStyle w:val="Maintext0"/>
      </w:pPr>
    </w:p>
    <w:p w14:paraId="4EDEC16F" w14:textId="77777777" w:rsidR="00BE308D" w:rsidRPr="005C7611" w:rsidRDefault="00BE308D" w:rsidP="007B2B77">
      <w:pPr>
        <w:pStyle w:val="Maintext0"/>
      </w:pPr>
    </w:p>
    <w:p w14:paraId="52AF96C4" w14:textId="77777777" w:rsidR="00BE308D" w:rsidRPr="005C7611" w:rsidRDefault="00BE308D" w:rsidP="007B2B77">
      <w:pPr>
        <w:pStyle w:val="Maintext0"/>
      </w:pPr>
    </w:p>
    <w:p w14:paraId="3537B612" w14:textId="77777777" w:rsidR="00BE308D" w:rsidRPr="005C7611" w:rsidRDefault="00BE308D" w:rsidP="007B2B77">
      <w:pPr>
        <w:pStyle w:val="Maintext0"/>
      </w:pPr>
    </w:p>
    <w:p w14:paraId="3550945A" w14:textId="77777777" w:rsidR="00BE308D" w:rsidRPr="005C7611" w:rsidRDefault="00BE308D" w:rsidP="007B2B77">
      <w:pPr>
        <w:pStyle w:val="Maintext0"/>
      </w:pPr>
    </w:p>
    <w:p w14:paraId="6F5802EE" w14:textId="77777777" w:rsidR="00BE308D" w:rsidRPr="005C7611" w:rsidRDefault="00BE308D" w:rsidP="007B2B77">
      <w:pPr>
        <w:pStyle w:val="Maintext0"/>
      </w:pPr>
    </w:p>
    <w:p w14:paraId="1E75542E" w14:textId="77777777" w:rsidR="00BE308D" w:rsidRPr="005C7611" w:rsidRDefault="00BE308D" w:rsidP="007B2B77">
      <w:pPr>
        <w:pStyle w:val="Maintext0"/>
      </w:pPr>
    </w:p>
    <w:p w14:paraId="162B3BF6" w14:textId="77777777" w:rsidR="00BE308D" w:rsidRPr="005C7611" w:rsidRDefault="00BE308D" w:rsidP="007B2B77">
      <w:pPr>
        <w:pStyle w:val="Maintext0"/>
      </w:pPr>
    </w:p>
    <w:p w14:paraId="13A7F847" w14:textId="77777777" w:rsidR="00BE308D" w:rsidRPr="005C7611" w:rsidRDefault="00BE308D" w:rsidP="007B2B77">
      <w:pPr>
        <w:pStyle w:val="Maintext0"/>
      </w:pPr>
    </w:p>
    <w:p w14:paraId="2DEC8034" w14:textId="77777777" w:rsidR="00BE308D" w:rsidRPr="005C7611" w:rsidRDefault="00BE308D" w:rsidP="007B2B77">
      <w:pPr>
        <w:pStyle w:val="Maintext0"/>
      </w:pPr>
    </w:p>
    <w:p w14:paraId="64FF1E82" w14:textId="77777777" w:rsidR="00BE308D" w:rsidRPr="005C7611" w:rsidRDefault="00BE308D" w:rsidP="007B2B77">
      <w:pPr>
        <w:pStyle w:val="Maintext0"/>
      </w:pPr>
    </w:p>
    <w:p w14:paraId="2A425657" w14:textId="77777777" w:rsidR="00BE308D" w:rsidRPr="005C7611" w:rsidRDefault="00BE308D" w:rsidP="007B2B77">
      <w:pPr>
        <w:pStyle w:val="Maintext0"/>
      </w:pPr>
    </w:p>
    <w:p w14:paraId="4DF71DC6" w14:textId="77777777" w:rsidR="00BE308D" w:rsidRPr="005C7611" w:rsidRDefault="00BE308D" w:rsidP="007B2B77">
      <w:pPr>
        <w:pStyle w:val="Maintext0"/>
      </w:pPr>
    </w:p>
    <w:p w14:paraId="1C3E0A6D" w14:textId="77777777" w:rsidR="00BE308D" w:rsidRPr="005C7611" w:rsidRDefault="00BE308D" w:rsidP="007B2B77">
      <w:pPr>
        <w:pStyle w:val="Maintext0"/>
      </w:pPr>
    </w:p>
    <w:p w14:paraId="1322B4BE" w14:textId="77777777" w:rsidR="00BE308D" w:rsidRPr="005C7611" w:rsidRDefault="00BE308D" w:rsidP="007B2B77">
      <w:pPr>
        <w:pStyle w:val="Maintext0"/>
      </w:pPr>
    </w:p>
    <w:p w14:paraId="357C98E4" w14:textId="77777777" w:rsidR="00BE308D" w:rsidRPr="005C7611" w:rsidRDefault="00BE308D" w:rsidP="007B2B77">
      <w:pPr>
        <w:pStyle w:val="Maintext0"/>
      </w:pPr>
    </w:p>
    <w:p w14:paraId="080241B1" w14:textId="77777777" w:rsidR="007B2B77" w:rsidRPr="005C7611" w:rsidRDefault="007B2B77" w:rsidP="007B2B77">
      <w:pPr>
        <w:jc w:val="both"/>
        <w:rPr>
          <w:szCs w:val="28"/>
          <w:lang w:val="en-US"/>
        </w:rPr>
      </w:pPr>
      <w:r w:rsidRPr="005C7611">
        <w:rPr>
          <w:b/>
          <w:lang w:val="en-US"/>
        </w:rPr>
        <w:lastRenderedPageBreak/>
        <w:t xml:space="preserve">Table S1. </w:t>
      </w:r>
      <w:r w:rsidRPr="005C7611">
        <w:rPr>
          <w:szCs w:val="28"/>
          <w:lang w:val="en-US"/>
        </w:rPr>
        <w:t xml:space="preserve">Summary of decay lifetime, radiative decay rate, FRET rate, DET rate, and FRET efficiency with respect to the doping concentration in CMA1, CMA4, </w:t>
      </w:r>
      <w:proofErr w:type="gramStart"/>
      <w:r w:rsidRPr="005C7611">
        <w:rPr>
          <w:szCs w:val="28"/>
          <w:lang w:val="en-US"/>
        </w:rPr>
        <w:t>mCP:CMA</w:t>
      </w:r>
      <w:proofErr w:type="gramEnd"/>
      <w:r w:rsidRPr="005C7611">
        <w:rPr>
          <w:szCs w:val="28"/>
          <w:lang w:val="en-US"/>
        </w:rPr>
        <w:t>1, and mCP:CMA4.</w:t>
      </w:r>
    </w:p>
    <w:p w14:paraId="599ED520" w14:textId="77777777" w:rsidR="007B2B77" w:rsidRPr="005C7611" w:rsidRDefault="007B2B77" w:rsidP="007B2B77">
      <w:pPr>
        <w:jc w:val="both"/>
        <w:rPr>
          <w:szCs w:val="28"/>
          <w:lang w:val="en-US"/>
        </w:rPr>
      </w:pPr>
      <w:r w:rsidRPr="005C7611">
        <w:rPr>
          <w:lang w:val="en-US"/>
        </w:rPr>
        <w:t xml:space="preserve"> </w:t>
      </w:r>
    </w:p>
    <w:tbl>
      <w:tblPr>
        <w:tblW w:w="9053" w:type="dxa"/>
        <w:tblLook w:val="01E0" w:firstRow="1" w:lastRow="1" w:firstColumn="1" w:lastColumn="1" w:noHBand="0" w:noVBand="0"/>
      </w:tblPr>
      <w:tblGrid>
        <w:gridCol w:w="1272"/>
        <w:gridCol w:w="1138"/>
        <w:gridCol w:w="949"/>
        <w:gridCol w:w="949"/>
        <w:gridCol w:w="949"/>
        <w:gridCol w:w="949"/>
        <w:gridCol w:w="949"/>
        <w:gridCol w:w="949"/>
        <w:gridCol w:w="949"/>
      </w:tblGrid>
      <w:tr w:rsidR="00BE308D" w:rsidRPr="005C7611" w14:paraId="05F9360C" w14:textId="77777777" w:rsidTr="00F81BDD">
        <w:trPr>
          <w:trHeight w:val="124"/>
        </w:trPr>
        <w:tc>
          <w:tcPr>
            <w:tcW w:w="2410" w:type="dxa"/>
            <w:gridSpan w:val="2"/>
            <w:vMerge w:val="restart"/>
            <w:shd w:val="clear" w:color="auto" w:fill="auto"/>
            <w:vAlign w:val="center"/>
          </w:tcPr>
          <w:p w14:paraId="3D6324CF" w14:textId="77777777" w:rsidR="00BE308D" w:rsidRPr="005C7611" w:rsidRDefault="00BE308D" w:rsidP="00F81BDD">
            <w:pPr>
              <w:pStyle w:val="TableHead"/>
              <w:jc w:val="center"/>
              <w:rPr>
                <w:rFonts w:eastAsiaTheme="minorEastAsia"/>
                <w:sz w:val="20"/>
                <w:szCs w:val="18"/>
                <w:lang w:val="en-US" w:eastAsia="ko-KR"/>
              </w:rPr>
            </w:pPr>
            <w:r w:rsidRPr="005C7611">
              <w:rPr>
                <w:rFonts w:eastAsiaTheme="minorEastAsia"/>
                <w:sz w:val="20"/>
                <w:szCs w:val="18"/>
                <w:lang w:val="en-US" w:eastAsia="ko-KR"/>
              </w:rPr>
              <w:t>Doping (%)</w:t>
            </w:r>
          </w:p>
        </w:tc>
        <w:tc>
          <w:tcPr>
            <w:tcW w:w="3796" w:type="dxa"/>
            <w:gridSpan w:val="4"/>
            <w:tcBorders>
              <w:bottom w:val="single" w:sz="4" w:space="0" w:color="auto"/>
            </w:tcBorders>
            <w:shd w:val="clear" w:color="auto" w:fill="auto"/>
            <w:vAlign w:val="center"/>
          </w:tcPr>
          <w:p w14:paraId="1F880087" w14:textId="77777777" w:rsidR="00BE308D" w:rsidRPr="005C7611" w:rsidRDefault="00BE308D"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Rubrene</w:t>
            </w:r>
          </w:p>
        </w:tc>
        <w:tc>
          <w:tcPr>
            <w:tcW w:w="2847" w:type="dxa"/>
            <w:gridSpan w:val="3"/>
            <w:tcBorders>
              <w:bottom w:val="single" w:sz="4" w:space="0" w:color="auto"/>
            </w:tcBorders>
            <w:shd w:val="clear" w:color="auto" w:fill="auto"/>
            <w:vAlign w:val="center"/>
          </w:tcPr>
          <w:p w14:paraId="3F890107" w14:textId="77777777" w:rsidR="00BE308D" w:rsidRPr="005C7611" w:rsidRDefault="00BE308D" w:rsidP="00F81BDD">
            <w:pPr>
              <w:pStyle w:val="TableBody"/>
              <w:jc w:val="center"/>
              <w:rPr>
                <w:rFonts w:eastAsiaTheme="minorEastAsia"/>
                <w:sz w:val="20"/>
                <w:szCs w:val="18"/>
                <w:lang w:val="en-US" w:eastAsia="ko-KR"/>
              </w:rPr>
            </w:pPr>
            <w:proofErr w:type="spellStart"/>
            <w:r w:rsidRPr="005C7611">
              <w:rPr>
                <w:rFonts w:eastAsiaTheme="minorEastAsia"/>
                <w:sz w:val="20"/>
                <w:szCs w:val="18"/>
                <w:lang w:val="en-US" w:eastAsia="ko-KR"/>
              </w:rPr>
              <w:t>TBRb</w:t>
            </w:r>
            <w:proofErr w:type="spellEnd"/>
          </w:p>
        </w:tc>
      </w:tr>
      <w:tr w:rsidR="00BE308D" w:rsidRPr="005C7611" w14:paraId="6AB83EFA" w14:textId="77777777" w:rsidTr="00BE308D">
        <w:trPr>
          <w:trHeight w:val="124"/>
        </w:trPr>
        <w:tc>
          <w:tcPr>
            <w:tcW w:w="2410" w:type="dxa"/>
            <w:gridSpan w:val="2"/>
            <w:vMerge/>
            <w:tcBorders>
              <w:bottom w:val="single" w:sz="4" w:space="0" w:color="auto"/>
            </w:tcBorders>
            <w:shd w:val="clear" w:color="auto" w:fill="auto"/>
            <w:vAlign w:val="center"/>
          </w:tcPr>
          <w:p w14:paraId="449B2F4B" w14:textId="77777777" w:rsidR="00BE308D" w:rsidRPr="005C7611" w:rsidRDefault="00BE308D" w:rsidP="00F81BDD">
            <w:pPr>
              <w:pStyle w:val="TableHead"/>
              <w:jc w:val="center"/>
              <w:rPr>
                <w:rFonts w:eastAsiaTheme="minorEastAsia"/>
                <w:sz w:val="20"/>
                <w:szCs w:val="18"/>
                <w:lang w:val="en-US" w:eastAsia="ko-KR"/>
              </w:rPr>
            </w:pPr>
          </w:p>
        </w:tc>
        <w:tc>
          <w:tcPr>
            <w:tcW w:w="949" w:type="dxa"/>
            <w:tcBorders>
              <w:bottom w:val="single" w:sz="4" w:space="0" w:color="auto"/>
            </w:tcBorders>
            <w:shd w:val="clear" w:color="auto" w:fill="auto"/>
            <w:vAlign w:val="center"/>
          </w:tcPr>
          <w:p w14:paraId="10722E49" w14:textId="77777777" w:rsidR="00BE308D" w:rsidRPr="005C7611" w:rsidRDefault="00BE308D"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0</w:t>
            </w:r>
          </w:p>
        </w:tc>
        <w:tc>
          <w:tcPr>
            <w:tcW w:w="949" w:type="dxa"/>
            <w:tcBorders>
              <w:bottom w:val="single" w:sz="4" w:space="0" w:color="auto"/>
            </w:tcBorders>
            <w:shd w:val="clear" w:color="auto" w:fill="auto"/>
            <w:vAlign w:val="center"/>
          </w:tcPr>
          <w:p w14:paraId="0766586D" w14:textId="77777777" w:rsidR="00BE308D" w:rsidRPr="005C7611" w:rsidRDefault="00BE308D"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2</w:t>
            </w:r>
          </w:p>
        </w:tc>
        <w:tc>
          <w:tcPr>
            <w:tcW w:w="949" w:type="dxa"/>
            <w:tcBorders>
              <w:bottom w:val="single" w:sz="4" w:space="0" w:color="auto"/>
            </w:tcBorders>
            <w:shd w:val="clear" w:color="auto" w:fill="auto"/>
            <w:vAlign w:val="center"/>
          </w:tcPr>
          <w:p w14:paraId="7C5B0005" w14:textId="77777777" w:rsidR="00BE308D" w:rsidRPr="005C7611" w:rsidRDefault="00BE308D"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4</w:t>
            </w:r>
          </w:p>
        </w:tc>
        <w:tc>
          <w:tcPr>
            <w:tcW w:w="949" w:type="dxa"/>
            <w:tcBorders>
              <w:bottom w:val="single" w:sz="4" w:space="0" w:color="auto"/>
            </w:tcBorders>
            <w:shd w:val="clear" w:color="auto" w:fill="auto"/>
            <w:vAlign w:val="center"/>
          </w:tcPr>
          <w:p w14:paraId="4A1CC962" w14:textId="77777777" w:rsidR="00BE308D" w:rsidRPr="005C7611" w:rsidRDefault="00BE308D"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10</w:t>
            </w:r>
          </w:p>
        </w:tc>
        <w:tc>
          <w:tcPr>
            <w:tcW w:w="949" w:type="dxa"/>
            <w:tcBorders>
              <w:bottom w:val="single" w:sz="4" w:space="0" w:color="auto"/>
            </w:tcBorders>
            <w:shd w:val="clear" w:color="auto" w:fill="auto"/>
            <w:vAlign w:val="center"/>
          </w:tcPr>
          <w:p w14:paraId="4D66A152" w14:textId="77777777" w:rsidR="00BE308D" w:rsidRPr="005C7611" w:rsidRDefault="00BE308D"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2</w:t>
            </w:r>
          </w:p>
        </w:tc>
        <w:tc>
          <w:tcPr>
            <w:tcW w:w="949" w:type="dxa"/>
            <w:tcBorders>
              <w:bottom w:val="single" w:sz="4" w:space="0" w:color="auto"/>
            </w:tcBorders>
            <w:shd w:val="clear" w:color="auto" w:fill="auto"/>
            <w:vAlign w:val="center"/>
          </w:tcPr>
          <w:p w14:paraId="7547B621" w14:textId="77777777" w:rsidR="00BE308D" w:rsidRPr="005C7611" w:rsidRDefault="00BE308D"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4</w:t>
            </w:r>
          </w:p>
        </w:tc>
        <w:tc>
          <w:tcPr>
            <w:tcW w:w="949" w:type="dxa"/>
            <w:tcBorders>
              <w:bottom w:val="single" w:sz="4" w:space="0" w:color="auto"/>
            </w:tcBorders>
            <w:shd w:val="clear" w:color="auto" w:fill="auto"/>
            <w:vAlign w:val="center"/>
          </w:tcPr>
          <w:p w14:paraId="5B230D0B" w14:textId="77777777" w:rsidR="00BE308D" w:rsidRPr="005C7611" w:rsidRDefault="00BE308D"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10</w:t>
            </w:r>
          </w:p>
        </w:tc>
      </w:tr>
      <w:tr w:rsidR="00BE308D" w:rsidRPr="005C7611" w14:paraId="47A83F1D" w14:textId="77777777" w:rsidTr="00BE308D">
        <w:trPr>
          <w:trHeight w:val="370"/>
        </w:trPr>
        <w:tc>
          <w:tcPr>
            <w:tcW w:w="1272" w:type="dxa"/>
            <w:vMerge w:val="restart"/>
            <w:tcBorders>
              <w:top w:val="single" w:sz="4" w:space="0" w:color="auto"/>
            </w:tcBorders>
            <w:shd w:val="clear" w:color="auto" w:fill="auto"/>
            <w:vAlign w:val="center"/>
          </w:tcPr>
          <w:p w14:paraId="3954F0CF" w14:textId="77777777" w:rsidR="00BE308D" w:rsidRPr="005C7611" w:rsidRDefault="00BE308D" w:rsidP="00BE308D">
            <w:pPr>
              <w:pStyle w:val="TableHead"/>
              <w:jc w:val="center"/>
              <w:rPr>
                <w:rFonts w:eastAsiaTheme="minorEastAsia"/>
                <w:sz w:val="20"/>
                <w:szCs w:val="18"/>
                <w:lang w:val="en-US" w:eastAsia="ko-KR"/>
              </w:rPr>
            </w:pPr>
            <w:bookmarkStart w:id="4" w:name="_Hlk42115578"/>
            <w:proofErr w:type="gramStart"/>
            <w:r w:rsidRPr="005C7611">
              <w:rPr>
                <w:rFonts w:eastAsiaTheme="minorEastAsia"/>
                <w:sz w:val="20"/>
                <w:szCs w:val="18"/>
                <w:lang w:val="en-US" w:eastAsia="ko-KR"/>
              </w:rPr>
              <w:t>mCP:CMA</w:t>
            </w:r>
            <w:proofErr w:type="gramEnd"/>
            <w:r w:rsidRPr="005C7611">
              <w:rPr>
                <w:rFonts w:eastAsiaTheme="minorEastAsia"/>
                <w:sz w:val="20"/>
                <w:szCs w:val="18"/>
                <w:lang w:val="en-US" w:eastAsia="ko-KR"/>
              </w:rPr>
              <w:t>1</w:t>
            </w:r>
          </w:p>
        </w:tc>
        <w:tc>
          <w:tcPr>
            <w:tcW w:w="1138" w:type="dxa"/>
            <w:tcBorders>
              <w:top w:val="single" w:sz="4" w:space="0" w:color="auto"/>
            </w:tcBorders>
            <w:shd w:val="clear" w:color="auto" w:fill="auto"/>
          </w:tcPr>
          <w:p w14:paraId="0AA715EF" w14:textId="77777777" w:rsidR="00BE308D" w:rsidRPr="005C7611" w:rsidRDefault="00BE308D" w:rsidP="00F81BDD">
            <w:pPr>
              <w:pStyle w:val="TableHead"/>
              <w:jc w:val="center"/>
              <w:rPr>
                <w:rFonts w:eastAsiaTheme="minorEastAsia"/>
                <w:sz w:val="20"/>
                <w:szCs w:val="18"/>
                <w:lang w:val="en-US" w:eastAsia="ko-KR"/>
              </w:rPr>
            </w:pPr>
            <w:r w:rsidRPr="005C7611">
              <w:rPr>
                <w:rFonts w:eastAsiaTheme="minorEastAsia"/>
                <w:i/>
                <w:iCs/>
                <w:sz w:val="20"/>
                <w:szCs w:val="18"/>
                <w:lang w:val="en-US" w:eastAsia="ko-KR"/>
              </w:rPr>
              <w:t>τ</w:t>
            </w:r>
            <w:r w:rsidRPr="005C7611">
              <w:rPr>
                <w:rFonts w:eastAsiaTheme="minorEastAsia"/>
                <w:sz w:val="20"/>
                <w:szCs w:val="18"/>
                <w:lang w:val="en-US" w:eastAsia="ko-KR"/>
              </w:rPr>
              <w:t xml:space="preserve"> (</w:t>
            </w:r>
            <w:proofErr w:type="spellStart"/>
            <w:r w:rsidRPr="005C7611">
              <w:rPr>
                <w:rFonts w:eastAsiaTheme="minorEastAsia"/>
                <w:sz w:val="20"/>
                <w:szCs w:val="18"/>
                <w:lang w:val="en-US" w:eastAsia="ko-KR"/>
              </w:rPr>
              <w:t>μs</w:t>
            </w:r>
            <w:proofErr w:type="spellEnd"/>
            <w:r w:rsidRPr="005C7611">
              <w:rPr>
                <w:rFonts w:eastAsiaTheme="minorEastAsia"/>
                <w:sz w:val="20"/>
                <w:szCs w:val="18"/>
                <w:lang w:val="en-US" w:eastAsia="ko-KR"/>
              </w:rPr>
              <w:t>)</w:t>
            </w:r>
          </w:p>
        </w:tc>
        <w:tc>
          <w:tcPr>
            <w:tcW w:w="949" w:type="dxa"/>
            <w:tcBorders>
              <w:top w:val="single" w:sz="4" w:space="0" w:color="auto"/>
            </w:tcBorders>
            <w:shd w:val="clear" w:color="auto" w:fill="auto"/>
            <w:vAlign w:val="center"/>
          </w:tcPr>
          <w:p w14:paraId="47013868" w14:textId="77777777" w:rsidR="00BE308D" w:rsidRPr="005C7611" w:rsidRDefault="00BE308D"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1.19</w:t>
            </w:r>
          </w:p>
        </w:tc>
        <w:tc>
          <w:tcPr>
            <w:tcW w:w="949" w:type="dxa"/>
            <w:tcBorders>
              <w:top w:val="single" w:sz="4" w:space="0" w:color="auto"/>
            </w:tcBorders>
            <w:shd w:val="clear" w:color="auto" w:fill="auto"/>
            <w:vAlign w:val="center"/>
          </w:tcPr>
          <w:p w14:paraId="14DDCBAB" w14:textId="77777777" w:rsidR="00BE308D" w:rsidRPr="005C7611" w:rsidRDefault="00BE308D"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0.046</w:t>
            </w:r>
          </w:p>
        </w:tc>
        <w:tc>
          <w:tcPr>
            <w:tcW w:w="949" w:type="dxa"/>
            <w:tcBorders>
              <w:top w:val="single" w:sz="4" w:space="0" w:color="auto"/>
            </w:tcBorders>
            <w:shd w:val="clear" w:color="auto" w:fill="auto"/>
            <w:vAlign w:val="center"/>
          </w:tcPr>
          <w:p w14:paraId="1BDB2974"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949" w:type="dxa"/>
            <w:tcBorders>
              <w:top w:val="single" w:sz="4" w:space="0" w:color="auto"/>
            </w:tcBorders>
            <w:shd w:val="clear" w:color="auto" w:fill="auto"/>
            <w:vAlign w:val="center"/>
          </w:tcPr>
          <w:p w14:paraId="41D201CF"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949" w:type="dxa"/>
            <w:tcBorders>
              <w:top w:val="single" w:sz="4" w:space="0" w:color="auto"/>
            </w:tcBorders>
            <w:shd w:val="clear" w:color="auto" w:fill="auto"/>
            <w:vAlign w:val="center"/>
          </w:tcPr>
          <w:p w14:paraId="309C44A8"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0.077</w:t>
            </w:r>
          </w:p>
        </w:tc>
        <w:tc>
          <w:tcPr>
            <w:tcW w:w="949" w:type="dxa"/>
            <w:tcBorders>
              <w:top w:val="single" w:sz="4" w:space="0" w:color="auto"/>
            </w:tcBorders>
            <w:shd w:val="clear" w:color="auto" w:fill="auto"/>
            <w:vAlign w:val="center"/>
          </w:tcPr>
          <w:p w14:paraId="7602AE6E"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949" w:type="dxa"/>
            <w:tcBorders>
              <w:top w:val="single" w:sz="4" w:space="0" w:color="auto"/>
            </w:tcBorders>
            <w:shd w:val="clear" w:color="auto" w:fill="auto"/>
            <w:vAlign w:val="center"/>
          </w:tcPr>
          <w:p w14:paraId="5FEAA426"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r>
      <w:tr w:rsidR="00BE308D" w:rsidRPr="005C7611" w14:paraId="63D80218" w14:textId="77777777" w:rsidTr="00BE308D">
        <w:trPr>
          <w:trHeight w:val="370"/>
        </w:trPr>
        <w:tc>
          <w:tcPr>
            <w:tcW w:w="1272" w:type="dxa"/>
            <w:vMerge/>
            <w:shd w:val="clear" w:color="auto" w:fill="auto"/>
          </w:tcPr>
          <w:p w14:paraId="1C8A184D" w14:textId="77777777" w:rsidR="00BE308D" w:rsidRPr="005C7611" w:rsidRDefault="00BE308D" w:rsidP="00F81BDD">
            <w:pPr>
              <w:pStyle w:val="TableBody"/>
              <w:jc w:val="center"/>
              <w:rPr>
                <w:rFonts w:eastAsiaTheme="minorEastAsia"/>
                <w:sz w:val="20"/>
                <w:szCs w:val="18"/>
                <w:lang w:val="en-US" w:eastAsia="ko-KR"/>
              </w:rPr>
            </w:pPr>
          </w:p>
        </w:tc>
        <w:tc>
          <w:tcPr>
            <w:tcW w:w="1138" w:type="dxa"/>
            <w:shd w:val="clear" w:color="auto" w:fill="auto"/>
          </w:tcPr>
          <w:p w14:paraId="78D2F080" w14:textId="77777777" w:rsidR="00BE308D" w:rsidRPr="005C7611" w:rsidRDefault="00BE308D" w:rsidP="00F81BDD">
            <w:pPr>
              <w:pStyle w:val="TableHead"/>
              <w:jc w:val="center"/>
              <w:rPr>
                <w:rFonts w:eastAsiaTheme="minorEastAsia"/>
                <w:sz w:val="20"/>
                <w:szCs w:val="18"/>
                <w:lang w:val="en-US" w:eastAsia="ko-KR"/>
              </w:rPr>
            </w:pPr>
            <w:proofErr w:type="spellStart"/>
            <w:r w:rsidRPr="005C7611">
              <w:rPr>
                <w:rFonts w:eastAsiaTheme="minorEastAsia"/>
                <w:i/>
                <w:iCs/>
                <w:sz w:val="20"/>
                <w:szCs w:val="18"/>
                <w:lang w:val="en-US" w:eastAsia="ko-KR"/>
              </w:rPr>
              <w:t>k</w:t>
            </w:r>
            <w:r w:rsidRPr="005C7611">
              <w:rPr>
                <w:rFonts w:eastAsiaTheme="minorEastAsia"/>
                <w:sz w:val="20"/>
                <w:szCs w:val="18"/>
                <w:vertAlign w:val="subscript"/>
                <w:lang w:val="en-US" w:eastAsia="ko-KR"/>
              </w:rPr>
              <w:t>r</w:t>
            </w:r>
            <w:proofErr w:type="spellEnd"/>
            <w:r w:rsidRPr="005C7611">
              <w:rPr>
                <w:rFonts w:eastAsiaTheme="minorEastAsia"/>
                <w:sz w:val="20"/>
                <w:szCs w:val="18"/>
                <w:lang w:val="en-US" w:eastAsia="ko-KR"/>
              </w:rPr>
              <w:t xml:space="preserve"> (/</w:t>
            </w:r>
            <w:proofErr w:type="spellStart"/>
            <w:r w:rsidRPr="005C7611">
              <w:rPr>
                <w:rFonts w:eastAsiaTheme="minorEastAsia"/>
                <w:sz w:val="20"/>
                <w:szCs w:val="18"/>
                <w:lang w:val="en-US" w:eastAsia="ko-KR"/>
              </w:rPr>
              <w:t>μs</w:t>
            </w:r>
            <w:proofErr w:type="spellEnd"/>
            <w:r w:rsidRPr="005C7611">
              <w:rPr>
                <w:rFonts w:eastAsiaTheme="minorEastAsia"/>
                <w:sz w:val="20"/>
                <w:szCs w:val="18"/>
                <w:lang w:val="en-US" w:eastAsia="ko-KR"/>
              </w:rPr>
              <w:t>)</w:t>
            </w:r>
          </w:p>
        </w:tc>
        <w:tc>
          <w:tcPr>
            <w:tcW w:w="949" w:type="dxa"/>
            <w:shd w:val="clear" w:color="auto" w:fill="auto"/>
            <w:vAlign w:val="center"/>
          </w:tcPr>
          <w:p w14:paraId="4F6156FC" w14:textId="77777777" w:rsidR="00BE308D" w:rsidRPr="005C7611" w:rsidRDefault="00BE308D"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0.70</w:t>
            </w:r>
          </w:p>
        </w:tc>
        <w:tc>
          <w:tcPr>
            <w:tcW w:w="949" w:type="dxa"/>
            <w:shd w:val="clear" w:color="auto" w:fill="auto"/>
            <w:vAlign w:val="center"/>
          </w:tcPr>
          <w:p w14:paraId="6452DE62" w14:textId="77777777" w:rsidR="00BE308D" w:rsidRPr="005C7611" w:rsidRDefault="00BE308D"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17.02</w:t>
            </w:r>
          </w:p>
        </w:tc>
        <w:tc>
          <w:tcPr>
            <w:tcW w:w="949" w:type="dxa"/>
            <w:shd w:val="clear" w:color="auto" w:fill="auto"/>
            <w:vAlign w:val="center"/>
          </w:tcPr>
          <w:p w14:paraId="5A2A3176"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949" w:type="dxa"/>
            <w:shd w:val="clear" w:color="auto" w:fill="auto"/>
            <w:vAlign w:val="center"/>
          </w:tcPr>
          <w:p w14:paraId="1FB8703C"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949" w:type="dxa"/>
            <w:shd w:val="clear" w:color="auto" w:fill="auto"/>
            <w:vAlign w:val="center"/>
          </w:tcPr>
          <w:p w14:paraId="01B664A6"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9.64</w:t>
            </w:r>
          </w:p>
        </w:tc>
        <w:tc>
          <w:tcPr>
            <w:tcW w:w="949" w:type="dxa"/>
            <w:shd w:val="clear" w:color="auto" w:fill="auto"/>
            <w:vAlign w:val="center"/>
          </w:tcPr>
          <w:p w14:paraId="4D3FE648"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949" w:type="dxa"/>
            <w:shd w:val="clear" w:color="auto" w:fill="auto"/>
            <w:vAlign w:val="center"/>
          </w:tcPr>
          <w:p w14:paraId="277237EB"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r>
      <w:tr w:rsidR="00BE308D" w:rsidRPr="005C7611" w14:paraId="2705E8B5" w14:textId="77777777" w:rsidTr="00BE308D">
        <w:trPr>
          <w:trHeight w:val="370"/>
        </w:trPr>
        <w:tc>
          <w:tcPr>
            <w:tcW w:w="1272" w:type="dxa"/>
            <w:vMerge/>
            <w:shd w:val="clear" w:color="auto" w:fill="auto"/>
          </w:tcPr>
          <w:p w14:paraId="70D536BF" w14:textId="77777777" w:rsidR="00BE308D" w:rsidRPr="005C7611" w:rsidRDefault="00BE308D" w:rsidP="00F81BDD">
            <w:pPr>
              <w:pStyle w:val="TableBody"/>
              <w:jc w:val="center"/>
              <w:rPr>
                <w:rFonts w:eastAsiaTheme="minorEastAsia"/>
                <w:sz w:val="20"/>
                <w:szCs w:val="18"/>
                <w:lang w:val="en-US" w:eastAsia="ko-KR"/>
              </w:rPr>
            </w:pPr>
          </w:p>
        </w:tc>
        <w:tc>
          <w:tcPr>
            <w:tcW w:w="1138" w:type="dxa"/>
            <w:shd w:val="clear" w:color="auto" w:fill="auto"/>
          </w:tcPr>
          <w:p w14:paraId="3EA22A08" w14:textId="77777777" w:rsidR="00BE308D" w:rsidRPr="005C7611" w:rsidRDefault="00BE308D" w:rsidP="00F81BDD">
            <w:pPr>
              <w:pStyle w:val="TableBody"/>
              <w:jc w:val="center"/>
              <w:rPr>
                <w:rFonts w:eastAsiaTheme="minorEastAsia"/>
                <w:sz w:val="20"/>
                <w:szCs w:val="18"/>
                <w:lang w:val="en-US" w:eastAsia="ko-KR"/>
              </w:rPr>
            </w:pPr>
            <w:proofErr w:type="spellStart"/>
            <w:r w:rsidRPr="005C7611">
              <w:rPr>
                <w:rFonts w:eastAsiaTheme="minorEastAsia"/>
                <w:i/>
                <w:iCs/>
                <w:sz w:val="20"/>
                <w:szCs w:val="18"/>
                <w:lang w:val="en-US" w:eastAsia="ko-KR"/>
              </w:rPr>
              <w:t>k</w:t>
            </w:r>
            <w:r w:rsidRPr="005C7611">
              <w:rPr>
                <w:rFonts w:eastAsiaTheme="minorEastAsia"/>
                <w:sz w:val="20"/>
                <w:szCs w:val="18"/>
                <w:vertAlign w:val="subscript"/>
                <w:lang w:val="en-US" w:eastAsia="ko-KR"/>
              </w:rPr>
              <w:t>FRET</w:t>
            </w:r>
            <w:proofErr w:type="spellEnd"/>
            <w:r w:rsidRPr="005C7611">
              <w:rPr>
                <w:rFonts w:eastAsiaTheme="minorEastAsia"/>
                <w:sz w:val="20"/>
                <w:szCs w:val="18"/>
                <w:lang w:val="en-US" w:eastAsia="ko-KR"/>
              </w:rPr>
              <w:t xml:space="preserve"> (/</w:t>
            </w:r>
            <w:proofErr w:type="spellStart"/>
            <w:r w:rsidRPr="005C7611">
              <w:rPr>
                <w:rFonts w:eastAsiaTheme="minorEastAsia"/>
                <w:sz w:val="20"/>
                <w:szCs w:val="18"/>
                <w:lang w:val="en-US" w:eastAsia="ko-KR"/>
              </w:rPr>
              <w:t>μs</w:t>
            </w:r>
            <w:proofErr w:type="spellEnd"/>
            <w:r w:rsidRPr="005C7611">
              <w:rPr>
                <w:rFonts w:eastAsiaTheme="minorEastAsia"/>
                <w:sz w:val="20"/>
                <w:szCs w:val="18"/>
                <w:lang w:val="en-US" w:eastAsia="ko-KR"/>
              </w:rPr>
              <w:t>)</w:t>
            </w:r>
          </w:p>
        </w:tc>
        <w:tc>
          <w:tcPr>
            <w:tcW w:w="949" w:type="dxa"/>
            <w:shd w:val="clear" w:color="auto" w:fill="auto"/>
            <w:vAlign w:val="center"/>
          </w:tcPr>
          <w:p w14:paraId="6E335D6E" w14:textId="77777777" w:rsidR="00BE308D" w:rsidRPr="005C7611" w:rsidRDefault="00BE308D"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949" w:type="dxa"/>
            <w:shd w:val="clear" w:color="auto" w:fill="auto"/>
            <w:vAlign w:val="center"/>
          </w:tcPr>
          <w:p w14:paraId="43942DB6" w14:textId="77777777" w:rsidR="00BE308D" w:rsidRPr="005C7611" w:rsidRDefault="00BE308D"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16.30</w:t>
            </w:r>
          </w:p>
        </w:tc>
        <w:tc>
          <w:tcPr>
            <w:tcW w:w="949" w:type="dxa"/>
            <w:shd w:val="clear" w:color="auto" w:fill="auto"/>
            <w:vAlign w:val="center"/>
          </w:tcPr>
          <w:p w14:paraId="26AA768F"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949" w:type="dxa"/>
            <w:shd w:val="clear" w:color="auto" w:fill="auto"/>
            <w:vAlign w:val="center"/>
          </w:tcPr>
          <w:p w14:paraId="749324D0"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949" w:type="dxa"/>
            <w:shd w:val="clear" w:color="auto" w:fill="auto"/>
            <w:vAlign w:val="center"/>
          </w:tcPr>
          <w:p w14:paraId="4BF829BC"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8.92</w:t>
            </w:r>
          </w:p>
        </w:tc>
        <w:tc>
          <w:tcPr>
            <w:tcW w:w="949" w:type="dxa"/>
            <w:shd w:val="clear" w:color="auto" w:fill="auto"/>
            <w:vAlign w:val="center"/>
          </w:tcPr>
          <w:p w14:paraId="0A65F9FA"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949" w:type="dxa"/>
            <w:shd w:val="clear" w:color="auto" w:fill="auto"/>
            <w:vAlign w:val="center"/>
          </w:tcPr>
          <w:p w14:paraId="053395C9"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r>
      <w:tr w:rsidR="00BE308D" w:rsidRPr="005C7611" w14:paraId="53BBA60B" w14:textId="77777777" w:rsidTr="00BE308D">
        <w:trPr>
          <w:trHeight w:val="370"/>
        </w:trPr>
        <w:tc>
          <w:tcPr>
            <w:tcW w:w="1272" w:type="dxa"/>
            <w:vMerge/>
            <w:shd w:val="clear" w:color="auto" w:fill="auto"/>
          </w:tcPr>
          <w:p w14:paraId="28BD336F" w14:textId="77777777" w:rsidR="00BE308D" w:rsidRPr="005C7611" w:rsidRDefault="00BE308D" w:rsidP="00F81BDD">
            <w:pPr>
              <w:pStyle w:val="TableBody"/>
              <w:jc w:val="center"/>
              <w:rPr>
                <w:rFonts w:eastAsiaTheme="minorEastAsia"/>
                <w:sz w:val="20"/>
                <w:szCs w:val="18"/>
                <w:lang w:val="en-US" w:eastAsia="ko-KR"/>
              </w:rPr>
            </w:pPr>
          </w:p>
        </w:tc>
        <w:tc>
          <w:tcPr>
            <w:tcW w:w="1138" w:type="dxa"/>
            <w:shd w:val="clear" w:color="auto" w:fill="auto"/>
          </w:tcPr>
          <w:p w14:paraId="7D6AEE54" w14:textId="77777777" w:rsidR="00BE308D" w:rsidRPr="005C7611" w:rsidRDefault="00BE308D" w:rsidP="00F81BDD">
            <w:pPr>
              <w:pStyle w:val="TableBody"/>
              <w:jc w:val="center"/>
              <w:rPr>
                <w:rFonts w:eastAsiaTheme="minorEastAsia"/>
                <w:sz w:val="20"/>
                <w:szCs w:val="18"/>
                <w:lang w:val="en-US" w:eastAsia="ko-KR"/>
              </w:rPr>
            </w:pPr>
            <w:proofErr w:type="spellStart"/>
            <w:r w:rsidRPr="005C7611">
              <w:rPr>
                <w:rFonts w:eastAsiaTheme="minorEastAsia"/>
                <w:i/>
                <w:iCs/>
                <w:sz w:val="20"/>
                <w:szCs w:val="18"/>
                <w:lang w:val="en-US" w:eastAsia="ko-KR"/>
              </w:rPr>
              <w:t>k</w:t>
            </w:r>
            <w:r w:rsidRPr="005C7611">
              <w:rPr>
                <w:rFonts w:eastAsiaTheme="minorEastAsia"/>
                <w:sz w:val="20"/>
                <w:szCs w:val="18"/>
                <w:vertAlign w:val="subscript"/>
                <w:lang w:val="en-US" w:eastAsia="ko-KR"/>
              </w:rPr>
              <w:t>DET</w:t>
            </w:r>
            <w:proofErr w:type="spellEnd"/>
            <w:r w:rsidRPr="005C7611">
              <w:rPr>
                <w:rFonts w:eastAsiaTheme="minorEastAsia"/>
                <w:sz w:val="20"/>
                <w:szCs w:val="18"/>
                <w:lang w:val="en-US" w:eastAsia="ko-KR"/>
              </w:rPr>
              <w:t xml:space="preserve"> (/</w:t>
            </w:r>
            <w:proofErr w:type="spellStart"/>
            <w:r w:rsidRPr="005C7611">
              <w:rPr>
                <w:rFonts w:eastAsiaTheme="minorEastAsia"/>
                <w:sz w:val="20"/>
                <w:szCs w:val="18"/>
                <w:lang w:val="en-US" w:eastAsia="ko-KR"/>
              </w:rPr>
              <w:t>μs</w:t>
            </w:r>
            <w:proofErr w:type="spellEnd"/>
            <w:r w:rsidRPr="005C7611">
              <w:rPr>
                <w:rFonts w:eastAsiaTheme="minorEastAsia"/>
                <w:sz w:val="20"/>
                <w:szCs w:val="18"/>
                <w:lang w:val="en-US" w:eastAsia="ko-KR"/>
              </w:rPr>
              <w:t>)</w:t>
            </w:r>
          </w:p>
        </w:tc>
        <w:tc>
          <w:tcPr>
            <w:tcW w:w="949" w:type="dxa"/>
            <w:shd w:val="clear" w:color="auto" w:fill="auto"/>
            <w:vAlign w:val="center"/>
          </w:tcPr>
          <w:p w14:paraId="0A4617E3" w14:textId="77777777" w:rsidR="00BE308D" w:rsidRPr="005C7611" w:rsidRDefault="00BE308D"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949" w:type="dxa"/>
            <w:shd w:val="clear" w:color="auto" w:fill="auto"/>
            <w:vAlign w:val="center"/>
          </w:tcPr>
          <w:p w14:paraId="3E0F0D3F" w14:textId="77777777" w:rsidR="00BE308D" w:rsidRPr="005C7611" w:rsidRDefault="00BE308D"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4.80</w:t>
            </w:r>
          </w:p>
        </w:tc>
        <w:tc>
          <w:tcPr>
            <w:tcW w:w="949" w:type="dxa"/>
            <w:shd w:val="clear" w:color="auto" w:fill="auto"/>
            <w:vAlign w:val="center"/>
          </w:tcPr>
          <w:p w14:paraId="627C030D"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949" w:type="dxa"/>
            <w:shd w:val="clear" w:color="auto" w:fill="auto"/>
            <w:vAlign w:val="center"/>
          </w:tcPr>
          <w:p w14:paraId="4A8DE968"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949" w:type="dxa"/>
            <w:shd w:val="clear" w:color="auto" w:fill="auto"/>
            <w:vAlign w:val="center"/>
          </w:tcPr>
          <w:p w14:paraId="414012E6"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3.39</w:t>
            </w:r>
          </w:p>
        </w:tc>
        <w:tc>
          <w:tcPr>
            <w:tcW w:w="949" w:type="dxa"/>
            <w:shd w:val="clear" w:color="auto" w:fill="auto"/>
            <w:vAlign w:val="center"/>
          </w:tcPr>
          <w:p w14:paraId="5221CC68"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949" w:type="dxa"/>
            <w:shd w:val="clear" w:color="auto" w:fill="auto"/>
            <w:vAlign w:val="center"/>
          </w:tcPr>
          <w:p w14:paraId="75AB9D3A"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r>
      <w:tr w:rsidR="00BE308D" w:rsidRPr="005C7611" w14:paraId="55B7105D" w14:textId="77777777" w:rsidTr="00BE308D">
        <w:trPr>
          <w:trHeight w:val="370"/>
        </w:trPr>
        <w:tc>
          <w:tcPr>
            <w:tcW w:w="1272" w:type="dxa"/>
            <w:vMerge/>
            <w:tcBorders>
              <w:bottom w:val="single" w:sz="4" w:space="0" w:color="auto"/>
            </w:tcBorders>
            <w:shd w:val="clear" w:color="auto" w:fill="auto"/>
          </w:tcPr>
          <w:p w14:paraId="60DDC418" w14:textId="77777777" w:rsidR="00BE308D" w:rsidRPr="005C7611" w:rsidRDefault="00BE308D" w:rsidP="00F81BDD">
            <w:pPr>
              <w:pStyle w:val="TableBody"/>
              <w:jc w:val="center"/>
              <w:rPr>
                <w:rFonts w:eastAsiaTheme="minorEastAsia"/>
                <w:sz w:val="20"/>
                <w:szCs w:val="18"/>
                <w:lang w:val="en-US" w:eastAsia="ko-KR"/>
              </w:rPr>
            </w:pPr>
          </w:p>
        </w:tc>
        <w:tc>
          <w:tcPr>
            <w:tcW w:w="1138" w:type="dxa"/>
            <w:tcBorders>
              <w:bottom w:val="single" w:sz="4" w:space="0" w:color="auto"/>
            </w:tcBorders>
            <w:shd w:val="clear" w:color="auto" w:fill="auto"/>
          </w:tcPr>
          <w:p w14:paraId="36B8AD3A" w14:textId="77777777" w:rsidR="00BE308D" w:rsidRPr="005C7611" w:rsidRDefault="00BE308D" w:rsidP="00F81BDD">
            <w:pPr>
              <w:pStyle w:val="TableBody"/>
              <w:jc w:val="center"/>
              <w:rPr>
                <w:rFonts w:eastAsiaTheme="minorEastAsia"/>
                <w:sz w:val="20"/>
                <w:szCs w:val="18"/>
                <w:lang w:val="en-US" w:eastAsia="ko-KR"/>
              </w:rPr>
            </w:pPr>
            <w:r w:rsidRPr="005C7611">
              <w:rPr>
                <w:rFonts w:eastAsiaTheme="minorEastAsia"/>
                <w:i/>
                <w:iCs/>
                <w:sz w:val="20"/>
                <w:szCs w:val="18"/>
                <w:lang w:val="en-US" w:eastAsia="ko-KR"/>
              </w:rPr>
              <w:t>E</w:t>
            </w:r>
            <w:r w:rsidRPr="005C7611">
              <w:rPr>
                <w:rFonts w:eastAsiaTheme="minorEastAsia"/>
                <w:sz w:val="20"/>
                <w:szCs w:val="18"/>
                <w:vertAlign w:val="subscript"/>
                <w:lang w:val="en-US" w:eastAsia="ko-KR"/>
              </w:rPr>
              <w:t>FRET</w:t>
            </w:r>
            <w:r w:rsidRPr="005C7611">
              <w:rPr>
                <w:rFonts w:eastAsiaTheme="minorEastAsia"/>
                <w:sz w:val="20"/>
                <w:szCs w:val="18"/>
                <w:lang w:val="en-US" w:eastAsia="ko-KR"/>
              </w:rPr>
              <w:t xml:space="preserve"> (%)</w:t>
            </w:r>
          </w:p>
        </w:tc>
        <w:tc>
          <w:tcPr>
            <w:tcW w:w="949" w:type="dxa"/>
            <w:tcBorders>
              <w:bottom w:val="single" w:sz="4" w:space="0" w:color="auto"/>
            </w:tcBorders>
            <w:shd w:val="clear" w:color="auto" w:fill="auto"/>
            <w:vAlign w:val="center"/>
          </w:tcPr>
          <w:p w14:paraId="65DA621C" w14:textId="77777777" w:rsidR="00BE308D" w:rsidRPr="005C7611" w:rsidRDefault="00BE308D"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949" w:type="dxa"/>
            <w:tcBorders>
              <w:bottom w:val="single" w:sz="4" w:space="0" w:color="auto"/>
            </w:tcBorders>
            <w:shd w:val="clear" w:color="auto" w:fill="auto"/>
            <w:vAlign w:val="center"/>
          </w:tcPr>
          <w:p w14:paraId="05F2B66D"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95.7</w:t>
            </w:r>
          </w:p>
        </w:tc>
        <w:tc>
          <w:tcPr>
            <w:tcW w:w="949" w:type="dxa"/>
            <w:tcBorders>
              <w:bottom w:val="single" w:sz="4" w:space="0" w:color="auto"/>
            </w:tcBorders>
            <w:shd w:val="clear" w:color="auto" w:fill="auto"/>
            <w:vAlign w:val="center"/>
          </w:tcPr>
          <w:p w14:paraId="4B4D1670"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949" w:type="dxa"/>
            <w:tcBorders>
              <w:bottom w:val="single" w:sz="4" w:space="0" w:color="auto"/>
            </w:tcBorders>
            <w:shd w:val="clear" w:color="auto" w:fill="auto"/>
            <w:vAlign w:val="center"/>
          </w:tcPr>
          <w:p w14:paraId="6762B248"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949" w:type="dxa"/>
            <w:tcBorders>
              <w:bottom w:val="single" w:sz="4" w:space="0" w:color="auto"/>
            </w:tcBorders>
            <w:shd w:val="clear" w:color="auto" w:fill="auto"/>
            <w:vAlign w:val="center"/>
          </w:tcPr>
          <w:p w14:paraId="505E6E10"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92.5</w:t>
            </w:r>
          </w:p>
        </w:tc>
        <w:tc>
          <w:tcPr>
            <w:tcW w:w="949" w:type="dxa"/>
            <w:tcBorders>
              <w:bottom w:val="single" w:sz="4" w:space="0" w:color="auto"/>
            </w:tcBorders>
            <w:shd w:val="clear" w:color="auto" w:fill="auto"/>
            <w:vAlign w:val="center"/>
          </w:tcPr>
          <w:p w14:paraId="51B149F5"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949" w:type="dxa"/>
            <w:tcBorders>
              <w:bottom w:val="single" w:sz="4" w:space="0" w:color="auto"/>
            </w:tcBorders>
            <w:shd w:val="clear" w:color="auto" w:fill="auto"/>
            <w:vAlign w:val="center"/>
          </w:tcPr>
          <w:p w14:paraId="196F164C"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r>
      <w:tr w:rsidR="00BE308D" w:rsidRPr="005C7611" w14:paraId="7D4B4551" w14:textId="77777777" w:rsidTr="00BE308D">
        <w:trPr>
          <w:trHeight w:val="370"/>
        </w:trPr>
        <w:tc>
          <w:tcPr>
            <w:tcW w:w="1272" w:type="dxa"/>
            <w:vMerge w:val="restart"/>
            <w:tcBorders>
              <w:top w:val="single" w:sz="4" w:space="0" w:color="auto"/>
            </w:tcBorders>
            <w:shd w:val="clear" w:color="auto" w:fill="auto"/>
            <w:vAlign w:val="center"/>
          </w:tcPr>
          <w:p w14:paraId="6AFBA6CF" w14:textId="77777777" w:rsidR="00BE308D" w:rsidRPr="005C7611" w:rsidRDefault="00BE308D" w:rsidP="00BE308D">
            <w:pPr>
              <w:pStyle w:val="TableBody"/>
              <w:jc w:val="center"/>
              <w:rPr>
                <w:rFonts w:eastAsiaTheme="minorEastAsia"/>
                <w:sz w:val="20"/>
                <w:szCs w:val="18"/>
                <w:lang w:val="en-US" w:eastAsia="ko-KR"/>
              </w:rPr>
            </w:pPr>
            <w:r w:rsidRPr="005C7611">
              <w:rPr>
                <w:rFonts w:eastAsiaTheme="minorEastAsia"/>
                <w:sz w:val="20"/>
                <w:szCs w:val="18"/>
                <w:lang w:val="en-US" w:eastAsia="ko-KR"/>
              </w:rPr>
              <w:t>CMA1</w:t>
            </w:r>
          </w:p>
        </w:tc>
        <w:tc>
          <w:tcPr>
            <w:tcW w:w="1138" w:type="dxa"/>
            <w:tcBorders>
              <w:top w:val="single" w:sz="4" w:space="0" w:color="auto"/>
            </w:tcBorders>
            <w:shd w:val="clear" w:color="auto" w:fill="auto"/>
          </w:tcPr>
          <w:p w14:paraId="533B4A09" w14:textId="77777777" w:rsidR="00BE308D" w:rsidRPr="005C7611" w:rsidRDefault="00BE308D" w:rsidP="00BE308D">
            <w:pPr>
              <w:pStyle w:val="TableHead"/>
              <w:jc w:val="center"/>
              <w:rPr>
                <w:rFonts w:eastAsiaTheme="minorEastAsia"/>
                <w:sz w:val="20"/>
                <w:szCs w:val="18"/>
                <w:lang w:val="en-US" w:eastAsia="ko-KR"/>
              </w:rPr>
            </w:pPr>
            <w:r w:rsidRPr="005C7611">
              <w:rPr>
                <w:rFonts w:eastAsiaTheme="minorEastAsia"/>
                <w:i/>
                <w:iCs/>
                <w:sz w:val="20"/>
                <w:szCs w:val="18"/>
                <w:lang w:val="en-US" w:eastAsia="ko-KR"/>
              </w:rPr>
              <w:t>τ</w:t>
            </w:r>
            <w:r w:rsidRPr="005C7611">
              <w:rPr>
                <w:rFonts w:eastAsiaTheme="minorEastAsia"/>
                <w:sz w:val="20"/>
                <w:szCs w:val="18"/>
                <w:lang w:val="en-US" w:eastAsia="ko-KR"/>
              </w:rPr>
              <w:t xml:space="preserve"> (</w:t>
            </w:r>
            <w:proofErr w:type="spellStart"/>
            <w:r w:rsidRPr="005C7611">
              <w:rPr>
                <w:rFonts w:eastAsiaTheme="minorEastAsia"/>
                <w:sz w:val="20"/>
                <w:szCs w:val="18"/>
                <w:lang w:val="en-US" w:eastAsia="ko-KR"/>
              </w:rPr>
              <w:t>μs</w:t>
            </w:r>
            <w:proofErr w:type="spellEnd"/>
            <w:r w:rsidRPr="005C7611">
              <w:rPr>
                <w:rFonts w:eastAsiaTheme="minorEastAsia"/>
                <w:sz w:val="20"/>
                <w:szCs w:val="18"/>
                <w:lang w:val="en-US" w:eastAsia="ko-KR"/>
              </w:rPr>
              <w:t>)</w:t>
            </w:r>
          </w:p>
        </w:tc>
        <w:tc>
          <w:tcPr>
            <w:tcW w:w="949" w:type="dxa"/>
            <w:tcBorders>
              <w:top w:val="single" w:sz="4" w:space="0" w:color="auto"/>
            </w:tcBorders>
            <w:shd w:val="clear" w:color="auto" w:fill="auto"/>
            <w:vAlign w:val="center"/>
          </w:tcPr>
          <w:p w14:paraId="24941868" w14:textId="77777777" w:rsidR="00BE308D" w:rsidRPr="005C7611" w:rsidRDefault="00981AA0" w:rsidP="00BE308D">
            <w:pPr>
              <w:pStyle w:val="TableBody"/>
              <w:jc w:val="center"/>
              <w:rPr>
                <w:rFonts w:eastAsiaTheme="minorEastAsia"/>
                <w:sz w:val="20"/>
                <w:szCs w:val="18"/>
                <w:lang w:val="en-US" w:eastAsia="ko-KR"/>
              </w:rPr>
            </w:pPr>
            <w:r w:rsidRPr="005C7611">
              <w:rPr>
                <w:rFonts w:eastAsiaTheme="minorEastAsia"/>
                <w:sz w:val="20"/>
                <w:szCs w:val="18"/>
                <w:lang w:val="en-US" w:eastAsia="ko-KR"/>
              </w:rPr>
              <w:t>1.15</w:t>
            </w:r>
          </w:p>
        </w:tc>
        <w:tc>
          <w:tcPr>
            <w:tcW w:w="949" w:type="dxa"/>
            <w:tcBorders>
              <w:top w:val="single" w:sz="4" w:space="0" w:color="auto"/>
            </w:tcBorders>
            <w:shd w:val="clear" w:color="auto" w:fill="auto"/>
            <w:vAlign w:val="center"/>
          </w:tcPr>
          <w:p w14:paraId="60791F27" w14:textId="77777777" w:rsidR="00BE308D" w:rsidRPr="005C7611" w:rsidRDefault="00981AA0" w:rsidP="00BE308D">
            <w:pPr>
              <w:pStyle w:val="TableBody"/>
              <w:jc w:val="center"/>
              <w:rPr>
                <w:rFonts w:eastAsiaTheme="minorEastAsia"/>
                <w:sz w:val="20"/>
                <w:szCs w:val="18"/>
                <w:lang w:val="en-US" w:eastAsia="ko-KR"/>
              </w:rPr>
            </w:pPr>
            <w:r w:rsidRPr="005C7611">
              <w:rPr>
                <w:rFonts w:eastAsiaTheme="minorEastAsia"/>
                <w:sz w:val="20"/>
                <w:szCs w:val="18"/>
                <w:lang w:val="en-US" w:eastAsia="ko-KR"/>
              </w:rPr>
              <w:t>0.063</w:t>
            </w:r>
          </w:p>
        </w:tc>
        <w:tc>
          <w:tcPr>
            <w:tcW w:w="949" w:type="dxa"/>
            <w:tcBorders>
              <w:top w:val="single" w:sz="4" w:space="0" w:color="auto"/>
            </w:tcBorders>
            <w:shd w:val="clear" w:color="auto" w:fill="auto"/>
            <w:vAlign w:val="center"/>
          </w:tcPr>
          <w:p w14:paraId="21ACFF0D" w14:textId="77777777" w:rsidR="00BE308D" w:rsidRPr="005C7611" w:rsidRDefault="00981AA0" w:rsidP="00BE308D">
            <w:pPr>
              <w:pStyle w:val="TableBody"/>
              <w:jc w:val="center"/>
              <w:rPr>
                <w:rFonts w:eastAsiaTheme="minorEastAsia"/>
                <w:sz w:val="20"/>
                <w:szCs w:val="18"/>
                <w:lang w:val="en-US" w:eastAsia="ko-KR"/>
              </w:rPr>
            </w:pPr>
            <w:r w:rsidRPr="005C7611">
              <w:rPr>
                <w:rFonts w:eastAsiaTheme="minorEastAsia"/>
                <w:sz w:val="20"/>
                <w:szCs w:val="18"/>
                <w:lang w:val="en-US" w:eastAsia="ko-KR"/>
              </w:rPr>
              <w:t>0.027</w:t>
            </w:r>
          </w:p>
        </w:tc>
        <w:tc>
          <w:tcPr>
            <w:tcW w:w="949" w:type="dxa"/>
            <w:tcBorders>
              <w:top w:val="single" w:sz="4" w:space="0" w:color="auto"/>
            </w:tcBorders>
            <w:shd w:val="clear" w:color="auto" w:fill="auto"/>
            <w:vAlign w:val="center"/>
          </w:tcPr>
          <w:p w14:paraId="04C14E13" w14:textId="77777777" w:rsidR="00BE308D" w:rsidRPr="005C7611" w:rsidRDefault="00981AA0" w:rsidP="00BE308D">
            <w:pPr>
              <w:pStyle w:val="TableBody"/>
              <w:jc w:val="center"/>
              <w:rPr>
                <w:rFonts w:eastAsiaTheme="minorEastAsia"/>
                <w:sz w:val="20"/>
                <w:szCs w:val="18"/>
                <w:lang w:val="en-US" w:eastAsia="ko-KR"/>
              </w:rPr>
            </w:pPr>
            <w:r w:rsidRPr="005C7611">
              <w:rPr>
                <w:rFonts w:eastAsiaTheme="minorEastAsia"/>
                <w:sz w:val="20"/>
                <w:szCs w:val="18"/>
                <w:lang w:val="en-US" w:eastAsia="ko-KR"/>
              </w:rPr>
              <w:t>0.018</w:t>
            </w:r>
          </w:p>
        </w:tc>
        <w:tc>
          <w:tcPr>
            <w:tcW w:w="949" w:type="dxa"/>
            <w:tcBorders>
              <w:top w:val="single" w:sz="4" w:space="0" w:color="auto"/>
            </w:tcBorders>
            <w:shd w:val="clear" w:color="auto" w:fill="auto"/>
            <w:vAlign w:val="center"/>
          </w:tcPr>
          <w:p w14:paraId="06DCD2CC" w14:textId="77777777" w:rsidR="00BE308D" w:rsidRPr="005C7611" w:rsidRDefault="00981AA0" w:rsidP="00BE308D">
            <w:pPr>
              <w:pStyle w:val="TableBody"/>
              <w:jc w:val="center"/>
              <w:rPr>
                <w:rFonts w:eastAsiaTheme="minorEastAsia"/>
                <w:sz w:val="20"/>
                <w:szCs w:val="18"/>
                <w:lang w:val="en-US" w:eastAsia="ko-KR"/>
              </w:rPr>
            </w:pPr>
            <w:r w:rsidRPr="005C7611">
              <w:rPr>
                <w:rFonts w:eastAsiaTheme="minorEastAsia"/>
                <w:sz w:val="20"/>
                <w:szCs w:val="18"/>
                <w:lang w:val="en-US" w:eastAsia="ko-KR"/>
              </w:rPr>
              <w:t>0.068</w:t>
            </w:r>
          </w:p>
        </w:tc>
        <w:tc>
          <w:tcPr>
            <w:tcW w:w="949" w:type="dxa"/>
            <w:tcBorders>
              <w:top w:val="single" w:sz="4" w:space="0" w:color="auto"/>
            </w:tcBorders>
            <w:shd w:val="clear" w:color="auto" w:fill="auto"/>
            <w:vAlign w:val="center"/>
          </w:tcPr>
          <w:p w14:paraId="608F8FCF" w14:textId="77777777" w:rsidR="00BE308D" w:rsidRPr="005C7611" w:rsidRDefault="00981AA0" w:rsidP="00BE308D">
            <w:pPr>
              <w:pStyle w:val="TableBody"/>
              <w:jc w:val="center"/>
              <w:rPr>
                <w:rFonts w:eastAsiaTheme="minorEastAsia"/>
                <w:sz w:val="20"/>
                <w:szCs w:val="18"/>
                <w:lang w:val="en-US" w:eastAsia="ko-KR"/>
              </w:rPr>
            </w:pPr>
            <w:r w:rsidRPr="005C7611">
              <w:rPr>
                <w:rFonts w:eastAsiaTheme="minorEastAsia"/>
                <w:sz w:val="20"/>
                <w:szCs w:val="18"/>
                <w:lang w:val="en-US" w:eastAsia="ko-KR"/>
              </w:rPr>
              <w:t>0.021</w:t>
            </w:r>
          </w:p>
        </w:tc>
        <w:tc>
          <w:tcPr>
            <w:tcW w:w="949" w:type="dxa"/>
            <w:tcBorders>
              <w:top w:val="single" w:sz="4" w:space="0" w:color="auto"/>
            </w:tcBorders>
            <w:shd w:val="clear" w:color="auto" w:fill="auto"/>
            <w:vAlign w:val="center"/>
          </w:tcPr>
          <w:p w14:paraId="7E8CDEC6" w14:textId="77777777" w:rsidR="00BE308D" w:rsidRPr="005C7611" w:rsidRDefault="00981AA0" w:rsidP="00BE308D">
            <w:pPr>
              <w:pStyle w:val="TableBody"/>
              <w:jc w:val="center"/>
              <w:rPr>
                <w:rFonts w:eastAsiaTheme="minorEastAsia"/>
                <w:sz w:val="20"/>
                <w:szCs w:val="18"/>
                <w:lang w:val="en-US" w:eastAsia="ko-KR"/>
              </w:rPr>
            </w:pPr>
            <w:r w:rsidRPr="005C7611">
              <w:rPr>
                <w:rFonts w:eastAsiaTheme="minorEastAsia"/>
                <w:sz w:val="20"/>
                <w:szCs w:val="18"/>
                <w:lang w:val="en-US" w:eastAsia="ko-KR"/>
              </w:rPr>
              <w:t>0.018</w:t>
            </w:r>
          </w:p>
        </w:tc>
      </w:tr>
      <w:tr w:rsidR="00BE308D" w:rsidRPr="005C7611" w14:paraId="3ABEB288" w14:textId="77777777" w:rsidTr="00BE308D">
        <w:trPr>
          <w:trHeight w:val="370"/>
        </w:trPr>
        <w:tc>
          <w:tcPr>
            <w:tcW w:w="1272" w:type="dxa"/>
            <w:vMerge/>
            <w:shd w:val="clear" w:color="auto" w:fill="auto"/>
          </w:tcPr>
          <w:p w14:paraId="4BAF2A23" w14:textId="77777777" w:rsidR="00BE308D" w:rsidRPr="005C7611" w:rsidRDefault="00BE308D" w:rsidP="00BE308D">
            <w:pPr>
              <w:pStyle w:val="TableBody"/>
              <w:jc w:val="center"/>
              <w:rPr>
                <w:rFonts w:eastAsiaTheme="minorEastAsia"/>
                <w:sz w:val="20"/>
                <w:szCs w:val="18"/>
                <w:lang w:val="en-US" w:eastAsia="ko-KR"/>
              </w:rPr>
            </w:pPr>
          </w:p>
        </w:tc>
        <w:tc>
          <w:tcPr>
            <w:tcW w:w="1138" w:type="dxa"/>
            <w:shd w:val="clear" w:color="auto" w:fill="auto"/>
          </w:tcPr>
          <w:p w14:paraId="19F06858" w14:textId="77777777" w:rsidR="00BE308D" w:rsidRPr="005C7611" w:rsidRDefault="00BE308D" w:rsidP="00BE308D">
            <w:pPr>
              <w:pStyle w:val="TableHead"/>
              <w:jc w:val="center"/>
              <w:rPr>
                <w:rFonts w:eastAsiaTheme="minorEastAsia"/>
                <w:sz w:val="20"/>
                <w:szCs w:val="18"/>
                <w:lang w:val="en-US" w:eastAsia="ko-KR"/>
              </w:rPr>
            </w:pPr>
            <w:proofErr w:type="spellStart"/>
            <w:r w:rsidRPr="005C7611">
              <w:rPr>
                <w:rFonts w:eastAsiaTheme="minorEastAsia"/>
                <w:i/>
                <w:iCs/>
                <w:sz w:val="20"/>
                <w:szCs w:val="18"/>
                <w:lang w:val="en-US" w:eastAsia="ko-KR"/>
              </w:rPr>
              <w:t>k</w:t>
            </w:r>
            <w:r w:rsidRPr="005C7611">
              <w:rPr>
                <w:rFonts w:eastAsiaTheme="minorEastAsia"/>
                <w:sz w:val="20"/>
                <w:szCs w:val="18"/>
                <w:vertAlign w:val="subscript"/>
                <w:lang w:val="en-US" w:eastAsia="ko-KR"/>
              </w:rPr>
              <w:t>r</w:t>
            </w:r>
            <w:proofErr w:type="spellEnd"/>
            <w:r w:rsidRPr="005C7611">
              <w:rPr>
                <w:rFonts w:eastAsiaTheme="minorEastAsia"/>
                <w:sz w:val="20"/>
                <w:szCs w:val="18"/>
                <w:lang w:val="en-US" w:eastAsia="ko-KR"/>
              </w:rPr>
              <w:t xml:space="preserve"> (/</w:t>
            </w:r>
            <w:proofErr w:type="spellStart"/>
            <w:r w:rsidRPr="005C7611">
              <w:rPr>
                <w:rFonts w:eastAsiaTheme="minorEastAsia"/>
                <w:sz w:val="20"/>
                <w:szCs w:val="18"/>
                <w:lang w:val="en-US" w:eastAsia="ko-KR"/>
              </w:rPr>
              <w:t>μs</w:t>
            </w:r>
            <w:proofErr w:type="spellEnd"/>
            <w:r w:rsidRPr="005C7611">
              <w:rPr>
                <w:rFonts w:eastAsiaTheme="minorEastAsia"/>
                <w:sz w:val="20"/>
                <w:szCs w:val="18"/>
                <w:lang w:val="en-US" w:eastAsia="ko-KR"/>
              </w:rPr>
              <w:t>)</w:t>
            </w:r>
          </w:p>
        </w:tc>
        <w:tc>
          <w:tcPr>
            <w:tcW w:w="949" w:type="dxa"/>
            <w:shd w:val="clear" w:color="auto" w:fill="auto"/>
            <w:vAlign w:val="center"/>
          </w:tcPr>
          <w:p w14:paraId="36DFB376" w14:textId="77777777" w:rsidR="00BE308D" w:rsidRPr="005C7611" w:rsidRDefault="00981AA0" w:rsidP="00BE308D">
            <w:pPr>
              <w:pStyle w:val="TableBody"/>
              <w:jc w:val="center"/>
              <w:rPr>
                <w:rFonts w:eastAsiaTheme="minorEastAsia"/>
                <w:sz w:val="20"/>
                <w:szCs w:val="18"/>
                <w:lang w:val="en-US" w:eastAsia="ko-KR"/>
              </w:rPr>
            </w:pPr>
            <w:r w:rsidRPr="005C7611">
              <w:rPr>
                <w:rFonts w:eastAsiaTheme="minorEastAsia"/>
                <w:sz w:val="20"/>
                <w:szCs w:val="18"/>
                <w:lang w:val="en-US" w:eastAsia="ko-KR"/>
              </w:rPr>
              <w:t>0.72</w:t>
            </w:r>
          </w:p>
        </w:tc>
        <w:tc>
          <w:tcPr>
            <w:tcW w:w="949" w:type="dxa"/>
            <w:shd w:val="clear" w:color="auto" w:fill="auto"/>
            <w:vAlign w:val="center"/>
          </w:tcPr>
          <w:p w14:paraId="3EF49840" w14:textId="77777777" w:rsidR="00BE308D" w:rsidRPr="005C7611" w:rsidRDefault="00981AA0" w:rsidP="00BE308D">
            <w:pPr>
              <w:pStyle w:val="TableBody"/>
              <w:jc w:val="center"/>
              <w:rPr>
                <w:rFonts w:eastAsiaTheme="minorEastAsia"/>
                <w:sz w:val="20"/>
                <w:szCs w:val="18"/>
                <w:lang w:val="en-US" w:eastAsia="ko-KR"/>
              </w:rPr>
            </w:pPr>
            <w:r w:rsidRPr="005C7611">
              <w:rPr>
                <w:rFonts w:eastAsiaTheme="minorEastAsia"/>
                <w:sz w:val="20"/>
                <w:szCs w:val="18"/>
                <w:lang w:val="en-US" w:eastAsia="ko-KR"/>
              </w:rPr>
              <w:t>5.98</w:t>
            </w:r>
          </w:p>
        </w:tc>
        <w:tc>
          <w:tcPr>
            <w:tcW w:w="949" w:type="dxa"/>
            <w:shd w:val="clear" w:color="auto" w:fill="auto"/>
            <w:vAlign w:val="center"/>
          </w:tcPr>
          <w:p w14:paraId="488195AF" w14:textId="77777777" w:rsidR="00BE308D" w:rsidRPr="005C7611" w:rsidRDefault="00981AA0" w:rsidP="00BE308D">
            <w:pPr>
              <w:pStyle w:val="TableBody"/>
              <w:jc w:val="center"/>
              <w:rPr>
                <w:rFonts w:eastAsiaTheme="minorEastAsia"/>
                <w:sz w:val="20"/>
                <w:szCs w:val="18"/>
                <w:lang w:val="en-US" w:eastAsia="ko-KR"/>
              </w:rPr>
            </w:pPr>
            <w:r w:rsidRPr="005C7611">
              <w:rPr>
                <w:rFonts w:eastAsiaTheme="minorEastAsia"/>
                <w:sz w:val="20"/>
                <w:szCs w:val="18"/>
                <w:lang w:val="en-US" w:eastAsia="ko-KR"/>
              </w:rPr>
              <w:t>9.21</w:t>
            </w:r>
          </w:p>
        </w:tc>
        <w:tc>
          <w:tcPr>
            <w:tcW w:w="949" w:type="dxa"/>
            <w:shd w:val="clear" w:color="auto" w:fill="auto"/>
            <w:vAlign w:val="center"/>
          </w:tcPr>
          <w:p w14:paraId="2E582A86" w14:textId="77777777" w:rsidR="00BE308D" w:rsidRPr="005C7611" w:rsidRDefault="00981AA0" w:rsidP="00BE308D">
            <w:pPr>
              <w:pStyle w:val="TableBody"/>
              <w:jc w:val="center"/>
              <w:rPr>
                <w:rFonts w:eastAsiaTheme="minorEastAsia"/>
                <w:sz w:val="20"/>
                <w:szCs w:val="18"/>
                <w:lang w:val="en-US" w:eastAsia="ko-KR"/>
              </w:rPr>
            </w:pPr>
            <w:r w:rsidRPr="005C7611">
              <w:rPr>
                <w:rFonts w:eastAsiaTheme="minorEastAsia"/>
                <w:sz w:val="20"/>
                <w:szCs w:val="18"/>
                <w:lang w:val="en-US" w:eastAsia="ko-KR"/>
              </w:rPr>
              <w:t>4.52</w:t>
            </w:r>
          </w:p>
        </w:tc>
        <w:tc>
          <w:tcPr>
            <w:tcW w:w="949" w:type="dxa"/>
            <w:shd w:val="clear" w:color="auto" w:fill="auto"/>
            <w:vAlign w:val="center"/>
          </w:tcPr>
          <w:p w14:paraId="07642941" w14:textId="77777777" w:rsidR="00BE308D" w:rsidRPr="005C7611" w:rsidRDefault="00981AA0" w:rsidP="00BE308D">
            <w:pPr>
              <w:pStyle w:val="TableBody"/>
              <w:jc w:val="center"/>
              <w:rPr>
                <w:rFonts w:eastAsiaTheme="minorEastAsia"/>
                <w:sz w:val="20"/>
                <w:szCs w:val="18"/>
                <w:lang w:val="en-US" w:eastAsia="ko-KR"/>
              </w:rPr>
            </w:pPr>
            <w:r w:rsidRPr="005C7611">
              <w:rPr>
                <w:rFonts w:eastAsiaTheme="minorEastAsia"/>
                <w:sz w:val="20"/>
                <w:szCs w:val="18"/>
                <w:lang w:val="en-US" w:eastAsia="ko-KR"/>
              </w:rPr>
              <w:t>8.31</w:t>
            </w:r>
          </w:p>
        </w:tc>
        <w:tc>
          <w:tcPr>
            <w:tcW w:w="949" w:type="dxa"/>
            <w:shd w:val="clear" w:color="auto" w:fill="auto"/>
            <w:vAlign w:val="center"/>
          </w:tcPr>
          <w:p w14:paraId="288F5C89" w14:textId="77777777" w:rsidR="00BE308D" w:rsidRPr="005C7611" w:rsidRDefault="00981AA0" w:rsidP="00BE308D">
            <w:pPr>
              <w:pStyle w:val="TableBody"/>
              <w:jc w:val="center"/>
              <w:rPr>
                <w:rFonts w:eastAsiaTheme="minorEastAsia"/>
                <w:sz w:val="20"/>
                <w:szCs w:val="18"/>
                <w:lang w:val="en-US" w:eastAsia="ko-KR"/>
              </w:rPr>
            </w:pPr>
            <w:r w:rsidRPr="005C7611">
              <w:rPr>
                <w:rFonts w:eastAsiaTheme="minorEastAsia"/>
                <w:sz w:val="20"/>
                <w:szCs w:val="18"/>
                <w:lang w:val="en-US" w:eastAsia="ko-KR"/>
              </w:rPr>
              <w:t>17.48</w:t>
            </w:r>
          </w:p>
        </w:tc>
        <w:tc>
          <w:tcPr>
            <w:tcW w:w="949" w:type="dxa"/>
            <w:shd w:val="clear" w:color="auto" w:fill="auto"/>
            <w:vAlign w:val="center"/>
          </w:tcPr>
          <w:p w14:paraId="1EDDB6E8" w14:textId="77777777" w:rsidR="00BE308D" w:rsidRPr="005C7611" w:rsidRDefault="00981AA0" w:rsidP="00BE308D">
            <w:pPr>
              <w:pStyle w:val="TableBody"/>
              <w:jc w:val="center"/>
              <w:rPr>
                <w:rFonts w:eastAsiaTheme="minorEastAsia"/>
                <w:sz w:val="20"/>
                <w:szCs w:val="18"/>
                <w:lang w:val="en-US" w:eastAsia="ko-KR"/>
              </w:rPr>
            </w:pPr>
            <w:r w:rsidRPr="005C7611">
              <w:rPr>
                <w:rFonts w:eastAsiaTheme="minorEastAsia"/>
                <w:sz w:val="20"/>
                <w:szCs w:val="18"/>
                <w:lang w:val="en-US" w:eastAsia="ko-KR"/>
              </w:rPr>
              <w:t>12.72</w:t>
            </w:r>
          </w:p>
        </w:tc>
      </w:tr>
      <w:tr w:rsidR="00BE308D" w:rsidRPr="005C7611" w14:paraId="506D0E81" w14:textId="77777777" w:rsidTr="00BE308D">
        <w:trPr>
          <w:trHeight w:val="370"/>
        </w:trPr>
        <w:tc>
          <w:tcPr>
            <w:tcW w:w="1272" w:type="dxa"/>
            <w:vMerge/>
            <w:shd w:val="clear" w:color="auto" w:fill="auto"/>
          </w:tcPr>
          <w:p w14:paraId="40D3D37D" w14:textId="77777777" w:rsidR="00BE308D" w:rsidRPr="005C7611" w:rsidRDefault="00BE308D" w:rsidP="00BE308D">
            <w:pPr>
              <w:pStyle w:val="TableBody"/>
              <w:jc w:val="center"/>
              <w:rPr>
                <w:rFonts w:eastAsiaTheme="minorEastAsia"/>
                <w:sz w:val="20"/>
                <w:szCs w:val="18"/>
                <w:lang w:val="en-US" w:eastAsia="ko-KR"/>
              </w:rPr>
            </w:pPr>
          </w:p>
        </w:tc>
        <w:tc>
          <w:tcPr>
            <w:tcW w:w="1138" w:type="dxa"/>
            <w:shd w:val="clear" w:color="auto" w:fill="auto"/>
          </w:tcPr>
          <w:p w14:paraId="19653236" w14:textId="77777777" w:rsidR="00BE308D" w:rsidRPr="005C7611" w:rsidRDefault="00BE308D" w:rsidP="00BE308D">
            <w:pPr>
              <w:pStyle w:val="TableBody"/>
              <w:jc w:val="center"/>
              <w:rPr>
                <w:rFonts w:eastAsiaTheme="minorEastAsia"/>
                <w:sz w:val="20"/>
                <w:szCs w:val="18"/>
                <w:lang w:val="en-US" w:eastAsia="ko-KR"/>
              </w:rPr>
            </w:pPr>
            <w:proofErr w:type="spellStart"/>
            <w:r w:rsidRPr="005C7611">
              <w:rPr>
                <w:rFonts w:eastAsiaTheme="minorEastAsia"/>
                <w:i/>
                <w:iCs/>
                <w:sz w:val="20"/>
                <w:szCs w:val="18"/>
                <w:lang w:val="en-US" w:eastAsia="ko-KR"/>
              </w:rPr>
              <w:t>k</w:t>
            </w:r>
            <w:r w:rsidRPr="005C7611">
              <w:rPr>
                <w:rFonts w:eastAsiaTheme="minorEastAsia"/>
                <w:sz w:val="20"/>
                <w:szCs w:val="18"/>
                <w:vertAlign w:val="subscript"/>
                <w:lang w:val="en-US" w:eastAsia="ko-KR"/>
              </w:rPr>
              <w:t>FRET</w:t>
            </w:r>
            <w:proofErr w:type="spellEnd"/>
            <w:r w:rsidRPr="005C7611">
              <w:rPr>
                <w:rFonts w:eastAsiaTheme="minorEastAsia"/>
                <w:sz w:val="20"/>
                <w:szCs w:val="18"/>
                <w:lang w:val="en-US" w:eastAsia="ko-KR"/>
              </w:rPr>
              <w:t xml:space="preserve"> (/</w:t>
            </w:r>
            <w:proofErr w:type="spellStart"/>
            <w:r w:rsidRPr="005C7611">
              <w:rPr>
                <w:rFonts w:eastAsiaTheme="minorEastAsia"/>
                <w:sz w:val="20"/>
                <w:szCs w:val="18"/>
                <w:lang w:val="en-US" w:eastAsia="ko-KR"/>
              </w:rPr>
              <w:t>μs</w:t>
            </w:r>
            <w:proofErr w:type="spellEnd"/>
            <w:r w:rsidRPr="005C7611">
              <w:rPr>
                <w:rFonts w:eastAsiaTheme="minorEastAsia"/>
                <w:sz w:val="20"/>
                <w:szCs w:val="18"/>
                <w:lang w:val="en-US" w:eastAsia="ko-KR"/>
              </w:rPr>
              <w:t>)</w:t>
            </w:r>
          </w:p>
        </w:tc>
        <w:tc>
          <w:tcPr>
            <w:tcW w:w="949" w:type="dxa"/>
            <w:shd w:val="clear" w:color="auto" w:fill="auto"/>
            <w:vAlign w:val="center"/>
          </w:tcPr>
          <w:p w14:paraId="5A440640" w14:textId="77777777" w:rsidR="00BE308D" w:rsidRPr="005C7611" w:rsidRDefault="00981AA0" w:rsidP="00BE308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949" w:type="dxa"/>
            <w:shd w:val="clear" w:color="auto" w:fill="auto"/>
            <w:vAlign w:val="center"/>
          </w:tcPr>
          <w:p w14:paraId="7EB0ADC5" w14:textId="77777777" w:rsidR="00BE308D" w:rsidRPr="005C7611" w:rsidRDefault="00981AA0" w:rsidP="00BE308D">
            <w:pPr>
              <w:pStyle w:val="TableBody"/>
              <w:jc w:val="center"/>
              <w:rPr>
                <w:rFonts w:eastAsiaTheme="minorEastAsia"/>
                <w:sz w:val="20"/>
                <w:szCs w:val="18"/>
                <w:lang w:val="en-US" w:eastAsia="ko-KR"/>
              </w:rPr>
            </w:pPr>
            <w:r w:rsidRPr="005C7611">
              <w:rPr>
                <w:rFonts w:eastAsiaTheme="minorEastAsia"/>
                <w:sz w:val="20"/>
                <w:szCs w:val="18"/>
                <w:lang w:val="en-US" w:eastAsia="ko-KR"/>
              </w:rPr>
              <w:t>5.26</w:t>
            </w:r>
          </w:p>
        </w:tc>
        <w:tc>
          <w:tcPr>
            <w:tcW w:w="949" w:type="dxa"/>
            <w:shd w:val="clear" w:color="auto" w:fill="auto"/>
            <w:vAlign w:val="center"/>
          </w:tcPr>
          <w:p w14:paraId="5B076DAE" w14:textId="77777777" w:rsidR="00BE308D" w:rsidRPr="005C7611" w:rsidRDefault="00981AA0" w:rsidP="00BE308D">
            <w:pPr>
              <w:pStyle w:val="TableBody"/>
              <w:jc w:val="center"/>
              <w:rPr>
                <w:rFonts w:eastAsiaTheme="minorEastAsia"/>
                <w:sz w:val="20"/>
                <w:szCs w:val="18"/>
                <w:lang w:val="en-US" w:eastAsia="ko-KR"/>
              </w:rPr>
            </w:pPr>
            <w:r w:rsidRPr="005C7611">
              <w:rPr>
                <w:rFonts w:eastAsiaTheme="minorEastAsia"/>
                <w:sz w:val="20"/>
                <w:szCs w:val="18"/>
                <w:lang w:val="en-US" w:eastAsia="ko-KR"/>
              </w:rPr>
              <w:t>8.49</w:t>
            </w:r>
          </w:p>
        </w:tc>
        <w:tc>
          <w:tcPr>
            <w:tcW w:w="949" w:type="dxa"/>
            <w:shd w:val="clear" w:color="auto" w:fill="auto"/>
            <w:vAlign w:val="center"/>
          </w:tcPr>
          <w:p w14:paraId="470783A7" w14:textId="77777777" w:rsidR="00BE308D" w:rsidRPr="005C7611" w:rsidRDefault="00981AA0" w:rsidP="00BE308D">
            <w:pPr>
              <w:pStyle w:val="TableBody"/>
              <w:jc w:val="center"/>
              <w:rPr>
                <w:rFonts w:eastAsiaTheme="minorEastAsia"/>
                <w:sz w:val="20"/>
                <w:szCs w:val="18"/>
                <w:lang w:val="en-US" w:eastAsia="ko-KR"/>
              </w:rPr>
            </w:pPr>
            <w:r w:rsidRPr="005C7611">
              <w:rPr>
                <w:rFonts w:eastAsiaTheme="minorEastAsia"/>
                <w:sz w:val="20"/>
                <w:szCs w:val="18"/>
                <w:lang w:val="en-US" w:eastAsia="ko-KR"/>
              </w:rPr>
              <w:t>3.80</w:t>
            </w:r>
          </w:p>
        </w:tc>
        <w:tc>
          <w:tcPr>
            <w:tcW w:w="949" w:type="dxa"/>
            <w:shd w:val="clear" w:color="auto" w:fill="auto"/>
            <w:vAlign w:val="center"/>
          </w:tcPr>
          <w:p w14:paraId="06527689" w14:textId="77777777" w:rsidR="00BE308D" w:rsidRPr="005C7611" w:rsidRDefault="00981AA0" w:rsidP="00BE308D">
            <w:pPr>
              <w:pStyle w:val="TableBody"/>
              <w:jc w:val="center"/>
              <w:rPr>
                <w:rFonts w:eastAsiaTheme="minorEastAsia"/>
                <w:sz w:val="20"/>
                <w:szCs w:val="18"/>
                <w:lang w:val="en-US" w:eastAsia="ko-KR"/>
              </w:rPr>
            </w:pPr>
            <w:r w:rsidRPr="005C7611">
              <w:rPr>
                <w:rFonts w:eastAsiaTheme="minorEastAsia"/>
                <w:sz w:val="20"/>
                <w:szCs w:val="18"/>
                <w:lang w:val="en-US" w:eastAsia="ko-KR"/>
              </w:rPr>
              <w:t>7.59</w:t>
            </w:r>
          </w:p>
        </w:tc>
        <w:tc>
          <w:tcPr>
            <w:tcW w:w="949" w:type="dxa"/>
            <w:shd w:val="clear" w:color="auto" w:fill="auto"/>
            <w:vAlign w:val="center"/>
          </w:tcPr>
          <w:p w14:paraId="249A2995" w14:textId="77777777" w:rsidR="00BE308D" w:rsidRPr="005C7611" w:rsidRDefault="00981AA0" w:rsidP="00BE308D">
            <w:pPr>
              <w:pStyle w:val="TableBody"/>
              <w:jc w:val="center"/>
              <w:rPr>
                <w:rFonts w:eastAsiaTheme="minorEastAsia"/>
                <w:sz w:val="20"/>
                <w:szCs w:val="18"/>
                <w:lang w:val="en-US" w:eastAsia="ko-KR"/>
              </w:rPr>
            </w:pPr>
            <w:r w:rsidRPr="005C7611">
              <w:rPr>
                <w:rFonts w:eastAsiaTheme="minorEastAsia"/>
                <w:sz w:val="20"/>
                <w:szCs w:val="18"/>
                <w:lang w:val="en-US" w:eastAsia="ko-KR"/>
              </w:rPr>
              <w:t>16.76</w:t>
            </w:r>
          </w:p>
        </w:tc>
        <w:tc>
          <w:tcPr>
            <w:tcW w:w="949" w:type="dxa"/>
            <w:shd w:val="clear" w:color="auto" w:fill="auto"/>
            <w:vAlign w:val="center"/>
          </w:tcPr>
          <w:p w14:paraId="4939FB5E" w14:textId="77777777" w:rsidR="00BE308D" w:rsidRPr="005C7611" w:rsidRDefault="00981AA0" w:rsidP="00BE308D">
            <w:pPr>
              <w:pStyle w:val="TableBody"/>
              <w:jc w:val="center"/>
              <w:rPr>
                <w:rFonts w:eastAsiaTheme="minorEastAsia"/>
                <w:sz w:val="20"/>
                <w:szCs w:val="18"/>
                <w:lang w:val="en-US" w:eastAsia="ko-KR"/>
              </w:rPr>
            </w:pPr>
            <w:r w:rsidRPr="005C7611">
              <w:rPr>
                <w:rFonts w:eastAsiaTheme="minorEastAsia"/>
                <w:sz w:val="20"/>
                <w:szCs w:val="18"/>
                <w:lang w:val="en-US" w:eastAsia="ko-KR"/>
              </w:rPr>
              <w:t>12.00</w:t>
            </w:r>
          </w:p>
        </w:tc>
      </w:tr>
      <w:tr w:rsidR="00BE308D" w:rsidRPr="005C7611" w14:paraId="18C919AD" w14:textId="77777777" w:rsidTr="00BE308D">
        <w:trPr>
          <w:trHeight w:val="370"/>
        </w:trPr>
        <w:tc>
          <w:tcPr>
            <w:tcW w:w="1272" w:type="dxa"/>
            <w:vMerge/>
            <w:shd w:val="clear" w:color="auto" w:fill="auto"/>
          </w:tcPr>
          <w:p w14:paraId="02D23E0A" w14:textId="77777777" w:rsidR="00BE308D" w:rsidRPr="005C7611" w:rsidRDefault="00BE308D" w:rsidP="00BE308D">
            <w:pPr>
              <w:pStyle w:val="TableBody"/>
              <w:jc w:val="center"/>
              <w:rPr>
                <w:rFonts w:eastAsiaTheme="minorEastAsia"/>
                <w:sz w:val="20"/>
                <w:szCs w:val="18"/>
                <w:lang w:val="en-US" w:eastAsia="ko-KR"/>
              </w:rPr>
            </w:pPr>
          </w:p>
        </w:tc>
        <w:tc>
          <w:tcPr>
            <w:tcW w:w="1138" w:type="dxa"/>
            <w:shd w:val="clear" w:color="auto" w:fill="auto"/>
          </w:tcPr>
          <w:p w14:paraId="56A2AA92" w14:textId="77777777" w:rsidR="00BE308D" w:rsidRPr="005C7611" w:rsidRDefault="00BE308D" w:rsidP="00BE308D">
            <w:pPr>
              <w:pStyle w:val="TableBody"/>
              <w:jc w:val="center"/>
              <w:rPr>
                <w:rFonts w:eastAsiaTheme="minorEastAsia"/>
                <w:sz w:val="20"/>
                <w:szCs w:val="18"/>
                <w:lang w:val="en-US" w:eastAsia="ko-KR"/>
              </w:rPr>
            </w:pPr>
            <w:proofErr w:type="spellStart"/>
            <w:r w:rsidRPr="005C7611">
              <w:rPr>
                <w:rFonts w:eastAsiaTheme="minorEastAsia"/>
                <w:i/>
                <w:iCs/>
                <w:sz w:val="20"/>
                <w:szCs w:val="18"/>
                <w:lang w:val="en-US" w:eastAsia="ko-KR"/>
              </w:rPr>
              <w:t>k</w:t>
            </w:r>
            <w:r w:rsidRPr="005C7611">
              <w:rPr>
                <w:rFonts w:eastAsiaTheme="minorEastAsia"/>
                <w:sz w:val="20"/>
                <w:szCs w:val="18"/>
                <w:vertAlign w:val="subscript"/>
                <w:lang w:val="en-US" w:eastAsia="ko-KR"/>
              </w:rPr>
              <w:t>DET</w:t>
            </w:r>
            <w:proofErr w:type="spellEnd"/>
            <w:r w:rsidRPr="005C7611">
              <w:rPr>
                <w:rFonts w:eastAsiaTheme="minorEastAsia"/>
                <w:sz w:val="20"/>
                <w:szCs w:val="18"/>
                <w:lang w:val="en-US" w:eastAsia="ko-KR"/>
              </w:rPr>
              <w:t xml:space="preserve"> (/</w:t>
            </w:r>
            <w:proofErr w:type="spellStart"/>
            <w:r w:rsidRPr="005C7611">
              <w:rPr>
                <w:rFonts w:eastAsiaTheme="minorEastAsia"/>
                <w:sz w:val="20"/>
                <w:szCs w:val="18"/>
                <w:lang w:val="en-US" w:eastAsia="ko-KR"/>
              </w:rPr>
              <w:t>μs</w:t>
            </w:r>
            <w:proofErr w:type="spellEnd"/>
            <w:r w:rsidRPr="005C7611">
              <w:rPr>
                <w:rFonts w:eastAsiaTheme="minorEastAsia"/>
                <w:sz w:val="20"/>
                <w:szCs w:val="18"/>
                <w:lang w:val="en-US" w:eastAsia="ko-KR"/>
              </w:rPr>
              <w:t>)</w:t>
            </w:r>
          </w:p>
        </w:tc>
        <w:tc>
          <w:tcPr>
            <w:tcW w:w="949" w:type="dxa"/>
            <w:shd w:val="clear" w:color="auto" w:fill="auto"/>
            <w:vAlign w:val="center"/>
          </w:tcPr>
          <w:p w14:paraId="397691F0" w14:textId="77777777" w:rsidR="00BE308D" w:rsidRPr="005C7611" w:rsidRDefault="00981AA0" w:rsidP="00BE308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949" w:type="dxa"/>
            <w:shd w:val="clear" w:color="auto" w:fill="auto"/>
            <w:vAlign w:val="center"/>
          </w:tcPr>
          <w:p w14:paraId="14C96813" w14:textId="77777777" w:rsidR="00BE308D" w:rsidRPr="005C7611" w:rsidRDefault="00981AA0" w:rsidP="00BE308D">
            <w:pPr>
              <w:pStyle w:val="TableBody"/>
              <w:jc w:val="center"/>
              <w:rPr>
                <w:rFonts w:eastAsiaTheme="minorEastAsia"/>
                <w:sz w:val="20"/>
                <w:szCs w:val="18"/>
                <w:lang w:val="en-US" w:eastAsia="ko-KR"/>
              </w:rPr>
            </w:pPr>
            <w:r w:rsidRPr="005C7611">
              <w:rPr>
                <w:rFonts w:eastAsiaTheme="minorEastAsia"/>
                <w:sz w:val="20"/>
                <w:szCs w:val="18"/>
                <w:lang w:val="en-US" w:eastAsia="ko-KR"/>
              </w:rPr>
              <w:t>9.93</w:t>
            </w:r>
          </w:p>
        </w:tc>
        <w:tc>
          <w:tcPr>
            <w:tcW w:w="949" w:type="dxa"/>
            <w:shd w:val="clear" w:color="auto" w:fill="auto"/>
            <w:vAlign w:val="center"/>
          </w:tcPr>
          <w:p w14:paraId="0DAA6A1C" w14:textId="77777777" w:rsidR="00BE308D" w:rsidRPr="005C7611" w:rsidRDefault="00981AA0" w:rsidP="00BE308D">
            <w:pPr>
              <w:pStyle w:val="TableBody"/>
              <w:jc w:val="center"/>
              <w:rPr>
                <w:rFonts w:eastAsiaTheme="minorEastAsia"/>
                <w:sz w:val="20"/>
                <w:szCs w:val="18"/>
                <w:lang w:val="en-US" w:eastAsia="ko-KR"/>
              </w:rPr>
            </w:pPr>
            <w:r w:rsidRPr="005C7611">
              <w:rPr>
                <w:rFonts w:eastAsiaTheme="minorEastAsia"/>
                <w:sz w:val="20"/>
                <w:szCs w:val="18"/>
                <w:lang w:val="en-US" w:eastAsia="ko-KR"/>
              </w:rPr>
              <w:t>27.62</w:t>
            </w:r>
          </w:p>
        </w:tc>
        <w:tc>
          <w:tcPr>
            <w:tcW w:w="949" w:type="dxa"/>
            <w:shd w:val="clear" w:color="auto" w:fill="auto"/>
            <w:vAlign w:val="center"/>
          </w:tcPr>
          <w:p w14:paraId="5DB57967" w14:textId="77777777" w:rsidR="00BE308D" w:rsidRPr="005C7611" w:rsidRDefault="00981AA0" w:rsidP="00BE308D">
            <w:pPr>
              <w:pStyle w:val="TableBody"/>
              <w:jc w:val="center"/>
              <w:rPr>
                <w:rFonts w:eastAsiaTheme="minorEastAsia"/>
                <w:sz w:val="20"/>
                <w:szCs w:val="18"/>
                <w:lang w:val="en-US" w:eastAsia="ko-KR"/>
              </w:rPr>
            </w:pPr>
            <w:r w:rsidRPr="005C7611">
              <w:rPr>
                <w:rFonts w:eastAsiaTheme="minorEastAsia"/>
                <w:sz w:val="20"/>
                <w:szCs w:val="18"/>
                <w:lang w:val="en-US" w:eastAsia="ko-KR"/>
              </w:rPr>
              <w:t>50.57</w:t>
            </w:r>
          </w:p>
        </w:tc>
        <w:tc>
          <w:tcPr>
            <w:tcW w:w="949" w:type="dxa"/>
            <w:shd w:val="clear" w:color="auto" w:fill="auto"/>
            <w:vAlign w:val="center"/>
          </w:tcPr>
          <w:p w14:paraId="15FF5E54" w14:textId="77777777" w:rsidR="00BE308D" w:rsidRPr="005C7611" w:rsidRDefault="00981AA0" w:rsidP="00BE308D">
            <w:pPr>
              <w:pStyle w:val="TableBody"/>
              <w:jc w:val="center"/>
              <w:rPr>
                <w:rFonts w:eastAsiaTheme="minorEastAsia"/>
                <w:sz w:val="20"/>
                <w:szCs w:val="18"/>
                <w:lang w:val="en-US" w:eastAsia="ko-KR"/>
              </w:rPr>
            </w:pPr>
            <w:r w:rsidRPr="005C7611">
              <w:rPr>
                <w:rFonts w:eastAsiaTheme="minorEastAsia"/>
                <w:sz w:val="20"/>
                <w:szCs w:val="18"/>
                <w:lang w:val="en-US" w:eastAsia="ko-KR"/>
              </w:rPr>
              <w:t>6.35</w:t>
            </w:r>
          </w:p>
        </w:tc>
        <w:tc>
          <w:tcPr>
            <w:tcW w:w="949" w:type="dxa"/>
            <w:shd w:val="clear" w:color="auto" w:fill="auto"/>
            <w:vAlign w:val="center"/>
          </w:tcPr>
          <w:p w14:paraId="00D2844D" w14:textId="77777777" w:rsidR="00BE308D" w:rsidRPr="005C7611" w:rsidRDefault="00981AA0" w:rsidP="00BE308D">
            <w:pPr>
              <w:pStyle w:val="TableBody"/>
              <w:jc w:val="center"/>
              <w:rPr>
                <w:rFonts w:eastAsiaTheme="minorEastAsia"/>
                <w:sz w:val="20"/>
                <w:szCs w:val="18"/>
                <w:lang w:val="en-US" w:eastAsia="ko-KR"/>
              </w:rPr>
            </w:pPr>
            <w:r w:rsidRPr="005C7611">
              <w:rPr>
                <w:rFonts w:eastAsiaTheme="minorEastAsia"/>
                <w:sz w:val="20"/>
                <w:szCs w:val="18"/>
                <w:lang w:val="en-US" w:eastAsia="ko-KR"/>
              </w:rPr>
              <w:t>29.38</w:t>
            </w:r>
          </w:p>
        </w:tc>
        <w:tc>
          <w:tcPr>
            <w:tcW w:w="949" w:type="dxa"/>
            <w:shd w:val="clear" w:color="auto" w:fill="auto"/>
            <w:vAlign w:val="center"/>
          </w:tcPr>
          <w:p w14:paraId="272A31E6" w14:textId="77777777" w:rsidR="00BE308D" w:rsidRPr="005C7611" w:rsidRDefault="00981AA0" w:rsidP="00BE308D">
            <w:pPr>
              <w:pStyle w:val="TableBody"/>
              <w:jc w:val="center"/>
              <w:rPr>
                <w:rFonts w:eastAsiaTheme="minorEastAsia"/>
                <w:sz w:val="20"/>
                <w:szCs w:val="18"/>
                <w:lang w:val="en-US" w:eastAsia="ko-KR"/>
              </w:rPr>
            </w:pPr>
            <w:r w:rsidRPr="005C7611">
              <w:rPr>
                <w:rFonts w:eastAsiaTheme="minorEastAsia"/>
                <w:sz w:val="20"/>
                <w:szCs w:val="18"/>
                <w:lang w:val="en-US" w:eastAsia="ko-KR"/>
              </w:rPr>
              <w:t>41.40</w:t>
            </w:r>
          </w:p>
        </w:tc>
      </w:tr>
      <w:tr w:rsidR="00BE308D" w:rsidRPr="005C7611" w14:paraId="2E22AB50" w14:textId="77777777" w:rsidTr="00BE308D">
        <w:trPr>
          <w:trHeight w:val="370"/>
        </w:trPr>
        <w:tc>
          <w:tcPr>
            <w:tcW w:w="1272" w:type="dxa"/>
            <w:vMerge/>
            <w:tcBorders>
              <w:bottom w:val="single" w:sz="4" w:space="0" w:color="auto"/>
            </w:tcBorders>
            <w:shd w:val="clear" w:color="auto" w:fill="auto"/>
          </w:tcPr>
          <w:p w14:paraId="75EACE02" w14:textId="77777777" w:rsidR="00BE308D" w:rsidRPr="005C7611" w:rsidRDefault="00BE308D" w:rsidP="00BE308D">
            <w:pPr>
              <w:pStyle w:val="TableBody"/>
              <w:jc w:val="center"/>
              <w:rPr>
                <w:rFonts w:eastAsiaTheme="minorEastAsia"/>
                <w:sz w:val="20"/>
                <w:szCs w:val="18"/>
                <w:lang w:val="en-US" w:eastAsia="ko-KR"/>
              </w:rPr>
            </w:pPr>
          </w:p>
        </w:tc>
        <w:tc>
          <w:tcPr>
            <w:tcW w:w="1138" w:type="dxa"/>
            <w:tcBorders>
              <w:bottom w:val="single" w:sz="4" w:space="0" w:color="auto"/>
            </w:tcBorders>
            <w:shd w:val="clear" w:color="auto" w:fill="auto"/>
          </w:tcPr>
          <w:p w14:paraId="4BEE2836" w14:textId="77777777" w:rsidR="00BE308D" w:rsidRPr="005C7611" w:rsidRDefault="00BE308D" w:rsidP="00BE308D">
            <w:pPr>
              <w:pStyle w:val="TableBody"/>
              <w:jc w:val="center"/>
              <w:rPr>
                <w:rFonts w:eastAsiaTheme="minorEastAsia"/>
                <w:sz w:val="20"/>
                <w:szCs w:val="18"/>
                <w:lang w:val="en-US" w:eastAsia="ko-KR"/>
              </w:rPr>
            </w:pPr>
            <w:r w:rsidRPr="005C7611">
              <w:rPr>
                <w:rFonts w:eastAsiaTheme="minorEastAsia"/>
                <w:i/>
                <w:iCs/>
                <w:sz w:val="20"/>
                <w:szCs w:val="18"/>
                <w:lang w:val="en-US" w:eastAsia="ko-KR"/>
              </w:rPr>
              <w:t>E</w:t>
            </w:r>
            <w:r w:rsidRPr="005C7611">
              <w:rPr>
                <w:rFonts w:eastAsiaTheme="minorEastAsia"/>
                <w:sz w:val="20"/>
                <w:szCs w:val="18"/>
                <w:vertAlign w:val="subscript"/>
                <w:lang w:val="en-US" w:eastAsia="ko-KR"/>
              </w:rPr>
              <w:t>FRET</w:t>
            </w:r>
            <w:r w:rsidRPr="005C7611">
              <w:rPr>
                <w:rFonts w:eastAsiaTheme="minorEastAsia"/>
                <w:sz w:val="20"/>
                <w:szCs w:val="18"/>
                <w:lang w:val="en-US" w:eastAsia="ko-KR"/>
              </w:rPr>
              <w:t xml:space="preserve"> (%)</w:t>
            </w:r>
          </w:p>
        </w:tc>
        <w:tc>
          <w:tcPr>
            <w:tcW w:w="949" w:type="dxa"/>
            <w:tcBorders>
              <w:bottom w:val="single" w:sz="4" w:space="0" w:color="auto"/>
            </w:tcBorders>
            <w:shd w:val="clear" w:color="auto" w:fill="auto"/>
            <w:vAlign w:val="center"/>
          </w:tcPr>
          <w:p w14:paraId="0A897D0E" w14:textId="77777777" w:rsidR="00BE308D" w:rsidRPr="005C7611" w:rsidRDefault="00981AA0" w:rsidP="00BE308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949" w:type="dxa"/>
            <w:tcBorders>
              <w:bottom w:val="single" w:sz="4" w:space="0" w:color="auto"/>
            </w:tcBorders>
            <w:shd w:val="clear" w:color="auto" w:fill="auto"/>
            <w:vAlign w:val="center"/>
          </w:tcPr>
          <w:p w14:paraId="578F48F8" w14:textId="77777777" w:rsidR="00BE308D" w:rsidRPr="005C7611" w:rsidRDefault="00981AA0" w:rsidP="00BE308D">
            <w:pPr>
              <w:pStyle w:val="TableBody"/>
              <w:jc w:val="center"/>
              <w:rPr>
                <w:rFonts w:eastAsiaTheme="minorEastAsia"/>
                <w:sz w:val="20"/>
                <w:szCs w:val="18"/>
                <w:lang w:val="en-US" w:eastAsia="ko-KR"/>
              </w:rPr>
            </w:pPr>
            <w:r w:rsidRPr="005C7611">
              <w:rPr>
                <w:rFonts w:eastAsiaTheme="minorEastAsia"/>
                <w:sz w:val="20"/>
                <w:szCs w:val="18"/>
                <w:lang w:val="en-US" w:eastAsia="ko-KR"/>
              </w:rPr>
              <w:t>88.0</w:t>
            </w:r>
          </w:p>
        </w:tc>
        <w:tc>
          <w:tcPr>
            <w:tcW w:w="949" w:type="dxa"/>
            <w:tcBorders>
              <w:bottom w:val="single" w:sz="4" w:space="0" w:color="auto"/>
            </w:tcBorders>
            <w:shd w:val="clear" w:color="auto" w:fill="auto"/>
            <w:vAlign w:val="center"/>
          </w:tcPr>
          <w:p w14:paraId="2EEF257E" w14:textId="77777777" w:rsidR="00BE308D" w:rsidRPr="005C7611" w:rsidRDefault="00981AA0" w:rsidP="00BE308D">
            <w:pPr>
              <w:pStyle w:val="TableBody"/>
              <w:jc w:val="center"/>
              <w:rPr>
                <w:rFonts w:eastAsiaTheme="minorEastAsia"/>
                <w:sz w:val="20"/>
                <w:szCs w:val="18"/>
                <w:lang w:val="en-US" w:eastAsia="ko-KR"/>
              </w:rPr>
            </w:pPr>
            <w:r w:rsidRPr="005C7611">
              <w:rPr>
                <w:rFonts w:eastAsiaTheme="minorEastAsia"/>
                <w:sz w:val="20"/>
                <w:szCs w:val="18"/>
                <w:lang w:val="en-US" w:eastAsia="ko-KR"/>
              </w:rPr>
              <w:t>92.2</w:t>
            </w:r>
          </w:p>
        </w:tc>
        <w:tc>
          <w:tcPr>
            <w:tcW w:w="949" w:type="dxa"/>
            <w:tcBorders>
              <w:bottom w:val="single" w:sz="4" w:space="0" w:color="auto"/>
            </w:tcBorders>
            <w:shd w:val="clear" w:color="auto" w:fill="auto"/>
            <w:vAlign w:val="center"/>
          </w:tcPr>
          <w:p w14:paraId="277E0C9F" w14:textId="77777777" w:rsidR="00BE308D" w:rsidRPr="005C7611" w:rsidRDefault="00981AA0" w:rsidP="00BE308D">
            <w:pPr>
              <w:pStyle w:val="TableBody"/>
              <w:jc w:val="center"/>
              <w:rPr>
                <w:rFonts w:eastAsiaTheme="minorEastAsia"/>
                <w:sz w:val="20"/>
                <w:szCs w:val="18"/>
                <w:lang w:val="en-US" w:eastAsia="ko-KR"/>
              </w:rPr>
            </w:pPr>
            <w:r w:rsidRPr="005C7611">
              <w:rPr>
                <w:rFonts w:eastAsiaTheme="minorEastAsia"/>
                <w:sz w:val="20"/>
                <w:szCs w:val="18"/>
                <w:lang w:val="en-US" w:eastAsia="ko-KR"/>
              </w:rPr>
              <w:t>84.1</w:t>
            </w:r>
          </w:p>
        </w:tc>
        <w:tc>
          <w:tcPr>
            <w:tcW w:w="949" w:type="dxa"/>
            <w:tcBorders>
              <w:bottom w:val="single" w:sz="4" w:space="0" w:color="auto"/>
            </w:tcBorders>
            <w:shd w:val="clear" w:color="auto" w:fill="auto"/>
            <w:vAlign w:val="center"/>
          </w:tcPr>
          <w:p w14:paraId="29B6EBEE" w14:textId="77777777" w:rsidR="00BE308D" w:rsidRPr="005C7611" w:rsidRDefault="00981AA0" w:rsidP="00BE308D">
            <w:pPr>
              <w:pStyle w:val="TableBody"/>
              <w:jc w:val="center"/>
              <w:rPr>
                <w:rFonts w:eastAsiaTheme="minorEastAsia"/>
                <w:sz w:val="20"/>
                <w:szCs w:val="18"/>
                <w:lang w:val="en-US" w:eastAsia="ko-KR"/>
              </w:rPr>
            </w:pPr>
            <w:r w:rsidRPr="005C7611">
              <w:rPr>
                <w:rFonts w:eastAsiaTheme="minorEastAsia"/>
                <w:sz w:val="20"/>
                <w:szCs w:val="18"/>
                <w:lang w:val="en-US" w:eastAsia="ko-KR"/>
              </w:rPr>
              <w:t>91.4</w:t>
            </w:r>
          </w:p>
        </w:tc>
        <w:tc>
          <w:tcPr>
            <w:tcW w:w="949" w:type="dxa"/>
            <w:tcBorders>
              <w:bottom w:val="single" w:sz="4" w:space="0" w:color="auto"/>
            </w:tcBorders>
            <w:shd w:val="clear" w:color="auto" w:fill="auto"/>
            <w:vAlign w:val="center"/>
          </w:tcPr>
          <w:p w14:paraId="6985DDD4" w14:textId="77777777" w:rsidR="00BE308D" w:rsidRPr="005C7611" w:rsidRDefault="00981AA0" w:rsidP="00BE308D">
            <w:pPr>
              <w:pStyle w:val="TableBody"/>
              <w:jc w:val="center"/>
              <w:rPr>
                <w:rFonts w:eastAsiaTheme="minorEastAsia"/>
                <w:sz w:val="20"/>
                <w:szCs w:val="18"/>
                <w:lang w:val="en-US" w:eastAsia="ko-KR"/>
              </w:rPr>
            </w:pPr>
            <w:r w:rsidRPr="005C7611">
              <w:rPr>
                <w:rFonts w:eastAsiaTheme="minorEastAsia"/>
                <w:sz w:val="20"/>
                <w:szCs w:val="18"/>
                <w:lang w:val="en-US" w:eastAsia="ko-KR"/>
              </w:rPr>
              <w:t>95.9</w:t>
            </w:r>
          </w:p>
        </w:tc>
        <w:tc>
          <w:tcPr>
            <w:tcW w:w="949" w:type="dxa"/>
            <w:tcBorders>
              <w:bottom w:val="single" w:sz="4" w:space="0" w:color="auto"/>
            </w:tcBorders>
            <w:shd w:val="clear" w:color="auto" w:fill="auto"/>
            <w:vAlign w:val="center"/>
          </w:tcPr>
          <w:p w14:paraId="4F9BFC16" w14:textId="77777777" w:rsidR="00BE308D" w:rsidRPr="005C7611" w:rsidRDefault="00981AA0" w:rsidP="00BE308D">
            <w:pPr>
              <w:pStyle w:val="TableBody"/>
              <w:jc w:val="center"/>
              <w:rPr>
                <w:rFonts w:eastAsiaTheme="minorEastAsia"/>
                <w:sz w:val="20"/>
                <w:szCs w:val="18"/>
                <w:lang w:val="en-US" w:eastAsia="ko-KR"/>
              </w:rPr>
            </w:pPr>
            <w:r w:rsidRPr="005C7611">
              <w:rPr>
                <w:rFonts w:eastAsiaTheme="minorEastAsia"/>
                <w:sz w:val="20"/>
                <w:szCs w:val="18"/>
                <w:lang w:val="en-US" w:eastAsia="ko-KR"/>
              </w:rPr>
              <w:t>94.3</w:t>
            </w:r>
          </w:p>
        </w:tc>
      </w:tr>
      <w:bookmarkEnd w:id="4"/>
      <w:tr w:rsidR="00BE308D" w:rsidRPr="005C7611" w14:paraId="0E09A8FA" w14:textId="77777777" w:rsidTr="00F81BDD">
        <w:trPr>
          <w:trHeight w:val="370"/>
        </w:trPr>
        <w:tc>
          <w:tcPr>
            <w:tcW w:w="1272" w:type="dxa"/>
            <w:vMerge w:val="restart"/>
            <w:tcBorders>
              <w:top w:val="single" w:sz="4" w:space="0" w:color="auto"/>
            </w:tcBorders>
            <w:shd w:val="clear" w:color="auto" w:fill="auto"/>
            <w:vAlign w:val="center"/>
          </w:tcPr>
          <w:p w14:paraId="0312F54E" w14:textId="4E607827" w:rsidR="00BE308D" w:rsidRPr="005C7611" w:rsidRDefault="00BE308D" w:rsidP="00F81BDD">
            <w:pPr>
              <w:pStyle w:val="TableHead"/>
              <w:jc w:val="center"/>
              <w:rPr>
                <w:rFonts w:eastAsiaTheme="minorEastAsia"/>
                <w:sz w:val="20"/>
                <w:szCs w:val="18"/>
                <w:lang w:val="en-US" w:eastAsia="ko-KR"/>
              </w:rPr>
            </w:pPr>
            <w:proofErr w:type="gramStart"/>
            <w:r w:rsidRPr="005C7611">
              <w:rPr>
                <w:rFonts w:eastAsiaTheme="minorEastAsia"/>
                <w:sz w:val="20"/>
                <w:szCs w:val="18"/>
                <w:lang w:val="en-US" w:eastAsia="ko-KR"/>
              </w:rPr>
              <w:t>mCP:</w:t>
            </w:r>
            <w:r w:rsidR="00A042A2" w:rsidRPr="005C7611">
              <w:rPr>
                <w:rFonts w:eastAsiaTheme="minorEastAsia"/>
                <w:sz w:val="20"/>
                <w:szCs w:val="18"/>
                <w:lang w:val="en-US" w:eastAsia="ko-KR"/>
              </w:rPr>
              <w:t>CMA</w:t>
            </w:r>
            <w:proofErr w:type="gramEnd"/>
            <w:r w:rsidR="00B935AB" w:rsidRPr="005C7611">
              <w:rPr>
                <w:rFonts w:eastAsiaTheme="minorEastAsia"/>
                <w:sz w:val="20"/>
                <w:szCs w:val="18"/>
                <w:lang w:val="en-US" w:eastAsia="ko-KR"/>
              </w:rPr>
              <w:t>4</w:t>
            </w:r>
          </w:p>
        </w:tc>
        <w:tc>
          <w:tcPr>
            <w:tcW w:w="1138" w:type="dxa"/>
            <w:tcBorders>
              <w:top w:val="single" w:sz="4" w:space="0" w:color="auto"/>
            </w:tcBorders>
            <w:shd w:val="clear" w:color="auto" w:fill="auto"/>
          </w:tcPr>
          <w:p w14:paraId="095971A1" w14:textId="77777777" w:rsidR="00BE308D" w:rsidRPr="005C7611" w:rsidRDefault="00BE308D" w:rsidP="00F81BDD">
            <w:pPr>
              <w:pStyle w:val="TableHead"/>
              <w:jc w:val="center"/>
              <w:rPr>
                <w:rFonts w:eastAsiaTheme="minorEastAsia"/>
                <w:sz w:val="20"/>
                <w:szCs w:val="18"/>
                <w:lang w:val="en-US" w:eastAsia="ko-KR"/>
              </w:rPr>
            </w:pPr>
            <w:r w:rsidRPr="005C7611">
              <w:rPr>
                <w:rFonts w:eastAsiaTheme="minorEastAsia"/>
                <w:i/>
                <w:iCs/>
                <w:sz w:val="20"/>
                <w:szCs w:val="18"/>
                <w:lang w:val="en-US" w:eastAsia="ko-KR"/>
              </w:rPr>
              <w:t>τ</w:t>
            </w:r>
            <w:r w:rsidRPr="005C7611">
              <w:rPr>
                <w:rFonts w:eastAsiaTheme="minorEastAsia"/>
                <w:sz w:val="20"/>
                <w:szCs w:val="18"/>
                <w:lang w:val="en-US" w:eastAsia="ko-KR"/>
              </w:rPr>
              <w:t xml:space="preserve"> (</w:t>
            </w:r>
            <w:proofErr w:type="spellStart"/>
            <w:r w:rsidRPr="005C7611">
              <w:rPr>
                <w:rFonts w:eastAsiaTheme="minorEastAsia"/>
                <w:sz w:val="20"/>
                <w:szCs w:val="18"/>
                <w:lang w:val="en-US" w:eastAsia="ko-KR"/>
              </w:rPr>
              <w:t>μs</w:t>
            </w:r>
            <w:proofErr w:type="spellEnd"/>
            <w:r w:rsidRPr="005C7611">
              <w:rPr>
                <w:rFonts w:eastAsiaTheme="minorEastAsia"/>
                <w:sz w:val="20"/>
                <w:szCs w:val="18"/>
                <w:lang w:val="en-US" w:eastAsia="ko-KR"/>
              </w:rPr>
              <w:t>)</w:t>
            </w:r>
          </w:p>
        </w:tc>
        <w:tc>
          <w:tcPr>
            <w:tcW w:w="949" w:type="dxa"/>
            <w:tcBorders>
              <w:top w:val="single" w:sz="4" w:space="0" w:color="auto"/>
            </w:tcBorders>
            <w:shd w:val="clear" w:color="auto" w:fill="auto"/>
            <w:vAlign w:val="center"/>
          </w:tcPr>
          <w:p w14:paraId="4768DB1F"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1.22</w:t>
            </w:r>
          </w:p>
        </w:tc>
        <w:tc>
          <w:tcPr>
            <w:tcW w:w="949" w:type="dxa"/>
            <w:tcBorders>
              <w:top w:val="single" w:sz="4" w:space="0" w:color="auto"/>
            </w:tcBorders>
            <w:shd w:val="clear" w:color="auto" w:fill="auto"/>
            <w:vAlign w:val="center"/>
          </w:tcPr>
          <w:p w14:paraId="1CAB167C"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0.042</w:t>
            </w:r>
          </w:p>
        </w:tc>
        <w:tc>
          <w:tcPr>
            <w:tcW w:w="949" w:type="dxa"/>
            <w:tcBorders>
              <w:top w:val="single" w:sz="4" w:space="0" w:color="auto"/>
            </w:tcBorders>
            <w:shd w:val="clear" w:color="auto" w:fill="auto"/>
            <w:vAlign w:val="center"/>
          </w:tcPr>
          <w:p w14:paraId="6A8A629E"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949" w:type="dxa"/>
            <w:tcBorders>
              <w:top w:val="single" w:sz="4" w:space="0" w:color="auto"/>
            </w:tcBorders>
            <w:shd w:val="clear" w:color="auto" w:fill="auto"/>
            <w:vAlign w:val="center"/>
          </w:tcPr>
          <w:p w14:paraId="59F643DA"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949" w:type="dxa"/>
            <w:tcBorders>
              <w:top w:val="single" w:sz="4" w:space="0" w:color="auto"/>
            </w:tcBorders>
            <w:shd w:val="clear" w:color="auto" w:fill="auto"/>
            <w:vAlign w:val="center"/>
          </w:tcPr>
          <w:p w14:paraId="5795F715"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0.066</w:t>
            </w:r>
          </w:p>
        </w:tc>
        <w:tc>
          <w:tcPr>
            <w:tcW w:w="949" w:type="dxa"/>
            <w:tcBorders>
              <w:top w:val="single" w:sz="4" w:space="0" w:color="auto"/>
            </w:tcBorders>
            <w:shd w:val="clear" w:color="auto" w:fill="auto"/>
            <w:vAlign w:val="center"/>
          </w:tcPr>
          <w:p w14:paraId="2F34C842"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949" w:type="dxa"/>
            <w:tcBorders>
              <w:top w:val="single" w:sz="4" w:space="0" w:color="auto"/>
            </w:tcBorders>
            <w:shd w:val="clear" w:color="auto" w:fill="auto"/>
            <w:vAlign w:val="center"/>
          </w:tcPr>
          <w:p w14:paraId="16F34779"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r>
      <w:tr w:rsidR="00BE308D" w:rsidRPr="005C7611" w14:paraId="47D17852" w14:textId="77777777" w:rsidTr="00F81BDD">
        <w:trPr>
          <w:trHeight w:val="370"/>
        </w:trPr>
        <w:tc>
          <w:tcPr>
            <w:tcW w:w="1272" w:type="dxa"/>
            <w:vMerge/>
            <w:shd w:val="clear" w:color="auto" w:fill="auto"/>
          </w:tcPr>
          <w:p w14:paraId="23A44541" w14:textId="77777777" w:rsidR="00BE308D" w:rsidRPr="005C7611" w:rsidRDefault="00BE308D" w:rsidP="00F81BDD">
            <w:pPr>
              <w:pStyle w:val="TableBody"/>
              <w:jc w:val="center"/>
              <w:rPr>
                <w:rFonts w:eastAsiaTheme="minorEastAsia"/>
                <w:sz w:val="20"/>
                <w:szCs w:val="18"/>
                <w:lang w:val="en-US" w:eastAsia="ko-KR"/>
              </w:rPr>
            </w:pPr>
          </w:p>
        </w:tc>
        <w:tc>
          <w:tcPr>
            <w:tcW w:w="1138" w:type="dxa"/>
            <w:shd w:val="clear" w:color="auto" w:fill="auto"/>
          </w:tcPr>
          <w:p w14:paraId="70019E8F" w14:textId="77777777" w:rsidR="00BE308D" w:rsidRPr="005C7611" w:rsidRDefault="00BE308D" w:rsidP="00F81BDD">
            <w:pPr>
              <w:pStyle w:val="TableHead"/>
              <w:jc w:val="center"/>
              <w:rPr>
                <w:rFonts w:eastAsiaTheme="minorEastAsia"/>
                <w:sz w:val="20"/>
                <w:szCs w:val="18"/>
                <w:lang w:val="en-US" w:eastAsia="ko-KR"/>
              </w:rPr>
            </w:pPr>
            <w:proofErr w:type="spellStart"/>
            <w:r w:rsidRPr="005C7611">
              <w:rPr>
                <w:rFonts w:eastAsiaTheme="minorEastAsia"/>
                <w:i/>
                <w:iCs/>
                <w:sz w:val="20"/>
                <w:szCs w:val="18"/>
                <w:lang w:val="en-US" w:eastAsia="ko-KR"/>
              </w:rPr>
              <w:t>k</w:t>
            </w:r>
            <w:r w:rsidRPr="005C7611">
              <w:rPr>
                <w:rFonts w:eastAsiaTheme="minorEastAsia"/>
                <w:sz w:val="20"/>
                <w:szCs w:val="18"/>
                <w:vertAlign w:val="subscript"/>
                <w:lang w:val="en-US" w:eastAsia="ko-KR"/>
              </w:rPr>
              <w:t>r</w:t>
            </w:r>
            <w:proofErr w:type="spellEnd"/>
            <w:r w:rsidRPr="005C7611">
              <w:rPr>
                <w:rFonts w:eastAsiaTheme="minorEastAsia"/>
                <w:sz w:val="20"/>
                <w:szCs w:val="18"/>
                <w:lang w:val="en-US" w:eastAsia="ko-KR"/>
              </w:rPr>
              <w:t xml:space="preserve"> (/</w:t>
            </w:r>
            <w:proofErr w:type="spellStart"/>
            <w:r w:rsidRPr="005C7611">
              <w:rPr>
                <w:rFonts w:eastAsiaTheme="minorEastAsia"/>
                <w:sz w:val="20"/>
                <w:szCs w:val="18"/>
                <w:lang w:val="en-US" w:eastAsia="ko-KR"/>
              </w:rPr>
              <w:t>μs</w:t>
            </w:r>
            <w:proofErr w:type="spellEnd"/>
            <w:r w:rsidRPr="005C7611">
              <w:rPr>
                <w:rFonts w:eastAsiaTheme="minorEastAsia"/>
                <w:sz w:val="20"/>
                <w:szCs w:val="18"/>
                <w:lang w:val="en-US" w:eastAsia="ko-KR"/>
              </w:rPr>
              <w:t>)</w:t>
            </w:r>
          </w:p>
        </w:tc>
        <w:tc>
          <w:tcPr>
            <w:tcW w:w="949" w:type="dxa"/>
            <w:shd w:val="clear" w:color="auto" w:fill="auto"/>
            <w:vAlign w:val="center"/>
          </w:tcPr>
          <w:p w14:paraId="092CCCE3"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0.67</w:t>
            </w:r>
          </w:p>
        </w:tc>
        <w:tc>
          <w:tcPr>
            <w:tcW w:w="949" w:type="dxa"/>
            <w:shd w:val="clear" w:color="auto" w:fill="auto"/>
            <w:vAlign w:val="center"/>
          </w:tcPr>
          <w:p w14:paraId="16BCDA8A"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15.71</w:t>
            </w:r>
          </w:p>
        </w:tc>
        <w:tc>
          <w:tcPr>
            <w:tcW w:w="949" w:type="dxa"/>
            <w:shd w:val="clear" w:color="auto" w:fill="auto"/>
            <w:vAlign w:val="center"/>
          </w:tcPr>
          <w:p w14:paraId="66188AD7"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949" w:type="dxa"/>
            <w:shd w:val="clear" w:color="auto" w:fill="auto"/>
            <w:vAlign w:val="center"/>
          </w:tcPr>
          <w:p w14:paraId="56934879"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949" w:type="dxa"/>
            <w:shd w:val="clear" w:color="auto" w:fill="auto"/>
            <w:vAlign w:val="center"/>
          </w:tcPr>
          <w:p w14:paraId="6B503926"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11.18</w:t>
            </w:r>
          </w:p>
        </w:tc>
        <w:tc>
          <w:tcPr>
            <w:tcW w:w="949" w:type="dxa"/>
            <w:shd w:val="clear" w:color="auto" w:fill="auto"/>
            <w:vAlign w:val="center"/>
          </w:tcPr>
          <w:p w14:paraId="7FAD55EB"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949" w:type="dxa"/>
            <w:shd w:val="clear" w:color="auto" w:fill="auto"/>
            <w:vAlign w:val="center"/>
          </w:tcPr>
          <w:p w14:paraId="37C626F6"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r>
      <w:tr w:rsidR="00BE308D" w:rsidRPr="005C7611" w14:paraId="1F62B26D" w14:textId="77777777" w:rsidTr="00F81BDD">
        <w:trPr>
          <w:trHeight w:val="370"/>
        </w:trPr>
        <w:tc>
          <w:tcPr>
            <w:tcW w:w="1272" w:type="dxa"/>
            <w:vMerge/>
            <w:shd w:val="clear" w:color="auto" w:fill="auto"/>
          </w:tcPr>
          <w:p w14:paraId="4A01AA2B" w14:textId="77777777" w:rsidR="00BE308D" w:rsidRPr="005C7611" w:rsidRDefault="00BE308D" w:rsidP="00F81BDD">
            <w:pPr>
              <w:pStyle w:val="TableBody"/>
              <w:jc w:val="center"/>
              <w:rPr>
                <w:rFonts w:eastAsiaTheme="minorEastAsia"/>
                <w:sz w:val="20"/>
                <w:szCs w:val="18"/>
                <w:lang w:val="en-US" w:eastAsia="ko-KR"/>
              </w:rPr>
            </w:pPr>
          </w:p>
        </w:tc>
        <w:tc>
          <w:tcPr>
            <w:tcW w:w="1138" w:type="dxa"/>
            <w:shd w:val="clear" w:color="auto" w:fill="auto"/>
          </w:tcPr>
          <w:p w14:paraId="3CEA1F4B" w14:textId="77777777" w:rsidR="00BE308D" w:rsidRPr="005C7611" w:rsidRDefault="00BE308D" w:rsidP="00F81BDD">
            <w:pPr>
              <w:pStyle w:val="TableBody"/>
              <w:jc w:val="center"/>
              <w:rPr>
                <w:rFonts w:eastAsiaTheme="minorEastAsia"/>
                <w:sz w:val="20"/>
                <w:szCs w:val="18"/>
                <w:lang w:val="en-US" w:eastAsia="ko-KR"/>
              </w:rPr>
            </w:pPr>
            <w:proofErr w:type="spellStart"/>
            <w:r w:rsidRPr="005C7611">
              <w:rPr>
                <w:rFonts w:eastAsiaTheme="minorEastAsia"/>
                <w:i/>
                <w:iCs/>
                <w:sz w:val="20"/>
                <w:szCs w:val="18"/>
                <w:lang w:val="en-US" w:eastAsia="ko-KR"/>
              </w:rPr>
              <w:t>k</w:t>
            </w:r>
            <w:r w:rsidRPr="005C7611">
              <w:rPr>
                <w:rFonts w:eastAsiaTheme="minorEastAsia"/>
                <w:sz w:val="20"/>
                <w:szCs w:val="18"/>
                <w:vertAlign w:val="subscript"/>
                <w:lang w:val="en-US" w:eastAsia="ko-KR"/>
              </w:rPr>
              <w:t>FRET</w:t>
            </w:r>
            <w:proofErr w:type="spellEnd"/>
            <w:r w:rsidRPr="005C7611">
              <w:rPr>
                <w:rFonts w:eastAsiaTheme="minorEastAsia"/>
                <w:sz w:val="20"/>
                <w:szCs w:val="18"/>
                <w:lang w:val="en-US" w:eastAsia="ko-KR"/>
              </w:rPr>
              <w:t xml:space="preserve"> (/</w:t>
            </w:r>
            <w:proofErr w:type="spellStart"/>
            <w:r w:rsidRPr="005C7611">
              <w:rPr>
                <w:rFonts w:eastAsiaTheme="minorEastAsia"/>
                <w:sz w:val="20"/>
                <w:szCs w:val="18"/>
                <w:lang w:val="en-US" w:eastAsia="ko-KR"/>
              </w:rPr>
              <w:t>μs</w:t>
            </w:r>
            <w:proofErr w:type="spellEnd"/>
            <w:r w:rsidRPr="005C7611">
              <w:rPr>
                <w:rFonts w:eastAsiaTheme="minorEastAsia"/>
                <w:sz w:val="20"/>
                <w:szCs w:val="18"/>
                <w:lang w:val="en-US" w:eastAsia="ko-KR"/>
              </w:rPr>
              <w:t>)</w:t>
            </w:r>
          </w:p>
        </w:tc>
        <w:tc>
          <w:tcPr>
            <w:tcW w:w="949" w:type="dxa"/>
            <w:shd w:val="clear" w:color="auto" w:fill="auto"/>
            <w:vAlign w:val="center"/>
          </w:tcPr>
          <w:p w14:paraId="7CBF5AC2"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949" w:type="dxa"/>
            <w:shd w:val="clear" w:color="auto" w:fill="auto"/>
            <w:vAlign w:val="center"/>
          </w:tcPr>
          <w:p w14:paraId="5409AE80"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15.04</w:t>
            </w:r>
          </w:p>
        </w:tc>
        <w:tc>
          <w:tcPr>
            <w:tcW w:w="949" w:type="dxa"/>
            <w:shd w:val="clear" w:color="auto" w:fill="auto"/>
            <w:vAlign w:val="center"/>
          </w:tcPr>
          <w:p w14:paraId="12783F3E"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949" w:type="dxa"/>
            <w:shd w:val="clear" w:color="auto" w:fill="auto"/>
            <w:vAlign w:val="center"/>
          </w:tcPr>
          <w:p w14:paraId="2A1EDFBA"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949" w:type="dxa"/>
            <w:shd w:val="clear" w:color="auto" w:fill="auto"/>
            <w:vAlign w:val="center"/>
          </w:tcPr>
          <w:p w14:paraId="7D79B0DE"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10.51</w:t>
            </w:r>
          </w:p>
        </w:tc>
        <w:tc>
          <w:tcPr>
            <w:tcW w:w="949" w:type="dxa"/>
            <w:shd w:val="clear" w:color="auto" w:fill="auto"/>
            <w:vAlign w:val="center"/>
          </w:tcPr>
          <w:p w14:paraId="40832DBC"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949" w:type="dxa"/>
            <w:shd w:val="clear" w:color="auto" w:fill="auto"/>
            <w:vAlign w:val="center"/>
          </w:tcPr>
          <w:p w14:paraId="037E4D28"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r>
      <w:tr w:rsidR="00BE308D" w:rsidRPr="005C7611" w14:paraId="72C02A27" w14:textId="77777777" w:rsidTr="00F81BDD">
        <w:trPr>
          <w:trHeight w:val="370"/>
        </w:trPr>
        <w:tc>
          <w:tcPr>
            <w:tcW w:w="1272" w:type="dxa"/>
            <w:vMerge/>
            <w:shd w:val="clear" w:color="auto" w:fill="auto"/>
          </w:tcPr>
          <w:p w14:paraId="2863D099" w14:textId="77777777" w:rsidR="00BE308D" w:rsidRPr="005C7611" w:rsidRDefault="00BE308D" w:rsidP="00F81BDD">
            <w:pPr>
              <w:pStyle w:val="TableBody"/>
              <w:jc w:val="center"/>
              <w:rPr>
                <w:rFonts w:eastAsiaTheme="minorEastAsia"/>
                <w:sz w:val="20"/>
                <w:szCs w:val="18"/>
                <w:lang w:val="en-US" w:eastAsia="ko-KR"/>
              </w:rPr>
            </w:pPr>
          </w:p>
        </w:tc>
        <w:tc>
          <w:tcPr>
            <w:tcW w:w="1138" w:type="dxa"/>
            <w:shd w:val="clear" w:color="auto" w:fill="auto"/>
          </w:tcPr>
          <w:p w14:paraId="18463E9F" w14:textId="77777777" w:rsidR="00BE308D" w:rsidRPr="005C7611" w:rsidRDefault="00BE308D" w:rsidP="00F81BDD">
            <w:pPr>
              <w:pStyle w:val="TableBody"/>
              <w:jc w:val="center"/>
              <w:rPr>
                <w:rFonts w:eastAsiaTheme="minorEastAsia"/>
                <w:sz w:val="20"/>
                <w:szCs w:val="18"/>
                <w:lang w:val="en-US" w:eastAsia="ko-KR"/>
              </w:rPr>
            </w:pPr>
            <w:proofErr w:type="spellStart"/>
            <w:r w:rsidRPr="005C7611">
              <w:rPr>
                <w:rFonts w:eastAsiaTheme="minorEastAsia"/>
                <w:i/>
                <w:iCs/>
                <w:sz w:val="20"/>
                <w:szCs w:val="18"/>
                <w:lang w:val="en-US" w:eastAsia="ko-KR"/>
              </w:rPr>
              <w:t>k</w:t>
            </w:r>
            <w:r w:rsidRPr="005C7611">
              <w:rPr>
                <w:rFonts w:eastAsiaTheme="minorEastAsia"/>
                <w:sz w:val="20"/>
                <w:szCs w:val="18"/>
                <w:vertAlign w:val="subscript"/>
                <w:lang w:val="en-US" w:eastAsia="ko-KR"/>
              </w:rPr>
              <w:t>DET</w:t>
            </w:r>
            <w:proofErr w:type="spellEnd"/>
            <w:r w:rsidRPr="005C7611">
              <w:rPr>
                <w:rFonts w:eastAsiaTheme="minorEastAsia"/>
                <w:sz w:val="20"/>
                <w:szCs w:val="18"/>
                <w:lang w:val="en-US" w:eastAsia="ko-KR"/>
              </w:rPr>
              <w:t xml:space="preserve"> (/</w:t>
            </w:r>
            <w:proofErr w:type="spellStart"/>
            <w:r w:rsidRPr="005C7611">
              <w:rPr>
                <w:rFonts w:eastAsiaTheme="minorEastAsia"/>
                <w:sz w:val="20"/>
                <w:szCs w:val="18"/>
                <w:lang w:val="en-US" w:eastAsia="ko-KR"/>
              </w:rPr>
              <w:t>μs</w:t>
            </w:r>
            <w:proofErr w:type="spellEnd"/>
            <w:r w:rsidRPr="005C7611">
              <w:rPr>
                <w:rFonts w:eastAsiaTheme="minorEastAsia"/>
                <w:sz w:val="20"/>
                <w:szCs w:val="18"/>
                <w:lang w:val="en-US" w:eastAsia="ko-KR"/>
              </w:rPr>
              <w:t>)</w:t>
            </w:r>
          </w:p>
        </w:tc>
        <w:tc>
          <w:tcPr>
            <w:tcW w:w="949" w:type="dxa"/>
            <w:shd w:val="clear" w:color="auto" w:fill="auto"/>
            <w:vAlign w:val="center"/>
          </w:tcPr>
          <w:p w14:paraId="59DD26B6"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949" w:type="dxa"/>
            <w:shd w:val="clear" w:color="auto" w:fill="auto"/>
            <w:vAlign w:val="center"/>
          </w:tcPr>
          <w:p w14:paraId="142302DD"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7.74</w:t>
            </w:r>
          </w:p>
        </w:tc>
        <w:tc>
          <w:tcPr>
            <w:tcW w:w="949" w:type="dxa"/>
            <w:shd w:val="clear" w:color="auto" w:fill="auto"/>
            <w:vAlign w:val="center"/>
          </w:tcPr>
          <w:p w14:paraId="1E319D99"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949" w:type="dxa"/>
            <w:shd w:val="clear" w:color="auto" w:fill="auto"/>
            <w:vAlign w:val="center"/>
          </w:tcPr>
          <w:p w14:paraId="7077AABB"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949" w:type="dxa"/>
            <w:shd w:val="clear" w:color="auto" w:fill="auto"/>
            <w:vAlign w:val="center"/>
          </w:tcPr>
          <w:p w14:paraId="39DDB1F5"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3.93</w:t>
            </w:r>
          </w:p>
        </w:tc>
        <w:tc>
          <w:tcPr>
            <w:tcW w:w="949" w:type="dxa"/>
            <w:shd w:val="clear" w:color="auto" w:fill="auto"/>
            <w:vAlign w:val="center"/>
          </w:tcPr>
          <w:p w14:paraId="0900DEBF"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949" w:type="dxa"/>
            <w:shd w:val="clear" w:color="auto" w:fill="auto"/>
            <w:vAlign w:val="center"/>
          </w:tcPr>
          <w:p w14:paraId="016DF798"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r>
      <w:tr w:rsidR="00BE308D" w:rsidRPr="005C7611" w14:paraId="131FF8C4" w14:textId="77777777" w:rsidTr="00F81BDD">
        <w:trPr>
          <w:trHeight w:val="370"/>
        </w:trPr>
        <w:tc>
          <w:tcPr>
            <w:tcW w:w="1272" w:type="dxa"/>
            <w:vMerge/>
            <w:tcBorders>
              <w:bottom w:val="single" w:sz="4" w:space="0" w:color="auto"/>
            </w:tcBorders>
            <w:shd w:val="clear" w:color="auto" w:fill="auto"/>
          </w:tcPr>
          <w:p w14:paraId="511E1341" w14:textId="77777777" w:rsidR="00BE308D" w:rsidRPr="005C7611" w:rsidRDefault="00BE308D" w:rsidP="00F81BDD">
            <w:pPr>
              <w:pStyle w:val="TableBody"/>
              <w:jc w:val="center"/>
              <w:rPr>
                <w:rFonts w:eastAsiaTheme="minorEastAsia"/>
                <w:sz w:val="20"/>
                <w:szCs w:val="18"/>
                <w:lang w:val="en-US" w:eastAsia="ko-KR"/>
              </w:rPr>
            </w:pPr>
          </w:p>
        </w:tc>
        <w:tc>
          <w:tcPr>
            <w:tcW w:w="1138" w:type="dxa"/>
            <w:tcBorders>
              <w:bottom w:val="single" w:sz="4" w:space="0" w:color="auto"/>
            </w:tcBorders>
            <w:shd w:val="clear" w:color="auto" w:fill="auto"/>
          </w:tcPr>
          <w:p w14:paraId="09D57803" w14:textId="77777777" w:rsidR="00BE308D" w:rsidRPr="005C7611" w:rsidRDefault="00BE308D" w:rsidP="00F81BDD">
            <w:pPr>
              <w:pStyle w:val="TableBody"/>
              <w:jc w:val="center"/>
              <w:rPr>
                <w:rFonts w:eastAsiaTheme="minorEastAsia"/>
                <w:sz w:val="20"/>
                <w:szCs w:val="18"/>
                <w:lang w:val="en-US" w:eastAsia="ko-KR"/>
              </w:rPr>
            </w:pPr>
            <w:r w:rsidRPr="005C7611">
              <w:rPr>
                <w:rFonts w:eastAsiaTheme="minorEastAsia"/>
                <w:i/>
                <w:iCs/>
                <w:sz w:val="20"/>
                <w:szCs w:val="18"/>
                <w:lang w:val="en-US" w:eastAsia="ko-KR"/>
              </w:rPr>
              <w:t>E</w:t>
            </w:r>
            <w:r w:rsidRPr="005C7611">
              <w:rPr>
                <w:rFonts w:eastAsiaTheme="minorEastAsia"/>
                <w:sz w:val="20"/>
                <w:szCs w:val="18"/>
                <w:vertAlign w:val="subscript"/>
                <w:lang w:val="en-US" w:eastAsia="ko-KR"/>
              </w:rPr>
              <w:t>FRET</w:t>
            </w:r>
            <w:r w:rsidRPr="005C7611">
              <w:rPr>
                <w:rFonts w:eastAsiaTheme="minorEastAsia"/>
                <w:sz w:val="20"/>
                <w:szCs w:val="18"/>
                <w:lang w:val="en-US" w:eastAsia="ko-KR"/>
              </w:rPr>
              <w:t xml:space="preserve"> (%)</w:t>
            </w:r>
          </w:p>
        </w:tc>
        <w:tc>
          <w:tcPr>
            <w:tcW w:w="949" w:type="dxa"/>
            <w:tcBorders>
              <w:bottom w:val="single" w:sz="4" w:space="0" w:color="auto"/>
            </w:tcBorders>
            <w:shd w:val="clear" w:color="auto" w:fill="auto"/>
            <w:vAlign w:val="center"/>
          </w:tcPr>
          <w:p w14:paraId="5D69C4EF"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949" w:type="dxa"/>
            <w:tcBorders>
              <w:bottom w:val="single" w:sz="4" w:space="0" w:color="auto"/>
            </w:tcBorders>
            <w:shd w:val="clear" w:color="auto" w:fill="auto"/>
            <w:vAlign w:val="center"/>
          </w:tcPr>
          <w:p w14:paraId="3DB4E75B"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95.6</w:t>
            </w:r>
          </w:p>
        </w:tc>
        <w:tc>
          <w:tcPr>
            <w:tcW w:w="949" w:type="dxa"/>
            <w:tcBorders>
              <w:bottom w:val="single" w:sz="4" w:space="0" w:color="auto"/>
            </w:tcBorders>
            <w:shd w:val="clear" w:color="auto" w:fill="auto"/>
            <w:vAlign w:val="center"/>
          </w:tcPr>
          <w:p w14:paraId="601C626D"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949" w:type="dxa"/>
            <w:tcBorders>
              <w:bottom w:val="single" w:sz="4" w:space="0" w:color="auto"/>
            </w:tcBorders>
            <w:shd w:val="clear" w:color="auto" w:fill="auto"/>
            <w:vAlign w:val="center"/>
          </w:tcPr>
          <w:p w14:paraId="3BF8DDAB"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949" w:type="dxa"/>
            <w:tcBorders>
              <w:bottom w:val="single" w:sz="4" w:space="0" w:color="auto"/>
            </w:tcBorders>
            <w:shd w:val="clear" w:color="auto" w:fill="auto"/>
            <w:vAlign w:val="center"/>
          </w:tcPr>
          <w:p w14:paraId="555CBC71"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93.7</w:t>
            </w:r>
          </w:p>
        </w:tc>
        <w:tc>
          <w:tcPr>
            <w:tcW w:w="949" w:type="dxa"/>
            <w:tcBorders>
              <w:bottom w:val="single" w:sz="4" w:space="0" w:color="auto"/>
            </w:tcBorders>
            <w:shd w:val="clear" w:color="auto" w:fill="auto"/>
            <w:vAlign w:val="center"/>
          </w:tcPr>
          <w:p w14:paraId="61B6144A"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c>
          <w:tcPr>
            <w:tcW w:w="949" w:type="dxa"/>
            <w:tcBorders>
              <w:bottom w:val="single" w:sz="4" w:space="0" w:color="auto"/>
            </w:tcBorders>
            <w:shd w:val="clear" w:color="auto" w:fill="auto"/>
            <w:vAlign w:val="center"/>
          </w:tcPr>
          <w:p w14:paraId="21354189" w14:textId="77777777" w:rsidR="00BE308D" w:rsidRPr="005C7611" w:rsidRDefault="00981AA0" w:rsidP="00F81BDD">
            <w:pPr>
              <w:pStyle w:val="TableBody"/>
              <w:jc w:val="center"/>
              <w:rPr>
                <w:rFonts w:eastAsiaTheme="minorEastAsia"/>
                <w:sz w:val="20"/>
                <w:szCs w:val="18"/>
                <w:lang w:val="en-US" w:eastAsia="ko-KR"/>
              </w:rPr>
            </w:pPr>
            <w:r w:rsidRPr="005C7611">
              <w:rPr>
                <w:rFonts w:eastAsiaTheme="minorEastAsia"/>
                <w:sz w:val="20"/>
                <w:szCs w:val="18"/>
                <w:lang w:val="en-US" w:eastAsia="ko-KR"/>
              </w:rPr>
              <w:t>-</w:t>
            </w:r>
          </w:p>
        </w:tc>
      </w:tr>
      <w:tr w:rsidR="00981AA0" w:rsidRPr="005C7611" w14:paraId="526BAE57" w14:textId="77777777" w:rsidTr="00F81BDD">
        <w:trPr>
          <w:trHeight w:val="370"/>
        </w:trPr>
        <w:tc>
          <w:tcPr>
            <w:tcW w:w="1272" w:type="dxa"/>
            <w:vMerge w:val="restart"/>
            <w:tcBorders>
              <w:top w:val="single" w:sz="4" w:space="0" w:color="auto"/>
            </w:tcBorders>
            <w:shd w:val="clear" w:color="auto" w:fill="auto"/>
            <w:vAlign w:val="center"/>
          </w:tcPr>
          <w:p w14:paraId="4C97426E" w14:textId="65EE5F23" w:rsidR="00981AA0" w:rsidRPr="005C7611" w:rsidRDefault="00A042A2" w:rsidP="00981AA0">
            <w:pPr>
              <w:pStyle w:val="TableBody"/>
              <w:jc w:val="center"/>
              <w:rPr>
                <w:rFonts w:eastAsiaTheme="minorEastAsia"/>
                <w:sz w:val="20"/>
                <w:szCs w:val="18"/>
                <w:lang w:val="en-US" w:eastAsia="ko-KR"/>
              </w:rPr>
            </w:pPr>
            <w:r w:rsidRPr="005C7611">
              <w:rPr>
                <w:rFonts w:eastAsiaTheme="minorEastAsia"/>
                <w:sz w:val="20"/>
                <w:szCs w:val="18"/>
                <w:lang w:val="en-US" w:eastAsia="ko-KR"/>
              </w:rPr>
              <w:t>CMA</w:t>
            </w:r>
            <w:r w:rsidR="00B935AB" w:rsidRPr="005C7611">
              <w:rPr>
                <w:rFonts w:eastAsiaTheme="minorEastAsia"/>
                <w:sz w:val="20"/>
                <w:szCs w:val="18"/>
                <w:lang w:val="en-US" w:eastAsia="ko-KR"/>
              </w:rPr>
              <w:t>4</w:t>
            </w:r>
          </w:p>
        </w:tc>
        <w:tc>
          <w:tcPr>
            <w:tcW w:w="1138" w:type="dxa"/>
            <w:tcBorders>
              <w:top w:val="single" w:sz="4" w:space="0" w:color="auto"/>
            </w:tcBorders>
            <w:shd w:val="clear" w:color="auto" w:fill="auto"/>
          </w:tcPr>
          <w:p w14:paraId="61DC5DE2" w14:textId="77777777" w:rsidR="00981AA0" w:rsidRPr="005C7611" w:rsidRDefault="00981AA0" w:rsidP="00981AA0">
            <w:pPr>
              <w:pStyle w:val="TableHead"/>
              <w:jc w:val="center"/>
              <w:rPr>
                <w:rFonts w:eastAsiaTheme="minorEastAsia"/>
                <w:sz w:val="20"/>
                <w:szCs w:val="18"/>
                <w:lang w:val="en-US" w:eastAsia="ko-KR"/>
              </w:rPr>
            </w:pPr>
            <w:r w:rsidRPr="005C7611">
              <w:rPr>
                <w:rFonts w:eastAsiaTheme="minorEastAsia"/>
                <w:i/>
                <w:iCs/>
                <w:sz w:val="20"/>
                <w:szCs w:val="18"/>
                <w:lang w:val="en-US" w:eastAsia="ko-KR"/>
              </w:rPr>
              <w:t>τ</w:t>
            </w:r>
            <w:r w:rsidRPr="005C7611">
              <w:rPr>
                <w:rFonts w:eastAsiaTheme="minorEastAsia"/>
                <w:sz w:val="20"/>
                <w:szCs w:val="18"/>
                <w:lang w:val="en-US" w:eastAsia="ko-KR"/>
              </w:rPr>
              <w:t xml:space="preserve"> (</w:t>
            </w:r>
            <w:proofErr w:type="spellStart"/>
            <w:r w:rsidRPr="005C7611">
              <w:rPr>
                <w:rFonts w:eastAsiaTheme="minorEastAsia"/>
                <w:sz w:val="20"/>
                <w:szCs w:val="18"/>
                <w:lang w:val="en-US" w:eastAsia="ko-KR"/>
              </w:rPr>
              <w:t>μs</w:t>
            </w:r>
            <w:proofErr w:type="spellEnd"/>
            <w:r w:rsidRPr="005C7611">
              <w:rPr>
                <w:rFonts w:eastAsiaTheme="minorEastAsia"/>
                <w:sz w:val="20"/>
                <w:szCs w:val="18"/>
                <w:lang w:val="en-US" w:eastAsia="ko-KR"/>
              </w:rPr>
              <w:t>)</w:t>
            </w:r>
          </w:p>
        </w:tc>
        <w:tc>
          <w:tcPr>
            <w:tcW w:w="949" w:type="dxa"/>
            <w:tcBorders>
              <w:top w:val="single" w:sz="4" w:space="0" w:color="auto"/>
            </w:tcBorders>
            <w:shd w:val="clear" w:color="auto" w:fill="auto"/>
            <w:vAlign w:val="center"/>
          </w:tcPr>
          <w:p w14:paraId="5E0AA4D4" w14:textId="77777777" w:rsidR="00981AA0" w:rsidRPr="005C7611" w:rsidRDefault="00981AA0" w:rsidP="00981AA0">
            <w:pPr>
              <w:pStyle w:val="TableBody"/>
              <w:jc w:val="center"/>
              <w:rPr>
                <w:rFonts w:eastAsiaTheme="minorEastAsia"/>
                <w:sz w:val="20"/>
                <w:szCs w:val="18"/>
                <w:lang w:val="en-US" w:eastAsia="ko-KR"/>
              </w:rPr>
            </w:pPr>
            <w:r w:rsidRPr="005C7611">
              <w:rPr>
                <w:rFonts w:eastAsiaTheme="minorEastAsia"/>
                <w:sz w:val="20"/>
                <w:szCs w:val="18"/>
                <w:lang w:val="en-US" w:eastAsia="ko-KR"/>
              </w:rPr>
              <w:t>1.10</w:t>
            </w:r>
          </w:p>
        </w:tc>
        <w:tc>
          <w:tcPr>
            <w:tcW w:w="949" w:type="dxa"/>
            <w:tcBorders>
              <w:top w:val="single" w:sz="4" w:space="0" w:color="auto"/>
            </w:tcBorders>
            <w:shd w:val="clear" w:color="auto" w:fill="auto"/>
            <w:vAlign w:val="center"/>
          </w:tcPr>
          <w:p w14:paraId="59625146" w14:textId="77777777" w:rsidR="00981AA0" w:rsidRPr="005C7611" w:rsidRDefault="00981AA0" w:rsidP="00981AA0">
            <w:pPr>
              <w:pStyle w:val="TableBody"/>
              <w:jc w:val="center"/>
              <w:rPr>
                <w:rFonts w:eastAsiaTheme="minorEastAsia"/>
                <w:sz w:val="20"/>
                <w:szCs w:val="18"/>
                <w:lang w:val="en-US" w:eastAsia="ko-KR"/>
              </w:rPr>
            </w:pPr>
            <w:r w:rsidRPr="005C7611">
              <w:rPr>
                <w:rFonts w:eastAsiaTheme="minorEastAsia"/>
                <w:sz w:val="20"/>
                <w:szCs w:val="18"/>
                <w:lang w:val="en-US" w:eastAsia="ko-KR"/>
              </w:rPr>
              <w:t>0.041</w:t>
            </w:r>
          </w:p>
        </w:tc>
        <w:tc>
          <w:tcPr>
            <w:tcW w:w="949" w:type="dxa"/>
            <w:tcBorders>
              <w:top w:val="single" w:sz="4" w:space="0" w:color="auto"/>
            </w:tcBorders>
            <w:shd w:val="clear" w:color="auto" w:fill="auto"/>
            <w:vAlign w:val="center"/>
          </w:tcPr>
          <w:p w14:paraId="2BD4D8BA" w14:textId="77777777" w:rsidR="00981AA0" w:rsidRPr="005C7611" w:rsidRDefault="00981AA0" w:rsidP="00981AA0">
            <w:pPr>
              <w:pStyle w:val="TableBody"/>
              <w:jc w:val="center"/>
              <w:rPr>
                <w:rFonts w:eastAsiaTheme="minorEastAsia"/>
                <w:sz w:val="20"/>
                <w:szCs w:val="18"/>
                <w:lang w:val="en-US" w:eastAsia="ko-KR"/>
              </w:rPr>
            </w:pPr>
            <w:r w:rsidRPr="005C7611">
              <w:rPr>
                <w:rFonts w:eastAsiaTheme="minorEastAsia"/>
                <w:sz w:val="20"/>
                <w:szCs w:val="18"/>
                <w:lang w:val="en-US" w:eastAsia="ko-KR"/>
              </w:rPr>
              <w:t>0.033</w:t>
            </w:r>
          </w:p>
        </w:tc>
        <w:tc>
          <w:tcPr>
            <w:tcW w:w="949" w:type="dxa"/>
            <w:tcBorders>
              <w:top w:val="single" w:sz="4" w:space="0" w:color="auto"/>
            </w:tcBorders>
            <w:shd w:val="clear" w:color="auto" w:fill="auto"/>
            <w:vAlign w:val="center"/>
          </w:tcPr>
          <w:p w14:paraId="1F8B196F" w14:textId="77777777" w:rsidR="00981AA0" w:rsidRPr="005C7611" w:rsidRDefault="00981AA0" w:rsidP="00981AA0">
            <w:pPr>
              <w:pStyle w:val="TableBody"/>
              <w:jc w:val="center"/>
              <w:rPr>
                <w:rFonts w:eastAsiaTheme="minorEastAsia"/>
                <w:sz w:val="20"/>
                <w:szCs w:val="18"/>
                <w:lang w:val="en-US" w:eastAsia="ko-KR"/>
              </w:rPr>
            </w:pPr>
            <w:r w:rsidRPr="005C7611">
              <w:rPr>
                <w:rFonts w:eastAsiaTheme="minorEastAsia"/>
                <w:sz w:val="20"/>
                <w:szCs w:val="18"/>
                <w:lang w:val="en-US" w:eastAsia="ko-KR"/>
              </w:rPr>
              <w:t>0.017</w:t>
            </w:r>
          </w:p>
        </w:tc>
        <w:tc>
          <w:tcPr>
            <w:tcW w:w="949" w:type="dxa"/>
            <w:tcBorders>
              <w:top w:val="single" w:sz="4" w:space="0" w:color="auto"/>
            </w:tcBorders>
            <w:shd w:val="clear" w:color="auto" w:fill="auto"/>
            <w:vAlign w:val="center"/>
          </w:tcPr>
          <w:p w14:paraId="365B8434" w14:textId="77777777" w:rsidR="00981AA0" w:rsidRPr="005C7611" w:rsidRDefault="00981AA0" w:rsidP="00981AA0">
            <w:pPr>
              <w:pStyle w:val="TableBody"/>
              <w:jc w:val="center"/>
              <w:rPr>
                <w:rFonts w:eastAsiaTheme="minorEastAsia"/>
                <w:sz w:val="20"/>
                <w:szCs w:val="18"/>
                <w:lang w:val="en-US" w:eastAsia="ko-KR"/>
              </w:rPr>
            </w:pPr>
            <w:r w:rsidRPr="005C7611">
              <w:rPr>
                <w:rFonts w:eastAsiaTheme="minorEastAsia"/>
                <w:sz w:val="20"/>
                <w:szCs w:val="18"/>
                <w:lang w:val="en-US" w:eastAsia="ko-KR"/>
              </w:rPr>
              <w:t>0.23</w:t>
            </w:r>
          </w:p>
        </w:tc>
        <w:tc>
          <w:tcPr>
            <w:tcW w:w="949" w:type="dxa"/>
            <w:tcBorders>
              <w:top w:val="single" w:sz="4" w:space="0" w:color="auto"/>
            </w:tcBorders>
            <w:shd w:val="clear" w:color="auto" w:fill="auto"/>
            <w:vAlign w:val="center"/>
          </w:tcPr>
          <w:p w14:paraId="6FEB804D" w14:textId="77777777" w:rsidR="00981AA0" w:rsidRPr="005C7611" w:rsidRDefault="00981AA0" w:rsidP="00981AA0">
            <w:pPr>
              <w:pStyle w:val="TableBody"/>
              <w:jc w:val="center"/>
              <w:rPr>
                <w:rFonts w:eastAsiaTheme="minorEastAsia"/>
                <w:sz w:val="20"/>
                <w:szCs w:val="18"/>
                <w:lang w:val="en-US" w:eastAsia="ko-KR"/>
              </w:rPr>
            </w:pPr>
            <w:r w:rsidRPr="005C7611">
              <w:rPr>
                <w:rFonts w:eastAsiaTheme="minorEastAsia"/>
                <w:sz w:val="20"/>
                <w:szCs w:val="18"/>
                <w:lang w:val="en-US" w:eastAsia="ko-KR"/>
              </w:rPr>
              <w:t>0.051</w:t>
            </w:r>
          </w:p>
        </w:tc>
        <w:tc>
          <w:tcPr>
            <w:tcW w:w="949" w:type="dxa"/>
            <w:tcBorders>
              <w:top w:val="single" w:sz="4" w:space="0" w:color="auto"/>
            </w:tcBorders>
            <w:shd w:val="clear" w:color="auto" w:fill="auto"/>
            <w:vAlign w:val="center"/>
          </w:tcPr>
          <w:p w14:paraId="38A5F9C4" w14:textId="77777777" w:rsidR="00981AA0" w:rsidRPr="005C7611" w:rsidRDefault="00981AA0" w:rsidP="00981AA0">
            <w:pPr>
              <w:pStyle w:val="TableBody"/>
              <w:jc w:val="center"/>
              <w:rPr>
                <w:rFonts w:eastAsiaTheme="minorEastAsia"/>
                <w:sz w:val="20"/>
                <w:szCs w:val="18"/>
                <w:lang w:val="en-US" w:eastAsia="ko-KR"/>
              </w:rPr>
            </w:pPr>
            <w:r w:rsidRPr="005C7611">
              <w:rPr>
                <w:rFonts w:eastAsiaTheme="minorEastAsia"/>
                <w:sz w:val="20"/>
                <w:szCs w:val="18"/>
                <w:lang w:val="en-US" w:eastAsia="ko-KR"/>
              </w:rPr>
              <w:t>0.023</w:t>
            </w:r>
          </w:p>
        </w:tc>
      </w:tr>
      <w:tr w:rsidR="00981AA0" w:rsidRPr="005C7611" w14:paraId="34A3D294" w14:textId="77777777" w:rsidTr="00F81BDD">
        <w:trPr>
          <w:trHeight w:val="370"/>
        </w:trPr>
        <w:tc>
          <w:tcPr>
            <w:tcW w:w="1272" w:type="dxa"/>
            <w:vMerge/>
            <w:shd w:val="clear" w:color="auto" w:fill="auto"/>
          </w:tcPr>
          <w:p w14:paraId="080C2D28" w14:textId="77777777" w:rsidR="00981AA0" w:rsidRPr="005C7611" w:rsidRDefault="00981AA0" w:rsidP="00981AA0">
            <w:pPr>
              <w:pStyle w:val="TableBody"/>
              <w:jc w:val="center"/>
              <w:rPr>
                <w:rFonts w:eastAsiaTheme="minorEastAsia"/>
                <w:sz w:val="20"/>
                <w:szCs w:val="18"/>
                <w:lang w:val="en-US" w:eastAsia="ko-KR"/>
              </w:rPr>
            </w:pPr>
          </w:p>
        </w:tc>
        <w:tc>
          <w:tcPr>
            <w:tcW w:w="1138" w:type="dxa"/>
            <w:shd w:val="clear" w:color="auto" w:fill="auto"/>
          </w:tcPr>
          <w:p w14:paraId="562CFA12" w14:textId="77777777" w:rsidR="00981AA0" w:rsidRPr="005C7611" w:rsidRDefault="00981AA0" w:rsidP="00981AA0">
            <w:pPr>
              <w:pStyle w:val="TableHead"/>
              <w:jc w:val="center"/>
              <w:rPr>
                <w:rFonts w:eastAsiaTheme="minorEastAsia"/>
                <w:sz w:val="20"/>
                <w:szCs w:val="18"/>
                <w:lang w:val="en-US" w:eastAsia="ko-KR"/>
              </w:rPr>
            </w:pPr>
            <w:proofErr w:type="spellStart"/>
            <w:r w:rsidRPr="005C7611">
              <w:rPr>
                <w:rFonts w:eastAsiaTheme="minorEastAsia"/>
                <w:i/>
                <w:iCs/>
                <w:sz w:val="20"/>
                <w:szCs w:val="18"/>
                <w:lang w:val="en-US" w:eastAsia="ko-KR"/>
              </w:rPr>
              <w:t>k</w:t>
            </w:r>
            <w:r w:rsidRPr="005C7611">
              <w:rPr>
                <w:rFonts w:eastAsiaTheme="minorEastAsia"/>
                <w:sz w:val="20"/>
                <w:szCs w:val="18"/>
                <w:vertAlign w:val="subscript"/>
                <w:lang w:val="en-US" w:eastAsia="ko-KR"/>
              </w:rPr>
              <w:t>r</w:t>
            </w:r>
            <w:proofErr w:type="spellEnd"/>
            <w:r w:rsidRPr="005C7611">
              <w:rPr>
                <w:rFonts w:eastAsiaTheme="minorEastAsia"/>
                <w:sz w:val="20"/>
                <w:szCs w:val="18"/>
                <w:lang w:val="en-US" w:eastAsia="ko-KR"/>
              </w:rPr>
              <w:t xml:space="preserve"> (/</w:t>
            </w:r>
            <w:proofErr w:type="spellStart"/>
            <w:r w:rsidRPr="005C7611">
              <w:rPr>
                <w:rFonts w:eastAsiaTheme="minorEastAsia"/>
                <w:sz w:val="20"/>
                <w:szCs w:val="18"/>
                <w:lang w:val="en-US" w:eastAsia="ko-KR"/>
              </w:rPr>
              <w:t>μs</w:t>
            </w:r>
            <w:proofErr w:type="spellEnd"/>
            <w:r w:rsidRPr="005C7611">
              <w:rPr>
                <w:rFonts w:eastAsiaTheme="minorEastAsia"/>
                <w:sz w:val="20"/>
                <w:szCs w:val="18"/>
                <w:lang w:val="en-US" w:eastAsia="ko-KR"/>
              </w:rPr>
              <w:t>)</w:t>
            </w:r>
          </w:p>
        </w:tc>
        <w:tc>
          <w:tcPr>
            <w:tcW w:w="949" w:type="dxa"/>
            <w:shd w:val="clear" w:color="auto" w:fill="auto"/>
            <w:vAlign w:val="center"/>
          </w:tcPr>
          <w:p w14:paraId="16827AA1" w14:textId="77777777" w:rsidR="00981AA0" w:rsidRPr="005C7611" w:rsidRDefault="00981AA0" w:rsidP="00981AA0">
            <w:pPr>
              <w:pStyle w:val="TableBody"/>
              <w:jc w:val="center"/>
              <w:rPr>
                <w:rFonts w:eastAsiaTheme="minorEastAsia"/>
                <w:sz w:val="20"/>
                <w:szCs w:val="18"/>
                <w:lang w:val="en-US" w:eastAsia="ko-KR"/>
              </w:rPr>
            </w:pPr>
            <w:r w:rsidRPr="005C7611">
              <w:rPr>
                <w:rFonts w:eastAsiaTheme="minorEastAsia"/>
                <w:sz w:val="20"/>
                <w:szCs w:val="18"/>
                <w:lang w:val="en-US" w:eastAsia="ko-KR"/>
              </w:rPr>
              <w:t>0.69</w:t>
            </w:r>
          </w:p>
        </w:tc>
        <w:tc>
          <w:tcPr>
            <w:tcW w:w="949" w:type="dxa"/>
            <w:shd w:val="clear" w:color="auto" w:fill="auto"/>
            <w:vAlign w:val="center"/>
          </w:tcPr>
          <w:p w14:paraId="26A73028" w14:textId="77777777" w:rsidR="00981AA0" w:rsidRPr="005C7611" w:rsidRDefault="00981AA0" w:rsidP="00981AA0">
            <w:pPr>
              <w:pStyle w:val="TableBody"/>
              <w:jc w:val="center"/>
              <w:rPr>
                <w:rFonts w:eastAsiaTheme="minorEastAsia"/>
                <w:sz w:val="20"/>
                <w:szCs w:val="18"/>
                <w:lang w:val="en-US" w:eastAsia="ko-KR"/>
              </w:rPr>
            </w:pPr>
            <w:r w:rsidRPr="005C7611">
              <w:rPr>
                <w:rFonts w:eastAsiaTheme="minorEastAsia"/>
                <w:sz w:val="20"/>
                <w:szCs w:val="18"/>
                <w:lang w:val="en-US" w:eastAsia="ko-KR"/>
              </w:rPr>
              <w:t>8.32</w:t>
            </w:r>
          </w:p>
        </w:tc>
        <w:tc>
          <w:tcPr>
            <w:tcW w:w="949" w:type="dxa"/>
            <w:shd w:val="clear" w:color="auto" w:fill="auto"/>
            <w:vAlign w:val="center"/>
          </w:tcPr>
          <w:p w14:paraId="76EF34D0" w14:textId="77777777" w:rsidR="00981AA0" w:rsidRPr="005C7611" w:rsidRDefault="00981AA0" w:rsidP="00981AA0">
            <w:pPr>
              <w:pStyle w:val="TableBody"/>
              <w:jc w:val="center"/>
              <w:rPr>
                <w:rFonts w:eastAsiaTheme="minorEastAsia"/>
                <w:sz w:val="20"/>
                <w:szCs w:val="18"/>
                <w:lang w:val="en-US" w:eastAsia="ko-KR"/>
              </w:rPr>
            </w:pPr>
            <w:r w:rsidRPr="005C7611">
              <w:rPr>
                <w:rFonts w:eastAsiaTheme="minorEastAsia"/>
                <w:sz w:val="20"/>
                <w:szCs w:val="18"/>
                <w:lang w:val="en-US" w:eastAsia="ko-KR"/>
              </w:rPr>
              <w:t>5.68</w:t>
            </w:r>
          </w:p>
        </w:tc>
        <w:tc>
          <w:tcPr>
            <w:tcW w:w="949" w:type="dxa"/>
            <w:shd w:val="clear" w:color="auto" w:fill="auto"/>
            <w:vAlign w:val="center"/>
          </w:tcPr>
          <w:p w14:paraId="51C9F7F0" w14:textId="77777777" w:rsidR="00981AA0" w:rsidRPr="005C7611" w:rsidRDefault="00981AA0" w:rsidP="00981AA0">
            <w:pPr>
              <w:pStyle w:val="TableBody"/>
              <w:jc w:val="center"/>
              <w:rPr>
                <w:rFonts w:eastAsiaTheme="minorEastAsia"/>
                <w:sz w:val="20"/>
                <w:szCs w:val="18"/>
                <w:lang w:val="en-US" w:eastAsia="ko-KR"/>
              </w:rPr>
            </w:pPr>
            <w:r w:rsidRPr="005C7611">
              <w:rPr>
                <w:rFonts w:eastAsiaTheme="minorEastAsia"/>
                <w:sz w:val="20"/>
                <w:szCs w:val="18"/>
                <w:lang w:val="en-US" w:eastAsia="ko-KR"/>
              </w:rPr>
              <w:t>4.29</w:t>
            </w:r>
          </w:p>
        </w:tc>
        <w:tc>
          <w:tcPr>
            <w:tcW w:w="949" w:type="dxa"/>
            <w:shd w:val="clear" w:color="auto" w:fill="auto"/>
            <w:vAlign w:val="center"/>
          </w:tcPr>
          <w:p w14:paraId="4C398D13" w14:textId="77777777" w:rsidR="00981AA0" w:rsidRPr="005C7611" w:rsidRDefault="00981AA0" w:rsidP="00981AA0">
            <w:pPr>
              <w:pStyle w:val="TableBody"/>
              <w:jc w:val="center"/>
              <w:rPr>
                <w:rFonts w:eastAsiaTheme="minorEastAsia"/>
                <w:sz w:val="20"/>
                <w:szCs w:val="18"/>
                <w:lang w:val="en-US" w:eastAsia="ko-KR"/>
              </w:rPr>
            </w:pPr>
            <w:r w:rsidRPr="005C7611">
              <w:rPr>
                <w:rFonts w:eastAsiaTheme="minorEastAsia"/>
                <w:sz w:val="20"/>
                <w:szCs w:val="18"/>
                <w:lang w:val="en-US" w:eastAsia="ko-KR"/>
              </w:rPr>
              <w:t>2.00</w:t>
            </w:r>
          </w:p>
        </w:tc>
        <w:tc>
          <w:tcPr>
            <w:tcW w:w="949" w:type="dxa"/>
            <w:shd w:val="clear" w:color="auto" w:fill="auto"/>
            <w:vAlign w:val="center"/>
          </w:tcPr>
          <w:p w14:paraId="56E5F867" w14:textId="77777777" w:rsidR="00981AA0" w:rsidRPr="005C7611" w:rsidRDefault="00981AA0" w:rsidP="00981AA0">
            <w:pPr>
              <w:pStyle w:val="TableBody"/>
              <w:jc w:val="center"/>
              <w:rPr>
                <w:rFonts w:eastAsiaTheme="minorEastAsia"/>
                <w:sz w:val="20"/>
                <w:szCs w:val="18"/>
                <w:lang w:val="en-US" w:eastAsia="ko-KR"/>
              </w:rPr>
            </w:pPr>
            <w:r w:rsidRPr="005C7611">
              <w:rPr>
                <w:rFonts w:eastAsiaTheme="minorEastAsia"/>
                <w:sz w:val="20"/>
                <w:szCs w:val="18"/>
                <w:lang w:val="en-US" w:eastAsia="ko-KR"/>
              </w:rPr>
              <w:t>9.93</w:t>
            </w:r>
          </w:p>
        </w:tc>
        <w:tc>
          <w:tcPr>
            <w:tcW w:w="949" w:type="dxa"/>
            <w:shd w:val="clear" w:color="auto" w:fill="auto"/>
            <w:vAlign w:val="center"/>
          </w:tcPr>
          <w:p w14:paraId="4F7773D7" w14:textId="77777777" w:rsidR="00981AA0" w:rsidRPr="005C7611" w:rsidRDefault="00981AA0" w:rsidP="00981AA0">
            <w:pPr>
              <w:pStyle w:val="TableBody"/>
              <w:jc w:val="center"/>
              <w:rPr>
                <w:rFonts w:eastAsiaTheme="minorEastAsia"/>
                <w:sz w:val="20"/>
                <w:szCs w:val="18"/>
                <w:lang w:val="en-US" w:eastAsia="ko-KR"/>
              </w:rPr>
            </w:pPr>
            <w:r w:rsidRPr="005C7611">
              <w:rPr>
                <w:rFonts w:eastAsiaTheme="minorEastAsia"/>
                <w:sz w:val="20"/>
                <w:szCs w:val="18"/>
                <w:lang w:val="en-US" w:eastAsia="ko-KR"/>
              </w:rPr>
              <w:t>17.38</w:t>
            </w:r>
          </w:p>
        </w:tc>
      </w:tr>
      <w:tr w:rsidR="00981AA0" w:rsidRPr="005C7611" w14:paraId="5534F476" w14:textId="77777777" w:rsidTr="00F81BDD">
        <w:trPr>
          <w:trHeight w:val="370"/>
        </w:trPr>
        <w:tc>
          <w:tcPr>
            <w:tcW w:w="1272" w:type="dxa"/>
            <w:vMerge/>
            <w:shd w:val="clear" w:color="auto" w:fill="auto"/>
          </w:tcPr>
          <w:p w14:paraId="0BD23895" w14:textId="77777777" w:rsidR="00981AA0" w:rsidRPr="005C7611" w:rsidRDefault="00981AA0" w:rsidP="00981AA0">
            <w:pPr>
              <w:pStyle w:val="TableBody"/>
              <w:jc w:val="center"/>
              <w:rPr>
                <w:rFonts w:eastAsiaTheme="minorEastAsia"/>
                <w:sz w:val="20"/>
                <w:szCs w:val="18"/>
                <w:lang w:val="en-US" w:eastAsia="ko-KR"/>
              </w:rPr>
            </w:pPr>
          </w:p>
        </w:tc>
        <w:tc>
          <w:tcPr>
            <w:tcW w:w="1138" w:type="dxa"/>
            <w:shd w:val="clear" w:color="auto" w:fill="auto"/>
          </w:tcPr>
          <w:p w14:paraId="1AD1642E" w14:textId="77777777" w:rsidR="00981AA0" w:rsidRPr="005C7611" w:rsidRDefault="00981AA0" w:rsidP="00981AA0">
            <w:pPr>
              <w:pStyle w:val="TableBody"/>
              <w:jc w:val="center"/>
              <w:rPr>
                <w:rFonts w:eastAsiaTheme="minorEastAsia"/>
                <w:sz w:val="20"/>
                <w:szCs w:val="18"/>
                <w:lang w:val="en-US" w:eastAsia="ko-KR"/>
              </w:rPr>
            </w:pPr>
            <w:proofErr w:type="spellStart"/>
            <w:r w:rsidRPr="005C7611">
              <w:rPr>
                <w:rFonts w:eastAsiaTheme="minorEastAsia"/>
                <w:i/>
                <w:iCs/>
                <w:sz w:val="20"/>
                <w:szCs w:val="18"/>
                <w:lang w:val="en-US" w:eastAsia="ko-KR"/>
              </w:rPr>
              <w:t>k</w:t>
            </w:r>
            <w:r w:rsidRPr="005C7611">
              <w:rPr>
                <w:rFonts w:eastAsiaTheme="minorEastAsia"/>
                <w:sz w:val="20"/>
                <w:szCs w:val="18"/>
                <w:vertAlign w:val="subscript"/>
                <w:lang w:val="en-US" w:eastAsia="ko-KR"/>
              </w:rPr>
              <w:t>FRET</w:t>
            </w:r>
            <w:proofErr w:type="spellEnd"/>
            <w:r w:rsidRPr="005C7611">
              <w:rPr>
                <w:rFonts w:eastAsiaTheme="minorEastAsia"/>
                <w:sz w:val="20"/>
                <w:szCs w:val="18"/>
                <w:lang w:val="en-US" w:eastAsia="ko-KR"/>
              </w:rPr>
              <w:t xml:space="preserve"> (/</w:t>
            </w:r>
            <w:proofErr w:type="spellStart"/>
            <w:r w:rsidRPr="005C7611">
              <w:rPr>
                <w:rFonts w:eastAsiaTheme="minorEastAsia"/>
                <w:sz w:val="20"/>
                <w:szCs w:val="18"/>
                <w:lang w:val="en-US" w:eastAsia="ko-KR"/>
              </w:rPr>
              <w:t>μs</w:t>
            </w:r>
            <w:proofErr w:type="spellEnd"/>
            <w:r w:rsidRPr="005C7611">
              <w:rPr>
                <w:rFonts w:eastAsiaTheme="minorEastAsia"/>
                <w:sz w:val="20"/>
                <w:szCs w:val="18"/>
                <w:lang w:val="en-US" w:eastAsia="ko-KR"/>
              </w:rPr>
              <w:t>)</w:t>
            </w:r>
          </w:p>
        </w:tc>
        <w:tc>
          <w:tcPr>
            <w:tcW w:w="949" w:type="dxa"/>
            <w:shd w:val="clear" w:color="auto" w:fill="auto"/>
            <w:vAlign w:val="center"/>
          </w:tcPr>
          <w:p w14:paraId="6DFCE717" w14:textId="77777777" w:rsidR="00981AA0" w:rsidRPr="005C7611" w:rsidRDefault="00981AA0" w:rsidP="00981AA0">
            <w:pPr>
              <w:pStyle w:val="TableBody"/>
              <w:jc w:val="center"/>
              <w:rPr>
                <w:rFonts w:eastAsiaTheme="minorEastAsia"/>
                <w:sz w:val="20"/>
                <w:szCs w:val="18"/>
                <w:lang w:val="en-US" w:eastAsia="ko-KR"/>
              </w:rPr>
            </w:pPr>
          </w:p>
        </w:tc>
        <w:tc>
          <w:tcPr>
            <w:tcW w:w="949" w:type="dxa"/>
            <w:shd w:val="clear" w:color="auto" w:fill="auto"/>
            <w:vAlign w:val="center"/>
          </w:tcPr>
          <w:p w14:paraId="1A3A47E8" w14:textId="77777777" w:rsidR="00981AA0" w:rsidRPr="005C7611" w:rsidRDefault="00981AA0" w:rsidP="00981AA0">
            <w:pPr>
              <w:pStyle w:val="TableBody"/>
              <w:jc w:val="center"/>
              <w:rPr>
                <w:rFonts w:eastAsiaTheme="minorEastAsia"/>
                <w:sz w:val="20"/>
                <w:szCs w:val="18"/>
                <w:lang w:val="en-US" w:eastAsia="ko-KR"/>
              </w:rPr>
            </w:pPr>
            <w:r w:rsidRPr="005C7611">
              <w:rPr>
                <w:rFonts w:eastAsiaTheme="minorEastAsia"/>
                <w:sz w:val="20"/>
                <w:szCs w:val="18"/>
                <w:lang w:val="en-US" w:eastAsia="ko-KR"/>
              </w:rPr>
              <w:t>7.63</w:t>
            </w:r>
          </w:p>
        </w:tc>
        <w:tc>
          <w:tcPr>
            <w:tcW w:w="949" w:type="dxa"/>
            <w:shd w:val="clear" w:color="auto" w:fill="auto"/>
            <w:vAlign w:val="center"/>
          </w:tcPr>
          <w:p w14:paraId="48E54E25" w14:textId="77777777" w:rsidR="00981AA0" w:rsidRPr="005C7611" w:rsidRDefault="00981AA0" w:rsidP="00981AA0">
            <w:pPr>
              <w:pStyle w:val="TableBody"/>
              <w:jc w:val="center"/>
              <w:rPr>
                <w:rFonts w:eastAsiaTheme="minorEastAsia"/>
                <w:sz w:val="20"/>
                <w:szCs w:val="18"/>
                <w:lang w:val="en-US" w:eastAsia="ko-KR"/>
              </w:rPr>
            </w:pPr>
            <w:r w:rsidRPr="005C7611">
              <w:rPr>
                <w:rFonts w:eastAsiaTheme="minorEastAsia"/>
                <w:sz w:val="20"/>
                <w:szCs w:val="18"/>
                <w:lang w:val="en-US" w:eastAsia="ko-KR"/>
              </w:rPr>
              <w:t>4.99</w:t>
            </w:r>
          </w:p>
        </w:tc>
        <w:tc>
          <w:tcPr>
            <w:tcW w:w="949" w:type="dxa"/>
            <w:shd w:val="clear" w:color="auto" w:fill="auto"/>
            <w:vAlign w:val="center"/>
          </w:tcPr>
          <w:p w14:paraId="1FF3CA7E" w14:textId="77777777" w:rsidR="00981AA0" w:rsidRPr="005C7611" w:rsidRDefault="00981AA0" w:rsidP="00981AA0">
            <w:pPr>
              <w:pStyle w:val="TableBody"/>
              <w:jc w:val="center"/>
              <w:rPr>
                <w:rFonts w:eastAsiaTheme="minorEastAsia"/>
                <w:sz w:val="20"/>
                <w:szCs w:val="18"/>
                <w:lang w:val="en-US" w:eastAsia="ko-KR"/>
              </w:rPr>
            </w:pPr>
            <w:r w:rsidRPr="005C7611">
              <w:rPr>
                <w:rFonts w:eastAsiaTheme="minorEastAsia"/>
                <w:sz w:val="20"/>
                <w:szCs w:val="18"/>
                <w:lang w:val="en-US" w:eastAsia="ko-KR"/>
              </w:rPr>
              <w:t>3.60</w:t>
            </w:r>
          </w:p>
        </w:tc>
        <w:tc>
          <w:tcPr>
            <w:tcW w:w="949" w:type="dxa"/>
            <w:shd w:val="clear" w:color="auto" w:fill="auto"/>
            <w:vAlign w:val="center"/>
          </w:tcPr>
          <w:p w14:paraId="66AC1093" w14:textId="77777777" w:rsidR="00981AA0" w:rsidRPr="005C7611" w:rsidRDefault="00981AA0" w:rsidP="00981AA0">
            <w:pPr>
              <w:pStyle w:val="TableBody"/>
              <w:jc w:val="center"/>
              <w:rPr>
                <w:rFonts w:eastAsiaTheme="minorEastAsia"/>
                <w:sz w:val="20"/>
                <w:szCs w:val="18"/>
                <w:lang w:val="en-US" w:eastAsia="ko-KR"/>
              </w:rPr>
            </w:pPr>
            <w:r w:rsidRPr="005C7611">
              <w:rPr>
                <w:rFonts w:eastAsiaTheme="minorEastAsia"/>
                <w:sz w:val="20"/>
                <w:szCs w:val="18"/>
                <w:lang w:val="en-US" w:eastAsia="ko-KR"/>
              </w:rPr>
              <w:t>1.31</w:t>
            </w:r>
          </w:p>
        </w:tc>
        <w:tc>
          <w:tcPr>
            <w:tcW w:w="949" w:type="dxa"/>
            <w:shd w:val="clear" w:color="auto" w:fill="auto"/>
            <w:vAlign w:val="center"/>
          </w:tcPr>
          <w:p w14:paraId="7204B835" w14:textId="77777777" w:rsidR="00981AA0" w:rsidRPr="005C7611" w:rsidRDefault="00981AA0" w:rsidP="00981AA0">
            <w:pPr>
              <w:pStyle w:val="TableBody"/>
              <w:jc w:val="center"/>
              <w:rPr>
                <w:rFonts w:eastAsiaTheme="minorEastAsia"/>
                <w:sz w:val="20"/>
                <w:szCs w:val="18"/>
                <w:lang w:val="en-US" w:eastAsia="ko-KR"/>
              </w:rPr>
            </w:pPr>
            <w:r w:rsidRPr="005C7611">
              <w:rPr>
                <w:rFonts w:eastAsiaTheme="minorEastAsia"/>
                <w:sz w:val="20"/>
                <w:szCs w:val="18"/>
                <w:lang w:val="en-US" w:eastAsia="ko-KR"/>
              </w:rPr>
              <w:t>9.24</w:t>
            </w:r>
          </w:p>
        </w:tc>
        <w:tc>
          <w:tcPr>
            <w:tcW w:w="949" w:type="dxa"/>
            <w:shd w:val="clear" w:color="auto" w:fill="auto"/>
            <w:vAlign w:val="center"/>
          </w:tcPr>
          <w:p w14:paraId="3A1BBD2B" w14:textId="77777777" w:rsidR="00981AA0" w:rsidRPr="005C7611" w:rsidRDefault="00981AA0" w:rsidP="00981AA0">
            <w:pPr>
              <w:pStyle w:val="TableBody"/>
              <w:jc w:val="center"/>
              <w:rPr>
                <w:rFonts w:eastAsiaTheme="minorEastAsia"/>
                <w:sz w:val="20"/>
                <w:szCs w:val="18"/>
                <w:lang w:val="en-US" w:eastAsia="ko-KR"/>
              </w:rPr>
            </w:pPr>
            <w:r w:rsidRPr="005C7611">
              <w:rPr>
                <w:rFonts w:eastAsiaTheme="minorEastAsia"/>
                <w:sz w:val="20"/>
                <w:szCs w:val="18"/>
                <w:lang w:val="en-US" w:eastAsia="ko-KR"/>
              </w:rPr>
              <w:t>16.69</w:t>
            </w:r>
          </w:p>
        </w:tc>
      </w:tr>
      <w:tr w:rsidR="00981AA0" w:rsidRPr="005C7611" w14:paraId="5E873E28" w14:textId="77777777" w:rsidTr="00F81BDD">
        <w:trPr>
          <w:trHeight w:val="370"/>
        </w:trPr>
        <w:tc>
          <w:tcPr>
            <w:tcW w:w="1272" w:type="dxa"/>
            <w:vMerge/>
            <w:shd w:val="clear" w:color="auto" w:fill="auto"/>
          </w:tcPr>
          <w:p w14:paraId="6B932489" w14:textId="77777777" w:rsidR="00981AA0" w:rsidRPr="005C7611" w:rsidRDefault="00981AA0" w:rsidP="00981AA0">
            <w:pPr>
              <w:pStyle w:val="TableBody"/>
              <w:jc w:val="center"/>
              <w:rPr>
                <w:rFonts w:eastAsiaTheme="minorEastAsia"/>
                <w:sz w:val="20"/>
                <w:szCs w:val="18"/>
                <w:lang w:val="en-US" w:eastAsia="ko-KR"/>
              </w:rPr>
            </w:pPr>
          </w:p>
        </w:tc>
        <w:tc>
          <w:tcPr>
            <w:tcW w:w="1138" w:type="dxa"/>
            <w:shd w:val="clear" w:color="auto" w:fill="auto"/>
          </w:tcPr>
          <w:p w14:paraId="06ED9B87" w14:textId="77777777" w:rsidR="00981AA0" w:rsidRPr="005C7611" w:rsidRDefault="00981AA0" w:rsidP="00981AA0">
            <w:pPr>
              <w:pStyle w:val="TableBody"/>
              <w:jc w:val="center"/>
              <w:rPr>
                <w:rFonts w:eastAsiaTheme="minorEastAsia"/>
                <w:sz w:val="20"/>
                <w:szCs w:val="18"/>
                <w:lang w:val="en-US" w:eastAsia="ko-KR"/>
              </w:rPr>
            </w:pPr>
            <w:proofErr w:type="spellStart"/>
            <w:r w:rsidRPr="005C7611">
              <w:rPr>
                <w:rFonts w:eastAsiaTheme="minorEastAsia"/>
                <w:i/>
                <w:iCs/>
                <w:sz w:val="20"/>
                <w:szCs w:val="18"/>
                <w:lang w:val="en-US" w:eastAsia="ko-KR"/>
              </w:rPr>
              <w:t>k</w:t>
            </w:r>
            <w:r w:rsidRPr="005C7611">
              <w:rPr>
                <w:rFonts w:eastAsiaTheme="minorEastAsia"/>
                <w:sz w:val="20"/>
                <w:szCs w:val="18"/>
                <w:vertAlign w:val="subscript"/>
                <w:lang w:val="en-US" w:eastAsia="ko-KR"/>
              </w:rPr>
              <w:t>DET</w:t>
            </w:r>
            <w:proofErr w:type="spellEnd"/>
            <w:r w:rsidRPr="005C7611">
              <w:rPr>
                <w:rFonts w:eastAsiaTheme="minorEastAsia"/>
                <w:sz w:val="20"/>
                <w:szCs w:val="18"/>
                <w:lang w:val="en-US" w:eastAsia="ko-KR"/>
              </w:rPr>
              <w:t xml:space="preserve"> (/</w:t>
            </w:r>
            <w:proofErr w:type="spellStart"/>
            <w:r w:rsidRPr="005C7611">
              <w:rPr>
                <w:rFonts w:eastAsiaTheme="minorEastAsia"/>
                <w:sz w:val="20"/>
                <w:szCs w:val="18"/>
                <w:lang w:val="en-US" w:eastAsia="ko-KR"/>
              </w:rPr>
              <w:t>μs</w:t>
            </w:r>
            <w:proofErr w:type="spellEnd"/>
            <w:r w:rsidRPr="005C7611">
              <w:rPr>
                <w:rFonts w:eastAsiaTheme="minorEastAsia"/>
                <w:sz w:val="20"/>
                <w:szCs w:val="18"/>
                <w:lang w:val="en-US" w:eastAsia="ko-KR"/>
              </w:rPr>
              <w:t>)</w:t>
            </w:r>
          </w:p>
        </w:tc>
        <w:tc>
          <w:tcPr>
            <w:tcW w:w="949" w:type="dxa"/>
            <w:shd w:val="clear" w:color="auto" w:fill="auto"/>
            <w:vAlign w:val="center"/>
          </w:tcPr>
          <w:p w14:paraId="647431FA" w14:textId="77777777" w:rsidR="00981AA0" w:rsidRPr="005C7611" w:rsidRDefault="00981AA0" w:rsidP="00981AA0">
            <w:pPr>
              <w:pStyle w:val="TableBody"/>
              <w:jc w:val="center"/>
              <w:rPr>
                <w:rFonts w:eastAsiaTheme="minorEastAsia"/>
                <w:sz w:val="20"/>
                <w:szCs w:val="18"/>
                <w:lang w:val="en-US" w:eastAsia="ko-KR"/>
              </w:rPr>
            </w:pPr>
          </w:p>
        </w:tc>
        <w:tc>
          <w:tcPr>
            <w:tcW w:w="949" w:type="dxa"/>
            <w:shd w:val="clear" w:color="auto" w:fill="auto"/>
            <w:vAlign w:val="center"/>
          </w:tcPr>
          <w:p w14:paraId="58AE3CE7" w14:textId="77777777" w:rsidR="00981AA0" w:rsidRPr="005C7611" w:rsidRDefault="00981AA0" w:rsidP="00981AA0">
            <w:pPr>
              <w:pStyle w:val="TableBody"/>
              <w:jc w:val="center"/>
              <w:rPr>
                <w:rFonts w:eastAsiaTheme="minorEastAsia"/>
                <w:sz w:val="20"/>
                <w:szCs w:val="18"/>
                <w:lang w:val="en-US" w:eastAsia="ko-KR"/>
              </w:rPr>
            </w:pPr>
            <w:r w:rsidRPr="005C7611">
              <w:rPr>
                <w:rFonts w:eastAsiaTheme="minorEastAsia"/>
                <w:sz w:val="20"/>
                <w:szCs w:val="18"/>
                <w:lang w:val="en-US" w:eastAsia="ko-KR"/>
              </w:rPr>
              <w:t>16.21</w:t>
            </w:r>
          </w:p>
        </w:tc>
        <w:tc>
          <w:tcPr>
            <w:tcW w:w="949" w:type="dxa"/>
            <w:shd w:val="clear" w:color="auto" w:fill="auto"/>
            <w:vAlign w:val="center"/>
          </w:tcPr>
          <w:p w14:paraId="2F635824" w14:textId="77777777" w:rsidR="00981AA0" w:rsidRPr="005C7611" w:rsidRDefault="00981AA0" w:rsidP="00981AA0">
            <w:pPr>
              <w:pStyle w:val="TableBody"/>
              <w:jc w:val="center"/>
              <w:rPr>
                <w:rFonts w:eastAsiaTheme="minorEastAsia"/>
                <w:sz w:val="20"/>
                <w:szCs w:val="18"/>
                <w:lang w:val="en-US" w:eastAsia="ko-KR"/>
              </w:rPr>
            </w:pPr>
            <w:r w:rsidRPr="005C7611">
              <w:rPr>
                <w:rFonts w:eastAsiaTheme="minorEastAsia"/>
                <w:sz w:val="20"/>
                <w:szCs w:val="18"/>
                <w:lang w:val="en-US" w:eastAsia="ko-KR"/>
              </w:rPr>
              <w:t>24.38</w:t>
            </w:r>
          </w:p>
        </w:tc>
        <w:tc>
          <w:tcPr>
            <w:tcW w:w="949" w:type="dxa"/>
            <w:shd w:val="clear" w:color="auto" w:fill="auto"/>
            <w:vAlign w:val="center"/>
          </w:tcPr>
          <w:p w14:paraId="113917FA" w14:textId="77777777" w:rsidR="00981AA0" w:rsidRPr="005C7611" w:rsidRDefault="00981AA0" w:rsidP="00981AA0">
            <w:pPr>
              <w:pStyle w:val="TableBody"/>
              <w:jc w:val="center"/>
              <w:rPr>
                <w:rFonts w:eastAsiaTheme="minorEastAsia"/>
                <w:sz w:val="20"/>
                <w:szCs w:val="18"/>
                <w:lang w:val="en-US" w:eastAsia="ko-KR"/>
              </w:rPr>
            </w:pPr>
            <w:r w:rsidRPr="005C7611">
              <w:rPr>
                <w:rFonts w:eastAsiaTheme="minorEastAsia"/>
                <w:sz w:val="20"/>
                <w:szCs w:val="18"/>
                <w:lang w:val="en-US" w:eastAsia="ko-KR"/>
              </w:rPr>
              <w:t>52.94</w:t>
            </w:r>
          </w:p>
        </w:tc>
        <w:tc>
          <w:tcPr>
            <w:tcW w:w="949" w:type="dxa"/>
            <w:shd w:val="clear" w:color="auto" w:fill="auto"/>
            <w:vAlign w:val="center"/>
          </w:tcPr>
          <w:p w14:paraId="56597C74" w14:textId="77777777" w:rsidR="00981AA0" w:rsidRPr="005C7611" w:rsidRDefault="00981AA0" w:rsidP="00981AA0">
            <w:pPr>
              <w:pStyle w:val="TableBody"/>
              <w:jc w:val="center"/>
              <w:rPr>
                <w:rFonts w:eastAsiaTheme="minorEastAsia"/>
                <w:sz w:val="20"/>
                <w:szCs w:val="18"/>
                <w:lang w:val="en-US" w:eastAsia="ko-KR"/>
              </w:rPr>
            </w:pPr>
            <w:r w:rsidRPr="005C7611">
              <w:rPr>
                <w:rFonts w:eastAsiaTheme="minorEastAsia"/>
                <w:sz w:val="20"/>
                <w:szCs w:val="18"/>
                <w:lang w:val="en-US" w:eastAsia="ko-KR"/>
              </w:rPr>
              <w:t>2.44</w:t>
            </w:r>
          </w:p>
        </w:tc>
        <w:tc>
          <w:tcPr>
            <w:tcW w:w="949" w:type="dxa"/>
            <w:shd w:val="clear" w:color="auto" w:fill="auto"/>
            <w:vAlign w:val="center"/>
          </w:tcPr>
          <w:p w14:paraId="4208558B" w14:textId="77777777" w:rsidR="00981AA0" w:rsidRPr="005C7611" w:rsidRDefault="00981AA0" w:rsidP="00981AA0">
            <w:pPr>
              <w:pStyle w:val="TableBody"/>
              <w:jc w:val="center"/>
              <w:rPr>
                <w:rFonts w:eastAsiaTheme="minorEastAsia"/>
                <w:sz w:val="20"/>
                <w:szCs w:val="18"/>
                <w:lang w:val="en-US" w:eastAsia="ko-KR"/>
              </w:rPr>
            </w:pPr>
            <w:r w:rsidRPr="005C7611">
              <w:rPr>
                <w:rFonts w:eastAsiaTheme="minorEastAsia"/>
                <w:sz w:val="20"/>
                <w:szCs w:val="18"/>
                <w:lang w:val="en-US" w:eastAsia="ko-KR"/>
              </w:rPr>
              <w:t>9.77</w:t>
            </w:r>
          </w:p>
        </w:tc>
        <w:tc>
          <w:tcPr>
            <w:tcW w:w="949" w:type="dxa"/>
            <w:shd w:val="clear" w:color="auto" w:fill="auto"/>
            <w:vAlign w:val="center"/>
          </w:tcPr>
          <w:p w14:paraId="54C68272" w14:textId="77777777" w:rsidR="00981AA0" w:rsidRPr="005C7611" w:rsidRDefault="00981AA0" w:rsidP="00981AA0">
            <w:pPr>
              <w:pStyle w:val="TableBody"/>
              <w:jc w:val="center"/>
              <w:rPr>
                <w:rFonts w:eastAsiaTheme="minorEastAsia"/>
                <w:sz w:val="20"/>
                <w:szCs w:val="18"/>
                <w:lang w:val="en-US" w:eastAsia="ko-KR"/>
              </w:rPr>
            </w:pPr>
            <w:r w:rsidRPr="005C7611">
              <w:rPr>
                <w:rFonts w:eastAsiaTheme="minorEastAsia"/>
                <w:sz w:val="20"/>
                <w:szCs w:val="18"/>
                <w:lang w:val="en-US" w:eastAsia="ko-KR"/>
              </w:rPr>
              <w:t>25.64</w:t>
            </w:r>
          </w:p>
        </w:tc>
      </w:tr>
      <w:tr w:rsidR="00981AA0" w:rsidRPr="005C7611" w14:paraId="2D967006" w14:textId="77777777" w:rsidTr="00F81BDD">
        <w:trPr>
          <w:trHeight w:val="370"/>
        </w:trPr>
        <w:tc>
          <w:tcPr>
            <w:tcW w:w="1272" w:type="dxa"/>
            <w:vMerge/>
            <w:tcBorders>
              <w:bottom w:val="single" w:sz="4" w:space="0" w:color="auto"/>
            </w:tcBorders>
            <w:shd w:val="clear" w:color="auto" w:fill="auto"/>
          </w:tcPr>
          <w:p w14:paraId="05687035" w14:textId="77777777" w:rsidR="00981AA0" w:rsidRPr="005C7611" w:rsidRDefault="00981AA0" w:rsidP="00981AA0">
            <w:pPr>
              <w:pStyle w:val="TableBody"/>
              <w:jc w:val="center"/>
              <w:rPr>
                <w:rFonts w:eastAsiaTheme="minorEastAsia"/>
                <w:sz w:val="20"/>
                <w:szCs w:val="18"/>
                <w:lang w:val="en-US" w:eastAsia="ko-KR"/>
              </w:rPr>
            </w:pPr>
          </w:p>
        </w:tc>
        <w:tc>
          <w:tcPr>
            <w:tcW w:w="1138" w:type="dxa"/>
            <w:tcBorders>
              <w:bottom w:val="single" w:sz="4" w:space="0" w:color="auto"/>
            </w:tcBorders>
            <w:shd w:val="clear" w:color="auto" w:fill="auto"/>
          </w:tcPr>
          <w:p w14:paraId="12A55568" w14:textId="77777777" w:rsidR="00981AA0" w:rsidRPr="005C7611" w:rsidRDefault="00981AA0" w:rsidP="00981AA0">
            <w:pPr>
              <w:pStyle w:val="TableBody"/>
              <w:jc w:val="center"/>
              <w:rPr>
                <w:rFonts w:eastAsiaTheme="minorEastAsia"/>
                <w:sz w:val="20"/>
                <w:szCs w:val="18"/>
                <w:lang w:val="en-US" w:eastAsia="ko-KR"/>
              </w:rPr>
            </w:pPr>
            <w:r w:rsidRPr="005C7611">
              <w:rPr>
                <w:rFonts w:eastAsiaTheme="minorEastAsia"/>
                <w:i/>
                <w:iCs/>
                <w:sz w:val="20"/>
                <w:szCs w:val="18"/>
                <w:lang w:val="en-US" w:eastAsia="ko-KR"/>
              </w:rPr>
              <w:t>E</w:t>
            </w:r>
            <w:r w:rsidRPr="005C7611">
              <w:rPr>
                <w:rFonts w:eastAsiaTheme="minorEastAsia"/>
                <w:sz w:val="20"/>
                <w:szCs w:val="18"/>
                <w:vertAlign w:val="subscript"/>
                <w:lang w:val="en-US" w:eastAsia="ko-KR"/>
              </w:rPr>
              <w:t>FRET</w:t>
            </w:r>
            <w:r w:rsidRPr="005C7611">
              <w:rPr>
                <w:rFonts w:eastAsiaTheme="minorEastAsia"/>
                <w:sz w:val="20"/>
                <w:szCs w:val="18"/>
                <w:lang w:val="en-US" w:eastAsia="ko-KR"/>
              </w:rPr>
              <w:t xml:space="preserve"> (%)</w:t>
            </w:r>
          </w:p>
        </w:tc>
        <w:tc>
          <w:tcPr>
            <w:tcW w:w="949" w:type="dxa"/>
            <w:tcBorders>
              <w:bottom w:val="single" w:sz="4" w:space="0" w:color="auto"/>
            </w:tcBorders>
            <w:shd w:val="clear" w:color="auto" w:fill="auto"/>
            <w:vAlign w:val="center"/>
          </w:tcPr>
          <w:p w14:paraId="6BCA3A70" w14:textId="77777777" w:rsidR="00981AA0" w:rsidRPr="005C7611" w:rsidRDefault="00981AA0" w:rsidP="00981AA0">
            <w:pPr>
              <w:pStyle w:val="TableBody"/>
              <w:jc w:val="center"/>
              <w:rPr>
                <w:rFonts w:eastAsiaTheme="minorEastAsia"/>
                <w:sz w:val="20"/>
                <w:szCs w:val="18"/>
                <w:lang w:val="en-US" w:eastAsia="ko-KR"/>
              </w:rPr>
            </w:pPr>
          </w:p>
        </w:tc>
        <w:tc>
          <w:tcPr>
            <w:tcW w:w="949" w:type="dxa"/>
            <w:tcBorders>
              <w:bottom w:val="single" w:sz="4" w:space="0" w:color="auto"/>
            </w:tcBorders>
            <w:shd w:val="clear" w:color="auto" w:fill="auto"/>
            <w:vAlign w:val="center"/>
          </w:tcPr>
          <w:p w14:paraId="4830DBB7" w14:textId="77777777" w:rsidR="00981AA0" w:rsidRPr="005C7611" w:rsidRDefault="00981AA0" w:rsidP="00981AA0">
            <w:pPr>
              <w:pStyle w:val="TableBody"/>
              <w:jc w:val="center"/>
              <w:rPr>
                <w:rFonts w:eastAsiaTheme="minorEastAsia"/>
                <w:sz w:val="20"/>
                <w:szCs w:val="18"/>
                <w:lang w:val="en-US" w:eastAsia="ko-KR"/>
              </w:rPr>
            </w:pPr>
            <w:r w:rsidRPr="005C7611">
              <w:rPr>
                <w:rFonts w:eastAsiaTheme="minorEastAsia"/>
                <w:sz w:val="20"/>
                <w:szCs w:val="18"/>
                <w:lang w:val="en-US" w:eastAsia="ko-KR"/>
              </w:rPr>
              <w:t>91.7</w:t>
            </w:r>
          </w:p>
        </w:tc>
        <w:tc>
          <w:tcPr>
            <w:tcW w:w="949" w:type="dxa"/>
            <w:tcBorders>
              <w:bottom w:val="single" w:sz="4" w:space="0" w:color="auto"/>
            </w:tcBorders>
            <w:shd w:val="clear" w:color="auto" w:fill="auto"/>
            <w:vAlign w:val="center"/>
          </w:tcPr>
          <w:p w14:paraId="1569CD3B" w14:textId="77777777" w:rsidR="00981AA0" w:rsidRPr="005C7611" w:rsidRDefault="00981AA0" w:rsidP="00981AA0">
            <w:pPr>
              <w:pStyle w:val="TableBody"/>
              <w:jc w:val="center"/>
              <w:rPr>
                <w:rFonts w:eastAsiaTheme="minorEastAsia"/>
                <w:sz w:val="20"/>
                <w:szCs w:val="18"/>
                <w:lang w:val="en-US" w:eastAsia="ko-KR"/>
              </w:rPr>
            </w:pPr>
            <w:r w:rsidRPr="005C7611">
              <w:rPr>
                <w:rFonts w:eastAsiaTheme="minorEastAsia"/>
                <w:sz w:val="20"/>
                <w:szCs w:val="18"/>
                <w:lang w:val="en-US" w:eastAsia="ko-KR"/>
              </w:rPr>
              <w:t>87.9</w:t>
            </w:r>
          </w:p>
        </w:tc>
        <w:tc>
          <w:tcPr>
            <w:tcW w:w="949" w:type="dxa"/>
            <w:tcBorders>
              <w:bottom w:val="single" w:sz="4" w:space="0" w:color="auto"/>
            </w:tcBorders>
            <w:shd w:val="clear" w:color="auto" w:fill="auto"/>
            <w:vAlign w:val="center"/>
          </w:tcPr>
          <w:p w14:paraId="16F30A6E" w14:textId="77777777" w:rsidR="00981AA0" w:rsidRPr="005C7611" w:rsidRDefault="00981AA0" w:rsidP="00981AA0">
            <w:pPr>
              <w:pStyle w:val="TableBody"/>
              <w:jc w:val="center"/>
              <w:rPr>
                <w:rFonts w:eastAsiaTheme="minorEastAsia"/>
                <w:sz w:val="20"/>
                <w:szCs w:val="18"/>
                <w:lang w:val="en-US" w:eastAsia="ko-KR"/>
              </w:rPr>
            </w:pPr>
            <w:r w:rsidRPr="005C7611">
              <w:rPr>
                <w:rFonts w:eastAsiaTheme="minorEastAsia"/>
                <w:sz w:val="20"/>
                <w:szCs w:val="18"/>
                <w:lang w:val="en-US" w:eastAsia="ko-KR"/>
              </w:rPr>
              <w:t>83.9</w:t>
            </w:r>
          </w:p>
        </w:tc>
        <w:tc>
          <w:tcPr>
            <w:tcW w:w="949" w:type="dxa"/>
            <w:tcBorders>
              <w:bottom w:val="single" w:sz="4" w:space="0" w:color="auto"/>
            </w:tcBorders>
            <w:shd w:val="clear" w:color="auto" w:fill="auto"/>
            <w:vAlign w:val="center"/>
          </w:tcPr>
          <w:p w14:paraId="04E3E812" w14:textId="77777777" w:rsidR="00981AA0" w:rsidRPr="005C7611" w:rsidRDefault="00981AA0" w:rsidP="00981AA0">
            <w:pPr>
              <w:pStyle w:val="TableBody"/>
              <w:jc w:val="center"/>
              <w:rPr>
                <w:rFonts w:eastAsiaTheme="minorEastAsia"/>
                <w:sz w:val="20"/>
                <w:szCs w:val="18"/>
                <w:lang w:val="en-US" w:eastAsia="ko-KR"/>
              </w:rPr>
            </w:pPr>
            <w:r w:rsidRPr="005C7611">
              <w:rPr>
                <w:rFonts w:eastAsiaTheme="minorEastAsia"/>
                <w:sz w:val="20"/>
                <w:szCs w:val="18"/>
                <w:lang w:val="en-US" w:eastAsia="ko-KR"/>
              </w:rPr>
              <w:t>65.6</w:t>
            </w:r>
          </w:p>
        </w:tc>
        <w:tc>
          <w:tcPr>
            <w:tcW w:w="949" w:type="dxa"/>
            <w:tcBorders>
              <w:bottom w:val="single" w:sz="4" w:space="0" w:color="auto"/>
            </w:tcBorders>
            <w:shd w:val="clear" w:color="auto" w:fill="auto"/>
            <w:vAlign w:val="center"/>
          </w:tcPr>
          <w:p w14:paraId="364AA04E" w14:textId="77777777" w:rsidR="00981AA0" w:rsidRPr="005C7611" w:rsidRDefault="00981AA0" w:rsidP="00981AA0">
            <w:pPr>
              <w:pStyle w:val="TableBody"/>
              <w:jc w:val="center"/>
              <w:rPr>
                <w:rFonts w:eastAsiaTheme="minorEastAsia"/>
                <w:sz w:val="20"/>
                <w:szCs w:val="18"/>
                <w:lang w:val="en-US" w:eastAsia="ko-KR"/>
              </w:rPr>
            </w:pPr>
            <w:r w:rsidRPr="005C7611">
              <w:rPr>
                <w:rFonts w:eastAsiaTheme="minorEastAsia"/>
                <w:sz w:val="20"/>
                <w:szCs w:val="18"/>
                <w:lang w:val="en-US" w:eastAsia="ko-KR"/>
              </w:rPr>
              <w:t>93.1</w:t>
            </w:r>
          </w:p>
        </w:tc>
        <w:tc>
          <w:tcPr>
            <w:tcW w:w="949" w:type="dxa"/>
            <w:tcBorders>
              <w:bottom w:val="single" w:sz="4" w:space="0" w:color="auto"/>
            </w:tcBorders>
            <w:shd w:val="clear" w:color="auto" w:fill="auto"/>
            <w:vAlign w:val="center"/>
          </w:tcPr>
          <w:p w14:paraId="67F498CA" w14:textId="77777777" w:rsidR="00981AA0" w:rsidRPr="005C7611" w:rsidRDefault="00981AA0" w:rsidP="00981AA0">
            <w:pPr>
              <w:pStyle w:val="TableBody"/>
              <w:jc w:val="center"/>
              <w:rPr>
                <w:rFonts w:eastAsiaTheme="minorEastAsia"/>
                <w:sz w:val="20"/>
                <w:szCs w:val="18"/>
                <w:lang w:val="en-US" w:eastAsia="ko-KR"/>
              </w:rPr>
            </w:pPr>
            <w:r w:rsidRPr="005C7611">
              <w:rPr>
                <w:rFonts w:eastAsiaTheme="minorEastAsia"/>
                <w:sz w:val="20"/>
                <w:szCs w:val="18"/>
                <w:lang w:val="en-US" w:eastAsia="ko-KR"/>
              </w:rPr>
              <w:t>96.0</w:t>
            </w:r>
          </w:p>
        </w:tc>
      </w:tr>
    </w:tbl>
    <w:p w14:paraId="7F546C92" w14:textId="77777777" w:rsidR="004A7D3E" w:rsidRPr="005C7611" w:rsidRDefault="004A7D3E" w:rsidP="0059526F">
      <w:pPr>
        <w:rPr>
          <w:lang w:val="en-US"/>
        </w:rPr>
      </w:pPr>
    </w:p>
    <w:sectPr w:rsidR="004A7D3E" w:rsidRPr="005C7611">
      <w:headerReference w:type="default" r:id="rId19"/>
      <w:footerReference w:type="defaul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6C1819" w14:textId="77777777" w:rsidR="001329A9" w:rsidRDefault="001329A9">
      <w:r>
        <w:separator/>
      </w:r>
    </w:p>
  </w:endnote>
  <w:endnote w:type="continuationSeparator" w:id="0">
    <w:p w14:paraId="63559FCB" w14:textId="77777777" w:rsidR="001329A9" w:rsidRDefault="00132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2916E" w14:textId="77777777" w:rsidR="00F43D12" w:rsidRDefault="00F43D12">
    <w:pPr>
      <w:pStyle w:val="a6"/>
      <w:jc w:val="center"/>
    </w:pPr>
    <w:r>
      <w:fldChar w:fldCharType="begin"/>
    </w:r>
    <w:r>
      <w:instrText>PAGE   \* MERGEFORMAT</w:instrText>
    </w:r>
    <w:r>
      <w:fldChar w:fldCharType="separate"/>
    </w:r>
    <w:r>
      <w:rPr>
        <w:noProof/>
      </w:rPr>
      <w:t>2</w:t>
    </w:r>
    <w:r>
      <w:fldChar w:fldCharType="end"/>
    </w:r>
  </w:p>
  <w:p w14:paraId="596225CA" w14:textId="77777777" w:rsidR="00F43D12" w:rsidRDefault="00F43D12" w:rsidP="00881456">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AB0F73" w14:textId="77777777" w:rsidR="001329A9" w:rsidRDefault="001329A9">
      <w:r>
        <w:separator/>
      </w:r>
    </w:p>
  </w:footnote>
  <w:footnote w:type="continuationSeparator" w:id="0">
    <w:p w14:paraId="15DF5825" w14:textId="77777777" w:rsidR="001329A9" w:rsidRDefault="001329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CE286" w14:textId="77777777" w:rsidR="00F43D12" w:rsidRPr="009B44CC" w:rsidRDefault="00F43D12" w:rsidP="009B44CC">
    <w:pPr>
      <w:pStyle w:val="a5"/>
      <w:tabs>
        <w:tab w:val="left" w:pos="5003"/>
      </w:tabs>
      <w:jc w:val="right"/>
      <w:rPr>
        <w:lang w:val="en-US"/>
      </w:rPr>
    </w:pPr>
    <w:r>
      <w:tab/>
    </w:r>
    <w:r w:rsidRPr="00302E7A">
      <w:rPr>
        <w:noProof/>
        <w:lang w:val="en-US" w:eastAsia="en-US"/>
      </w:rPr>
      <w:drawing>
        <wp:inline distT="0" distB="0" distL="0" distR="0" wp14:anchorId="73019413" wp14:editId="1E9A94CA">
          <wp:extent cx="1488440" cy="414655"/>
          <wp:effectExtent l="0" t="0" r="0" b="0"/>
          <wp:docPr id="1" name="Picture 1"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4146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D70FE"/>
    <w:multiLevelType w:val="hybridMultilevel"/>
    <w:tmpl w:val="B90CAE7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6A0"/>
    <w:rsid w:val="000003BB"/>
    <w:rsid w:val="0000374D"/>
    <w:rsid w:val="00004A23"/>
    <w:rsid w:val="00006A0A"/>
    <w:rsid w:val="0000703E"/>
    <w:rsid w:val="000112FC"/>
    <w:rsid w:val="000118B0"/>
    <w:rsid w:val="00011F40"/>
    <w:rsid w:val="0001454A"/>
    <w:rsid w:val="0001683C"/>
    <w:rsid w:val="000172E7"/>
    <w:rsid w:val="000214A8"/>
    <w:rsid w:val="00023F64"/>
    <w:rsid w:val="00027FB5"/>
    <w:rsid w:val="000314D2"/>
    <w:rsid w:val="0003318F"/>
    <w:rsid w:val="00036CCE"/>
    <w:rsid w:val="0004094E"/>
    <w:rsid w:val="00040B7B"/>
    <w:rsid w:val="000437F7"/>
    <w:rsid w:val="00050985"/>
    <w:rsid w:val="0005501E"/>
    <w:rsid w:val="00055883"/>
    <w:rsid w:val="000571EA"/>
    <w:rsid w:val="0006044D"/>
    <w:rsid w:val="00062324"/>
    <w:rsid w:val="00063C0E"/>
    <w:rsid w:val="00072027"/>
    <w:rsid w:val="00072EA7"/>
    <w:rsid w:val="00076EAD"/>
    <w:rsid w:val="0008287E"/>
    <w:rsid w:val="00083031"/>
    <w:rsid w:val="0008740B"/>
    <w:rsid w:val="000904D3"/>
    <w:rsid w:val="0009309C"/>
    <w:rsid w:val="00093F1B"/>
    <w:rsid w:val="000A1F4B"/>
    <w:rsid w:val="000A21A9"/>
    <w:rsid w:val="000A3BDA"/>
    <w:rsid w:val="000A3E93"/>
    <w:rsid w:val="000A472C"/>
    <w:rsid w:val="000A5773"/>
    <w:rsid w:val="000A682F"/>
    <w:rsid w:val="000B05A0"/>
    <w:rsid w:val="000B2492"/>
    <w:rsid w:val="000B33EE"/>
    <w:rsid w:val="000B4293"/>
    <w:rsid w:val="000C259E"/>
    <w:rsid w:val="000C3E0C"/>
    <w:rsid w:val="000C528A"/>
    <w:rsid w:val="000C5682"/>
    <w:rsid w:val="000C6252"/>
    <w:rsid w:val="000C6F8A"/>
    <w:rsid w:val="000D2D4B"/>
    <w:rsid w:val="000D45F4"/>
    <w:rsid w:val="000D5AB4"/>
    <w:rsid w:val="000D66DB"/>
    <w:rsid w:val="000D7EBA"/>
    <w:rsid w:val="000E6449"/>
    <w:rsid w:val="000E788B"/>
    <w:rsid w:val="000E7A5B"/>
    <w:rsid w:val="000E7BBA"/>
    <w:rsid w:val="000F1874"/>
    <w:rsid w:val="000F21D6"/>
    <w:rsid w:val="000F512F"/>
    <w:rsid w:val="001013F4"/>
    <w:rsid w:val="001054D4"/>
    <w:rsid w:val="0010686C"/>
    <w:rsid w:val="00107C5F"/>
    <w:rsid w:val="00107CCC"/>
    <w:rsid w:val="00110011"/>
    <w:rsid w:val="001105BD"/>
    <w:rsid w:val="00116C82"/>
    <w:rsid w:val="00120E85"/>
    <w:rsid w:val="00123ADA"/>
    <w:rsid w:val="00125573"/>
    <w:rsid w:val="0012642A"/>
    <w:rsid w:val="00126D17"/>
    <w:rsid w:val="001305BF"/>
    <w:rsid w:val="00131D58"/>
    <w:rsid w:val="001329A9"/>
    <w:rsid w:val="001370B1"/>
    <w:rsid w:val="001377CA"/>
    <w:rsid w:val="00140B94"/>
    <w:rsid w:val="001450FB"/>
    <w:rsid w:val="0014658A"/>
    <w:rsid w:val="00147DB8"/>
    <w:rsid w:val="00147F8B"/>
    <w:rsid w:val="00151683"/>
    <w:rsid w:val="0015392F"/>
    <w:rsid w:val="0015563E"/>
    <w:rsid w:val="00155F66"/>
    <w:rsid w:val="001621E6"/>
    <w:rsid w:val="0016390D"/>
    <w:rsid w:val="00164057"/>
    <w:rsid w:val="00165B37"/>
    <w:rsid w:val="00170369"/>
    <w:rsid w:val="00173757"/>
    <w:rsid w:val="00174176"/>
    <w:rsid w:val="00181D92"/>
    <w:rsid w:val="001823B6"/>
    <w:rsid w:val="001848EB"/>
    <w:rsid w:val="00187DB9"/>
    <w:rsid w:val="0019077D"/>
    <w:rsid w:val="0019194D"/>
    <w:rsid w:val="0019269F"/>
    <w:rsid w:val="001A4240"/>
    <w:rsid w:val="001A6821"/>
    <w:rsid w:val="001A734D"/>
    <w:rsid w:val="001B4224"/>
    <w:rsid w:val="001B7472"/>
    <w:rsid w:val="001C10AC"/>
    <w:rsid w:val="001C3BC3"/>
    <w:rsid w:val="001C55FB"/>
    <w:rsid w:val="001D12BC"/>
    <w:rsid w:val="001D561D"/>
    <w:rsid w:val="001E18CC"/>
    <w:rsid w:val="001E3D2D"/>
    <w:rsid w:val="001E4605"/>
    <w:rsid w:val="001E5F4E"/>
    <w:rsid w:val="001F2689"/>
    <w:rsid w:val="001F2AB7"/>
    <w:rsid w:val="001F3C9B"/>
    <w:rsid w:val="001F3E77"/>
    <w:rsid w:val="001F4BD1"/>
    <w:rsid w:val="001F5110"/>
    <w:rsid w:val="001F5702"/>
    <w:rsid w:val="001F65A2"/>
    <w:rsid w:val="001F7784"/>
    <w:rsid w:val="002002FC"/>
    <w:rsid w:val="00201F71"/>
    <w:rsid w:val="00203934"/>
    <w:rsid w:val="0020446B"/>
    <w:rsid w:val="00204BA7"/>
    <w:rsid w:val="002072AB"/>
    <w:rsid w:val="00210140"/>
    <w:rsid w:val="00211942"/>
    <w:rsid w:val="00213492"/>
    <w:rsid w:val="00214D95"/>
    <w:rsid w:val="00215531"/>
    <w:rsid w:val="002162B2"/>
    <w:rsid w:val="00220933"/>
    <w:rsid w:val="00220C72"/>
    <w:rsid w:val="0022540C"/>
    <w:rsid w:val="00226AA4"/>
    <w:rsid w:val="00233C8A"/>
    <w:rsid w:val="00236036"/>
    <w:rsid w:val="00240D90"/>
    <w:rsid w:val="00251C85"/>
    <w:rsid w:val="00253B1D"/>
    <w:rsid w:val="00253CB1"/>
    <w:rsid w:val="002543F9"/>
    <w:rsid w:val="00257ADD"/>
    <w:rsid w:val="00263723"/>
    <w:rsid w:val="00263CF8"/>
    <w:rsid w:val="00265635"/>
    <w:rsid w:val="00266389"/>
    <w:rsid w:val="002675F7"/>
    <w:rsid w:val="002725A5"/>
    <w:rsid w:val="0027314F"/>
    <w:rsid w:val="002823C0"/>
    <w:rsid w:val="0028289F"/>
    <w:rsid w:val="00283F23"/>
    <w:rsid w:val="00284157"/>
    <w:rsid w:val="00285498"/>
    <w:rsid w:val="00285631"/>
    <w:rsid w:val="00290D94"/>
    <w:rsid w:val="0029203C"/>
    <w:rsid w:val="00294873"/>
    <w:rsid w:val="00297772"/>
    <w:rsid w:val="002A4A81"/>
    <w:rsid w:val="002A73A2"/>
    <w:rsid w:val="002A7CE8"/>
    <w:rsid w:val="002B0671"/>
    <w:rsid w:val="002B262F"/>
    <w:rsid w:val="002B3553"/>
    <w:rsid w:val="002B5E06"/>
    <w:rsid w:val="002C0CFF"/>
    <w:rsid w:val="002C5F90"/>
    <w:rsid w:val="002C6E7B"/>
    <w:rsid w:val="002D09B9"/>
    <w:rsid w:val="002D16A0"/>
    <w:rsid w:val="002D2930"/>
    <w:rsid w:val="002D2DFF"/>
    <w:rsid w:val="002D5BF8"/>
    <w:rsid w:val="002D7ECC"/>
    <w:rsid w:val="002E1B8F"/>
    <w:rsid w:val="002E2DEF"/>
    <w:rsid w:val="002E3C98"/>
    <w:rsid w:val="002E4E3E"/>
    <w:rsid w:val="002E76B2"/>
    <w:rsid w:val="002E79A2"/>
    <w:rsid w:val="002F0D49"/>
    <w:rsid w:val="002F4F4B"/>
    <w:rsid w:val="002F55FD"/>
    <w:rsid w:val="002F594C"/>
    <w:rsid w:val="00301984"/>
    <w:rsid w:val="00301A63"/>
    <w:rsid w:val="00301B0B"/>
    <w:rsid w:val="00301E84"/>
    <w:rsid w:val="00302E7A"/>
    <w:rsid w:val="00303D1B"/>
    <w:rsid w:val="003046B7"/>
    <w:rsid w:val="00310431"/>
    <w:rsid w:val="00317A57"/>
    <w:rsid w:val="00320A99"/>
    <w:rsid w:val="0032144B"/>
    <w:rsid w:val="00322D5B"/>
    <w:rsid w:val="00325AC2"/>
    <w:rsid w:val="00326A1C"/>
    <w:rsid w:val="00327FDC"/>
    <w:rsid w:val="0033188E"/>
    <w:rsid w:val="003360E3"/>
    <w:rsid w:val="003371D5"/>
    <w:rsid w:val="003372EC"/>
    <w:rsid w:val="003376CD"/>
    <w:rsid w:val="00343466"/>
    <w:rsid w:val="003452C3"/>
    <w:rsid w:val="003501A7"/>
    <w:rsid w:val="0035048A"/>
    <w:rsid w:val="0036263B"/>
    <w:rsid w:val="00363B62"/>
    <w:rsid w:val="003645B0"/>
    <w:rsid w:val="00364B2C"/>
    <w:rsid w:val="003664F1"/>
    <w:rsid w:val="00367E3F"/>
    <w:rsid w:val="00377EA5"/>
    <w:rsid w:val="00377F77"/>
    <w:rsid w:val="00383073"/>
    <w:rsid w:val="0038438F"/>
    <w:rsid w:val="00387C67"/>
    <w:rsid w:val="00387D98"/>
    <w:rsid w:val="00390B0F"/>
    <w:rsid w:val="00390B38"/>
    <w:rsid w:val="00390B6B"/>
    <w:rsid w:val="0039145D"/>
    <w:rsid w:val="00391CFE"/>
    <w:rsid w:val="0039353B"/>
    <w:rsid w:val="00394F9E"/>
    <w:rsid w:val="00395426"/>
    <w:rsid w:val="00395B91"/>
    <w:rsid w:val="00396615"/>
    <w:rsid w:val="0039700D"/>
    <w:rsid w:val="00397089"/>
    <w:rsid w:val="003978A8"/>
    <w:rsid w:val="003A0734"/>
    <w:rsid w:val="003A0F30"/>
    <w:rsid w:val="003A13C6"/>
    <w:rsid w:val="003A4C44"/>
    <w:rsid w:val="003A5AD0"/>
    <w:rsid w:val="003A6CE3"/>
    <w:rsid w:val="003A7899"/>
    <w:rsid w:val="003B15EE"/>
    <w:rsid w:val="003B1D9C"/>
    <w:rsid w:val="003B517D"/>
    <w:rsid w:val="003B5DF4"/>
    <w:rsid w:val="003B60EC"/>
    <w:rsid w:val="003C00ED"/>
    <w:rsid w:val="003C1C0A"/>
    <w:rsid w:val="003C200D"/>
    <w:rsid w:val="003C35DF"/>
    <w:rsid w:val="003C4A68"/>
    <w:rsid w:val="003C554F"/>
    <w:rsid w:val="003C61DD"/>
    <w:rsid w:val="003D5962"/>
    <w:rsid w:val="003D63E7"/>
    <w:rsid w:val="003E05F1"/>
    <w:rsid w:val="003E113B"/>
    <w:rsid w:val="003E5092"/>
    <w:rsid w:val="003E715D"/>
    <w:rsid w:val="003F103E"/>
    <w:rsid w:val="003F2E48"/>
    <w:rsid w:val="003F440C"/>
    <w:rsid w:val="003F525A"/>
    <w:rsid w:val="003F7BE6"/>
    <w:rsid w:val="004006A9"/>
    <w:rsid w:val="004052AE"/>
    <w:rsid w:val="004118A5"/>
    <w:rsid w:val="00413672"/>
    <w:rsid w:val="00414041"/>
    <w:rsid w:val="00414465"/>
    <w:rsid w:val="00414729"/>
    <w:rsid w:val="00414C80"/>
    <w:rsid w:val="00414F4B"/>
    <w:rsid w:val="00415EF9"/>
    <w:rsid w:val="00416629"/>
    <w:rsid w:val="00417DA1"/>
    <w:rsid w:val="00423478"/>
    <w:rsid w:val="00425B76"/>
    <w:rsid w:val="004260A2"/>
    <w:rsid w:val="00426FC6"/>
    <w:rsid w:val="004273BC"/>
    <w:rsid w:val="00427C5F"/>
    <w:rsid w:val="00430AD3"/>
    <w:rsid w:val="00443D08"/>
    <w:rsid w:val="004507E5"/>
    <w:rsid w:val="00450D9F"/>
    <w:rsid w:val="004519AD"/>
    <w:rsid w:val="0045459A"/>
    <w:rsid w:val="004545DB"/>
    <w:rsid w:val="00454998"/>
    <w:rsid w:val="00456FB4"/>
    <w:rsid w:val="0045786A"/>
    <w:rsid w:val="00460F76"/>
    <w:rsid w:val="00462F12"/>
    <w:rsid w:val="00463050"/>
    <w:rsid w:val="0046340F"/>
    <w:rsid w:val="00466168"/>
    <w:rsid w:val="004714D4"/>
    <w:rsid w:val="00475712"/>
    <w:rsid w:val="00480CCE"/>
    <w:rsid w:val="00482FAA"/>
    <w:rsid w:val="00487F77"/>
    <w:rsid w:val="0049075F"/>
    <w:rsid w:val="00492DA8"/>
    <w:rsid w:val="004A0888"/>
    <w:rsid w:val="004A43B6"/>
    <w:rsid w:val="004A6F8E"/>
    <w:rsid w:val="004A70EE"/>
    <w:rsid w:val="004A7490"/>
    <w:rsid w:val="004A774E"/>
    <w:rsid w:val="004A7D3E"/>
    <w:rsid w:val="004A7FF9"/>
    <w:rsid w:val="004B379D"/>
    <w:rsid w:val="004B5F0C"/>
    <w:rsid w:val="004B6031"/>
    <w:rsid w:val="004C046E"/>
    <w:rsid w:val="004C1609"/>
    <w:rsid w:val="004C216B"/>
    <w:rsid w:val="004C5DD3"/>
    <w:rsid w:val="004D30F9"/>
    <w:rsid w:val="004D4A32"/>
    <w:rsid w:val="004D64AB"/>
    <w:rsid w:val="004E7CE8"/>
    <w:rsid w:val="004F271D"/>
    <w:rsid w:val="004F5114"/>
    <w:rsid w:val="004F627E"/>
    <w:rsid w:val="004F756C"/>
    <w:rsid w:val="005001FA"/>
    <w:rsid w:val="005019AF"/>
    <w:rsid w:val="0050473E"/>
    <w:rsid w:val="0050488D"/>
    <w:rsid w:val="00504D12"/>
    <w:rsid w:val="0050527A"/>
    <w:rsid w:val="0050535A"/>
    <w:rsid w:val="00511192"/>
    <w:rsid w:val="005118AD"/>
    <w:rsid w:val="00512353"/>
    <w:rsid w:val="005220C2"/>
    <w:rsid w:val="00522926"/>
    <w:rsid w:val="00522E88"/>
    <w:rsid w:val="00523369"/>
    <w:rsid w:val="0052398F"/>
    <w:rsid w:val="005302F6"/>
    <w:rsid w:val="00532960"/>
    <w:rsid w:val="0053626D"/>
    <w:rsid w:val="00545A73"/>
    <w:rsid w:val="00546DEB"/>
    <w:rsid w:val="00546F0F"/>
    <w:rsid w:val="005477E7"/>
    <w:rsid w:val="00550159"/>
    <w:rsid w:val="00551897"/>
    <w:rsid w:val="00551FFD"/>
    <w:rsid w:val="00552A0F"/>
    <w:rsid w:val="005551ED"/>
    <w:rsid w:val="00556419"/>
    <w:rsid w:val="00556482"/>
    <w:rsid w:val="005572B4"/>
    <w:rsid w:val="005572DD"/>
    <w:rsid w:val="00560564"/>
    <w:rsid w:val="00562E2B"/>
    <w:rsid w:val="00564668"/>
    <w:rsid w:val="00570353"/>
    <w:rsid w:val="005715F5"/>
    <w:rsid w:val="0057171E"/>
    <w:rsid w:val="00571EEC"/>
    <w:rsid w:val="00572666"/>
    <w:rsid w:val="0057267E"/>
    <w:rsid w:val="005726BD"/>
    <w:rsid w:val="00574A5A"/>
    <w:rsid w:val="005753B8"/>
    <w:rsid w:val="00583ED5"/>
    <w:rsid w:val="005865F5"/>
    <w:rsid w:val="00587437"/>
    <w:rsid w:val="00592678"/>
    <w:rsid w:val="00592D02"/>
    <w:rsid w:val="00594644"/>
    <w:rsid w:val="0059526F"/>
    <w:rsid w:val="0059551B"/>
    <w:rsid w:val="005959E8"/>
    <w:rsid w:val="00596F36"/>
    <w:rsid w:val="005A1741"/>
    <w:rsid w:val="005A235F"/>
    <w:rsid w:val="005A36E2"/>
    <w:rsid w:val="005A751F"/>
    <w:rsid w:val="005A7719"/>
    <w:rsid w:val="005A77C2"/>
    <w:rsid w:val="005B291B"/>
    <w:rsid w:val="005B76C5"/>
    <w:rsid w:val="005B7AF0"/>
    <w:rsid w:val="005B7B8A"/>
    <w:rsid w:val="005C09C6"/>
    <w:rsid w:val="005C458D"/>
    <w:rsid w:val="005C491E"/>
    <w:rsid w:val="005C5E0A"/>
    <w:rsid w:val="005C6C0C"/>
    <w:rsid w:val="005C7611"/>
    <w:rsid w:val="005D2276"/>
    <w:rsid w:val="005D25FD"/>
    <w:rsid w:val="005D2808"/>
    <w:rsid w:val="005D610F"/>
    <w:rsid w:val="005E0858"/>
    <w:rsid w:val="005E2794"/>
    <w:rsid w:val="005E3CBF"/>
    <w:rsid w:val="005E6F9D"/>
    <w:rsid w:val="005E7B5A"/>
    <w:rsid w:val="005F01FC"/>
    <w:rsid w:val="005F0C89"/>
    <w:rsid w:val="005F2A22"/>
    <w:rsid w:val="005F3701"/>
    <w:rsid w:val="005F41DF"/>
    <w:rsid w:val="005F4521"/>
    <w:rsid w:val="005F5478"/>
    <w:rsid w:val="006006FC"/>
    <w:rsid w:val="006045BA"/>
    <w:rsid w:val="0060583A"/>
    <w:rsid w:val="00611649"/>
    <w:rsid w:val="00611A0E"/>
    <w:rsid w:val="00614154"/>
    <w:rsid w:val="00614BD3"/>
    <w:rsid w:val="00623A77"/>
    <w:rsid w:val="006256F5"/>
    <w:rsid w:val="00627AB6"/>
    <w:rsid w:val="0063097B"/>
    <w:rsid w:val="006364B8"/>
    <w:rsid w:val="00636A64"/>
    <w:rsid w:val="00636B93"/>
    <w:rsid w:val="00640550"/>
    <w:rsid w:val="0064326A"/>
    <w:rsid w:val="00644D5D"/>
    <w:rsid w:val="00646DC7"/>
    <w:rsid w:val="006511FB"/>
    <w:rsid w:val="00651A9D"/>
    <w:rsid w:val="00656092"/>
    <w:rsid w:val="0065741C"/>
    <w:rsid w:val="00660B85"/>
    <w:rsid w:val="00662DCE"/>
    <w:rsid w:val="00664F6D"/>
    <w:rsid w:val="006650B8"/>
    <w:rsid w:val="00666329"/>
    <w:rsid w:val="006672EE"/>
    <w:rsid w:val="0067011F"/>
    <w:rsid w:val="0067015E"/>
    <w:rsid w:val="006701B6"/>
    <w:rsid w:val="00680453"/>
    <w:rsid w:val="00682526"/>
    <w:rsid w:val="00683555"/>
    <w:rsid w:val="00686F1D"/>
    <w:rsid w:val="00692F7A"/>
    <w:rsid w:val="0069427F"/>
    <w:rsid w:val="00695E06"/>
    <w:rsid w:val="00696315"/>
    <w:rsid w:val="00696D41"/>
    <w:rsid w:val="006A0D51"/>
    <w:rsid w:val="006A1C05"/>
    <w:rsid w:val="006A225B"/>
    <w:rsid w:val="006A30D2"/>
    <w:rsid w:val="006A5A6A"/>
    <w:rsid w:val="006A5FE3"/>
    <w:rsid w:val="006B23B2"/>
    <w:rsid w:val="006B4845"/>
    <w:rsid w:val="006B635C"/>
    <w:rsid w:val="006C1708"/>
    <w:rsid w:val="006C1C29"/>
    <w:rsid w:val="006C3782"/>
    <w:rsid w:val="006C3CDE"/>
    <w:rsid w:val="006C4745"/>
    <w:rsid w:val="006D0EE8"/>
    <w:rsid w:val="006D3162"/>
    <w:rsid w:val="006D37E7"/>
    <w:rsid w:val="006D5146"/>
    <w:rsid w:val="006D59D6"/>
    <w:rsid w:val="006D5C04"/>
    <w:rsid w:val="006D7508"/>
    <w:rsid w:val="006E0F2F"/>
    <w:rsid w:val="006E19D7"/>
    <w:rsid w:val="006E71B9"/>
    <w:rsid w:val="006F1873"/>
    <w:rsid w:val="006F39B2"/>
    <w:rsid w:val="006F5384"/>
    <w:rsid w:val="006F6604"/>
    <w:rsid w:val="006F71D8"/>
    <w:rsid w:val="006F7D1A"/>
    <w:rsid w:val="0070346C"/>
    <w:rsid w:val="007051A0"/>
    <w:rsid w:val="00706496"/>
    <w:rsid w:val="00711A12"/>
    <w:rsid w:val="00711F11"/>
    <w:rsid w:val="007154C4"/>
    <w:rsid w:val="00715DB9"/>
    <w:rsid w:val="007218A0"/>
    <w:rsid w:val="007238AF"/>
    <w:rsid w:val="00726908"/>
    <w:rsid w:val="007270C7"/>
    <w:rsid w:val="00730F3A"/>
    <w:rsid w:val="00735F34"/>
    <w:rsid w:val="00736944"/>
    <w:rsid w:val="00741200"/>
    <w:rsid w:val="00741333"/>
    <w:rsid w:val="00741B3D"/>
    <w:rsid w:val="00742FF2"/>
    <w:rsid w:val="00744D6A"/>
    <w:rsid w:val="00746138"/>
    <w:rsid w:val="0074620A"/>
    <w:rsid w:val="00751D50"/>
    <w:rsid w:val="007527D5"/>
    <w:rsid w:val="00752F3C"/>
    <w:rsid w:val="0075324C"/>
    <w:rsid w:val="007561FC"/>
    <w:rsid w:val="00761915"/>
    <w:rsid w:val="00761D34"/>
    <w:rsid w:val="00762D2D"/>
    <w:rsid w:val="00764622"/>
    <w:rsid w:val="00764CAD"/>
    <w:rsid w:val="00770FA1"/>
    <w:rsid w:val="00773884"/>
    <w:rsid w:val="00774813"/>
    <w:rsid w:val="0078052A"/>
    <w:rsid w:val="007812FB"/>
    <w:rsid w:val="00784032"/>
    <w:rsid w:val="00786E79"/>
    <w:rsid w:val="00787925"/>
    <w:rsid w:val="00790E31"/>
    <w:rsid w:val="00793B87"/>
    <w:rsid w:val="0079566E"/>
    <w:rsid w:val="00796509"/>
    <w:rsid w:val="0079691E"/>
    <w:rsid w:val="00797723"/>
    <w:rsid w:val="007B1EEE"/>
    <w:rsid w:val="007B249B"/>
    <w:rsid w:val="007B2B77"/>
    <w:rsid w:val="007B6D4D"/>
    <w:rsid w:val="007B7A09"/>
    <w:rsid w:val="007C0F7A"/>
    <w:rsid w:val="007D24A9"/>
    <w:rsid w:val="007D27FA"/>
    <w:rsid w:val="007D30B5"/>
    <w:rsid w:val="007D6218"/>
    <w:rsid w:val="007D6699"/>
    <w:rsid w:val="007D7E30"/>
    <w:rsid w:val="007E6419"/>
    <w:rsid w:val="007F6815"/>
    <w:rsid w:val="007F6BA8"/>
    <w:rsid w:val="008050C5"/>
    <w:rsid w:val="0080681B"/>
    <w:rsid w:val="0080738C"/>
    <w:rsid w:val="00810B77"/>
    <w:rsid w:val="008154A2"/>
    <w:rsid w:val="00817436"/>
    <w:rsid w:val="00824A61"/>
    <w:rsid w:val="0082542D"/>
    <w:rsid w:val="00827834"/>
    <w:rsid w:val="00832835"/>
    <w:rsid w:val="00835110"/>
    <w:rsid w:val="008351FC"/>
    <w:rsid w:val="00841F50"/>
    <w:rsid w:val="00843A0E"/>
    <w:rsid w:val="00845DFE"/>
    <w:rsid w:val="00846E17"/>
    <w:rsid w:val="00854283"/>
    <w:rsid w:val="008573E3"/>
    <w:rsid w:val="008610A4"/>
    <w:rsid w:val="00861E81"/>
    <w:rsid w:val="008645FF"/>
    <w:rsid w:val="00866D42"/>
    <w:rsid w:val="00867559"/>
    <w:rsid w:val="0087030E"/>
    <w:rsid w:val="00870AAC"/>
    <w:rsid w:val="008734F7"/>
    <w:rsid w:val="008739B5"/>
    <w:rsid w:val="00874E9F"/>
    <w:rsid w:val="00877842"/>
    <w:rsid w:val="008806F8"/>
    <w:rsid w:val="008808E2"/>
    <w:rsid w:val="00881456"/>
    <w:rsid w:val="00881ACB"/>
    <w:rsid w:val="00885FC9"/>
    <w:rsid w:val="00891328"/>
    <w:rsid w:val="00891A47"/>
    <w:rsid w:val="00892809"/>
    <w:rsid w:val="0089370F"/>
    <w:rsid w:val="008939AF"/>
    <w:rsid w:val="00893FED"/>
    <w:rsid w:val="0089449A"/>
    <w:rsid w:val="00895E48"/>
    <w:rsid w:val="00896687"/>
    <w:rsid w:val="008971F4"/>
    <w:rsid w:val="008A0E7D"/>
    <w:rsid w:val="008A3023"/>
    <w:rsid w:val="008A403F"/>
    <w:rsid w:val="008A6815"/>
    <w:rsid w:val="008B1031"/>
    <w:rsid w:val="008B1639"/>
    <w:rsid w:val="008B2303"/>
    <w:rsid w:val="008B34A0"/>
    <w:rsid w:val="008B5740"/>
    <w:rsid w:val="008C0B84"/>
    <w:rsid w:val="008C41DA"/>
    <w:rsid w:val="008C553A"/>
    <w:rsid w:val="008C588E"/>
    <w:rsid w:val="008C5999"/>
    <w:rsid w:val="008C7226"/>
    <w:rsid w:val="008D7B80"/>
    <w:rsid w:val="008E239E"/>
    <w:rsid w:val="008E4184"/>
    <w:rsid w:val="008E549F"/>
    <w:rsid w:val="008E5835"/>
    <w:rsid w:val="008E6301"/>
    <w:rsid w:val="008F10BC"/>
    <w:rsid w:val="008F2052"/>
    <w:rsid w:val="008F26ED"/>
    <w:rsid w:val="008F2A38"/>
    <w:rsid w:val="008F3012"/>
    <w:rsid w:val="008F592B"/>
    <w:rsid w:val="00901D14"/>
    <w:rsid w:val="00903775"/>
    <w:rsid w:val="009109F7"/>
    <w:rsid w:val="00912137"/>
    <w:rsid w:val="00915BED"/>
    <w:rsid w:val="00916B64"/>
    <w:rsid w:val="0092145D"/>
    <w:rsid w:val="00922430"/>
    <w:rsid w:val="009245DE"/>
    <w:rsid w:val="00930762"/>
    <w:rsid w:val="00930C0C"/>
    <w:rsid w:val="00936B81"/>
    <w:rsid w:val="00944701"/>
    <w:rsid w:val="00946E2B"/>
    <w:rsid w:val="00947B2F"/>
    <w:rsid w:val="00950ED1"/>
    <w:rsid w:val="00952A7A"/>
    <w:rsid w:val="0095444E"/>
    <w:rsid w:val="00955C67"/>
    <w:rsid w:val="00957B65"/>
    <w:rsid w:val="00960AFF"/>
    <w:rsid w:val="00962F36"/>
    <w:rsid w:val="00963F62"/>
    <w:rsid w:val="00965EFC"/>
    <w:rsid w:val="009762D2"/>
    <w:rsid w:val="009762F1"/>
    <w:rsid w:val="0097692D"/>
    <w:rsid w:val="009776D2"/>
    <w:rsid w:val="00977EA8"/>
    <w:rsid w:val="0098140D"/>
    <w:rsid w:val="00981AA0"/>
    <w:rsid w:val="00981CED"/>
    <w:rsid w:val="00987225"/>
    <w:rsid w:val="00987C28"/>
    <w:rsid w:val="00990870"/>
    <w:rsid w:val="00990DCF"/>
    <w:rsid w:val="009920F5"/>
    <w:rsid w:val="00992B56"/>
    <w:rsid w:val="00992CDA"/>
    <w:rsid w:val="00993342"/>
    <w:rsid w:val="00996CE4"/>
    <w:rsid w:val="009A0FB3"/>
    <w:rsid w:val="009A3F36"/>
    <w:rsid w:val="009A48D8"/>
    <w:rsid w:val="009A61D7"/>
    <w:rsid w:val="009A6C59"/>
    <w:rsid w:val="009A7878"/>
    <w:rsid w:val="009B0888"/>
    <w:rsid w:val="009B33DF"/>
    <w:rsid w:val="009B4270"/>
    <w:rsid w:val="009B44CC"/>
    <w:rsid w:val="009B5651"/>
    <w:rsid w:val="009B62E4"/>
    <w:rsid w:val="009C4319"/>
    <w:rsid w:val="009D109E"/>
    <w:rsid w:val="009D1CD9"/>
    <w:rsid w:val="009D1F28"/>
    <w:rsid w:val="009D4830"/>
    <w:rsid w:val="009D797A"/>
    <w:rsid w:val="009E026A"/>
    <w:rsid w:val="009E3B56"/>
    <w:rsid w:val="009E49B5"/>
    <w:rsid w:val="009E551E"/>
    <w:rsid w:val="009E7066"/>
    <w:rsid w:val="009E7284"/>
    <w:rsid w:val="009F1EF8"/>
    <w:rsid w:val="009F4604"/>
    <w:rsid w:val="009F4B78"/>
    <w:rsid w:val="009F606B"/>
    <w:rsid w:val="009F6E66"/>
    <w:rsid w:val="00A02AC3"/>
    <w:rsid w:val="00A042A2"/>
    <w:rsid w:val="00A06840"/>
    <w:rsid w:val="00A06EAD"/>
    <w:rsid w:val="00A1293C"/>
    <w:rsid w:val="00A14F9B"/>
    <w:rsid w:val="00A167F1"/>
    <w:rsid w:val="00A169FD"/>
    <w:rsid w:val="00A2085F"/>
    <w:rsid w:val="00A20EC0"/>
    <w:rsid w:val="00A2150B"/>
    <w:rsid w:val="00A215D9"/>
    <w:rsid w:val="00A2292C"/>
    <w:rsid w:val="00A23FC3"/>
    <w:rsid w:val="00A25F1B"/>
    <w:rsid w:val="00A30943"/>
    <w:rsid w:val="00A3288D"/>
    <w:rsid w:val="00A329DC"/>
    <w:rsid w:val="00A41135"/>
    <w:rsid w:val="00A41FEB"/>
    <w:rsid w:val="00A44DA6"/>
    <w:rsid w:val="00A50921"/>
    <w:rsid w:val="00A5160D"/>
    <w:rsid w:val="00A56CA4"/>
    <w:rsid w:val="00A63F36"/>
    <w:rsid w:val="00A65F04"/>
    <w:rsid w:val="00A65F2E"/>
    <w:rsid w:val="00A71AD5"/>
    <w:rsid w:val="00A8073E"/>
    <w:rsid w:val="00A80883"/>
    <w:rsid w:val="00A81BED"/>
    <w:rsid w:val="00A82FC6"/>
    <w:rsid w:val="00A92270"/>
    <w:rsid w:val="00A92E76"/>
    <w:rsid w:val="00AA10AE"/>
    <w:rsid w:val="00AA200B"/>
    <w:rsid w:val="00AA329F"/>
    <w:rsid w:val="00AA7B6A"/>
    <w:rsid w:val="00AB593E"/>
    <w:rsid w:val="00AB5D37"/>
    <w:rsid w:val="00AB683F"/>
    <w:rsid w:val="00AC4A2E"/>
    <w:rsid w:val="00AC5BAE"/>
    <w:rsid w:val="00AD1885"/>
    <w:rsid w:val="00AD50BA"/>
    <w:rsid w:val="00AE02E7"/>
    <w:rsid w:val="00AE0F75"/>
    <w:rsid w:val="00AE319E"/>
    <w:rsid w:val="00AE3B2C"/>
    <w:rsid w:val="00AE3B4E"/>
    <w:rsid w:val="00AE676F"/>
    <w:rsid w:val="00AE69BE"/>
    <w:rsid w:val="00AE709C"/>
    <w:rsid w:val="00AE7DD9"/>
    <w:rsid w:val="00AF2B38"/>
    <w:rsid w:val="00B004C1"/>
    <w:rsid w:val="00B0168B"/>
    <w:rsid w:val="00B03458"/>
    <w:rsid w:val="00B04B8E"/>
    <w:rsid w:val="00B1072F"/>
    <w:rsid w:val="00B15820"/>
    <w:rsid w:val="00B215D8"/>
    <w:rsid w:val="00B2218A"/>
    <w:rsid w:val="00B246ED"/>
    <w:rsid w:val="00B26DD0"/>
    <w:rsid w:val="00B333CB"/>
    <w:rsid w:val="00B338C8"/>
    <w:rsid w:val="00B341CC"/>
    <w:rsid w:val="00B35321"/>
    <w:rsid w:val="00B35505"/>
    <w:rsid w:val="00B35CB3"/>
    <w:rsid w:val="00B35E0A"/>
    <w:rsid w:val="00B40124"/>
    <w:rsid w:val="00B40B86"/>
    <w:rsid w:val="00B42E03"/>
    <w:rsid w:val="00B443E2"/>
    <w:rsid w:val="00B46222"/>
    <w:rsid w:val="00B50205"/>
    <w:rsid w:val="00B54092"/>
    <w:rsid w:val="00B5444C"/>
    <w:rsid w:val="00B5568B"/>
    <w:rsid w:val="00B557BF"/>
    <w:rsid w:val="00B55AAA"/>
    <w:rsid w:val="00B55BD6"/>
    <w:rsid w:val="00B56147"/>
    <w:rsid w:val="00B5720A"/>
    <w:rsid w:val="00B604A0"/>
    <w:rsid w:val="00B60761"/>
    <w:rsid w:val="00B620A5"/>
    <w:rsid w:val="00B62BB1"/>
    <w:rsid w:val="00B63559"/>
    <w:rsid w:val="00B73979"/>
    <w:rsid w:val="00B751B0"/>
    <w:rsid w:val="00B762E0"/>
    <w:rsid w:val="00B86C54"/>
    <w:rsid w:val="00B874C4"/>
    <w:rsid w:val="00B935AB"/>
    <w:rsid w:val="00B94E3B"/>
    <w:rsid w:val="00B97AA2"/>
    <w:rsid w:val="00B97B8E"/>
    <w:rsid w:val="00BA00A8"/>
    <w:rsid w:val="00BA0378"/>
    <w:rsid w:val="00BA37A4"/>
    <w:rsid w:val="00BA4FB0"/>
    <w:rsid w:val="00BA6138"/>
    <w:rsid w:val="00BB1930"/>
    <w:rsid w:val="00BB1B3A"/>
    <w:rsid w:val="00BB3478"/>
    <w:rsid w:val="00BC2247"/>
    <w:rsid w:val="00BC5572"/>
    <w:rsid w:val="00BC7FD5"/>
    <w:rsid w:val="00BD497C"/>
    <w:rsid w:val="00BD57EE"/>
    <w:rsid w:val="00BE308D"/>
    <w:rsid w:val="00BE4E8A"/>
    <w:rsid w:val="00BF2A79"/>
    <w:rsid w:val="00BF2DD4"/>
    <w:rsid w:val="00BF375F"/>
    <w:rsid w:val="00BF4D0E"/>
    <w:rsid w:val="00C02372"/>
    <w:rsid w:val="00C044C3"/>
    <w:rsid w:val="00C10453"/>
    <w:rsid w:val="00C13BCA"/>
    <w:rsid w:val="00C141B9"/>
    <w:rsid w:val="00C158CF"/>
    <w:rsid w:val="00C16518"/>
    <w:rsid w:val="00C1787D"/>
    <w:rsid w:val="00C20F14"/>
    <w:rsid w:val="00C22B7C"/>
    <w:rsid w:val="00C23B8E"/>
    <w:rsid w:val="00C25266"/>
    <w:rsid w:val="00C3184D"/>
    <w:rsid w:val="00C331FD"/>
    <w:rsid w:val="00C33C2E"/>
    <w:rsid w:val="00C33E27"/>
    <w:rsid w:val="00C34DCB"/>
    <w:rsid w:val="00C364F0"/>
    <w:rsid w:val="00C36D0C"/>
    <w:rsid w:val="00C3708D"/>
    <w:rsid w:val="00C4138A"/>
    <w:rsid w:val="00C440B4"/>
    <w:rsid w:val="00C446F9"/>
    <w:rsid w:val="00C462CB"/>
    <w:rsid w:val="00C46F39"/>
    <w:rsid w:val="00C47AFE"/>
    <w:rsid w:val="00C5067F"/>
    <w:rsid w:val="00C515C3"/>
    <w:rsid w:val="00C51AA2"/>
    <w:rsid w:val="00C52E43"/>
    <w:rsid w:val="00C56CD4"/>
    <w:rsid w:val="00C609C3"/>
    <w:rsid w:val="00C60E16"/>
    <w:rsid w:val="00C65E4E"/>
    <w:rsid w:val="00C66610"/>
    <w:rsid w:val="00C66648"/>
    <w:rsid w:val="00C66FEF"/>
    <w:rsid w:val="00C70CB4"/>
    <w:rsid w:val="00C727A7"/>
    <w:rsid w:val="00C728D5"/>
    <w:rsid w:val="00C75119"/>
    <w:rsid w:val="00C76DD6"/>
    <w:rsid w:val="00C90B62"/>
    <w:rsid w:val="00C91C08"/>
    <w:rsid w:val="00C97F0E"/>
    <w:rsid w:val="00CA06AC"/>
    <w:rsid w:val="00CA1D9E"/>
    <w:rsid w:val="00CA242A"/>
    <w:rsid w:val="00CA27BD"/>
    <w:rsid w:val="00CA2AB6"/>
    <w:rsid w:val="00CA4BCC"/>
    <w:rsid w:val="00CB01D6"/>
    <w:rsid w:val="00CB311E"/>
    <w:rsid w:val="00CB71E1"/>
    <w:rsid w:val="00CC0ED3"/>
    <w:rsid w:val="00CC1894"/>
    <w:rsid w:val="00CC2EE2"/>
    <w:rsid w:val="00CC3D03"/>
    <w:rsid w:val="00CC45DB"/>
    <w:rsid w:val="00CC4C20"/>
    <w:rsid w:val="00CC73FF"/>
    <w:rsid w:val="00CD141E"/>
    <w:rsid w:val="00CD45DA"/>
    <w:rsid w:val="00CE2EA4"/>
    <w:rsid w:val="00CE3EA3"/>
    <w:rsid w:val="00CE5714"/>
    <w:rsid w:val="00CE6138"/>
    <w:rsid w:val="00CE6430"/>
    <w:rsid w:val="00CE6F59"/>
    <w:rsid w:val="00CE7AAB"/>
    <w:rsid w:val="00CF2673"/>
    <w:rsid w:val="00CF2DA1"/>
    <w:rsid w:val="00CF43B1"/>
    <w:rsid w:val="00D0006F"/>
    <w:rsid w:val="00D0614B"/>
    <w:rsid w:val="00D06AD1"/>
    <w:rsid w:val="00D108E1"/>
    <w:rsid w:val="00D17549"/>
    <w:rsid w:val="00D24D97"/>
    <w:rsid w:val="00D275F5"/>
    <w:rsid w:val="00D376F1"/>
    <w:rsid w:val="00D427D4"/>
    <w:rsid w:val="00D43CA8"/>
    <w:rsid w:val="00D4523D"/>
    <w:rsid w:val="00D4593F"/>
    <w:rsid w:val="00D45BD4"/>
    <w:rsid w:val="00D4775B"/>
    <w:rsid w:val="00D47AB8"/>
    <w:rsid w:val="00D55D94"/>
    <w:rsid w:val="00D56566"/>
    <w:rsid w:val="00D647A4"/>
    <w:rsid w:val="00D6487A"/>
    <w:rsid w:val="00D648BB"/>
    <w:rsid w:val="00D64E04"/>
    <w:rsid w:val="00D65A5E"/>
    <w:rsid w:val="00D669D1"/>
    <w:rsid w:val="00D7049A"/>
    <w:rsid w:val="00D704F6"/>
    <w:rsid w:val="00D722B1"/>
    <w:rsid w:val="00D74A82"/>
    <w:rsid w:val="00D753F6"/>
    <w:rsid w:val="00D7737D"/>
    <w:rsid w:val="00D80897"/>
    <w:rsid w:val="00D81375"/>
    <w:rsid w:val="00D8540E"/>
    <w:rsid w:val="00D85C4D"/>
    <w:rsid w:val="00D8730B"/>
    <w:rsid w:val="00D9072A"/>
    <w:rsid w:val="00D94852"/>
    <w:rsid w:val="00DA039C"/>
    <w:rsid w:val="00DA10B4"/>
    <w:rsid w:val="00DA6EBE"/>
    <w:rsid w:val="00DB27CC"/>
    <w:rsid w:val="00DB2A54"/>
    <w:rsid w:val="00DB4EF9"/>
    <w:rsid w:val="00DC29FE"/>
    <w:rsid w:val="00DC430C"/>
    <w:rsid w:val="00DC60FB"/>
    <w:rsid w:val="00DC7319"/>
    <w:rsid w:val="00DC742E"/>
    <w:rsid w:val="00DD2296"/>
    <w:rsid w:val="00DD38DC"/>
    <w:rsid w:val="00DD63FF"/>
    <w:rsid w:val="00DF1BBF"/>
    <w:rsid w:val="00DF3145"/>
    <w:rsid w:val="00DF4B0E"/>
    <w:rsid w:val="00E00DAA"/>
    <w:rsid w:val="00E01E4B"/>
    <w:rsid w:val="00E062B0"/>
    <w:rsid w:val="00E0711E"/>
    <w:rsid w:val="00E0770C"/>
    <w:rsid w:val="00E1035E"/>
    <w:rsid w:val="00E14DFA"/>
    <w:rsid w:val="00E17EA5"/>
    <w:rsid w:val="00E229DB"/>
    <w:rsid w:val="00E2571A"/>
    <w:rsid w:val="00E26EDC"/>
    <w:rsid w:val="00E2713C"/>
    <w:rsid w:val="00E30B42"/>
    <w:rsid w:val="00E342D7"/>
    <w:rsid w:val="00E35C26"/>
    <w:rsid w:val="00E410EA"/>
    <w:rsid w:val="00E41A4C"/>
    <w:rsid w:val="00E41D5C"/>
    <w:rsid w:val="00E437F7"/>
    <w:rsid w:val="00E529F9"/>
    <w:rsid w:val="00E55017"/>
    <w:rsid w:val="00E55416"/>
    <w:rsid w:val="00E557D1"/>
    <w:rsid w:val="00E55978"/>
    <w:rsid w:val="00E56282"/>
    <w:rsid w:val="00E616BF"/>
    <w:rsid w:val="00E658AA"/>
    <w:rsid w:val="00E6656A"/>
    <w:rsid w:val="00E70D30"/>
    <w:rsid w:val="00E716BA"/>
    <w:rsid w:val="00E75977"/>
    <w:rsid w:val="00E76431"/>
    <w:rsid w:val="00E7686D"/>
    <w:rsid w:val="00E813BA"/>
    <w:rsid w:val="00E8590C"/>
    <w:rsid w:val="00E85F76"/>
    <w:rsid w:val="00E93590"/>
    <w:rsid w:val="00E94506"/>
    <w:rsid w:val="00E95A7B"/>
    <w:rsid w:val="00E969E9"/>
    <w:rsid w:val="00EA01A0"/>
    <w:rsid w:val="00EA155A"/>
    <w:rsid w:val="00EA24D4"/>
    <w:rsid w:val="00EA2851"/>
    <w:rsid w:val="00EA3515"/>
    <w:rsid w:val="00EA55FE"/>
    <w:rsid w:val="00EB0B4F"/>
    <w:rsid w:val="00EB1B59"/>
    <w:rsid w:val="00EB1BAB"/>
    <w:rsid w:val="00EB4384"/>
    <w:rsid w:val="00EB6065"/>
    <w:rsid w:val="00EC0826"/>
    <w:rsid w:val="00EC4D95"/>
    <w:rsid w:val="00EC4E99"/>
    <w:rsid w:val="00ED1737"/>
    <w:rsid w:val="00ED3A21"/>
    <w:rsid w:val="00ED54F9"/>
    <w:rsid w:val="00ED6982"/>
    <w:rsid w:val="00EE0218"/>
    <w:rsid w:val="00EE0E54"/>
    <w:rsid w:val="00EE1033"/>
    <w:rsid w:val="00EF24BB"/>
    <w:rsid w:val="00EF2B90"/>
    <w:rsid w:val="00EF32F6"/>
    <w:rsid w:val="00EF4114"/>
    <w:rsid w:val="00EF448F"/>
    <w:rsid w:val="00EF4634"/>
    <w:rsid w:val="00EF472E"/>
    <w:rsid w:val="00EF4A5A"/>
    <w:rsid w:val="00EF4EC4"/>
    <w:rsid w:val="00EF66A9"/>
    <w:rsid w:val="00EF74D8"/>
    <w:rsid w:val="00F01898"/>
    <w:rsid w:val="00F05EE0"/>
    <w:rsid w:val="00F06985"/>
    <w:rsid w:val="00F07DE8"/>
    <w:rsid w:val="00F156B3"/>
    <w:rsid w:val="00F15FD8"/>
    <w:rsid w:val="00F17613"/>
    <w:rsid w:val="00F21A1A"/>
    <w:rsid w:val="00F22813"/>
    <w:rsid w:val="00F22FC8"/>
    <w:rsid w:val="00F27F36"/>
    <w:rsid w:val="00F32B8C"/>
    <w:rsid w:val="00F33383"/>
    <w:rsid w:val="00F33D5B"/>
    <w:rsid w:val="00F4030B"/>
    <w:rsid w:val="00F42F65"/>
    <w:rsid w:val="00F43D12"/>
    <w:rsid w:val="00F444F5"/>
    <w:rsid w:val="00F4602E"/>
    <w:rsid w:val="00F46BCF"/>
    <w:rsid w:val="00F515AF"/>
    <w:rsid w:val="00F53E05"/>
    <w:rsid w:val="00F5550A"/>
    <w:rsid w:val="00F55A56"/>
    <w:rsid w:val="00F56088"/>
    <w:rsid w:val="00F6031D"/>
    <w:rsid w:val="00F61303"/>
    <w:rsid w:val="00F65606"/>
    <w:rsid w:val="00F66614"/>
    <w:rsid w:val="00F67764"/>
    <w:rsid w:val="00F7107C"/>
    <w:rsid w:val="00F71232"/>
    <w:rsid w:val="00F74722"/>
    <w:rsid w:val="00F75F45"/>
    <w:rsid w:val="00F81BDD"/>
    <w:rsid w:val="00F82957"/>
    <w:rsid w:val="00F83BD2"/>
    <w:rsid w:val="00F857CA"/>
    <w:rsid w:val="00F92C2B"/>
    <w:rsid w:val="00F93927"/>
    <w:rsid w:val="00F94241"/>
    <w:rsid w:val="00F945CD"/>
    <w:rsid w:val="00F95ECF"/>
    <w:rsid w:val="00F965E2"/>
    <w:rsid w:val="00F9792C"/>
    <w:rsid w:val="00F97AAA"/>
    <w:rsid w:val="00FA4AD8"/>
    <w:rsid w:val="00FB3597"/>
    <w:rsid w:val="00FB53CA"/>
    <w:rsid w:val="00FC14B6"/>
    <w:rsid w:val="00FC3750"/>
    <w:rsid w:val="00FC487C"/>
    <w:rsid w:val="00FC51A5"/>
    <w:rsid w:val="00FD0B36"/>
    <w:rsid w:val="00FD168A"/>
    <w:rsid w:val="00FD3643"/>
    <w:rsid w:val="00FD553C"/>
    <w:rsid w:val="00FD6F5E"/>
    <w:rsid w:val="00FD7B29"/>
    <w:rsid w:val="00FE087D"/>
    <w:rsid w:val="00FE133D"/>
    <w:rsid w:val="00FE2090"/>
    <w:rsid w:val="00FE359D"/>
    <w:rsid w:val="00FE47EA"/>
    <w:rsid w:val="00FE4D5F"/>
    <w:rsid w:val="00FE7BC4"/>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D3EC35"/>
  <w15:chartTrackingRefBased/>
  <w15:docId w15:val="{EE2E236E-B7DC-4C8C-9D40-0DC79AC2C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4A23"/>
    <w:rPr>
      <w:sz w:val="24"/>
      <w:szCs w:val="24"/>
      <w:lang w:val="de-DE"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istory">
    <w:name w:val="History"/>
    <w:basedOn w:val="a"/>
    <w:rsid w:val="005B291B"/>
    <w:pPr>
      <w:spacing w:before="230" w:after="460" w:line="180" w:lineRule="exact"/>
      <w:jc w:val="right"/>
    </w:pPr>
    <w:rPr>
      <w:rFonts w:ascii="Arial" w:hAnsi="Arial"/>
      <w:sz w:val="14"/>
      <w:szCs w:val="16"/>
    </w:rPr>
  </w:style>
  <w:style w:type="paragraph" w:customStyle="1" w:styleId="References">
    <w:name w:val="References"/>
    <w:basedOn w:val="a"/>
    <w:rsid w:val="005B291B"/>
    <w:pPr>
      <w:spacing w:line="200" w:lineRule="exact"/>
      <w:ind w:left="425" w:hanging="425"/>
      <w:jc w:val="both"/>
    </w:pPr>
    <w:rPr>
      <w:sz w:val="15"/>
      <w:szCs w:val="14"/>
      <w:lang w:val="en-GB"/>
    </w:rPr>
  </w:style>
  <w:style w:type="paragraph" w:customStyle="1" w:styleId="HExperimentalSection">
    <w:name w:val="HExperimental_Section"/>
    <w:basedOn w:val="a"/>
    <w:rsid w:val="005B291B"/>
    <w:pPr>
      <w:spacing w:before="460" w:after="230" w:line="230" w:lineRule="atLeast"/>
    </w:pPr>
    <w:rPr>
      <w:i/>
      <w:szCs w:val="20"/>
    </w:rPr>
  </w:style>
  <w:style w:type="paragraph" w:customStyle="1" w:styleId="ExperimentalSection">
    <w:name w:val="ExperimentalSection"/>
    <w:basedOn w:val="a"/>
    <w:rsid w:val="005B291B"/>
    <w:pPr>
      <w:spacing w:after="240" w:line="200" w:lineRule="exact"/>
      <w:ind w:firstLine="170"/>
      <w:jc w:val="both"/>
    </w:pPr>
    <w:rPr>
      <w:sz w:val="16"/>
      <w:szCs w:val="14"/>
      <w:lang w:val="en-GB"/>
    </w:rPr>
  </w:style>
  <w:style w:type="paragraph" w:customStyle="1" w:styleId="FNB">
    <w:name w:val="FNB"/>
    <w:basedOn w:val="a"/>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a"/>
    <w:rsid w:val="005B291B"/>
  </w:style>
  <w:style w:type="paragraph" w:customStyle="1" w:styleId="TableCaption">
    <w:name w:val="TableCaption"/>
    <w:basedOn w:val="a"/>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a"/>
    <w:rsid w:val="006511FB"/>
    <w:pPr>
      <w:spacing w:before="230" w:after="460" w:line="190" w:lineRule="exact"/>
      <w:jc w:val="both"/>
    </w:pPr>
    <w:rPr>
      <w:rFonts w:ascii="Arial" w:hAnsi="Arial"/>
      <w:sz w:val="16"/>
      <w:szCs w:val="14"/>
      <w:lang w:val="en-GB"/>
    </w:rPr>
  </w:style>
  <w:style w:type="paragraph" w:styleId="a3">
    <w:name w:val="footnote text"/>
    <w:basedOn w:val="a"/>
    <w:semiHidden/>
    <w:rsid w:val="00D81375"/>
    <w:pPr>
      <w:keepLines/>
      <w:widowControl w:val="0"/>
      <w:jc w:val="both"/>
    </w:pPr>
    <w:rPr>
      <w:rFonts w:eastAsia="Times New Roman"/>
      <w:sz w:val="20"/>
      <w:szCs w:val="20"/>
      <w:lang w:val="en-GB" w:eastAsia="ro-RO"/>
    </w:rPr>
  </w:style>
  <w:style w:type="paragraph" w:customStyle="1" w:styleId="STOE">
    <w:name w:val="STOE"/>
    <w:basedOn w:val="a"/>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a4">
    <w:name w:val="Balloon Text"/>
    <w:basedOn w:val="a"/>
    <w:semiHidden/>
    <w:rsid w:val="00D81375"/>
    <w:rPr>
      <w:rFonts w:ascii="Tahoma" w:hAnsi="Tahoma" w:cs="Tahoma"/>
      <w:sz w:val="16"/>
      <w:szCs w:val="16"/>
    </w:rPr>
  </w:style>
  <w:style w:type="paragraph" w:styleId="a5">
    <w:name w:val="header"/>
    <w:basedOn w:val="a"/>
    <w:link w:val="Char"/>
    <w:rsid w:val="00881456"/>
    <w:pPr>
      <w:tabs>
        <w:tab w:val="center" w:pos="4536"/>
        <w:tab w:val="right" w:pos="9072"/>
      </w:tabs>
    </w:pPr>
    <w:rPr>
      <w:lang w:val="x-none"/>
    </w:rPr>
  </w:style>
  <w:style w:type="paragraph" w:styleId="a6">
    <w:name w:val="footer"/>
    <w:basedOn w:val="a"/>
    <w:link w:val="Char0"/>
    <w:uiPriority w:val="99"/>
    <w:rsid w:val="00881456"/>
    <w:pPr>
      <w:tabs>
        <w:tab w:val="center" w:pos="4536"/>
        <w:tab w:val="right" w:pos="9072"/>
      </w:tabs>
    </w:pPr>
  </w:style>
  <w:style w:type="paragraph" w:customStyle="1" w:styleId="Title1">
    <w:name w:val="Title1"/>
    <w:basedOn w:val="a"/>
    <w:rsid w:val="00004A23"/>
    <w:rPr>
      <w:b/>
      <w:lang w:val="en-US"/>
    </w:rPr>
  </w:style>
  <w:style w:type="paragraph" w:customStyle="1" w:styleId="AuthorsFull">
    <w:name w:val="Authors Full"/>
    <w:basedOn w:val="a"/>
    <w:rsid w:val="00004A23"/>
    <w:rPr>
      <w:i/>
      <w:lang w:val="en-US"/>
    </w:rPr>
  </w:style>
  <w:style w:type="paragraph" w:customStyle="1" w:styleId="dedication">
    <w:name w:val="dedication"/>
    <w:basedOn w:val="a"/>
    <w:rsid w:val="00004A23"/>
    <w:rPr>
      <w:i/>
      <w:lang w:val="en-US"/>
    </w:rPr>
  </w:style>
  <w:style w:type="paragraph" w:customStyle="1" w:styleId="Addresses">
    <w:name w:val="Addresses"/>
    <w:basedOn w:val="a"/>
    <w:rsid w:val="00004A23"/>
    <w:rPr>
      <w:lang w:val="en-US"/>
    </w:rPr>
  </w:style>
  <w:style w:type="paragraph" w:customStyle="1" w:styleId="Acknowledgements">
    <w:name w:val="Acknowledgements"/>
    <w:basedOn w:val="a"/>
    <w:rsid w:val="00004A23"/>
    <w:rPr>
      <w:lang w:val="en-US"/>
    </w:rPr>
  </w:style>
  <w:style w:type="paragraph" w:customStyle="1" w:styleId="Abstract">
    <w:name w:val="Abstract"/>
    <w:basedOn w:val="a"/>
    <w:autoRedefine/>
    <w:rsid w:val="00004A23"/>
    <w:pPr>
      <w:spacing w:line="480" w:lineRule="auto"/>
    </w:pPr>
    <w:rPr>
      <w:lang w:val="en-US"/>
    </w:rPr>
  </w:style>
  <w:style w:type="paragraph" w:customStyle="1" w:styleId="Head1">
    <w:name w:val="Head 1"/>
    <w:basedOn w:val="a"/>
    <w:autoRedefine/>
    <w:rsid w:val="008E5835"/>
    <w:rPr>
      <w:b/>
      <w:lang w:val="en-US"/>
    </w:rPr>
  </w:style>
  <w:style w:type="paragraph" w:customStyle="1" w:styleId="Head2">
    <w:name w:val="Head 2"/>
    <w:basedOn w:val="a"/>
    <w:autoRedefine/>
    <w:rsid w:val="00004A23"/>
    <w:pPr>
      <w:spacing w:line="360" w:lineRule="auto"/>
    </w:pPr>
    <w:rPr>
      <w:i/>
      <w:lang w:val="en-US"/>
    </w:rPr>
  </w:style>
  <w:style w:type="paragraph" w:customStyle="1" w:styleId="dates">
    <w:name w:val="dates"/>
    <w:basedOn w:val="a"/>
    <w:rsid w:val="00004A23"/>
    <w:pPr>
      <w:jc w:val="right"/>
    </w:pPr>
    <w:rPr>
      <w:lang w:val="en-US"/>
    </w:rPr>
  </w:style>
  <w:style w:type="paragraph" w:customStyle="1" w:styleId="Literature">
    <w:name w:val="Literature"/>
    <w:basedOn w:val="a"/>
    <w:rsid w:val="00004A23"/>
    <w:pPr>
      <w:spacing w:line="480" w:lineRule="auto"/>
    </w:pPr>
  </w:style>
  <w:style w:type="paragraph" w:customStyle="1" w:styleId="Legend">
    <w:name w:val="Legend"/>
    <w:basedOn w:val="a"/>
    <w:rsid w:val="00004A23"/>
    <w:rPr>
      <w:lang w:val="en-US"/>
    </w:rPr>
  </w:style>
  <w:style w:type="paragraph" w:customStyle="1" w:styleId="MainText">
    <w:name w:val="Main Text"/>
    <w:basedOn w:val="a"/>
    <w:link w:val="MainTextChar"/>
    <w:rsid w:val="00004A23"/>
    <w:pPr>
      <w:spacing w:line="480" w:lineRule="auto"/>
    </w:pPr>
    <w:rPr>
      <w:lang w:val="en-US"/>
    </w:rPr>
  </w:style>
  <w:style w:type="paragraph" w:customStyle="1" w:styleId="Tableofcontents">
    <w:name w:val="Table of contents"/>
    <w:basedOn w:val="a"/>
    <w:autoRedefine/>
    <w:rsid w:val="00004A23"/>
    <w:rPr>
      <w:lang w:val="en-US"/>
    </w:rPr>
  </w:style>
  <w:style w:type="paragraph" w:customStyle="1" w:styleId="ExperimentalText">
    <w:name w:val="Experimental Text"/>
    <w:basedOn w:val="a"/>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a"/>
    <w:rsid w:val="002D16A0"/>
    <w:rPr>
      <w:b/>
      <w:lang w:val="en-US"/>
    </w:rPr>
  </w:style>
  <w:style w:type="paragraph" w:customStyle="1" w:styleId="Dedication0">
    <w:name w:val="Dedication"/>
    <w:basedOn w:val="a"/>
    <w:autoRedefine/>
    <w:rsid w:val="00322D5B"/>
    <w:rPr>
      <w:lang w:val="en-US"/>
    </w:rPr>
  </w:style>
  <w:style w:type="paragraph" w:customStyle="1" w:styleId="Maintext0">
    <w:name w:val="Main text"/>
    <w:basedOn w:val="a"/>
    <w:link w:val="MaintextChar0"/>
    <w:autoRedefine/>
    <w:rsid w:val="007B2B77"/>
    <w:pPr>
      <w:jc w:val="both"/>
    </w:pPr>
    <w:rPr>
      <w:lang w:val="en-US"/>
    </w:rPr>
  </w:style>
  <w:style w:type="character" w:customStyle="1" w:styleId="MaintextChar0">
    <w:name w:val="Main text Char"/>
    <w:link w:val="Maintext0"/>
    <w:rsid w:val="007B2B77"/>
    <w:rPr>
      <w:sz w:val="24"/>
      <w:szCs w:val="24"/>
      <w:lang w:val="en-US" w:eastAsia="ja-JP"/>
    </w:rPr>
  </w:style>
  <w:style w:type="paragraph" w:customStyle="1" w:styleId="Biography">
    <w:name w:val="Biography"/>
    <w:basedOn w:val="a"/>
    <w:autoRedefine/>
    <w:rsid w:val="00562E2B"/>
    <w:rPr>
      <w:i/>
      <w:lang w:val="en-US"/>
    </w:rPr>
  </w:style>
  <w:style w:type="character" w:customStyle="1" w:styleId="Char">
    <w:name w:val="머리글 Char"/>
    <w:link w:val="a5"/>
    <w:rsid w:val="00414465"/>
    <w:rPr>
      <w:sz w:val="24"/>
      <w:szCs w:val="24"/>
      <w:lang w:eastAsia="ja-JP"/>
    </w:rPr>
  </w:style>
  <w:style w:type="character" w:styleId="a7">
    <w:name w:val="annotation reference"/>
    <w:uiPriority w:val="99"/>
    <w:semiHidden/>
    <w:unhideWhenUsed/>
    <w:rsid w:val="00664F6D"/>
    <w:rPr>
      <w:sz w:val="16"/>
      <w:szCs w:val="16"/>
    </w:rPr>
  </w:style>
  <w:style w:type="paragraph" w:styleId="a8">
    <w:name w:val="annotation text"/>
    <w:basedOn w:val="a"/>
    <w:link w:val="Char1"/>
    <w:uiPriority w:val="99"/>
    <w:semiHidden/>
    <w:unhideWhenUsed/>
    <w:rsid w:val="00664F6D"/>
    <w:rPr>
      <w:sz w:val="20"/>
      <w:szCs w:val="20"/>
      <w:lang w:val="x-none"/>
    </w:rPr>
  </w:style>
  <w:style w:type="character" w:customStyle="1" w:styleId="Char1">
    <w:name w:val="메모 텍스트 Char"/>
    <w:link w:val="a8"/>
    <w:uiPriority w:val="99"/>
    <w:semiHidden/>
    <w:rsid w:val="00664F6D"/>
    <w:rPr>
      <w:lang w:eastAsia="ja-JP"/>
    </w:rPr>
  </w:style>
  <w:style w:type="paragraph" w:styleId="a9">
    <w:name w:val="annotation subject"/>
    <w:basedOn w:val="a8"/>
    <w:next w:val="a8"/>
    <w:link w:val="Char2"/>
    <w:uiPriority w:val="99"/>
    <w:semiHidden/>
    <w:unhideWhenUsed/>
    <w:rsid w:val="00664F6D"/>
    <w:rPr>
      <w:b/>
      <w:bCs/>
    </w:rPr>
  </w:style>
  <w:style w:type="character" w:customStyle="1" w:styleId="Char2">
    <w:name w:val="메모 주제 Char"/>
    <w:link w:val="a9"/>
    <w:uiPriority w:val="99"/>
    <w:semiHidden/>
    <w:rsid w:val="00664F6D"/>
    <w:rPr>
      <w:b/>
      <w:bCs/>
      <w:lang w:eastAsia="ja-JP"/>
    </w:rPr>
  </w:style>
  <w:style w:type="character" w:customStyle="1" w:styleId="Char0">
    <w:name w:val="바닥글 Char"/>
    <w:link w:val="a6"/>
    <w:uiPriority w:val="99"/>
    <w:rsid w:val="007B7A09"/>
    <w:rPr>
      <w:sz w:val="24"/>
      <w:szCs w:val="24"/>
      <w:lang w:eastAsia="ja-JP"/>
    </w:rPr>
  </w:style>
  <w:style w:type="paragraph" w:styleId="aa">
    <w:name w:val="List Paragraph"/>
    <w:basedOn w:val="a"/>
    <w:uiPriority w:val="34"/>
    <w:qFormat/>
    <w:rsid w:val="00867559"/>
    <w:pPr>
      <w:spacing w:after="160" w:line="259" w:lineRule="auto"/>
      <w:ind w:left="720"/>
      <w:contextualSpacing/>
    </w:pPr>
    <w:rPr>
      <w:rFonts w:asciiTheme="minorHAnsi" w:eastAsiaTheme="minorEastAsia" w:hAnsiTheme="minorHAnsi" w:cstheme="minorBidi"/>
      <w:sz w:val="22"/>
      <w:szCs w:val="22"/>
      <w:lang w:val="en-GB" w:eastAsia="en-US"/>
    </w:rPr>
  </w:style>
  <w:style w:type="paragraph" w:styleId="ab">
    <w:name w:val="Normal (Web)"/>
    <w:basedOn w:val="a"/>
    <w:uiPriority w:val="99"/>
    <w:semiHidden/>
    <w:unhideWhenUsed/>
    <w:rsid w:val="00BE308D"/>
    <w:pPr>
      <w:spacing w:before="100" w:beforeAutospacing="1" w:after="100" w:afterAutospacing="1"/>
    </w:pPr>
    <w:rPr>
      <w:rFonts w:ascii="굴림" w:eastAsia="굴림" w:hAnsi="굴림" w:cs="굴림"/>
      <w:lang w:val="en-US" w:eastAsia="ko-KR"/>
    </w:rPr>
  </w:style>
  <w:style w:type="paragraph" w:styleId="ac">
    <w:name w:val="Revision"/>
    <w:hidden/>
    <w:uiPriority w:val="99"/>
    <w:semiHidden/>
    <w:rsid w:val="00F17613"/>
    <w:rPr>
      <w:sz w:val="24"/>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4904">
      <w:bodyDiv w:val="1"/>
      <w:marLeft w:val="0"/>
      <w:marRight w:val="0"/>
      <w:marTop w:val="0"/>
      <w:marBottom w:val="0"/>
      <w:divBdr>
        <w:top w:val="none" w:sz="0" w:space="0" w:color="auto"/>
        <w:left w:val="none" w:sz="0" w:space="0" w:color="auto"/>
        <w:bottom w:val="none" w:sz="0" w:space="0" w:color="auto"/>
        <w:right w:val="none" w:sz="0" w:space="0" w:color="auto"/>
      </w:divBdr>
    </w:div>
    <w:div w:id="688870219">
      <w:bodyDiv w:val="1"/>
      <w:marLeft w:val="0"/>
      <w:marRight w:val="0"/>
      <w:marTop w:val="0"/>
      <w:marBottom w:val="0"/>
      <w:divBdr>
        <w:top w:val="none" w:sz="0" w:space="0" w:color="auto"/>
        <w:left w:val="none" w:sz="0" w:space="0" w:color="auto"/>
        <w:bottom w:val="none" w:sz="0" w:space="0" w:color="auto"/>
        <w:right w:val="none" w:sz="0" w:space="0" w:color="auto"/>
      </w:divBdr>
    </w:div>
    <w:div w:id="966543600">
      <w:bodyDiv w:val="1"/>
      <w:marLeft w:val="0"/>
      <w:marRight w:val="0"/>
      <w:marTop w:val="0"/>
      <w:marBottom w:val="0"/>
      <w:divBdr>
        <w:top w:val="none" w:sz="0" w:space="0" w:color="auto"/>
        <w:left w:val="none" w:sz="0" w:space="0" w:color="auto"/>
        <w:bottom w:val="none" w:sz="0" w:space="0" w:color="auto"/>
        <w:right w:val="none" w:sz="0" w:space="0" w:color="auto"/>
      </w:divBdr>
    </w:div>
    <w:div w:id="1428161748">
      <w:bodyDiv w:val="1"/>
      <w:marLeft w:val="0"/>
      <w:marRight w:val="0"/>
      <w:marTop w:val="0"/>
      <w:marBottom w:val="0"/>
      <w:divBdr>
        <w:top w:val="none" w:sz="0" w:space="0" w:color="auto"/>
        <w:left w:val="none" w:sz="0" w:space="0" w:color="auto"/>
        <w:bottom w:val="none" w:sz="0" w:space="0" w:color="auto"/>
        <w:right w:val="none" w:sz="0" w:space="0" w:color="auto"/>
      </w:divBdr>
    </w:div>
    <w:div w:id="1677728014">
      <w:bodyDiv w:val="1"/>
      <w:marLeft w:val="0"/>
      <w:marRight w:val="0"/>
      <w:marTop w:val="0"/>
      <w:marBottom w:val="0"/>
      <w:divBdr>
        <w:top w:val="none" w:sz="0" w:space="0" w:color="auto"/>
        <w:left w:val="none" w:sz="0" w:space="0" w:color="auto"/>
        <w:bottom w:val="none" w:sz="0" w:space="0" w:color="auto"/>
        <w:right w:val="none" w:sz="0" w:space="0" w:color="auto"/>
      </w:divBdr>
    </w:div>
    <w:div w:id="1977951796">
      <w:bodyDiv w:val="1"/>
      <w:marLeft w:val="0"/>
      <w:marRight w:val="0"/>
      <w:marTop w:val="0"/>
      <w:marBottom w:val="0"/>
      <w:divBdr>
        <w:top w:val="none" w:sz="0" w:space="0" w:color="auto"/>
        <w:left w:val="none" w:sz="0" w:space="0" w:color="auto"/>
        <w:bottom w:val="none" w:sz="0" w:space="0" w:color="auto"/>
        <w:right w:val="none" w:sz="0" w:space="0" w:color="auto"/>
      </w:divBdr>
    </w:div>
    <w:div w:id="2013560402">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LWylie\Lokale%20Einstellungen\Anwendungsdaten\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3F19EBF-8207-4BE7-AD18-240ED1895C11}">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Template>
  <TotalTime>166</TotalTime>
  <Pages>28</Pages>
  <Words>5720</Words>
  <Characters>32606</Characters>
  <Application>Microsoft Office Word</Application>
  <DocSecurity>0</DocSecurity>
  <Lines>271</Lines>
  <Paragraphs>76</Paragraphs>
  <ScaleCrop>false</ScaleCrop>
  <HeadingPairs>
    <vt:vector size="6" baseType="variant">
      <vt:variant>
        <vt:lpstr>제목</vt:lpstr>
      </vt:variant>
      <vt:variant>
        <vt:i4>1</vt:i4>
      </vt:variant>
      <vt:variant>
        <vt:lpstr>Title</vt:lpstr>
      </vt:variant>
      <vt:variant>
        <vt:i4>1</vt:i4>
      </vt:variant>
      <vt:variant>
        <vt:lpstr>Titel</vt:lpstr>
      </vt:variant>
      <vt:variant>
        <vt:i4>1</vt:i4>
      </vt:variant>
    </vt:vector>
  </HeadingPairs>
  <TitlesOfParts>
    <vt:vector size="3" baseType="lpstr">
      <vt:lpstr>DOI: 10</vt:lpstr>
      <vt:lpstr>DOI: 10</vt:lpstr>
      <vt:lpstr>DOI: 10</vt:lpstr>
    </vt:vector>
  </TitlesOfParts>
  <Company>WILEY-VCH Verlag GmbH &amp; Co. KGaA</Company>
  <LinksUpToDate>false</LinksUpToDate>
  <CharactersWithSpaces>38250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 10</dc:title>
  <dc:subject/>
  <dc:creator>ABoeer</dc:creator>
  <cp:keywords/>
  <cp:lastModifiedBy>CHO HWANHEE</cp:lastModifiedBy>
  <cp:revision>5</cp:revision>
  <cp:lastPrinted>2010-04-21T15:22:00Z</cp:lastPrinted>
  <dcterms:created xsi:type="dcterms:W3CDTF">2020-11-26T21:32:00Z</dcterms:created>
  <dcterms:modified xsi:type="dcterms:W3CDTF">2020-11-28T22:55:00Z</dcterms:modified>
</cp:coreProperties>
</file>