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925" w:rsidRPr="00492175" w:rsidRDefault="00264925" w:rsidP="00492175">
      <w:pPr>
        <w:pStyle w:val="Heading1"/>
        <w:rPr>
          <w:rFonts w:asciiTheme="minorHAnsi" w:hAnsiTheme="minorHAnsi" w:cstheme="minorHAnsi"/>
        </w:rPr>
      </w:pPr>
      <w:r w:rsidRPr="00492175">
        <w:rPr>
          <w:rFonts w:asciiTheme="minorHAnsi" w:hAnsiTheme="minorHAnsi" w:cstheme="minorHAnsi"/>
        </w:rPr>
        <w:t xml:space="preserve">Re-imagining </w:t>
      </w:r>
      <w:r w:rsidR="00492175" w:rsidRPr="00492175">
        <w:rPr>
          <w:rFonts w:asciiTheme="minorHAnsi" w:hAnsiTheme="minorHAnsi" w:cstheme="minorHAnsi"/>
        </w:rPr>
        <w:t>f</w:t>
      </w:r>
      <w:r w:rsidRPr="00492175">
        <w:rPr>
          <w:rFonts w:asciiTheme="minorHAnsi" w:hAnsiTheme="minorHAnsi" w:cstheme="minorHAnsi"/>
        </w:rPr>
        <w:t xml:space="preserve">utures, </w:t>
      </w:r>
      <w:r w:rsidR="00492175" w:rsidRPr="00492175">
        <w:rPr>
          <w:rFonts w:asciiTheme="minorHAnsi" w:hAnsiTheme="minorHAnsi" w:cstheme="minorHAnsi"/>
        </w:rPr>
        <w:t>e</w:t>
      </w:r>
      <w:r w:rsidRPr="00492175">
        <w:rPr>
          <w:rFonts w:asciiTheme="minorHAnsi" w:hAnsiTheme="minorHAnsi" w:cstheme="minorHAnsi"/>
        </w:rPr>
        <w:t xml:space="preserve">ducation and </w:t>
      </w:r>
      <w:r w:rsidR="00492175" w:rsidRPr="00492175">
        <w:rPr>
          <w:rFonts w:asciiTheme="minorHAnsi" w:hAnsiTheme="minorHAnsi" w:cstheme="minorHAnsi"/>
        </w:rPr>
        <w:t>l</w:t>
      </w:r>
      <w:r w:rsidRPr="00492175">
        <w:rPr>
          <w:rFonts w:asciiTheme="minorHAnsi" w:hAnsiTheme="minorHAnsi" w:cstheme="minorHAnsi"/>
        </w:rPr>
        <w:t xml:space="preserve">earning </w:t>
      </w:r>
      <w:r w:rsidR="00492175" w:rsidRPr="00492175">
        <w:rPr>
          <w:rFonts w:asciiTheme="minorHAnsi" w:hAnsiTheme="minorHAnsi" w:cstheme="minorHAnsi"/>
        </w:rPr>
        <w:t>r</w:t>
      </w:r>
      <w:r w:rsidRPr="00492175">
        <w:rPr>
          <w:rFonts w:asciiTheme="minorHAnsi" w:hAnsiTheme="minorHAnsi" w:cstheme="minorHAnsi"/>
        </w:rPr>
        <w:t>elations</w:t>
      </w:r>
    </w:p>
    <w:p w:rsidR="000A7F76" w:rsidRPr="00492175" w:rsidRDefault="000A7F76" w:rsidP="00044DCF">
      <w:pPr>
        <w:spacing w:after="0" w:line="240" w:lineRule="auto"/>
        <w:rPr>
          <w:rFonts w:eastAsia="Calibri" w:cstheme="minorHAnsi"/>
        </w:rPr>
      </w:pPr>
    </w:p>
    <w:p w:rsidR="00264925" w:rsidRPr="00492175" w:rsidRDefault="00264925" w:rsidP="00044DCF">
      <w:pPr>
        <w:spacing w:after="0" w:line="240" w:lineRule="auto"/>
        <w:rPr>
          <w:rFonts w:cstheme="minorHAnsi"/>
          <w:b/>
          <w:sz w:val="24"/>
          <w:szCs w:val="24"/>
        </w:rPr>
      </w:pPr>
      <w:r w:rsidRPr="00492175">
        <w:rPr>
          <w:rFonts w:eastAsia="Calibri" w:cstheme="minorHAnsi"/>
          <w:sz w:val="24"/>
          <w:szCs w:val="24"/>
        </w:rPr>
        <w:t>Esther Priyadharshini</w:t>
      </w:r>
    </w:p>
    <w:p w:rsidR="000A7F76" w:rsidRPr="00492175" w:rsidRDefault="000A7F76" w:rsidP="000A7F76">
      <w:pPr>
        <w:spacing w:after="0" w:line="240" w:lineRule="auto"/>
        <w:rPr>
          <w:rFonts w:eastAsia="Calibri" w:cstheme="minorHAnsi"/>
          <w:sz w:val="24"/>
          <w:szCs w:val="24"/>
        </w:rPr>
      </w:pPr>
      <w:r w:rsidRPr="00492175">
        <w:rPr>
          <w:rFonts w:eastAsia="Calibri" w:cstheme="minorHAnsi"/>
          <w:sz w:val="24"/>
          <w:szCs w:val="24"/>
        </w:rPr>
        <w:t>School of Education and Lifelong Learning,</w:t>
      </w:r>
    </w:p>
    <w:p w:rsidR="000A7F76" w:rsidRPr="00492175" w:rsidRDefault="000A7F76" w:rsidP="000A7F76">
      <w:pPr>
        <w:spacing w:after="0" w:line="240" w:lineRule="auto"/>
        <w:rPr>
          <w:rFonts w:eastAsia="Calibri" w:cstheme="minorHAnsi"/>
          <w:sz w:val="24"/>
          <w:szCs w:val="24"/>
        </w:rPr>
      </w:pPr>
      <w:r w:rsidRPr="00492175">
        <w:rPr>
          <w:rFonts w:eastAsia="Calibri" w:cstheme="minorHAnsi"/>
          <w:sz w:val="24"/>
          <w:szCs w:val="24"/>
        </w:rPr>
        <w:t>University of East Anglia</w:t>
      </w:r>
      <w:r w:rsidR="00D35287" w:rsidRPr="00492175">
        <w:rPr>
          <w:rFonts w:eastAsia="Calibri" w:cstheme="minorHAnsi"/>
          <w:sz w:val="24"/>
          <w:szCs w:val="24"/>
        </w:rPr>
        <w:t>, UK</w:t>
      </w:r>
    </w:p>
    <w:p w:rsidR="00264925" w:rsidRPr="00492175" w:rsidRDefault="00264925" w:rsidP="00044DCF">
      <w:pPr>
        <w:spacing w:after="0" w:line="240" w:lineRule="auto"/>
        <w:rPr>
          <w:rFonts w:cstheme="minorHAnsi"/>
          <w:b/>
          <w:sz w:val="24"/>
          <w:szCs w:val="24"/>
        </w:rPr>
      </w:pPr>
      <w:r w:rsidRPr="00492175">
        <w:rPr>
          <w:rFonts w:eastAsia="Calibri" w:cstheme="minorHAnsi"/>
          <w:sz w:val="24"/>
          <w:szCs w:val="24"/>
        </w:rPr>
        <w:t>UNESCO Chair in Adult Literacy &amp; Learning for Social Transformation</w:t>
      </w:r>
    </w:p>
    <w:p w:rsidR="00264925" w:rsidRPr="00492175" w:rsidRDefault="00264925" w:rsidP="00044DCF">
      <w:pPr>
        <w:spacing w:after="0" w:line="240" w:lineRule="auto"/>
        <w:rPr>
          <w:rFonts w:cstheme="minorHAnsi"/>
          <w:sz w:val="24"/>
          <w:szCs w:val="24"/>
        </w:rPr>
      </w:pPr>
    </w:p>
    <w:p w:rsidR="00264925" w:rsidRPr="00492175" w:rsidRDefault="00264925" w:rsidP="000A7F76">
      <w:pPr>
        <w:pBdr>
          <w:bottom w:val="single" w:sz="4" w:space="1" w:color="auto"/>
        </w:pBdr>
        <w:spacing w:after="0" w:line="240" w:lineRule="auto"/>
        <w:rPr>
          <w:rFonts w:eastAsia="Calibri" w:cstheme="minorHAnsi"/>
          <w:sz w:val="24"/>
          <w:szCs w:val="24"/>
        </w:rPr>
      </w:pPr>
      <w:r w:rsidRPr="00492175">
        <w:rPr>
          <w:rFonts w:eastAsia="Calibri" w:cstheme="minorHAnsi"/>
          <w:sz w:val="24"/>
          <w:szCs w:val="24"/>
        </w:rPr>
        <w:t xml:space="preserve">This piece reflects on recent developments that </w:t>
      </w:r>
      <w:r w:rsidR="000A7F76" w:rsidRPr="00492175">
        <w:rPr>
          <w:rFonts w:eastAsia="Calibri" w:cstheme="minorHAnsi"/>
          <w:sz w:val="24"/>
          <w:szCs w:val="24"/>
        </w:rPr>
        <w:t xml:space="preserve">hold </w:t>
      </w:r>
      <w:r w:rsidRPr="00492175">
        <w:rPr>
          <w:rFonts w:eastAsia="Calibri" w:cstheme="minorHAnsi"/>
          <w:sz w:val="24"/>
          <w:szCs w:val="24"/>
        </w:rPr>
        <w:t xml:space="preserve">implications for how education might transform itself </w:t>
      </w:r>
      <w:r w:rsidR="00266022" w:rsidRPr="00492175">
        <w:rPr>
          <w:rFonts w:eastAsia="Calibri" w:cstheme="minorHAnsi"/>
          <w:sz w:val="24"/>
          <w:szCs w:val="24"/>
        </w:rPr>
        <w:t xml:space="preserve">from </w:t>
      </w:r>
      <w:r w:rsidRPr="00492175">
        <w:rPr>
          <w:rFonts w:eastAsia="Calibri" w:cstheme="minorHAnsi"/>
          <w:sz w:val="24"/>
          <w:szCs w:val="24"/>
        </w:rPr>
        <w:t>meet</w:t>
      </w:r>
      <w:r w:rsidR="00266022" w:rsidRPr="00492175">
        <w:rPr>
          <w:rFonts w:eastAsia="Calibri" w:cstheme="minorHAnsi"/>
          <w:sz w:val="24"/>
          <w:szCs w:val="24"/>
        </w:rPr>
        <w:t>ing</w:t>
      </w:r>
      <w:r w:rsidRPr="00492175">
        <w:rPr>
          <w:rFonts w:eastAsia="Calibri" w:cstheme="minorHAnsi"/>
          <w:sz w:val="24"/>
          <w:szCs w:val="24"/>
        </w:rPr>
        <w:t xml:space="preserve"> the challenges of the future</w:t>
      </w:r>
      <w:r w:rsidR="00F03848">
        <w:rPr>
          <w:rFonts w:eastAsia="Calibri" w:cstheme="minorHAnsi"/>
          <w:sz w:val="24"/>
          <w:szCs w:val="24"/>
        </w:rPr>
        <w:t>,</w:t>
      </w:r>
      <w:r w:rsidR="00266022" w:rsidRPr="00492175">
        <w:rPr>
          <w:rFonts w:eastAsia="Calibri" w:cstheme="minorHAnsi"/>
          <w:sz w:val="24"/>
          <w:szCs w:val="24"/>
        </w:rPr>
        <w:t xml:space="preserve"> to participating in co-creating it</w:t>
      </w:r>
      <w:r w:rsidRPr="00492175">
        <w:rPr>
          <w:rFonts w:eastAsia="Calibri" w:cstheme="minorHAnsi"/>
          <w:sz w:val="24"/>
          <w:szCs w:val="24"/>
        </w:rPr>
        <w:t>. It is presented in three parts</w:t>
      </w:r>
      <w:r w:rsidR="000A7F76" w:rsidRPr="00492175">
        <w:rPr>
          <w:rFonts w:eastAsia="Calibri" w:cstheme="minorHAnsi"/>
          <w:sz w:val="24"/>
          <w:szCs w:val="24"/>
        </w:rPr>
        <w:t>.</w:t>
      </w:r>
      <w:r w:rsidRPr="00492175">
        <w:rPr>
          <w:rFonts w:eastAsia="Calibri" w:cstheme="minorHAnsi"/>
          <w:sz w:val="24"/>
          <w:szCs w:val="24"/>
        </w:rPr>
        <w:t xml:space="preserve"> </w:t>
      </w:r>
      <w:r w:rsidR="000A7F76" w:rsidRPr="00492175">
        <w:rPr>
          <w:rFonts w:eastAsia="Calibri" w:cstheme="minorHAnsi"/>
          <w:sz w:val="24"/>
          <w:szCs w:val="24"/>
        </w:rPr>
        <w:t>T</w:t>
      </w:r>
      <w:r w:rsidRPr="00492175">
        <w:rPr>
          <w:rFonts w:eastAsia="Calibri" w:cstheme="minorHAnsi"/>
          <w:sz w:val="24"/>
          <w:szCs w:val="24"/>
        </w:rPr>
        <w:t>he first focuses on the idea of ‘futures’ itself</w:t>
      </w:r>
      <w:r w:rsidR="000A7F76" w:rsidRPr="00492175">
        <w:rPr>
          <w:rFonts w:eastAsia="Calibri" w:cstheme="minorHAnsi"/>
          <w:sz w:val="24"/>
          <w:szCs w:val="24"/>
        </w:rPr>
        <w:t>.</w:t>
      </w:r>
      <w:r w:rsidRPr="00492175">
        <w:rPr>
          <w:rFonts w:eastAsia="Calibri" w:cstheme="minorHAnsi"/>
          <w:sz w:val="24"/>
          <w:szCs w:val="24"/>
        </w:rPr>
        <w:t xml:space="preserve"> </w:t>
      </w:r>
      <w:r w:rsidR="000A7F76" w:rsidRPr="00492175">
        <w:rPr>
          <w:rFonts w:eastAsia="Calibri" w:cstheme="minorHAnsi"/>
          <w:sz w:val="24"/>
          <w:szCs w:val="24"/>
        </w:rPr>
        <w:t>T</w:t>
      </w:r>
      <w:r w:rsidRPr="00492175">
        <w:rPr>
          <w:rFonts w:eastAsia="Calibri" w:cstheme="minorHAnsi"/>
          <w:sz w:val="24"/>
          <w:szCs w:val="24"/>
        </w:rPr>
        <w:t xml:space="preserve">he second reflects on ideas </w:t>
      </w:r>
      <w:bookmarkStart w:id="0" w:name="_GoBack"/>
      <w:bookmarkEnd w:id="0"/>
      <w:r w:rsidRPr="00492175">
        <w:rPr>
          <w:rFonts w:eastAsia="Calibri" w:cstheme="minorHAnsi"/>
          <w:sz w:val="24"/>
          <w:szCs w:val="24"/>
        </w:rPr>
        <w:t>related to the mission of educating for the future</w:t>
      </w:r>
      <w:r w:rsidR="000A7F76" w:rsidRPr="00492175">
        <w:rPr>
          <w:rFonts w:eastAsia="Calibri" w:cstheme="minorHAnsi"/>
          <w:sz w:val="24"/>
          <w:szCs w:val="24"/>
        </w:rPr>
        <w:t>. T</w:t>
      </w:r>
      <w:r w:rsidRPr="00492175">
        <w:rPr>
          <w:rFonts w:eastAsia="Calibri" w:cstheme="minorHAnsi"/>
          <w:sz w:val="24"/>
          <w:szCs w:val="24"/>
        </w:rPr>
        <w:t>he third</w:t>
      </w:r>
      <w:r w:rsidR="000A7F76" w:rsidRPr="00492175">
        <w:rPr>
          <w:rFonts w:eastAsia="Calibri" w:cstheme="minorHAnsi"/>
          <w:sz w:val="24"/>
          <w:szCs w:val="24"/>
        </w:rPr>
        <w:t xml:space="preserve"> and final part</w:t>
      </w:r>
      <w:r w:rsidRPr="00492175">
        <w:rPr>
          <w:rFonts w:eastAsia="Calibri" w:cstheme="minorHAnsi"/>
          <w:sz w:val="24"/>
          <w:szCs w:val="24"/>
        </w:rPr>
        <w:t xml:space="preserve"> focuses on how intergenerational relations may be shifting, with implications for changes to traditional teaching and learning roles. </w:t>
      </w:r>
    </w:p>
    <w:p w:rsidR="000A7F76" w:rsidRPr="00492175" w:rsidRDefault="000A7F76" w:rsidP="000A7F76">
      <w:pPr>
        <w:pBdr>
          <w:bottom w:val="single" w:sz="4" w:space="1" w:color="auto"/>
        </w:pBdr>
        <w:spacing w:after="0" w:line="240" w:lineRule="auto"/>
        <w:rPr>
          <w:rFonts w:eastAsia="Calibri" w:cstheme="minorHAnsi"/>
          <w:sz w:val="24"/>
          <w:szCs w:val="24"/>
        </w:rPr>
      </w:pPr>
    </w:p>
    <w:p w:rsidR="00264925" w:rsidRPr="00492175" w:rsidRDefault="00264925" w:rsidP="00044DCF">
      <w:pPr>
        <w:spacing w:after="0" w:line="240" w:lineRule="auto"/>
        <w:rPr>
          <w:rFonts w:eastAsia="Calibri" w:cstheme="minorHAnsi"/>
          <w:sz w:val="24"/>
          <w:szCs w:val="24"/>
        </w:rPr>
      </w:pPr>
    </w:p>
    <w:p w:rsidR="007C28E0"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 xml:space="preserve">How we understand ‘futures’ matters </w:t>
      </w:r>
      <w:r w:rsidR="00D35287" w:rsidRPr="00492175">
        <w:rPr>
          <w:rFonts w:eastAsia="Calibri" w:cstheme="minorHAnsi"/>
          <w:sz w:val="24"/>
          <w:szCs w:val="24"/>
        </w:rPr>
        <w:t xml:space="preserve">as </w:t>
      </w:r>
      <w:r w:rsidRPr="00492175">
        <w:rPr>
          <w:rFonts w:eastAsia="Calibri" w:cstheme="minorHAnsi"/>
          <w:sz w:val="24"/>
          <w:szCs w:val="24"/>
        </w:rPr>
        <w:t>it shapes education’s capacity to envision and plan. The words ‘future’ or ‘futures’ now usually come prefixed by qualifiers such as ‘precarious’ or ‘uncertain</w:t>
      </w:r>
      <w:r w:rsidR="00701C0F" w:rsidRPr="00492175">
        <w:rPr>
          <w:rFonts w:eastAsia="Calibri" w:cstheme="minorHAnsi"/>
          <w:sz w:val="24"/>
          <w:szCs w:val="24"/>
        </w:rPr>
        <w:t>.</w:t>
      </w:r>
      <w:r w:rsidRPr="00492175">
        <w:rPr>
          <w:rFonts w:eastAsia="Calibri" w:cstheme="minorHAnsi"/>
          <w:sz w:val="24"/>
          <w:szCs w:val="24"/>
        </w:rPr>
        <w:t>’ They conjure associations of intangibility, nebulousness and contingency, posing challenges for all involved in education</w:t>
      </w:r>
      <w:r w:rsidR="00701C0F" w:rsidRPr="00492175">
        <w:rPr>
          <w:rFonts w:eastAsia="Calibri" w:cstheme="minorHAnsi"/>
          <w:sz w:val="24"/>
          <w:szCs w:val="24"/>
        </w:rPr>
        <w:t xml:space="preserve"> –</w:t>
      </w:r>
      <w:r w:rsidRPr="00492175">
        <w:rPr>
          <w:rFonts w:eastAsia="Calibri" w:cstheme="minorHAnsi"/>
          <w:sz w:val="24"/>
          <w:szCs w:val="24"/>
        </w:rPr>
        <w:t xml:space="preserve"> be they policy-makers, practitioners, researchers, teachers or learners.</w:t>
      </w:r>
    </w:p>
    <w:p w:rsidR="007C28E0" w:rsidRPr="00492175" w:rsidRDefault="007C28E0" w:rsidP="00044DCF">
      <w:pPr>
        <w:spacing w:after="0" w:line="240" w:lineRule="auto"/>
        <w:rPr>
          <w:rFonts w:eastAsia="Calibri" w:cstheme="minorHAnsi"/>
          <w:sz w:val="24"/>
          <w:szCs w:val="24"/>
        </w:rPr>
      </w:pPr>
    </w:p>
    <w:p w:rsidR="00701C0F" w:rsidRPr="00344F92" w:rsidRDefault="00701C0F" w:rsidP="00492175">
      <w:pPr>
        <w:pStyle w:val="Heading3"/>
        <w:rPr>
          <w:rFonts w:asciiTheme="minorHAnsi" w:eastAsia="Calibri" w:hAnsiTheme="minorHAnsi" w:cstheme="minorHAnsi"/>
          <w:b/>
          <w:bCs/>
          <w:color w:val="000000" w:themeColor="text1"/>
        </w:rPr>
      </w:pPr>
      <w:r w:rsidRPr="00344F92">
        <w:rPr>
          <w:rFonts w:asciiTheme="minorHAnsi" w:eastAsia="Calibri" w:hAnsiTheme="minorHAnsi" w:cstheme="minorHAnsi"/>
          <w:b/>
          <w:bCs/>
          <w:color w:val="000000" w:themeColor="text1"/>
        </w:rPr>
        <w:t>Conceptualising futures</w:t>
      </w:r>
      <w:r w:rsidR="00AE0521" w:rsidRPr="00344F92">
        <w:rPr>
          <w:rFonts w:asciiTheme="minorHAnsi" w:eastAsia="Calibri" w:hAnsiTheme="minorHAnsi" w:cstheme="minorHAnsi"/>
          <w:b/>
          <w:bCs/>
          <w:color w:val="000000" w:themeColor="text1"/>
        </w:rPr>
        <w:t xml:space="preserve"> requires expertise in ‘not knowing’</w:t>
      </w:r>
    </w:p>
    <w:p w:rsidR="00701C0F" w:rsidRPr="00492175" w:rsidRDefault="00701C0F" w:rsidP="00044DCF">
      <w:pPr>
        <w:spacing w:after="0" w:line="240" w:lineRule="auto"/>
        <w:rPr>
          <w:rFonts w:eastAsia="Calibri" w:cstheme="minorHAnsi"/>
          <w:sz w:val="24"/>
          <w:szCs w:val="24"/>
        </w:rPr>
      </w:pPr>
    </w:p>
    <w:p w:rsidR="007C28E0"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Perhaps</w:t>
      </w:r>
      <w:r w:rsidR="008A2702" w:rsidRPr="00492175">
        <w:rPr>
          <w:rFonts w:eastAsia="Calibri" w:cstheme="minorHAnsi"/>
          <w:sz w:val="24"/>
          <w:szCs w:val="24"/>
        </w:rPr>
        <w:t>,</w:t>
      </w:r>
      <w:r w:rsidRPr="00492175">
        <w:rPr>
          <w:rFonts w:eastAsia="Calibri" w:cstheme="minorHAnsi"/>
          <w:sz w:val="24"/>
          <w:szCs w:val="24"/>
        </w:rPr>
        <w:t xml:space="preserve"> in recognition of the need to better conceptualise the notion of ‘futures’, there is now an emerging body of literature across social science disciplines</w:t>
      </w:r>
      <w:r w:rsidR="008A2702" w:rsidRPr="00492175">
        <w:rPr>
          <w:rFonts w:eastAsia="Calibri" w:cstheme="minorHAnsi"/>
          <w:sz w:val="24"/>
          <w:szCs w:val="24"/>
        </w:rPr>
        <w:t xml:space="preserve"> </w:t>
      </w:r>
      <w:r w:rsidR="00701C0F" w:rsidRPr="00492175">
        <w:rPr>
          <w:rFonts w:eastAsia="Calibri" w:cstheme="minorHAnsi"/>
          <w:sz w:val="24"/>
          <w:szCs w:val="24"/>
        </w:rPr>
        <w:t>that focuses</w:t>
      </w:r>
      <w:r w:rsidRPr="00492175">
        <w:rPr>
          <w:rFonts w:eastAsia="Calibri" w:cstheme="minorHAnsi"/>
          <w:sz w:val="24"/>
          <w:szCs w:val="24"/>
        </w:rPr>
        <w:t xml:space="preserve"> on understanding futures as a live subject of research (Adam </w:t>
      </w:r>
      <w:r w:rsidR="00701C0F" w:rsidRPr="00492175">
        <w:rPr>
          <w:rFonts w:eastAsia="Calibri" w:cstheme="minorHAnsi"/>
          <w:sz w:val="24"/>
          <w:szCs w:val="24"/>
        </w:rPr>
        <w:t>and</w:t>
      </w:r>
      <w:r w:rsidRPr="00492175">
        <w:rPr>
          <w:rFonts w:eastAsia="Calibri" w:cstheme="minorHAnsi"/>
          <w:sz w:val="24"/>
          <w:szCs w:val="24"/>
        </w:rPr>
        <w:t xml:space="preserve"> Groves</w:t>
      </w:r>
      <w:r w:rsidR="00701C0F" w:rsidRPr="00492175">
        <w:rPr>
          <w:rFonts w:eastAsia="Calibri" w:cstheme="minorHAnsi"/>
          <w:sz w:val="24"/>
          <w:szCs w:val="24"/>
        </w:rPr>
        <w:t>,</w:t>
      </w:r>
      <w:r w:rsidRPr="00492175">
        <w:rPr>
          <w:rFonts w:eastAsia="Calibri" w:cstheme="minorHAnsi"/>
          <w:sz w:val="24"/>
          <w:szCs w:val="24"/>
        </w:rPr>
        <w:t xml:space="preserve"> 2007; Appadurai</w:t>
      </w:r>
      <w:r w:rsidR="00701C0F" w:rsidRPr="00492175">
        <w:rPr>
          <w:rFonts w:eastAsia="Calibri" w:cstheme="minorHAnsi"/>
          <w:sz w:val="24"/>
          <w:szCs w:val="24"/>
        </w:rPr>
        <w:t>,</w:t>
      </w:r>
      <w:r w:rsidRPr="00492175">
        <w:rPr>
          <w:rFonts w:eastAsia="Calibri" w:cstheme="minorHAnsi"/>
          <w:sz w:val="24"/>
          <w:szCs w:val="24"/>
        </w:rPr>
        <w:t xml:space="preserve"> 2013; Anderson</w:t>
      </w:r>
      <w:r w:rsidR="00701C0F" w:rsidRPr="00492175">
        <w:rPr>
          <w:rFonts w:eastAsia="Calibri" w:cstheme="minorHAnsi"/>
          <w:sz w:val="24"/>
          <w:szCs w:val="24"/>
        </w:rPr>
        <w:t>,</w:t>
      </w:r>
      <w:r w:rsidRPr="00492175">
        <w:rPr>
          <w:rFonts w:eastAsia="Calibri" w:cstheme="minorHAnsi"/>
          <w:sz w:val="24"/>
          <w:szCs w:val="24"/>
        </w:rPr>
        <w:t xml:space="preserve"> 2010; Colebrook</w:t>
      </w:r>
      <w:r w:rsidR="00701C0F" w:rsidRPr="00492175">
        <w:rPr>
          <w:rFonts w:eastAsia="Calibri" w:cstheme="minorHAnsi"/>
          <w:sz w:val="24"/>
          <w:szCs w:val="24"/>
        </w:rPr>
        <w:t>,</w:t>
      </w:r>
      <w:r w:rsidRPr="00492175">
        <w:rPr>
          <w:rFonts w:eastAsia="Calibri" w:cstheme="minorHAnsi"/>
          <w:sz w:val="24"/>
          <w:szCs w:val="24"/>
        </w:rPr>
        <w:t xml:space="preserve"> 2014; Poli</w:t>
      </w:r>
      <w:r w:rsidR="00701C0F" w:rsidRPr="00492175">
        <w:rPr>
          <w:rFonts w:eastAsia="Calibri" w:cstheme="minorHAnsi"/>
          <w:sz w:val="24"/>
          <w:szCs w:val="24"/>
        </w:rPr>
        <w:t>,</w:t>
      </w:r>
      <w:r w:rsidRPr="00492175">
        <w:rPr>
          <w:rFonts w:eastAsia="Calibri" w:cstheme="minorHAnsi"/>
          <w:sz w:val="24"/>
          <w:szCs w:val="24"/>
        </w:rPr>
        <w:t xml:space="preserve"> 2011), and the related methodological innovations required for such study (Salazar et al.</w:t>
      </w:r>
      <w:r w:rsidR="00701C0F" w:rsidRPr="00492175">
        <w:rPr>
          <w:rFonts w:eastAsia="Calibri" w:cstheme="minorHAnsi"/>
          <w:sz w:val="24"/>
          <w:szCs w:val="24"/>
        </w:rPr>
        <w:t>,</w:t>
      </w:r>
      <w:r w:rsidRPr="00492175">
        <w:rPr>
          <w:rFonts w:eastAsia="Calibri" w:cstheme="minorHAnsi"/>
          <w:sz w:val="24"/>
          <w:szCs w:val="24"/>
        </w:rPr>
        <w:t xml:space="preserve"> 2017; Wilkie et al.</w:t>
      </w:r>
      <w:r w:rsidR="00701C0F" w:rsidRPr="00492175">
        <w:rPr>
          <w:rFonts w:eastAsia="Calibri" w:cstheme="minorHAnsi"/>
          <w:sz w:val="24"/>
          <w:szCs w:val="24"/>
        </w:rPr>
        <w:t>,</w:t>
      </w:r>
      <w:r w:rsidRPr="00492175">
        <w:rPr>
          <w:rFonts w:eastAsia="Calibri" w:cstheme="minorHAnsi"/>
          <w:sz w:val="24"/>
          <w:szCs w:val="24"/>
        </w:rPr>
        <w:t xml:space="preserve"> 2017; Coleman </w:t>
      </w:r>
      <w:r w:rsidR="00701C0F" w:rsidRPr="00492175">
        <w:rPr>
          <w:rFonts w:eastAsia="Calibri" w:cstheme="minorHAnsi"/>
          <w:sz w:val="24"/>
          <w:szCs w:val="24"/>
        </w:rPr>
        <w:t>and</w:t>
      </w:r>
      <w:r w:rsidRPr="00492175">
        <w:rPr>
          <w:rFonts w:eastAsia="Calibri" w:cstheme="minorHAnsi"/>
          <w:sz w:val="24"/>
          <w:szCs w:val="24"/>
        </w:rPr>
        <w:t xml:space="preserve"> Tutton, 2017). </w:t>
      </w:r>
    </w:p>
    <w:p w:rsidR="007C28E0" w:rsidRPr="00492175" w:rsidRDefault="007C28E0" w:rsidP="00044DCF">
      <w:pPr>
        <w:spacing w:after="0" w:line="240" w:lineRule="auto"/>
        <w:rPr>
          <w:rFonts w:eastAsia="Calibri" w:cstheme="minorHAnsi"/>
          <w:sz w:val="24"/>
          <w:szCs w:val="24"/>
        </w:rPr>
      </w:pPr>
    </w:p>
    <w:p w:rsidR="00264925"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 xml:space="preserve">These emerging orientations ask us to develop abilities to look </w:t>
      </w:r>
      <w:r w:rsidRPr="00492175">
        <w:rPr>
          <w:rFonts w:eastAsia="Calibri" w:cstheme="minorHAnsi"/>
          <w:i/>
          <w:sz w:val="24"/>
          <w:szCs w:val="24"/>
        </w:rPr>
        <w:t>at</w:t>
      </w:r>
      <w:r w:rsidRPr="00492175">
        <w:rPr>
          <w:rFonts w:eastAsia="Calibri" w:cstheme="minorHAnsi"/>
          <w:sz w:val="24"/>
          <w:szCs w:val="24"/>
        </w:rPr>
        <w:t xml:space="preserve"> the future, rather than just </w:t>
      </w:r>
      <w:r w:rsidRPr="00492175">
        <w:rPr>
          <w:rFonts w:eastAsia="Calibri" w:cstheme="minorHAnsi"/>
          <w:i/>
          <w:sz w:val="24"/>
          <w:szCs w:val="24"/>
        </w:rPr>
        <w:t>into</w:t>
      </w:r>
      <w:r w:rsidRPr="00492175">
        <w:rPr>
          <w:rFonts w:eastAsia="Calibri" w:cstheme="minorHAnsi"/>
          <w:sz w:val="24"/>
          <w:szCs w:val="24"/>
        </w:rPr>
        <w:t xml:space="preserve"> it. They reject the idea of the future as something to be predicted or conquered, or even as an extension of the present. If older unsatisfactory paradigms </w:t>
      </w:r>
      <w:r w:rsidR="00701C0F" w:rsidRPr="00492175">
        <w:rPr>
          <w:rFonts w:eastAsia="Calibri" w:cstheme="minorHAnsi"/>
          <w:sz w:val="24"/>
          <w:szCs w:val="24"/>
        </w:rPr>
        <w:t xml:space="preserve">– </w:t>
      </w:r>
      <w:r w:rsidRPr="00492175">
        <w:rPr>
          <w:rFonts w:eastAsia="Calibri" w:cstheme="minorHAnsi"/>
          <w:sz w:val="24"/>
          <w:szCs w:val="24"/>
        </w:rPr>
        <w:t>that may contribute to human inequality or ecocide for instance</w:t>
      </w:r>
      <w:r w:rsidR="00701C0F" w:rsidRPr="00492175">
        <w:rPr>
          <w:rFonts w:eastAsia="Calibri" w:cstheme="minorHAnsi"/>
          <w:sz w:val="24"/>
          <w:szCs w:val="24"/>
        </w:rPr>
        <w:t xml:space="preserve"> –</w:t>
      </w:r>
      <w:r w:rsidRPr="00492175">
        <w:rPr>
          <w:rFonts w:eastAsia="Calibri" w:cstheme="minorHAnsi"/>
          <w:sz w:val="24"/>
          <w:szCs w:val="24"/>
        </w:rPr>
        <w:t xml:space="preserve"> are to be replaced, they require a step change in how the idea of the future is understood. In particular, they require going beyond traditional predictive logics/rationalities that aim for a ‘programmable tomorrow’, to more critical anticipatory practices that are open to the unknowable </w:t>
      </w:r>
      <w:r w:rsidR="00701C0F" w:rsidRPr="00492175">
        <w:rPr>
          <w:rFonts w:eastAsia="Calibri" w:cstheme="minorHAnsi"/>
          <w:sz w:val="24"/>
          <w:szCs w:val="24"/>
        </w:rPr>
        <w:t>yet</w:t>
      </w:r>
      <w:r w:rsidRPr="00492175">
        <w:rPr>
          <w:rFonts w:eastAsia="Calibri" w:cstheme="minorHAnsi"/>
          <w:sz w:val="24"/>
          <w:szCs w:val="24"/>
        </w:rPr>
        <w:t xml:space="preserve"> seek to create radical new futures that are not tied to capitalist or modernist teleologies. All of this requires researchers and scholars, rather paradoxically, to become ‘experts in not knowing’ while still seeking opportunities for interventive practices (Pink </w:t>
      </w:r>
      <w:r w:rsidR="00AE0521" w:rsidRPr="00492175">
        <w:rPr>
          <w:rFonts w:eastAsia="Calibri" w:cstheme="minorHAnsi"/>
          <w:sz w:val="24"/>
          <w:szCs w:val="24"/>
        </w:rPr>
        <w:t>and</w:t>
      </w:r>
      <w:r w:rsidRPr="00492175">
        <w:rPr>
          <w:rFonts w:eastAsia="Calibri" w:cstheme="minorHAnsi"/>
          <w:sz w:val="24"/>
          <w:szCs w:val="24"/>
        </w:rPr>
        <w:t xml:space="preserve"> Salazar</w:t>
      </w:r>
      <w:r w:rsidR="00AE0521" w:rsidRPr="00492175">
        <w:rPr>
          <w:rFonts w:eastAsia="Calibri" w:cstheme="minorHAnsi"/>
          <w:sz w:val="24"/>
          <w:szCs w:val="24"/>
        </w:rPr>
        <w:t>,</w:t>
      </w:r>
      <w:r w:rsidRPr="00492175">
        <w:rPr>
          <w:rFonts w:eastAsia="Calibri" w:cstheme="minorHAnsi"/>
          <w:sz w:val="24"/>
          <w:szCs w:val="24"/>
        </w:rPr>
        <w:t xml:space="preserve"> 2017). </w:t>
      </w:r>
      <w:r w:rsidR="00AE0521" w:rsidRPr="00492175">
        <w:rPr>
          <w:rFonts w:eastAsia="Calibri" w:cstheme="minorHAnsi"/>
          <w:sz w:val="24"/>
          <w:szCs w:val="24"/>
        </w:rPr>
        <w:t xml:space="preserve">This shift in thinking calls for </w:t>
      </w:r>
      <w:r w:rsidRPr="00492175">
        <w:rPr>
          <w:rFonts w:eastAsia="Calibri" w:cstheme="minorHAnsi"/>
          <w:sz w:val="24"/>
          <w:szCs w:val="24"/>
        </w:rPr>
        <w:t xml:space="preserve">new research habits, different practices of paying attention, intervention and experimentation. Without a conscious commitment to a radically different idea of futures, these futures are likely to be more of the same or worse. </w:t>
      </w:r>
    </w:p>
    <w:p w:rsidR="00264925" w:rsidRPr="00492175" w:rsidRDefault="00264925" w:rsidP="00044DCF">
      <w:pPr>
        <w:spacing w:after="0" w:line="240" w:lineRule="auto"/>
        <w:rPr>
          <w:rFonts w:eastAsia="Calibri" w:cstheme="minorHAnsi"/>
          <w:b/>
          <w:i/>
          <w:sz w:val="24"/>
          <w:szCs w:val="24"/>
        </w:rPr>
      </w:pPr>
    </w:p>
    <w:p w:rsidR="00264925" w:rsidRPr="00344F92" w:rsidRDefault="00FB4130" w:rsidP="00492175">
      <w:pPr>
        <w:pStyle w:val="Heading3"/>
        <w:rPr>
          <w:rFonts w:asciiTheme="minorHAnsi" w:eastAsia="Calibri" w:hAnsiTheme="minorHAnsi" w:cstheme="minorHAnsi"/>
          <w:b/>
          <w:bCs/>
          <w:color w:val="000000" w:themeColor="text1"/>
        </w:rPr>
      </w:pPr>
      <w:r w:rsidRPr="00344F92">
        <w:rPr>
          <w:rFonts w:asciiTheme="minorHAnsi" w:eastAsia="Calibri" w:hAnsiTheme="minorHAnsi" w:cstheme="minorHAnsi"/>
          <w:b/>
          <w:bCs/>
          <w:color w:val="000000" w:themeColor="text1"/>
        </w:rPr>
        <w:lastRenderedPageBreak/>
        <w:t>Re-orienting e</w:t>
      </w:r>
      <w:r w:rsidR="00264925" w:rsidRPr="00344F92">
        <w:rPr>
          <w:rFonts w:asciiTheme="minorHAnsi" w:eastAsia="Calibri" w:hAnsiTheme="minorHAnsi" w:cstheme="minorHAnsi"/>
          <w:b/>
          <w:bCs/>
          <w:color w:val="000000" w:themeColor="text1"/>
        </w:rPr>
        <w:t>ducation</w:t>
      </w:r>
      <w:r w:rsidRPr="00344F92">
        <w:rPr>
          <w:rFonts w:asciiTheme="minorHAnsi" w:eastAsia="Calibri" w:hAnsiTheme="minorHAnsi" w:cstheme="minorHAnsi"/>
          <w:b/>
          <w:bCs/>
          <w:color w:val="000000" w:themeColor="text1"/>
        </w:rPr>
        <w:t xml:space="preserve"> to co-create futures</w:t>
      </w:r>
      <w:r w:rsidR="00264925" w:rsidRPr="00344F92">
        <w:rPr>
          <w:rFonts w:asciiTheme="minorHAnsi" w:eastAsia="Calibri" w:hAnsiTheme="minorHAnsi" w:cstheme="minorHAnsi"/>
          <w:b/>
          <w:bCs/>
          <w:color w:val="000000" w:themeColor="text1"/>
        </w:rPr>
        <w:t xml:space="preserve"> </w:t>
      </w:r>
    </w:p>
    <w:p w:rsidR="00264925" w:rsidRPr="00492175" w:rsidRDefault="00264925" w:rsidP="00044DCF">
      <w:pPr>
        <w:spacing w:after="0" w:line="240" w:lineRule="auto"/>
        <w:rPr>
          <w:rFonts w:eastAsia="Calibri" w:cstheme="minorHAnsi"/>
          <w:b/>
          <w:sz w:val="24"/>
          <w:szCs w:val="24"/>
        </w:rPr>
      </w:pPr>
    </w:p>
    <w:p w:rsidR="007C28E0"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Education can</w:t>
      </w:r>
      <w:r w:rsidR="00AE0521" w:rsidRPr="00492175">
        <w:rPr>
          <w:rFonts w:eastAsia="Calibri" w:cstheme="minorHAnsi"/>
          <w:sz w:val="24"/>
          <w:szCs w:val="24"/>
        </w:rPr>
        <w:t xml:space="preserve"> tend to remain stymied</w:t>
      </w:r>
      <w:r w:rsidRPr="00492175">
        <w:rPr>
          <w:rFonts w:eastAsia="Calibri" w:cstheme="minorHAnsi"/>
          <w:sz w:val="24"/>
          <w:szCs w:val="24"/>
        </w:rPr>
        <w:t xml:space="preserve"> the past</w:t>
      </w:r>
      <w:r w:rsidR="00AE0521" w:rsidRPr="00492175">
        <w:rPr>
          <w:rFonts w:eastAsia="Calibri" w:cstheme="minorHAnsi"/>
          <w:sz w:val="24"/>
          <w:szCs w:val="24"/>
        </w:rPr>
        <w:t xml:space="preserve">, serving as </w:t>
      </w:r>
      <w:r w:rsidRPr="00492175">
        <w:rPr>
          <w:rFonts w:eastAsia="Calibri" w:cstheme="minorHAnsi"/>
          <w:sz w:val="24"/>
          <w:szCs w:val="24"/>
        </w:rPr>
        <w:t>a ‘machine of reproduction</w:t>
      </w:r>
      <w:r w:rsidR="00AE0521" w:rsidRPr="00492175">
        <w:rPr>
          <w:rFonts w:eastAsia="Calibri" w:cstheme="minorHAnsi"/>
          <w:sz w:val="24"/>
          <w:szCs w:val="24"/>
        </w:rPr>
        <w:t>.</w:t>
      </w:r>
      <w:r w:rsidRPr="00492175">
        <w:rPr>
          <w:rFonts w:eastAsia="Calibri" w:cstheme="minorHAnsi"/>
          <w:sz w:val="24"/>
          <w:szCs w:val="24"/>
        </w:rPr>
        <w:t>’ If</w:t>
      </w:r>
      <w:r w:rsidR="00AE0521" w:rsidRPr="00492175">
        <w:rPr>
          <w:rFonts w:eastAsia="Calibri" w:cstheme="minorHAnsi"/>
          <w:sz w:val="24"/>
          <w:szCs w:val="24"/>
        </w:rPr>
        <w:t xml:space="preserve"> the purpose of</w:t>
      </w:r>
      <w:r w:rsidRPr="00492175">
        <w:rPr>
          <w:rFonts w:eastAsia="Calibri" w:cstheme="minorHAnsi"/>
          <w:sz w:val="24"/>
          <w:szCs w:val="24"/>
        </w:rPr>
        <w:t xml:space="preserve"> </w:t>
      </w:r>
      <w:r w:rsidR="00AE0521" w:rsidRPr="00492175">
        <w:rPr>
          <w:rFonts w:eastAsia="Calibri" w:cstheme="minorHAnsi"/>
          <w:sz w:val="24"/>
          <w:szCs w:val="24"/>
        </w:rPr>
        <w:t>education</w:t>
      </w:r>
      <w:r w:rsidRPr="00492175">
        <w:rPr>
          <w:rFonts w:eastAsia="Calibri" w:cstheme="minorHAnsi"/>
          <w:sz w:val="24"/>
          <w:szCs w:val="24"/>
        </w:rPr>
        <w:t xml:space="preserve"> is too preoccupied</w:t>
      </w:r>
      <w:r w:rsidR="00AE0521" w:rsidRPr="00492175">
        <w:rPr>
          <w:rFonts w:eastAsia="Calibri" w:cstheme="minorHAnsi"/>
          <w:sz w:val="24"/>
          <w:szCs w:val="24"/>
        </w:rPr>
        <w:t xml:space="preserve"> with addressing</w:t>
      </w:r>
      <w:r w:rsidRPr="00492175">
        <w:rPr>
          <w:rFonts w:eastAsia="Calibri" w:cstheme="minorHAnsi"/>
          <w:sz w:val="24"/>
          <w:szCs w:val="24"/>
        </w:rPr>
        <w:t xml:space="preserve"> today’s issues, </w:t>
      </w:r>
      <w:r w:rsidR="00AE0521" w:rsidRPr="00492175">
        <w:rPr>
          <w:rFonts w:eastAsia="Calibri" w:cstheme="minorHAnsi"/>
          <w:sz w:val="24"/>
          <w:szCs w:val="24"/>
        </w:rPr>
        <w:t>we</w:t>
      </w:r>
      <w:r w:rsidRPr="00492175">
        <w:rPr>
          <w:rFonts w:eastAsia="Calibri" w:cstheme="minorHAnsi"/>
          <w:sz w:val="24"/>
          <w:szCs w:val="24"/>
        </w:rPr>
        <w:t xml:space="preserve"> may miss the opportunity </w:t>
      </w:r>
      <w:r w:rsidR="00AE0521" w:rsidRPr="00492175">
        <w:rPr>
          <w:rFonts w:eastAsia="Calibri" w:cstheme="minorHAnsi"/>
          <w:sz w:val="24"/>
          <w:szCs w:val="24"/>
        </w:rPr>
        <w:t xml:space="preserve">for it </w:t>
      </w:r>
      <w:r w:rsidRPr="00492175">
        <w:rPr>
          <w:rFonts w:eastAsia="Calibri" w:cstheme="minorHAnsi"/>
          <w:sz w:val="24"/>
          <w:szCs w:val="24"/>
        </w:rPr>
        <w:t>to play a vital role in making more promising futures. For instance, if we repeat the discourse surrounding ‘globally competitive nation states’ into whose service education is often pressed, then there is less room for imagining education in the service of a collaborative world centred around ecological well</w:t>
      </w:r>
      <w:r w:rsidR="00AE0521" w:rsidRPr="00492175">
        <w:rPr>
          <w:rFonts w:eastAsia="Calibri" w:cstheme="minorHAnsi"/>
          <w:sz w:val="24"/>
          <w:szCs w:val="24"/>
        </w:rPr>
        <w:t>-</w:t>
      </w:r>
      <w:r w:rsidRPr="00492175">
        <w:rPr>
          <w:rFonts w:eastAsia="Calibri" w:cstheme="minorHAnsi"/>
          <w:sz w:val="24"/>
          <w:szCs w:val="24"/>
        </w:rPr>
        <w:t xml:space="preserve">being, low-growth and zero-carbon futures. </w:t>
      </w:r>
      <w:r w:rsidR="00AE0521" w:rsidRPr="00492175">
        <w:rPr>
          <w:rFonts w:eastAsia="Calibri" w:cstheme="minorHAnsi"/>
          <w:sz w:val="24"/>
          <w:szCs w:val="24"/>
        </w:rPr>
        <w:t>Similarly,</w:t>
      </w:r>
      <w:r w:rsidRPr="00492175">
        <w:rPr>
          <w:rFonts w:eastAsia="Calibri" w:cstheme="minorHAnsi"/>
          <w:sz w:val="24"/>
          <w:szCs w:val="24"/>
        </w:rPr>
        <w:t xml:space="preserve"> an emphasis on just increasing the flexibility/resilience of the population to prepare them for precariousness, ignores the educational opportunity involved in creating agency and opening the future to radical new possibilities. Thus, some of the most stringent criticisms levelled against the practice of education are when it defines its ‘telos’</w:t>
      </w:r>
      <w:r w:rsidR="00FB4130" w:rsidRPr="00492175">
        <w:rPr>
          <w:rFonts w:eastAsia="Calibri" w:cstheme="minorHAnsi"/>
          <w:sz w:val="24"/>
          <w:szCs w:val="24"/>
        </w:rPr>
        <w:t xml:space="preserve"> (i.e.</w:t>
      </w:r>
      <w:r w:rsidRPr="00492175">
        <w:rPr>
          <w:rFonts w:eastAsia="Calibri" w:cstheme="minorHAnsi"/>
          <w:sz w:val="24"/>
          <w:szCs w:val="24"/>
        </w:rPr>
        <w:t xml:space="preserve"> its desired </w:t>
      </w:r>
      <w:r w:rsidR="00AE0521" w:rsidRPr="00492175">
        <w:rPr>
          <w:rFonts w:eastAsia="Calibri" w:cstheme="minorHAnsi"/>
          <w:sz w:val="24"/>
          <w:szCs w:val="24"/>
        </w:rPr>
        <w:t>endpoint</w:t>
      </w:r>
      <w:r w:rsidR="00FB4130" w:rsidRPr="00492175">
        <w:rPr>
          <w:rFonts w:eastAsia="Calibri" w:cstheme="minorHAnsi"/>
          <w:sz w:val="24"/>
          <w:szCs w:val="24"/>
        </w:rPr>
        <w:t>)</w:t>
      </w:r>
      <w:r w:rsidRPr="00492175">
        <w:rPr>
          <w:rFonts w:eastAsia="Calibri" w:cstheme="minorHAnsi"/>
          <w:sz w:val="24"/>
          <w:szCs w:val="24"/>
        </w:rPr>
        <w:t xml:space="preserve"> too narrowly. </w:t>
      </w:r>
    </w:p>
    <w:p w:rsidR="007C28E0" w:rsidRPr="00492175" w:rsidRDefault="007C28E0" w:rsidP="00044DCF">
      <w:pPr>
        <w:spacing w:after="0" w:line="240" w:lineRule="auto"/>
        <w:rPr>
          <w:rFonts w:eastAsia="Calibri" w:cstheme="minorHAnsi"/>
          <w:sz w:val="24"/>
          <w:szCs w:val="24"/>
        </w:rPr>
      </w:pPr>
    </w:p>
    <w:p w:rsidR="00264925"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 xml:space="preserve">Current ‘anticipatory regimes’ in formal education (Amsler </w:t>
      </w:r>
      <w:r w:rsidR="00FB4130" w:rsidRPr="00492175">
        <w:rPr>
          <w:rFonts w:eastAsia="Calibri" w:cstheme="minorHAnsi"/>
          <w:sz w:val="24"/>
          <w:szCs w:val="24"/>
        </w:rPr>
        <w:t>and</w:t>
      </w:r>
      <w:r w:rsidRPr="00492175">
        <w:rPr>
          <w:rFonts w:eastAsia="Calibri" w:cstheme="minorHAnsi"/>
          <w:sz w:val="24"/>
          <w:szCs w:val="24"/>
        </w:rPr>
        <w:t xml:space="preserve"> Facer</w:t>
      </w:r>
      <w:r w:rsidR="00FB4130" w:rsidRPr="00492175">
        <w:rPr>
          <w:rFonts w:eastAsia="Calibri" w:cstheme="minorHAnsi"/>
          <w:sz w:val="24"/>
          <w:szCs w:val="24"/>
        </w:rPr>
        <w:t>,</w:t>
      </w:r>
      <w:r w:rsidRPr="00492175">
        <w:rPr>
          <w:rFonts w:eastAsia="Calibri" w:cstheme="minorHAnsi"/>
          <w:sz w:val="24"/>
          <w:szCs w:val="24"/>
        </w:rPr>
        <w:t xml:space="preserve"> 2017) position it more as a device that feeds into a programmable future,</w:t>
      </w:r>
      <w:r w:rsidR="00FB4130" w:rsidRPr="00492175">
        <w:rPr>
          <w:rFonts w:eastAsia="Calibri" w:cstheme="minorHAnsi"/>
          <w:sz w:val="24"/>
          <w:szCs w:val="24"/>
        </w:rPr>
        <w:t xml:space="preserve"> rather</w:t>
      </w:r>
      <w:r w:rsidRPr="00492175">
        <w:rPr>
          <w:rFonts w:eastAsia="Calibri" w:cstheme="minorHAnsi"/>
          <w:sz w:val="24"/>
          <w:szCs w:val="24"/>
        </w:rPr>
        <w:t xml:space="preserve"> than as a live, unpredictable process that can enable different futures. Educational practices in such regimes can over-value the pre-plannable and predictive, confining the mission of education to pragmatic or instrumental uses, often ignoring or not</w:t>
      </w:r>
      <w:r w:rsidR="00FB4130" w:rsidRPr="00492175">
        <w:rPr>
          <w:rFonts w:eastAsia="Calibri" w:cstheme="minorHAnsi"/>
          <w:sz w:val="24"/>
          <w:szCs w:val="24"/>
        </w:rPr>
        <w:t xml:space="preserve"> responding</w:t>
      </w:r>
      <w:r w:rsidRPr="00492175">
        <w:rPr>
          <w:rFonts w:eastAsia="Calibri" w:cstheme="minorHAnsi"/>
          <w:sz w:val="24"/>
          <w:szCs w:val="24"/>
        </w:rPr>
        <w:t xml:space="preserve"> </w:t>
      </w:r>
      <w:r w:rsidR="00FB4130" w:rsidRPr="00492175">
        <w:rPr>
          <w:rFonts w:eastAsia="Calibri" w:cstheme="minorHAnsi"/>
          <w:sz w:val="24"/>
          <w:szCs w:val="24"/>
        </w:rPr>
        <w:t xml:space="preserve">to </w:t>
      </w:r>
      <w:r w:rsidRPr="00492175">
        <w:rPr>
          <w:rFonts w:eastAsia="Calibri" w:cstheme="minorHAnsi"/>
          <w:sz w:val="24"/>
          <w:szCs w:val="24"/>
        </w:rPr>
        <w:t>the learning already happening outside of formal contexts. Scholars have therefore called for a more explicit re-orientation of education as a creative, interventive co-creator of futures than as a fear-induced insurance or as a ‘corrective’ for uncertain futures (Facer</w:t>
      </w:r>
      <w:r w:rsidR="00FB4130" w:rsidRPr="00492175">
        <w:rPr>
          <w:rFonts w:eastAsia="Calibri" w:cstheme="minorHAnsi"/>
          <w:sz w:val="24"/>
          <w:szCs w:val="24"/>
        </w:rPr>
        <w:t>,</w:t>
      </w:r>
      <w:r w:rsidRPr="00492175">
        <w:rPr>
          <w:rFonts w:eastAsia="Calibri" w:cstheme="minorHAnsi"/>
          <w:sz w:val="24"/>
          <w:szCs w:val="24"/>
        </w:rPr>
        <w:t xml:space="preserve"> 2016; Facer et al.</w:t>
      </w:r>
      <w:r w:rsidR="00FB4130" w:rsidRPr="00492175">
        <w:rPr>
          <w:rFonts w:eastAsia="Calibri" w:cstheme="minorHAnsi"/>
          <w:sz w:val="24"/>
          <w:szCs w:val="24"/>
        </w:rPr>
        <w:t>,</w:t>
      </w:r>
      <w:r w:rsidRPr="00492175">
        <w:rPr>
          <w:rFonts w:eastAsia="Calibri" w:cstheme="minorHAnsi"/>
          <w:sz w:val="24"/>
          <w:szCs w:val="24"/>
        </w:rPr>
        <w:t xml:space="preserve"> 2011). This requires education </w:t>
      </w:r>
      <w:r w:rsidR="00FB4130" w:rsidRPr="00492175">
        <w:rPr>
          <w:rFonts w:eastAsia="Calibri" w:cstheme="minorHAnsi"/>
          <w:sz w:val="24"/>
          <w:szCs w:val="24"/>
        </w:rPr>
        <w:t>to be taken as a</w:t>
      </w:r>
      <w:r w:rsidRPr="00492175">
        <w:rPr>
          <w:rFonts w:eastAsia="Calibri" w:cstheme="minorHAnsi"/>
          <w:sz w:val="24"/>
          <w:szCs w:val="24"/>
        </w:rPr>
        <w:t xml:space="preserve"> global endeavour</w:t>
      </w:r>
      <w:r w:rsidR="00FB4130" w:rsidRPr="00492175">
        <w:rPr>
          <w:rFonts w:eastAsia="Calibri" w:cstheme="minorHAnsi"/>
          <w:sz w:val="24"/>
          <w:szCs w:val="24"/>
        </w:rPr>
        <w:t xml:space="preserve"> and for us</w:t>
      </w:r>
      <w:r w:rsidRPr="00492175">
        <w:rPr>
          <w:rFonts w:eastAsia="Calibri" w:cstheme="minorHAnsi"/>
          <w:sz w:val="24"/>
          <w:szCs w:val="24"/>
        </w:rPr>
        <w:t xml:space="preserve"> to face up to bold questions regarding what kinds of old habits need to be lost</w:t>
      </w:r>
      <w:r w:rsidR="00FB4130" w:rsidRPr="00492175">
        <w:rPr>
          <w:rFonts w:eastAsia="Calibri" w:cstheme="minorHAnsi"/>
          <w:sz w:val="24"/>
          <w:szCs w:val="24"/>
        </w:rPr>
        <w:t xml:space="preserve">; </w:t>
      </w:r>
      <w:r w:rsidRPr="00492175">
        <w:rPr>
          <w:rFonts w:eastAsia="Calibri" w:cstheme="minorHAnsi"/>
          <w:sz w:val="24"/>
          <w:szCs w:val="24"/>
        </w:rPr>
        <w:t>what narratives and actions ought to replace them</w:t>
      </w:r>
      <w:r w:rsidR="00FB4130" w:rsidRPr="00492175">
        <w:rPr>
          <w:rFonts w:eastAsia="Calibri" w:cstheme="minorHAnsi"/>
          <w:sz w:val="24"/>
          <w:szCs w:val="24"/>
        </w:rPr>
        <w:t>; and</w:t>
      </w:r>
      <w:r w:rsidRPr="00492175">
        <w:rPr>
          <w:rFonts w:eastAsia="Calibri" w:cstheme="minorHAnsi"/>
          <w:sz w:val="24"/>
          <w:szCs w:val="24"/>
        </w:rPr>
        <w:t xml:space="preserve"> for what purpose.</w:t>
      </w:r>
    </w:p>
    <w:p w:rsidR="007C28E0" w:rsidRPr="00492175" w:rsidRDefault="007C28E0" w:rsidP="00044DCF">
      <w:pPr>
        <w:spacing w:after="0" w:line="240" w:lineRule="auto"/>
        <w:rPr>
          <w:rFonts w:eastAsia="Calibri" w:cstheme="minorHAnsi"/>
          <w:sz w:val="24"/>
          <w:szCs w:val="24"/>
        </w:rPr>
      </w:pPr>
    </w:p>
    <w:p w:rsidR="00264925"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An education with this new orientation can be imagined, for instance, as an explicit experiment that is committed to lifelong learning</w:t>
      </w:r>
      <w:r w:rsidR="00FB4130" w:rsidRPr="00492175">
        <w:rPr>
          <w:rFonts w:eastAsia="Calibri" w:cstheme="minorHAnsi"/>
          <w:sz w:val="24"/>
          <w:szCs w:val="24"/>
        </w:rPr>
        <w:t xml:space="preserve"> –</w:t>
      </w:r>
      <w:r w:rsidRPr="00492175">
        <w:rPr>
          <w:rFonts w:eastAsia="Calibri" w:cstheme="minorHAnsi"/>
          <w:sz w:val="24"/>
          <w:szCs w:val="24"/>
        </w:rPr>
        <w:t xml:space="preserve"> one that sees everyone (including teachers) as learners, and one which encourages all learners to speculate about and anticipate desired change. This can include opportunities for learners to articulate both desired and undesirable </w:t>
      </w:r>
      <w:r w:rsidR="00FB4130" w:rsidRPr="00492175">
        <w:rPr>
          <w:rFonts w:eastAsia="Calibri" w:cstheme="minorHAnsi"/>
          <w:sz w:val="24"/>
          <w:szCs w:val="24"/>
        </w:rPr>
        <w:t xml:space="preserve">or </w:t>
      </w:r>
      <w:r w:rsidRPr="00492175">
        <w:rPr>
          <w:rFonts w:eastAsia="Calibri" w:cstheme="minorHAnsi"/>
          <w:sz w:val="24"/>
          <w:szCs w:val="24"/>
        </w:rPr>
        <w:t xml:space="preserve">feared futures, and then learn to plan and bring into existence preferred scenarios over undesirable ones. This requires curriculum to be more immediately responsive to the needs of learners and a pedagogy that is interventive, that is open to creating positive change. It also requires us to acknowledge that roles such as teachers/instructors/educators or learners/students are open to swapping within an educational context. This leads to the final set of reflections on the dynamics of teaching and learning relationships that may be relevant for the future. </w:t>
      </w:r>
    </w:p>
    <w:p w:rsidR="00264925" w:rsidRPr="00492175" w:rsidRDefault="00264925" w:rsidP="00044DCF">
      <w:pPr>
        <w:spacing w:after="0" w:line="240" w:lineRule="auto"/>
        <w:rPr>
          <w:rFonts w:eastAsia="Calibri" w:cstheme="minorHAnsi"/>
          <w:sz w:val="24"/>
          <w:szCs w:val="24"/>
        </w:rPr>
      </w:pPr>
    </w:p>
    <w:p w:rsidR="00264925" w:rsidRPr="00344F92" w:rsidRDefault="00264925" w:rsidP="00492175">
      <w:pPr>
        <w:pStyle w:val="Heading3"/>
        <w:rPr>
          <w:rFonts w:asciiTheme="minorHAnsi" w:eastAsia="Calibri" w:hAnsiTheme="minorHAnsi" w:cstheme="minorHAnsi"/>
          <w:b/>
          <w:bCs/>
          <w:color w:val="000000" w:themeColor="text1"/>
        </w:rPr>
      </w:pPr>
      <w:r w:rsidRPr="00344F92">
        <w:rPr>
          <w:rFonts w:asciiTheme="minorHAnsi" w:eastAsia="Calibri" w:hAnsiTheme="minorHAnsi" w:cstheme="minorHAnsi"/>
          <w:b/>
          <w:bCs/>
          <w:color w:val="000000" w:themeColor="text1"/>
        </w:rPr>
        <w:t>Intergenerational dynamics or, teaching and learning relationships</w:t>
      </w:r>
    </w:p>
    <w:p w:rsidR="00264925" w:rsidRPr="00492175" w:rsidRDefault="00264925" w:rsidP="00044DCF">
      <w:pPr>
        <w:spacing w:after="0" w:line="240" w:lineRule="auto"/>
        <w:rPr>
          <w:rFonts w:eastAsia="Calibri" w:cstheme="minorHAnsi"/>
          <w:b/>
          <w:sz w:val="24"/>
          <w:szCs w:val="24"/>
        </w:rPr>
      </w:pPr>
    </w:p>
    <w:p w:rsidR="007C28E0"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The many conceptualisations of young people – as students/learners, as beings that are becoming or as ‘thought tools’ – are constantly changing in response to developments in social theory and practice. In relation to the future, young people can be narrowly imagined as ‘fragments of the future’ (Lee</w:t>
      </w:r>
      <w:r w:rsidR="00313CD8" w:rsidRPr="00492175">
        <w:rPr>
          <w:rFonts w:eastAsia="Calibri" w:cstheme="minorHAnsi"/>
          <w:sz w:val="24"/>
          <w:szCs w:val="24"/>
        </w:rPr>
        <w:t>,</w:t>
      </w:r>
      <w:r w:rsidRPr="00492175">
        <w:rPr>
          <w:rFonts w:eastAsia="Calibri" w:cstheme="minorHAnsi"/>
          <w:sz w:val="24"/>
          <w:szCs w:val="24"/>
        </w:rPr>
        <w:t xml:space="preserve"> 2011), as beings asked to imagine/project a sense of their future selves, even to defer gratification for some future prize (Adams </w:t>
      </w:r>
      <w:r w:rsidR="00313CD8" w:rsidRPr="00492175">
        <w:rPr>
          <w:rFonts w:eastAsia="Calibri" w:cstheme="minorHAnsi"/>
          <w:sz w:val="24"/>
          <w:szCs w:val="24"/>
        </w:rPr>
        <w:t>and</w:t>
      </w:r>
      <w:r w:rsidRPr="00492175">
        <w:rPr>
          <w:rFonts w:eastAsia="Calibri" w:cstheme="minorHAnsi"/>
          <w:sz w:val="24"/>
          <w:szCs w:val="24"/>
        </w:rPr>
        <w:t xml:space="preserve"> Groves</w:t>
      </w:r>
      <w:r w:rsidR="00313CD8" w:rsidRPr="00492175">
        <w:rPr>
          <w:rFonts w:eastAsia="Calibri" w:cstheme="minorHAnsi"/>
          <w:sz w:val="24"/>
          <w:szCs w:val="24"/>
        </w:rPr>
        <w:t>,</w:t>
      </w:r>
      <w:r w:rsidRPr="00492175">
        <w:rPr>
          <w:rFonts w:eastAsia="Calibri" w:cstheme="minorHAnsi"/>
          <w:sz w:val="24"/>
          <w:szCs w:val="24"/>
        </w:rPr>
        <w:t xml:space="preserve"> 2007). </w:t>
      </w:r>
    </w:p>
    <w:p w:rsidR="007C28E0" w:rsidRPr="00492175" w:rsidRDefault="007C28E0" w:rsidP="00044DCF">
      <w:pPr>
        <w:spacing w:after="0" w:line="240" w:lineRule="auto"/>
        <w:rPr>
          <w:rFonts w:eastAsia="Calibri" w:cstheme="minorHAnsi"/>
          <w:sz w:val="24"/>
          <w:szCs w:val="24"/>
        </w:rPr>
      </w:pPr>
    </w:p>
    <w:p w:rsidR="007C28E0"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lastRenderedPageBreak/>
        <w:t xml:space="preserve">These models of youth/childhood are problematic as they can be used to service nostalgic adult agendas (Bruhm </w:t>
      </w:r>
      <w:r w:rsidR="00313CD8" w:rsidRPr="00492175">
        <w:rPr>
          <w:rFonts w:eastAsia="Calibri" w:cstheme="minorHAnsi"/>
          <w:sz w:val="24"/>
          <w:szCs w:val="24"/>
        </w:rPr>
        <w:t>and</w:t>
      </w:r>
      <w:r w:rsidRPr="00492175">
        <w:rPr>
          <w:rFonts w:eastAsia="Calibri" w:cstheme="minorHAnsi"/>
          <w:sz w:val="24"/>
          <w:szCs w:val="24"/>
        </w:rPr>
        <w:t xml:space="preserve"> Hurley</w:t>
      </w:r>
      <w:r w:rsidR="00313CD8" w:rsidRPr="00492175">
        <w:rPr>
          <w:rFonts w:eastAsia="Calibri" w:cstheme="minorHAnsi"/>
          <w:sz w:val="24"/>
          <w:szCs w:val="24"/>
        </w:rPr>
        <w:t>,</w:t>
      </w:r>
      <w:r w:rsidRPr="00492175">
        <w:rPr>
          <w:rFonts w:eastAsia="Calibri" w:cstheme="minorHAnsi"/>
          <w:sz w:val="24"/>
          <w:szCs w:val="24"/>
        </w:rPr>
        <w:t xml:space="preserve"> 2004) that can override young people’s narratives for the future (Bateman</w:t>
      </w:r>
      <w:r w:rsidR="00313CD8" w:rsidRPr="00492175">
        <w:rPr>
          <w:rFonts w:eastAsia="Calibri" w:cstheme="minorHAnsi"/>
          <w:sz w:val="24"/>
          <w:szCs w:val="24"/>
        </w:rPr>
        <w:t>,</w:t>
      </w:r>
      <w:r w:rsidRPr="00492175">
        <w:rPr>
          <w:rFonts w:eastAsia="Calibri" w:cstheme="minorHAnsi"/>
          <w:sz w:val="24"/>
          <w:szCs w:val="24"/>
        </w:rPr>
        <w:t xml:space="preserve"> 2014). Notwithstanding the practices of participatory approaches to reduce power imbalances, or sensory and art-based interventions that may be more inclusive and h</w:t>
      </w:r>
      <w:r w:rsidR="00313CD8" w:rsidRPr="00492175">
        <w:rPr>
          <w:rFonts w:eastAsia="Calibri" w:cstheme="minorHAnsi"/>
          <w:sz w:val="24"/>
          <w:szCs w:val="24"/>
        </w:rPr>
        <w:t>old</w:t>
      </w:r>
      <w:r w:rsidRPr="00492175">
        <w:rPr>
          <w:rFonts w:eastAsia="Calibri" w:cstheme="minorHAnsi"/>
          <w:sz w:val="24"/>
          <w:szCs w:val="24"/>
        </w:rPr>
        <w:t xml:space="preserve"> more appeal for the young, there is no denying that the ethical and political stakes of intergenerational relations have escalated</w:t>
      </w:r>
      <w:r w:rsidR="00313CD8" w:rsidRPr="00492175">
        <w:rPr>
          <w:rFonts w:eastAsia="Calibri" w:cstheme="minorHAnsi"/>
          <w:sz w:val="24"/>
          <w:szCs w:val="24"/>
        </w:rPr>
        <w:t xml:space="preserve"> (Lyon and Carabelli, 2016; Coleman, 2017; Ivinson and Renold, 2013; Springgay and Truman, 2019)</w:t>
      </w:r>
      <w:r w:rsidRPr="00492175">
        <w:rPr>
          <w:rFonts w:eastAsia="Calibri" w:cstheme="minorHAnsi"/>
          <w:sz w:val="24"/>
          <w:szCs w:val="24"/>
        </w:rPr>
        <w:t xml:space="preserve">. </w:t>
      </w:r>
    </w:p>
    <w:p w:rsidR="007C28E0" w:rsidRPr="00492175" w:rsidRDefault="007C28E0" w:rsidP="00044DCF">
      <w:pPr>
        <w:spacing w:after="0" w:line="240" w:lineRule="auto"/>
        <w:rPr>
          <w:rFonts w:eastAsia="Calibri" w:cstheme="minorHAnsi"/>
          <w:sz w:val="24"/>
          <w:szCs w:val="24"/>
        </w:rPr>
      </w:pPr>
    </w:p>
    <w:p w:rsidR="00313CD8" w:rsidRPr="00492175" w:rsidRDefault="00313CD8" w:rsidP="00044DCF">
      <w:pPr>
        <w:spacing w:after="0" w:line="240" w:lineRule="auto"/>
        <w:rPr>
          <w:rFonts w:eastAsia="Calibri" w:cstheme="minorHAnsi"/>
          <w:sz w:val="24"/>
          <w:szCs w:val="24"/>
        </w:rPr>
      </w:pPr>
      <w:r w:rsidRPr="00492175">
        <w:rPr>
          <w:rFonts w:eastAsia="Calibri" w:cstheme="minorHAnsi"/>
          <w:sz w:val="24"/>
          <w:szCs w:val="24"/>
        </w:rPr>
        <w:t>Currently</w:t>
      </w:r>
      <w:r w:rsidR="00264925" w:rsidRPr="00492175">
        <w:rPr>
          <w:rFonts w:eastAsia="Calibri" w:cstheme="minorHAnsi"/>
          <w:sz w:val="24"/>
          <w:szCs w:val="24"/>
        </w:rPr>
        <w:t xml:space="preserve">, youth demand much more </w:t>
      </w:r>
      <w:r w:rsidRPr="00492175">
        <w:rPr>
          <w:rFonts w:eastAsia="Calibri" w:cstheme="minorHAnsi"/>
          <w:sz w:val="24"/>
          <w:szCs w:val="24"/>
        </w:rPr>
        <w:t>–</w:t>
      </w:r>
      <w:r w:rsidR="00264925" w:rsidRPr="00492175">
        <w:rPr>
          <w:rFonts w:eastAsia="Calibri" w:cstheme="minorHAnsi"/>
          <w:sz w:val="24"/>
          <w:szCs w:val="24"/>
        </w:rPr>
        <w:t xml:space="preserve"> better, more truthful and more reciprocal interaction</w:t>
      </w:r>
      <w:r w:rsidRPr="00492175">
        <w:rPr>
          <w:rFonts w:eastAsia="Calibri" w:cstheme="minorHAnsi"/>
          <w:sz w:val="24"/>
          <w:szCs w:val="24"/>
        </w:rPr>
        <w:t xml:space="preserve"> –</w:t>
      </w:r>
      <w:r w:rsidR="00264925" w:rsidRPr="00492175">
        <w:rPr>
          <w:rFonts w:eastAsia="Calibri" w:cstheme="minorHAnsi"/>
          <w:sz w:val="24"/>
          <w:szCs w:val="24"/>
        </w:rPr>
        <w:t xml:space="preserve"> from adults on a range of matters. The young speak of the burden of ‘truth-telling’ and other forms of ‘debt’ that they are inheriting (Thunberg</w:t>
      </w:r>
      <w:r w:rsidRPr="00492175">
        <w:rPr>
          <w:rFonts w:eastAsia="Calibri" w:cstheme="minorHAnsi"/>
          <w:sz w:val="24"/>
          <w:szCs w:val="24"/>
        </w:rPr>
        <w:t>,</w:t>
      </w:r>
      <w:r w:rsidR="00264925" w:rsidRPr="00492175">
        <w:rPr>
          <w:rFonts w:eastAsia="Calibri" w:cstheme="minorHAnsi"/>
          <w:sz w:val="24"/>
          <w:szCs w:val="24"/>
        </w:rPr>
        <w:t xml:space="preserve"> 2019). School climate strikers around the globe have explicitly made the argument that learning in school is meaningless if there is no meaningful future to look forward to. These societal shifts signal a need to re-think how we conceptualise acts of teaching and learning across generations and lifespans. It raises critical questions </w:t>
      </w:r>
      <w:r w:rsidRPr="00492175">
        <w:rPr>
          <w:rFonts w:eastAsia="Calibri" w:cstheme="minorHAnsi"/>
          <w:sz w:val="24"/>
          <w:szCs w:val="24"/>
        </w:rPr>
        <w:t xml:space="preserve">on </w:t>
      </w:r>
      <w:r w:rsidR="00264925" w:rsidRPr="00492175">
        <w:rPr>
          <w:rFonts w:eastAsia="Calibri" w:cstheme="minorHAnsi"/>
          <w:sz w:val="24"/>
          <w:szCs w:val="24"/>
        </w:rPr>
        <w:t>how we build systems for collaborative learning for a variety of actors across their lifespans. If we are to deal with the ‘burden’ narrative that can pit old against young, then the challenge of influencing and transforming all actors through learning encounters must be grasped</w:t>
      </w:r>
      <w:r w:rsidRPr="00492175">
        <w:rPr>
          <w:rFonts w:eastAsia="Calibri" w:cstheme="minorHAnsi"/>
          <w:sz w:val="24"/>
          <w:szCs w:val="24"/>
        </w:rPr>
        <w:t xml:space="preserve">. </w:t>
      </w:r>
    </w:p>
    <w:p w:rsidR="00313CD8" w:rsidRPr="00492175" w:rsidRDefault="00313CD8" w:rsidP="00044DCF">
      <w:pPr>
        <w:spacing w:after="0" w:line="240" w:lineRule="auto"/>
        <w:rPr>
          <w:rFonts w:eastAsia="Calibri" w:cstheme="minorHAnsi"/>
          <w:sz w:val="24"/>
          <w:szCs w:val="24"/>
        </w:rPr>
      </w:pPr>
    </w:p>
    <w:p w:rsidR="00264925"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 xml:space="preserve">How do different kinds of learning encounters (methods/activities/formats/modes) mediate improved relations between young people and adults, learners and educators? This is a different question to one </w:t>
      </w:r>
      <w:r w:rsidR="00313CD8" w:rsidRPr="00492175">
        <w:rPr>
          <w:rFonts w:eastAsia="Calibri" w:cstheme="minorHAnsi"/>
          <w:sz w:val="24"/>
          <w:szCs w:val="24"/>
        </w:rPr>
        <w:t>concerning</w:t>
      </w:r>
      <w:r w:rsidRPr="00492175">
        <w:rPr>
          <w:rFonts w:eastAsia="Calibri" w:cstheme="minorHAnsi"/>
          <w:sz w:val="24"/>
          <w:szCs w:val="24"/>
        </w:rPr>
        <w:t xml:space="preserve"> the right curriculum or the right pedagogy to pursue. It involves understanding education itself as an ecological unit in which all elements – human and non-human – are interdependent. In this sense, a post-humanist perspective is also vital. This suggests that continuing to retain humans </w:t>
      </w:r>
      <w:r w:rsidR="00313CD8" w:rsidRPr="00492175">
        <w:rPr>
          <w:rFonts w:eastAsia="Calibri" w:cstheme="minorHAnsi"/>
          <w:sz w:val="24"/>
          <w:szCs w:val="24"/>
        </w:rPr>
        <w:t>at</w:t>
      </w:r>
      <w:r w:rsidRPr="00492175">
        <w:rPr>
          <w:rFonts w:eastAsia="Calibri" w:cstheme="minorHAnsi"/>
          <w:sz w:val="24"/>
          <w:szCs w:val="24"/>
        </w:rPr>
        <w:t xml:space="preserve"> the centre of all action, seeing them as initiators or beneficiaries of action, and relegating non-human and material elements as subservient to the human cause is no longer sufficient. This does not mean that inequalities between humans are neglected, but that it may be pursued as a problem that is in fact, tied to a humanistic perspective that has ignored the place of humans as just one element in an interdependent planet. In sum, the politics of intergenerational relations is being shaken up, posing challenges to how we understand adult-child/youth, learner-teacher, human-non-human roles. Education can</w:t>
      </w:r>
      <w:r w:rsidR="00266022" w:rsidRPr="00492175">
        <w:rPr>
          <w:rFonts w:eastAsia="Calibri" w:cstheme="minorHAnsi"/>
          <w:sz w:val="24"/>
          <w:szCs w:val="24"/>
        </w:rPr>
        <w:t xml:space="preserve"> be conceptualised to</w:t>
      </w:r>
      <w:r w:rsidRPr="00492175">
        <w:rPr>
          <w:rFonts w:eastAsia="Calibri" w:cstheme="minorHAnsi"/>
          <w:sz w:val="24"/>
          <w:szCs w:val="24"/>
        </w:rPr>
        <w:t xml:space="preserve"> </w:t>
      </w:r>
      <w:r w:rsidR="00266022" w:rsidRPr="00492175">
        <w:rPr>
          <w:rFonts w:eastAsia="Calibri" w:cstheme="minorHAnsi"/>
          <w:sz w:val="24"/>
          <w:szCs w:val="24"/>
        </w:rPr>
        <w:t>approach</w:t>
      </w:r>
      <w:r w:rsidRPr="00492175">
        <w:rPr>
          <w:rFonts w:eastAsia="Calibri" w:cstheme="minorHAnsi"/>
          <w:sz w:val="24"/>
          <w:szCs w:val="24"/>
        </w:rPr>
        <w:t xml:space="preserve"> these changing dynamics as an opportunity to </w:t>
      </w:r>
      <w:r w:rsidR="00266022" w:rsidRPr="00492175">
        <w:rPr>
          <w:rFonts w:eastAsia="Calibri" w:cstheme="minorHAnsi"/>
          <w:sz w:val="24"/>
          <w:szCs w:val="24"/>
        </w:rPr>
        <w:t xml:space="preserve">be </w:t>
      </w:r>
      <w:r w:rsidRPr="00492175">
        <w:rPr>
          <w:rFonts w:eastAsia="Calibri" w:cstheme="minorHAnsi"/>
          <w:sz w:val="24"/>
          <w:szCs w:val="24"/>
        </w:rPr>
        <w:t>re</w:t>
      </w:r>
      <w:r w:rsidR="00266022" w:rsidRPr="00492175">
        <w:rPr>
          <w:rFonts w:eastAsia="Calibri" w:cstheme="minorHAnsi"/>
          <w:sz w:val="24"/>
          <w:szCs w:val="24"/>
        </w:rPr>
        <w:t>-</w:t>
      </w:r>
      <w:r w:rsidRPr="00492175">
        <w:rPr>
          <w:rFonts w:eastAsia="Calibri" w:cstheme="minorHAnsi"/>
          <w:sz w:val="24"/>
          <w:szCs w:val="24"/>
        </w:rPr>
        <w:t>imagine</w:t>
      </w:r>
      <w:r w:rsidR="00266022" w:rsidRPr="00492175">
        <w:rPr>
          <w:rFonts w:eastAsia="Calibri" w:cstheme="minorHAnsi"/>
          <w:sz w:val="24"/>
          <w:szCs w:val="24"/>
        </w:rPr>
        <w:t>d</w:t>
      </w:r>
      <w:r w:rsidRPr="00492175">
        <w:rPr>
          <w:rFonts w:eastAsia="Calibri" w:cstheme="minorHAnsi"/>
          <w:sz w:val="24"/>
          <w:szCs w:val="24"/>
        </w:rPr>
        <w:t>. How this will then enhance or unsettle concepts of reciprocity, voice and power in educational relations will remain to be established.</w:t>
      </w:r>
    </w:p>
    <w:p w:rsidR="007C28E0" w:rsidRPr="00492175" w:rsidRDefault="007C28E0" w:rsidP="00044DCF">
      <w:pPr>
        <w:spacing w:after="0" w:line="240" w:lineRule="auto"/>
        <w:rPr>
          <w:rFonts w:eastAsia="Calibri" w:cstheme="minorHAnsi"/>
          <w:sz w:val="24"/>
          <w:szCs w:val="24"/>
        </w:rPr>
      </w:pPr>
    </w:p>
    <w:p w:rsidR="00264925" w:rsidRPr="00492175" w:rsidRDefault="00264925" w:rsidP="00044DCF">
      <w:pPr>
        <w:spacing w:after="0" w:line="240" w:lineRule="auto"/>
        <w:rPr>
          <w:rFonts w:eastAsia="Calibri" w:cstheme="minorHAnsi"/>
          <w:sz w:val="24"/>
          <w:szCs w:val="24"/>
        </w:rPr>
      </w:pPr>
      <w:r w:rsidRPr="00492175">
        <w:rPr>
          <w:rFonts w:eastAsia="Calibri" w:cstheme="minorHAnsi"/>
          <w:sz w:val="24"/>
          <w:szCs w:val="24"/>
        </w:rPr>
        <w:t>Approaching this triumvirate – futures, education</w:t>
      </w:r>
      <w:r w:rsidR="00266022" w:rsidRPr="00492175">
        <w:rPr>
          <w:rFonts w:eastAsia="Calibri" w:cstheme="minorHAnsi"/>
          <w:sz w:val="24"/>
          <w:szCs w:val="24"/>
        </w:rPr>
        <w:t xml:space="preserve"> and</w:t>
      </w:r>
      <w:r w:rsidRPr="00492175">
        <w:rPr>
          <w:rFonts w:eastAsia="Calibri" w:cstheme="minorHAnsi"/>
          <w:sz w:val="24"/>
          <w:szCs w:val="24"/>
        </w:rPr>
        <w:t xml:space="preserve"> learning relationships – and its intersections and challenges in fresh ways demands bold innovation in theory, research and practice. Interventionist approaches encourage critical anticipatory </w:t>
      </w:r>
      <w:r w:rsidR="00E83D04" w:rsidRPr="00492175">
        <w:rPr>
          <w:rFonts w:eastAsia="Calibri" w:cstheme="minorHAnsi"/>
          <w:sz w:val="24"/>
          <w:szCs w:val="24"/>
        </w:rPr>
        <w:t>stances, which</w:t>
      </w:r>
      <w:r w:rsidRPr="00492175">
        <w:rPr>
          <w:rFonts w:eastAsia="Calibri" w:cstheme="minorHAnsi"/>
          <w:sz w:val="24"/>
          <w:szCs w:val="24"/>
        </w:rPr>
        <w:t xml:space="preserve"> move away from a descriptive or reactionary position to the future, to articulating imaginative propositions that actively create desirable future landscapes. They seek to encourage agency in the midst of uncertainty and precariousness (Facer et al.</w:t>
      </w:r>
      <w:r w:rsidR="00266022" w:rsidRPr="00492175">
        <w:rPr>
          <w:rFonts w:eastAsia="Calibri" w:cstheme="minorHAnsi"/>
          <w:sz w:val="24"/>
          <w:szCs w:val="24"/>
        </w:rPr>
        <w:t>,</w:t>
      </w:r>
      <w:r w:rsidRPr="00492175">
        <w:rPr>
          <w:rFonts w:eastAsia="Calibri" w:cstheme="minorHAnsi"/>
          <w:sz w:val="24"/>
          <w:szCs w:val="24"/>
        </w:rPr>
        <w:t xml:space="preserve"> 2011). These future landscapes may require us to re</w:t>
      </w:r>
      <w:r w:rsidR="00266022" w:rsidRPr="00492175">
        <w:rPr>
          <w:rFonts w:eastAsia="Calibri" w:cstheme="minorHAnsi"/>
          <w:sz w:val="24"/>
          <w:szCs w:val="24"/>
        </w:rPr>
        <w:t>-</w:t>
      </w:r>
      <w:r w:rsidRPr="00492175">
        <w:rPr>
          <w:rFonts w:eastAsia="Calibri" w:cstheme="minorHAnsi"/>
          <w:sz w:val="24"/>
          <w:szCs w:val="24"/>
        </w:rPr>
        <w:t>think how roles of learner-teacher, adult-child/youth are interchangeable and how a post-humanist perspective may help us in this re</w:t>
      </w:r>
      <w:r w:rsidR="00266022" w:rsidRPr="00492175">
        <w:rPr>
          <w:rFonts w:eastAsia="Calibri" w:cstheme="minorHAnsi"/>
          <w:sz w:val="24"/>
          <w:szCs w:val="24"/>
        </w:rPr>
        <w:t>-</w:t>
      </w:r>
      <w:r w:rsidRPr="00492175">
        <w:rPr>
          <w:rFonts w:eastAsia="Calibri" w:cstheme="minorHAnsi"/>
          <w:sz w:val="24"/>
          <w:szCs w:val="24"/>
        </w:rPr>
        <w:t>imagining.</w:t>
      </w:r>
    </w:p>
    <w:p w:rsidR="006A4DE7" w:rsidRPr="00492175" w:rsidRDefault="006A4DE7" w:rsidP="00044DCF">
      <w:pPr>
        <w:spacing w:after="0" w:line="240" w:lineRule="auto"/>
        <w:rPr>
          <w:rFonts w:cstheme="minorHAnsi"/>
        </w:rPr>
      </w:pPr>
    </w:p>
    <w:p w:rsidR="00492175" w:rsidRPr="00344F92" w:rsidRDefault="00492175" w:rsidP="00492175">
      <w:pPr>
        <w:spacing w:line="480" w:lineRule="auto"/>
        <w:rPr>
          <w:rFonts w:eastAsia="Calibri" w:cstheme="minorHAnsi"/>
          <w:b/>
          <w:bCs/>
          <w:sz w:val="24"/>
          <w:szCs w:val="24"/>
        </w:rPr>
      </w:pPr>
      <w:r w:rsidRPr="00344F92">
        <w:rPr>
          <w:rFonts w:eastAsia="Calibri" w:cstheme="minorHAnsi"/>
          <w:b/>
          <w:bCs/>
          <w:sz w:val="24"/>
          <w:szCs w:val="24"/>
        </w:rPr>
        <w:t>References</w:t>
      </w:r>
    </w:p>
    <w:p w:rsidR="00492175" w:rsidRPr="00344F92" w:rsidRDefault="00492175" w:rsidP="00492175">
      <w:pPr>
        <w:spacing w:after="120" w:line="240" w:lineRule="auto"/>
        <w:rPr>
          <w:rFonts w:eastAsia="Times New Roman" w:cstheme="minorHAnsi"/>
          <w:sz w:val="24"/>
          <w:szCs w:val="24"/>
        </w:rPr>
      </w:pPr>
      <w:r w:rsidRPr="00344F92">
        <w:rPr>
          <w:rFonts w:eastAsia="Times New Roman" w:cstheme="minorHAnsi"/>
          <w:color w:val="000000"/>
          <w:sz w:val="24"/>
          <w:szCs w:val="24"/>
        </w:rPr>
        <w:lastRenderedPageBreak/>
        <w:t xml:space="preserve">Amsler, S. </w:t>
      </w:r>
      <w:r w:rsidR="00344F92">
        <w:rPr>
          <w:rFonts w:eastAsia="Times New Roman" w:cstheme="minorHAnsi"/>
          <w:color w:val="000000"/>
          <w:sz w:val="24"/>
          <w:szCs w:val="24"/>
        </w:rPr>
        <w:t>and</w:t>
      </w:r>
      <w:r w:rsidRPr="00344F92">
        <w:rPr>
          <w:rFonts w:eastAsia="Times New Roman" w:cstheme="minorHAnsi"/>
          <w:color w:val="000000"/>
          <w:sz w:val="24"/>
          <w:szCs w:val="24"/>
        </w:rPr>
        <w:t xml:space="preserve"> Facer, K. (2017). Contesting anticipatory regimes in education: exploring alternative educational orientations to the future</w:t>
      </w:r>
      <w:r w:rsidR="00AB6DA2">
        <w:rPr>
          <w:rFonts w:eastAsia="Times New Roman" w:cstheme="minorHAnsi"/>
          <w:color w:val="000000"/>
          <w:sz w:val="24"/>
          <w:szCs w:val="24"/>
        </w:rPr>
        <w:t>.</w:t>
      </w:r>
      <w:r w:rsidRPr="00344F92">
        <w:rPr>
          <w:rFonts w:eastAsia="Times New Roman" w:cstheme="minorHAnsi"/>
          <w:color w:val="000000"/>
          <w:sz w:val="24"/>
          <w:szCs w:val="24"/>
        </w:rPr>
        <w:t> </w:t>
      </w:r>
      <w:r w:rsidRPr="00344F92">
        <w:rPr>
          <w:rFonts w:eastAsia="Times New Roman" w:cstheme="minorHAnsi"/>
          <w:i/>
          <w:iCs/>
          <w:color w:val="000000"/>
          <w:sz w:val="24"/>
          <w:szCs w:val="24"/>
        </w:rPr>
        <w:t>Futures</w:t>
      </w:r>
      <w:r w:rsidRPr="00344F92">
        <w:rPr>
          <w:rFonts w:eastAsia="Times New Roman" w:cstheme="minorHAnsi"/>
          <w:color w:val="000000"/>
          <w:sz w:val="24"/>
          <w:szCs w:val="24"/>
        </w:rPr>
        <w:t xml:space="preserve">, </w:t>
      </w:r>
      <w:r w:rsidR="00344F92">
        <w:rPr>
          <w:rFonts w:eastAsia="Times New Roman" w:cstheme="minorHAnsi"/>
          <w:color w:val="000000"/>
          <w:sz w:val="24"/>
          <w:szCs w:val="24"/>
        </w:rPr>
        <w:t xml:space="preserve">No. </w:t>
      </w:r>
      <w:r w:rsidRPr="00344F92">
        <w:rPr>
          <w:rFonts w:eastAsia="Times New Roman" w:cstheme="minorHAnsi"/>
          <w:color w:val="000000"/>
          <w:sz w:val="24"/>
          <w:szCs w:val="24"/>
        </w:rPr>
        <w:t xml:space="preserve">94, </w:t>
      </w:r>
      <w:r w:rsidR="00344F92">
        <w:rPr>
          <w:rFonts w:eastAsia="Times New Roman" w:cstheme="minorHAnsi"/>
          <w:color w:val="000000"/>
          <w:sz w:val="24"/>
          <w:szCs w:val="24"/>
        </w:rPr>
        <w:t xml:space="preserve">pp. </w:t>
      </w:r>
      <w:r w:rsidRPr="00344F92">
        <w:rPr>
          <w:rFonts w:eastAsia="Times New Roman" w:cstheme="minorHAnsi"/>
          <w:color w:val="000000"/>
          <w:sz w:val="24"/>
          <w:szCs w:val="24"/>
        </w:rPr>
        <w:t xml:space="preserve">6-14. </w:t>
      </w:r>
    </w:p>
    <w:p w:rsidR="00492175" w:rsidRPr="00344F92" w:rsidRDefault="00492175" w:rsidP="00492175">
      <w:pPr>
        <w:spacing w:after="120" w:line="240" w:lineRule="auto"/>
        <w:rPr>
          <w:rFonts w:eastAsia="Calibri" w:cstheme="minorHAnsi"/>
          <w:color w:val="000000" w:themeColor="text1"/>
          <w:sz w:val="24"/>
          <w:szCs w:val="24"/>
        </w:rPr>
      </w:pPr>
      <w:r w:rsidRPr="00344F92">
        <w:rPr>
          <w:rFonts w:eastAsia="CordiaUPC" w:cstheme="minorHAnsi"/>
          <w:sz w:val="24"/>
          <w:szCs w:val="24"/>
        </w:rPr>
        <w:t>Appadurai, A. (</w:t>
      </w:r>
      <w:r w:rsidRPr="00344F92">
        <w:rPr>
          <w:rFonts w:eastAsia="Calibri" w:cstheme="minorHAnsi"/>
          <w:sz w:val="24"/>
          <w:szCs w:val="24"/>
        </w:rPr>
        <w:t xml:space="preserve">2013) </w:t>
      </w:r>
      <w:r w:rsidRPr="00344F92">
        <w:rPr>
          <w:rFonts w:eastAsia="Calibri" w:cstheme="minorHAnsi"/>
          <w:i/>
          <w:iCs/>
          <w:sz w:val="24"/>
          <w:szCs w:val="24"/>
        </w:rPr>
        <w:t>The future as cultural fact: Essays on the global condition</w:t>
      </w:r>
      <w:r w:rsidRPr="00344F92">
        <w:rPr>
          <w:rFonts w:eastAsia="Calibri" w:cstheme="minorHAnsi"/>
          <w:sz w:val="24"/>
          <w:szCs w:val="24"/>
        </w:rPr>
        <w:t xml:space="preserve">. </w:t>
      </w:r>
      <w:r w:rsidR="00344F92">
        <w:rPr>
          <w:rFonts w:eastAsia="Calibri" w:cstheme="minorHAnsi"/>
          <w:sz w:val="24"/>
          <w:szCs w:val="24"/>
        </w:rPr>
        <w:t xml:space="preserve">New York: </w:t>
      </w:r>
      <w:r w:rsidRPr="00344F92">
        <w:rPr>
          <w:rFonts w:eastAsia="Calibri" w:cstheme="minorHAnsi"/>
          <w:sz w:val="24"/>
          <w:szCs w:val="24"/>
        </w:rPr>
        <w:t>Verso</w:t>
      </w:r>
      <w:r w:rsidR="00344F92">
        <w:rPr>
          <w:rFonts w:eastAsia="Calibri" w:cstheme="minorHAnsi"/>
          <w:sz w:val="24"/>
          <w:szCs w:val="24"/>
        </w:rPr>
        <w:t>.</w:t>
      </w:r>
      <w:r w:rsidRPr="00344F92">
        <w:rPr>
          <w:rFonts w:eastAsia="Calibri" w:cstheme="minorHAnsi"/>
          <w:sz w:val="24"/>
          <w:szCs w:val="24"/>
        </w:rPr>
        <w:t xml:space="preserve"> </w:t>
      </w:r>
    </w:p>
    <w:p w:rsidR="00492175" w:rsidRPr="00344F92" w:rsidRDefault="00492175" w:rsidP="00492175">
      <w:pPr>
        <w:spacing w:after="120" w:line="240" w:lineRule="auto"/>
        <w:rPr>
          <w:rFonts w:cstheme="minorHAnsi"/>
          <w:color w:val="000000" w:themeColor="text1"/>
          <w:sz w:val="24"/>
          <w:szCs w:val="24"/>
        </w:rPr>
      </w:pPr>
      <w:r w:rsidRPr="00344F92">
        <w:rPr>
          <w:rFonts w:eastAsia="Calibri" w:cstheme="minorHAnsi"/>
          <w:color w:val="000000" w:themeColor="text1"/>
          <w:sz w:val="24"/>
          <w:szCs w:val="24"/>
        </w:rPr>
        <w:t>Anderson</w:t>
      </w:r>
      <w:r w:rsidR="00344F92" w:rsidRPr="00344F92">
        <w:rPr>
          <w:rFonts w:eastAsia="Calibri" w:cstheme="minorHAnsi"/>
          <w:color w:val="000000" w:themeColor="text1"/>
          <w:sz w:val="24"/>
          <w:szCs w:val="24"/>
        </w:rPr>
        <w:t>, B.</w:t>
      </w:r>
      <w:r w:rsidRPr="00344F92">
        <w:rPr>
          <w:rFonts w:eastAsia="Calibri" w:cstheme="minorHAnsi"/>
          <w:color w:val="000000" w:themeColor="text1"/>
          <w:sz w:val="24"/>
          <w:szCs w:val="24"/>
        </w:rPr>
        <w:t xml:space="preserve"> 2010</w:t>
      </w:r>
      <w:r w:rsidRPr="00344F92">
        <w:rPr>
          <w:rFonts w:cstheme="minorHAnsi"/>
          <w:color w:val="000000" w:themeColor="text1"/>
          <w:sz w:val="24"/>
          <w:szCs w:val="24"/>
          <w:shd w:val="clear" w:color="auto" w:fill="FFFFFF"/>
        </w:rPr>
        <w:t>.</w:t>
      </w:r>
      <w:r w:rsidRPr="00344F92">
        <w:rPr>
          <w:rStyle w:val="apple-converted-space"/>
          <w:rFonts w:cstheme="minorHAnsi"/>
          <w:color w:val="000000" w:themeColor="text1"/>
          <w:sz w:val="24"/>
          <w:szCs w:val="24"/>
          <w:shd w:val="clear" w:color="auto" w:fill="FFFFFF"/>
        </w:rPr>
        <w:t> </w:t>
      </w:r>
      <w:r w:rsidRPr="00344F92">
        <w:rPr>
          <w:rFonts w:cstheme="minorHAnsi"/>
          <w:color w:val="000000" w:themeColor="text1"/>
          <w:sz w:val="24"/>
          <w:szCs w:val="24"/>
        </w:rPr>
        <w:t>Preemption, Precaution, Preparedness: Anticipatory Action and Future Geographies</w:t>
      </w:r>
      <w:r w:rsidRPr="00344F92">
        <w:rPr>
          <w:rFonts w:cstheme="minorHAnsi"/>
          <w:color w:val="000000" w:themeColor="text1"/>
          <w:sz w:val="24"/>
          <w:szCs w:val="24"/>
          <w:shd w:val="clear" w:color="auto" w:fill="FFFFFF"/>
        </w:rPr>
        <w:t>.</w:t>
      </w:r>
      <w:r w:rsidRPr="00344F92">
        <w:rPr>
          <w:rStyle w:val="apple-converted-space"/>
          <w:rFonts w:cstheme="minorHAnsi"/>
          <w:color w:val="000000" w:themeColor="text1"/>
          <w:sz w:val="24"/>
          <w:szCs w:val="24"/>
          <w:shd w:val="clear" w:color="auto" w:fill="FFFFFF"/>
        </w:rPr>
        <w:t> </w:t>
      </w:r>
      <w:r w:rsidRPr="00344F92">
        <w:rPr>
          <w:rFonts w:cstheme="minorHAnsi"/>
          <w:i/>
          <w:iCs/>
          <w:color w:val="000000" w:themeColor="text1"/>
          <w:sz w:val="24"/>
          <w:szCs w:val="24"/>
        </w:rPr>
        <w:t>Progress in Human Geography</w:t>
      </w:r>
      <w:r w:rsidR="00344F92">
        <w:rPr>
          <w:rFonts w:cstheme="minorHAnsi"/>
          <w:color w:val="000000" w:themeColor="text1"/>
          <w:sz w:val="24"/>
          <w:szCs w:val="24"/>
          <w:shd w:val="clear" w:color="auto" w:fill="FFFFFF"/>
        </w:rPr>
        <w:t>, No.</w:t>
      </w:r>
      <w:r w:rsidRPr="00344F92">
        <w:rPr>
          <w:rFonts w:cstheme="minorHAnsi"/>
          <w:color w:val="000000" w:themeColor="text1"/>
          <w:sz w:val="24"/>
          <w:szCs w:val="24"/>
          <w:shd w:val="clear" w:color="auto" w:fill="FFFFFF"/>
        </w:rPr>
        <w:t xml:space="preserve"> 34</w:t>
      </w:r>
      <w:r w:rsidR="00344F92">
        <w:rPr>
          <w:rFonts w:cstheme="minorHAnsi"/>
          <w:color w:val="000000" w:themeColor="text1"/>
          <w:sz w:val="24"/>
          <w:szCs w:val="24"/>
          <w:shd w:val="clear" w:color="auto" w:fill="FFFFFF"/>
        </w:rPr>
        <w:t xml:space="preserve">, pp. </w:t>
      </w:r>
      <w:r w:rsidRPr="00344F92">
        <w:rPr>
          <w:rFonts w:cstheme="minorHAnsi"/>
          <w:color w:val="000000" w:themeColor="text1"/>
          <w:sz w:val="24"/>
          <w:szCs w:val="24"/>
          <w:shd w:val="clear" w:color="auto" w:fill="FFFFFF"/>
        </w:rPr>
        <w:t>777-798</w:t>
      </w:r>
      <w:r w:rsidR="00344F92">
        <w:rPr>
          <w:rFonts w:cstheme="minorHAnsi"/>
          <w:color w:val="000000" w:themeColor="text1"/>
          <w:sz w:val="24"/>
          <w:szCs w:val="24"/>
          <w:shd w:val="clear" w:color="auto" w:fill="FFFFFF"/>
        </w:rPr>
        <w:t>.</w:t>
      </w:r>
    </w:p>
    <w:p w:rsidR="00492175" w:rsidRPr="00344F92" w:rsidRDefault="00492175" w:rsidP="00492175">
      <w:pPr>
        <w:spacing w:after="120" w:line="240" w:lineRule="auto"/>
        <w:rPr>
          <w:rFonts w:cstheme="minorHAnsi"/>
          <w:sz w:val="24"/>
          <w:szCs w:val="24"/>
        </w:rPr>
      </w:pPr>
      <w:r w:rsidRPr="00344F92">
        <w:rPr>
          <w:rFonts w:eastAsia="CordiaUPC" w:cstheme="minorHAnsi"/>
          <w:sz w:val="24"/>
          <w:szCs w:val="24"/>
        </w:rPr>
        <w:t xml:space="preserve">Bateman, D. 2014. Untangling teachers’ images of their futures through their responses to the futures narratives of children, </w:t>
      </w:r>
      <w:r w:rsidRPr="00344F92">
        <w:rPr>
          <w:rFonts w:eastAsia="CordiaUPC" w:cstheme="minorHAnsi"/>
          <w:i/>
          <w:sz w:val="24"/>
          <w:szCs w:val="24"/>
        </w:rPr>
        <w:t>Journal of Futures Studies</w:t>
      </w:r>
      <w:r w:rsidRPr="00344F92">
        <w:rPr>
          <w:rFonts w:eastAsia="CordiaUPC" w:cstheme="minorHAnsi"/>
          <w:sz w:val="24"/>
          <w:szCs w:val="24"/>
        </w:rPr>
        <w:t>,</w:t>
      </w:r>
      <w:r w:rsidR="00344F92">
        <w:rPr>
          <w:rFonts w:eastAsia="CordiaUPC" w:cstheme="minorHAnsi"/>
          <w:sz w:val="24"/>
          <w:szCs w:val="24"/>
        </w:rPr>
        <w:t xml:space="preserve"> No. </w:t>
      </w:r>
      <w:r w:rsidRPr="00344F92">
        <w:rPr>
          <w:rFonts w:eastAsia="CordiaUPC" w:cstheme="minorHAnsi"/>
          <w:sz w:val="24"/>
          <w:szCs w:val="24"/>
        </w:rPr>
        <w:t>18</w:t>
      </w:r>
      <w:r w:rsidR="00344F92">
        <w:rPr>
          <w:rFonts w:eastAsia="CordiaUPC" w:cstheme="minorHAnsi"/>
          <w:sz w:val="24"/>
          <w:szCs w:val="24"/>
        </w:rPr>
        <w:t xml:space="preserve">, Vol. </w:t>
      </w:r>
      <w:r w:rsidRPr="00344F92">
        <w:rPr>
          <w:rFonts w:eastAsia="CordiaUPC" w:cstheme="minorHAnsi"/>
          <w:sz w:val="24"/>
          <w:szCs w:val="24"/>
        </w:rPr>
        <w:t>3</w:t>
      </w:r>
      <w:r w:rsidR="00344F92">
        <w:rPr>
          <w:rFonts w:eastAsia="CordiaUPC" w:cstheme="minorHAnsi"/>
          <w:sz w:val="24"/>
          <w:szCs w:val="24"/>
        </w:rPr>
        <w:t>, pp.</w:t>
      </w:r>
      <w:r w:rsidRPr="00344F92">
        <w:rPr>
          <w:rFonts w:eastAsia="CordiaUPC" w:cstheme="minorHAnsi"/>
          <w:sz w:val="24"/>
          <w:szCs w:val="24"/>
        </w:rPr>
        <w:t xml:space="preserve"> 41-56. </w:t>
      </w:r>
    </w:p>
    <w:p w:rsidR="00492175" w:rsidRPr="00344F92" w:rsidRDefault="00492175" w:rsidP="00492175">
      <w:pPr>
        <w:spacing w:after="120" w:line="240" w:lineRule="auto"/>
        <w:rPr>
          <w:rFonts w:eastAsia="Times New Roman" w:cstheme="minorHAnsi"/>
          <w:sz w:val="24"/>
          <w:szCs w:val="24"/>
        </w:rPr>
      </w:pPr>
      <w:r w:rsidRPr="00344F92">
        <w:rPr>
          <w:rFonts w:eastAsia="Times New Roman" w:cstheme="minorHAnsi"/>
          <w:color w:val="000000"/>
          <w:sz w:val="24"/>
          <w:szCs w:val="24"/>
        </w:rPr>
        <w:t xml:space="preserve">Bruhm, S. </w:t>
      </w:r>
      <w:r w:rsidR="00344F92">
        <w:rPr>
          <w:rFonts w:eastAsia="Times New Roman" w:cstheme="minorHAnsi"/>
          <w:color w:val="000000"/>
          <w:sz w:val="24"/>
          <w:szCs w:val="24"/>
        </w:rPr>
        <w:t>and</w:t>
      </w:r>
      <w:r w:rsidRPr="00344F92">
        <w:rPr>
          <w:rFonts w:eastAsia="Times New Roman" w:cstheme="minorHAnsi"/>
          <w:color w:val="000000"/>
          <w:sz w:val="24"/>
          <w:szCs w:val="24"/>
        </w:rPr>
        <w:t xml:space="preserve"> Hurley, N. 2004. </w:t>
      </w:r>
      <w:r w:rsidRPr="00344F92">
        <w:rPr>
          <w:rFonts w:eastAsia="Times New Roman" w:cstheme="minorHAnsi"/>
          <w:i/>
          <w:color w:val="000000"/>
          <w:sz w:val="24"/>
          <w:szCs w:val="24"/>
        </w:rPr>
        <w:t>Curiouser: On the queerness of children</w:t>
      </w:r>
      <w:r w:rsidRPr="00344F92">
        <w:rPr>
          <w:rFonts w:eastAsia="Times New Roman" w:cstheme="minorHAnsi"/>
          <w:color w:val="000000"/>
          <w:sz w:val="24"/>
          <w:szCs w:val="24"/>
        </w:rPr>
        <w:t xml:space="preserve">. </w:t>
      </w:r>
      <w:r w:rsidR="00344F92" w:rsidRPr="00344F92">
        <w:rPr>
          <w:rFonts w:eastAsia="Times New Roman" w:cstheme="minorHAnsi"/>
          <w:color w:val="000000"/>
          <w:sz w:val="24"/>
          <w:szCs w:val="24"/>
        </w:rPr>
        <w:t>Minneapolis</w:t>
      </w:r>
      <w:r w:rsidR="00344F92">
        <w:rPr>
          <w:rFonts w:eastAsia="Times New Roman" w:cstheme="minorHAnsi"/>
          <w:color w:val="000000"/>
          <w:sz w:val="24"/>
          <w:szCs w:val="24"/>
        </w:rPr>
        <w:t xml:space="preserve">: </w:t>
      </w:r>
      <w:r w:rsidRPr="00344F92">
        <w:rPr>
          <w:rFonts w:eastAsia="Times New Roman" w:cstheme="minorHAnsi"/>
          <w:color w:val="000000"/>
          <w:sz w:val="24"/>
          <w:szCs w:val="24"/>
        </w:rPr>
        <w:t>University of Minneapolis Press.  </w:t>
      </w:r>
    </w:p>
    <w:p w:rsidR="00492175" w:rsidRPr="00344F92" w:rsidRDefault="00492175" w:rsidP="00492175">
      <w:pPr>
        <w:spacing w:after="120" w:line="240" w:lineRule="auto"/>
        <w:rPr>
          <w:rFonts w:eastAsia="Calibri" w:cstheme="minorHAnsi"/>
          <w:sz w:val="24"/>
          <w:szCs w:val="24"/>
        </w:rPr>
      </w:pPr>
      <w:r w:rsidRPr="00344F92">
        <w:rPr>
          <w:rFonts w:eastAsia="Calibri" w:cstheme="minorHAnsi"/>
          <w:sz w:val="24"/>
          <w:szCs w:val="24"/>
        </w:rPr>
        <w:t xml:space="preserve">Colebrook, C. 2014. </w:t>
      </w:r>
      <w:r w:rsidRPr="00344F92">
        <w:rPr>
          <w:rFonts w:eastAsia="Calibri" w:cstheme="minorHAnsi"/>
          <w:i/>
          <w:sz w:val="24"/>
          <w:szCs w:val="24"/>
        </w:rPr>
        <w:t>Death of the post-human: Essays on extinction</w:t>
      </w:r>
      <w:r w:rsidRPr="00344F92">
        <w:rPr>
          <w:rFonts w:eastAsia="Calibri" w:cstheme="minorHAnsi"/>
          <w:sz w:val="24"/>
          <w:szCs w:val="24"/>
        </w:rPr>
        <w:t xml:space="preserve">. Vol 1. Michigan: Open Humanities Press. </w:t>
      </w:r>
      <w:hyperlink r:id="rId4" w:history="1">
        <w:r w:rsidRPr="00344F92">
          <w:rPr>
            <w:rStyle w:val="Hyperlink"/>
            <w:rFonts w:eastAsia="Calibri" w:cstheme="minorHAnsi"/>
            <w:sz w:val="24"/>
            <w:szCs w:val="24"/>
          </w:rPr>
          <w:t>http://openhumanitiespress.org/books/download/Colebrook_2014_Death-of-the-PostHuman.pdf</w:t>
        </w:r>
      </w:hyperlink>
    </w:p>
    <w:p w:rsidR="00492175" w:rsidRPr="00344F92" w:rsidRDefault="00492175" w:rsidP="00492175">
      <w:pPr>
        <w:spacing w:after="120" w:line="240" w:lineRule="auto"/>
        <w:rPr>
          <w:rFonts w:eastAsia="Times New Roman" w:cstheme="minorHAnsi"/>
          <w:color w:val="000000"/>
          <w:sz w:val="24"/>
          <w:szCs w:val="24"/>
        </w:rPr>
      </w:pPr>
      <w:r w:rsidRPr="00344F92">
        <w:rPr>
          <w:rFonts w:eastAsia="Times New Roman" w:cstheme="minorHAnsi"/>
          <w:color w:val="000000"/>
          <w:sz w:val="24"/>
          <w:szCs w:val="24"/>
        </w:rPr>
        <w:t>Coleman, R.</w:t>
      </w:r>
      <w:r w:rsidR="00AB6DA2">
        <w:rPr>
          <w:rFonts w:eastAsia="Times New Roman" w:cstheme="minorHAnsi"/>
          <w:color w:val="000000"/>
          <w:sz w:val="24"/>
          <w:szCs w:val="24"/>
        </w:rPr>
        <w:t xml:space="preserve"> and</w:t>
      </w:r>
      <w:r w:rsidRPr="00344F92">
        <w:rPr>
          <w:rFonts w:eastAsia="Times New Roman" w:cstheme="minorHAnsi"/>
          <w:color w:val="000000"/>
          <w:sz w:val="24"/>
          <w:szCs w:val="24"/>
        </w:rPr>
        <w:t xml:space="preserve"> Tutton, R. 2017 Introduction to Special Issue of </w:t>
      </w:r>
      <w:r w:rsidRPr="00AB6DA2">
        <w:rPr>
          <w:rFonts w:eastAsia="Times New Roman" w:cstheme="minorHAnsi"/>
          <w:i/>
          <w:iCs/>
          <w:color w:val="000000"/>
          <w:sz w:val="24"/>
          <w:szCs w:val="24"/>
        </w:rPr>
        <w:t>Sociological Review</w:t>
      </w:r>
      <w:r w:rsidRPr="00344F92">
        <w:rPr>
          <w:rFonts w:eastAsia="Times New Roman" w:cstheme="minorHAnsi"/>
          <w:color w:val="000000"/>
          <w:sz w:val="24"/>
          <w:szCs w:val="24"/>
        </w:rPr>
        <w:t xml:space="preserve"> on ‘Futures in Question: Theories, Methods, Practices’</w:t>
      </w:r>
      <w:r w:rsidR="00AB6DA2">
        <w:rPr>
          <w:rFonts w:eastAsia="Times New Roman" w:cstheme="minorHAnsi"/>
          <w:color w:val="000000"/>
          <w:sz w:val="24"/>
          <w:szCs w:val="24"/>
        </w:rPr>
        <w:t xml:space="preserve">. </w:t>
      </w:r>
      <w:r w:rsidR="00AB6DA2" w:rsidRPr="00AB6DA2">
        <w:rPr>
          <w:rFonts w:eastAsia="Times New Roman" w:cstheme="minorHAnsi"/>
          <w:i/>
          <w:iCs/>
          <w:color w:val="000000"/>
          <w:sz w:val="24"/>
          <w:szCs w:val="24"/>
        </w:rPr>
        <w:t>Sociological Review</w:t>
      </w:r>
      <w:r w:rsidR="00AB6DA2">
        <w:rPr>
          <w:rFonts w:eastAsia="Times New Roman" w:cstheme="minorHAnsi"/>
          <w:color w:val="000000"/>
          <w:sz w:val="24"/>
          <w:szCs w:val="24"/>
        </w:rPr>
        <w:t>,</w:t>
      </w:r>
      <w:r w:rsidRPr="00344F92">
        <w:rPr>
          <w:rFonts w:eastAsia="Times New Roman" w:cstheme="minorHAnsi"/>
          <w:color w:val="000000"/>
          <w:sz w:val="24"/>
          <w:szCs w:val="24"/>
        </w:rPr>
        <w:t xml:space="preserve"> </w:t>
      </w:r>
      <w:r w:rsidR="00AB6DA2">
        <w:rPr>
          <w:rFonts w:eastAsia="Times New Roman" w:cstheme="minorHAnsi"/>
          <w:color w:val="000000"/>
          <w:sz w:val="24"/>
          <w:szCs w:val="24"/>
        </w:rPr>
        <w:t xml:space="preserve">Vol. </w:t>
      </w:r>
      <w:r w:rsidRPr="00344F92">
        <w:rPr>
          <w:rFonts w:eastAsia="Times New Roman" w:cstheme="minorHAnsi"/>
          <w:color w:val="000000"/>
          <w:sz w:val="24"/>
          <w:szCs w:val="24"/>
        </w:rPr>
        <w:t>65</w:t>
      </w:r>
      <w:r w:rsidR="00AB6DA2">
        <w:rPr>
          <w:rFonts w:eastAsia="Times New Roman" w:cstheme="minorHAnsi"/>
          <w:color w:val="000000"/>
          <w:sz w:val="24"/>
          <w:szCs w:val="24"/>
        </w:rPr>
        <w:t xml:space="preserve">, No. </w:t>
      </w:r>
      <w:r w:rsidRPr="00344F92">
        <w:rPr>
          <w:rFonts w:eastAsia="Times New Roman" w:cstheme="minorHAnsi"/>
          <w:color w:val="000000"/>
          <w:sz w:val="24"/>
          <w:szCs w:val="24"/>
        </w:rPr>
        <w:t>3</w:t>
      </w:r>
      <w:r w:rsidR="00AB6DA2">
        <w:rPr>
          <w:rFonts w:eastAsia="Times New Roman" w:cstheme="minorHAnsi"/>
          <w:color w:val="000000"/>
          <w:sz w:val="24"/>
          <w:szCs w:val="24"/>
        </w:rPr>
        <w:t>, pp.</w:t>
      </w:r>
      <w:r w:rsidRPr="00344F92">
        <w:rPr>
          <w:rFonts w:eastAsia="Times New Roman" w:cstheme="minorHAnsi"/>
          <w:color w:val="000000"/>
          <w:sz w:val="24"/>
          <w:szCs w:val="24"/>
        </w:rPr>
        <w:t xml:space="preserve"> 440-447.</w:t>
      </w:r>
    </w:p>
    <w:p w:rsidR="00492175" w:rsidRPr="00344F92" w:rsidRDefault="00492175" w:rsidP="00492175">
      <w:pPr>
        <w:spacing w:after="120" w:line="240" w:lineRule="auto"/>
        <w:rPr>
          <w:rFonts w:eastAsia="Times New Roman" w:cstheme="minorHAnsi"/>
          <w:sz w:val="24"/>
          <w:szCs w:val="24"/>
        </w:rPr>
      </w:pPr>
      <w:r w:rsidRPr="00344F92">
        <w:rPr>
          <w:rFonts w:eastAsia="Times New Roman" w:cstheme="minorHAnsi"/>
          <w:color w:val="000000"/>
          <w:sz w:val="24"/>
          <w:szCs w:val="24"/>
        </w:rPr>
        <w:t>Facer, K. 2016. Using the future in education: Creating space for openness, hope and novelty. In H. E. Lees &amp; N. Noddings (</w:t>
      </w:r>
      <w:r w:rsidR="00AB6DA2">
        <w:rPr>
          <w:rFonts w:eastAsia="Times New Roman" w:cstheme="minorHAnsi"/>
          <w:color w:val="000000"/>
          <w:sz w:val="24"/>
          <w:szCs w:val="24"/>
        </w:rPr>
        <w:t>e</w:t>
      </w:r>
      <w:r w:rsidRPr="00344F92">
        <w:rPr>
          <w:rFonts w:eastAsia="Times New Roman" w:cstheme="minorHAnsi"/>
          <w:color w:val="000000"/>
          <w:sz w:val="24"/>
          <w:szCs w:val="24"/>
        </w:rPr>
        <w:t>ds.)</w:t>
      </w:r>
      <w:r w:rsidR="00AB6DA2">
        <w:rPr>
          <w:rFonts w:eastAsia="Times New Roman" w:cstheme="minorHAnsi"/>
          <w:color w:val="000000"/>
          <w:sz w:val="24"/>
          <w:szCs w:val="24"/>
        </w:rPr>
        <w:t>. In</w:t>
      </w:r>
      <w:r w:rsidRPr="00344F92">
        <w:rPr>
          <w:rFonts w:eastAsia="Times New Roman" w:cstheme="minorHAnsi"/>
          <w:color w:val="000000"/>
          <w:sz w:val="24"/>
          <w:szCs w:val="24"/>
        </w:rPr>
        <w:t xml:space="preserve"> </w:t>
      </w:r>
      <w:r w:rsidRPr="00344F92">
        <w:rPr>
          <w:rFonts w:eastAsia="Times New Roman" w:cstheme="minorHAnsi"/>
          <w:i/>
          <w:color w:val="000000"/>
          <w:sz w:val="24"/>
          <w:szCs w:val="24"/>
        </w:rPr>
        <w:t>The Palgrave International Handbook of Alternative Education</w:t>
      </w:r>
      <w:r w:rsidR="00AB6DA2">
        <w:rPr>
          <w:rFonts w:eastAsia="Times New Roman" w:cstheme="minorHAnsi"/>
          <w:color w:val="000000"/>
          <w:sz w:val="24"/>
          <w:szCs w:val="24"/>
        </w:rPr>
        <w:t xml:space="preserve">, </w:t>
      </w:r>
      <w:r w:rsidRPr="00344F92">
        <w:rPr>
          <w:rFonts w:eastAsia="Times New Roman" w:cstheme="minorHAnsi"/>
          <w:color w:val="000000"/>
          <w:sz w:val="24"/>
          <w:szCs w:val="24"/>
        </w:rPr>
        <w:t>pp. 52-67. London: Palgrave Macmillan. </w:t>
      </w:r>
    </w:p>
    <w:p w:rsidR="00492175" w:rsidRPr="00344F92" w:rsidRDefault="00492175" w:rsidP="00AB6DA2">
      <w:pPr>
        <w:spacing w:after="0" w:line="240" w:lineRule="auto"/>
        <w:rPr>
          <w:rFonts w:eastAsia="Calibri" w:cstheme="minorHAnsi"/>
          <w:sz w:val="24"/>
          <w:szCs w:val="24"/>
        </w:rPr>
      </w:pPr>
      <w:r w:rsidRPr="00344F92">
        <w:rPr>
          <w:rFonts w:eastAsia="Calibri" w:cstheme="minorHAnsi"/>
          <w:sz w:val="24"/>
          <w:szCs w:val="24"/>
        </w:rPr>
        <w:t xml:space="preserve">Facer, K., Craft, A., Jewitt, C., Mauger, S., Sandford, R. </w:t>
      </w:r>
      <w:r w:rsidR="00AB6DA2">
        <w:rPr>
          <w:rFonts w:eastAsia="Calibri" w:cstheme="minorHAnsi"/>
          <w:sz w:val="24"/>
          <w:szCs w:val="24"/>
        </w:rPr>
        <w:t>and</w:t>
      </w:r>
      <w:r w:rsidRPr="00344F92">
        <w:rPr>
          <w:rFonts w:eastAsia="Calibri" w:cstheme="minorHAnsi"/>
          <w:sz w:val="24"/>
          <w:szCs w:val="24"/>
        </w:rPr>
        <w:t xml:space="preserve"> Sharples, M. 2011</w:t>
      </w:r>
      <w:r w:rsidR="00AB6DA2">
        <w:rPr>
          <w:rFonts w:eastAsia="Calibri" w:cstheme="minorHAnsi"/>
          <w:sz w:val="24"/>
          <w:szCs w:val="24"/>
        </w:rPr>
        <w:t>.</w:t>
      </w:r>
      <w:r w:rsidRPr="00344F92">
        <w:rPr>
          <w:rFonts w:eastAsia="Calibri" w:cstheme="minorHAnsi"/>
          <w:sz w:val="24"/>
          <w:szCs w:val="24"/>
        </w:rPr>
        <w:t xml:space="preserve"> </w:t>
      </w:r>
      <w:r w:rsidRPr="00344F92">
        <w:rPr>
          <w:rFonts w:eastAsia="Calibri" w:cstheme="minorHAnsi"/>
          <w:i/>
          <w:iCs/>
          <w:sz w:val="24"/>
          <w:szCs w:val="24"/>
        </w:rPr>
        <w:t xml:space="preserve">Building </w:t>
      </w:r>
    </w:p>
    <w:p w:rsidR="00492175" w:rsidRPr="00344F92" w:rsidRDefault="00492175" w:rsidP="00AB6DA2">
      <w:pPr>
        <w:spacing w:after="0" w:line="240" w:lineRule="auto"/>
        <w:rPr>
          <w:rFonts w:eastAsia="Calibri" w:cstheme="minorHAnsi"/>
          <w:sz w:val="24"/>
          <w:szCs w:val="24"/>
        </w:rPr>
      </w:pPr>
      <w:r w:rsidRPr="00344F92">
        <w:rPr>
          <w:rFonts w:eastAsia="Calibri" w:cstheme="minorHAnsi"/>
          <w:i/>
          <w:iCs/>
          <w:sz w:val="24"/>
          <w:szCs w:val="24"/>
        </w:rPr>
        <w:t>Agency in the Face of Uncertainty: A thinking tool for educators and education leaders</w:t>
      </w:r>
      <w:r w:rsidRPr="00344F92">
        <w:rPr>
          <w:rFonts w:eastAsia="Calibri" w:cstheme="minorHAnsi"/>
          <w:sz w:val="24"/>
          <w:szCs w:val="24"/>
        </w:rPr>
        <w:t xml:space="preserve">. </w:t>
      </w:r>
      <w:hyperlink r:id="rId5" w:history="1">
        <w:r w:rsidRPr="00344F92">
          <w:rPr>
            <w:rStyle w:val="Hyperlink"/>
            <w:rFonts w:eastAsia="Calibri" w:cstheme="minorHAnsi"/>
            <w:sz w:val="24"/>
            <w:szCs w:val="24"/>
          </w:rPr>
          <w:t>http://richardsandford.net/edfutures/wp-content/uploads/2011/06/Building-Agency-in-the-Face-of- Uncertainty-Thinking-Tool.pdf</w:t>
        </w:r>
      </w:hyperlink>
    </w:p>
    <w:p w:rsidR="00AB6DA2" w:rsidRDefault="00AB6DA2" w:rsidP="00AB6DA2">
      <w:pPr>
        <w:spacing w:after="0" w:line="240" w:lineRule="auto"/>
        <w:rPr>
          <w:rFonts w:eastAsia="Calibri" w:cstheme="minorHAnsi"/>
          <w:sz w:val="24"/>
          <w:szCs w:val="24"/>
        </w:rPr>
      </w:pPr>
    </w:p>
    <w:p w:rsidR="00492175" w:rsidRDefault="00492175" w:rsidP="00AB6DA2">
      <w:pPr>
        <w:spacing w:after="0" w:line="240" w:lineRule="auto"/>
        <w:rPr>
          <w:rFonts w:eastAsia="Calibri" w:cstheme="minorHAnsi"/>
          <w:sz w:val="24"/>
          <w:szCs w:val="24"/>
        </w:rPr>
      </w:pPr>
      <w:r w:rsidRPr="00344F92">
        <w:rPr>
          <w:rFonts w:eastAsia="Calibri" w:cstheme="minorHAnsi"/>
          <w:sz w:val="24"/>
          <w:szCs w:val="24"/>
        </w:rPr>
        <w:t>Ivinson, G.</w:t>
      </w:r>
      <w:r w:rsidR="00AB6DA2">
        <w:rPr>
          <w:rFonts w:eastAsia="Calibri" w:cstheme="minorHAnsi"/>
          <w:sz w:val="24"/>
          <w:szCs w:val="24"/>
        </w:rPr>
        <w:t xml:space="preserve"> and</w:t>
      </w:r>
      <w:r w:rsidRPr="00344F92">
        <w:rPr>
          <w:rFonts w:eastAsia="Calibri" w:cstheme="minorHAnsi"/>
          <w:sz w:val="24"/>
          <w:szCs w:val="24"/>
        </w:rPr>
        <w:t xml:space="preserve"> Renold, E. 2013. Subjectivity, affect and place: Thinking with Deleuze and Guattari’s Body without Organs to explore a young girl’s becomings in a post-industrial locale</w:t>
      </w:r>
      <w:r w:rsidR="00AB6DA2">
        <w:rPr>
          <w:rFonts w:eastAsia="Calibri" w:cstheme="minorHAnsi"/>
          <w:sz w:val="24"/>
          <w:szCs w:val="24"/>
        </w:rPr>
        <w:t>.</w:t>
      </w:r>
      <w:r w:rsidRPr="00344F92">
        <w:rPr>
          <w:rFonts w:eastAsia="Calibri" w:cstheme="minorHAnsi"/>
          <w:sz w:val="24"/>
          <w:szCs w:val="24"/>
        </w:rPr>
        <w:t> </w:t>
      </w:r>
      <w:r w:rsidRPr="00344F92">
        <w:rPr>
          <w:rFonts w:eastAsia="Calibri" w:cstheme="minorHAnsi"/>
          <w:i/>
          <w:iCs/>
          <w:sz w:val="24"/>
          <w:szCs w:val="24"/>
        </w:rPr>
        <w:t>Subjectivity</w:t>
      </w:r>
      <w:r w:rsidRPr="00344F92">
        <w:rPr>
          <w:rFonts w:eastAsia="Calibri" w:cstheme="minorHAnsi"/>
          <w:sz w:val="24"/>
          <w:szCs w:val="24"/>
        </w:rPr>
        <w:t>, </w:t>
      </w:r>
      <w:r w:rsidR="00AB6DA2">
        <w:rPr>
          <w:rFonts w:eastAsia="Calibri" w:cstheme="minorHAnsi"/>
          <w:sz w:val="24"/>
          <w:szCs w:val="24"/>
        </w:rPr>
        <w:t>Vol</w:t>
      </w:r>
      <w:r w:rsidR="00AB6DA2" w:rsidRPr="00AB6DA2">
        <w:rPr>
          <w:rFonts w:eastAsia="Calibri" w:cstheme="minorHAnsi"/>
          <w:sz w:val="24"/>
          <w:szCs w:val="24"/>
        </w:rPr>
        <w:t xml:space="preserve">. </w:t>
      </w:r>
      <w:r w:rsidRPr="00AB6DA2">
        <w:rPr>
          <w:rFonts w:eastAsia="Calibri" w:cstheme="minorHAnsi"/>
          <w:sz w:val="24"/>
          <w:szCs w:val="24"/>
        </w:rPr>
        <w:t>6</w:t>
      </w:r>
      <w:r w:rsidR="00AB6DA2" w:rsidRPr="00AB6DA2">
        <w:rPr>
          <w:rFonts w:eastAsia="Calibri" w:cstheme="minorHAnsi"/>
          <w:sz w:val="24"/>
          <w:szCs w:val="24"/>
        </w:rPr>
        <w:t xml:space="preserve">, No. </w:t>
      </w:r>
      <w:r w:rsidRPr="00AB6DA2">
        <w:rPr>
          <w:rFonts w:eastAsia="Calibri" w:cstheme="minorHAnsi"/>
          <w:sz w:val="24"/>
          <w:szCs w:val="24"/>
        </w:rPr>
        <w:t>4,</w:t>
      </w:r>
      <w:r w:rsidR="00AB6DA2" w:rsidRPr="00AB6DA2">
        <w:rPr>
          <w:rFonts w:eastAsia="Calibri" w:cstheme="minorHAnsi"/>
          <w:sz w:val="24"/>
          <w:szCs w:val="24"/>
        </w:rPr>
        <w:t xml:space="preserve"> pp.</w:t>
      </w:r>
      <w:r w:rsidRPr="00AB6DA2">
        <w:rPr>
          <w:rFonts w:eastAsia="Calibri" w:cstheme="minorHAnsi"/>
          <w:sz w:val="24"/>
          <w:szCs w:val="24"/>
        </w:rPr>
        <w:t xml:space="preserve"> 369-390.</w:t>
      </w:r>
    </w:p>
    <w:p w:rsidR="00AB6DA2" w:rsidRPr="00344F92" w:rsidRDefault="00AB6DA2" w:rsidP="00AB6DA2">
      <w:pPr>
        <w:spacing w:after="0" w:line="240" w:lineRule="auto"/>
        <w:rPr>
          <w:rFonts w:eastAsia="Calibri" w:cstheme="minorHAnsi"/>
          <w:sz w:val="24"/>
          <w:szCs w:val="24"/>
        </w:rPr>
      </w:pPr>
    </w:p>
    <w:p w:rsidR="00492175" w:rsidRPr="00344F92" w:rsidRDefault="00492175" w:rsidP="00492175">
      <w:pPr>
        <w:spacing w:after="120" w:line="240" w:lineRule="auto"/>
        <w:rPr>
          <w:rFonts w:eastAsia="Calibri" w:cstheme="minorHAnsi"/>
          <w:sz w:val="24"/>
          <w:szCs w:val="24"/>
        </w:rPr>
      </w:pPr>
      <w:r w:rsidRPr="00344F92">
        <w:rPr>
          <w:rFonts w:eastAsia="Calibri" w:cstheme="minorHAnsi"/>
          <w:sz w:val="24"/>
          <w:szCs w:val="24"/>
        </w:rPr>
        <w:t>Lee, N. 2011</w:t>
      </w:r>
      <w:r w:rsidR="00AB6DA2">
        <w:rPr>
          <w:rFonts w:eastAsia="Calibri" w:cstheme="minorHAnsi"/>
          <w:sz w:val="24"/>
          <w:szCs w:val="24"/>
        </w:rPr>
        <w:t>.</w:t>
      </w:r>
      <w:r w:rsidRPr="00344F92">
        <w:rPr>
          <w:rFonts w:eastAsia="Calibri" w:cstheme="minorHAnsi"/>
          <w:sz w:val="24"/>
          <w:szCs w:val="24"/>
        </w:rPr>
        <w:t xml:space="preserve"> </w:t>
      </w:r>
      <w:r w:rsidRPr="00344F92">
        <w:rPr>
          <w:rFonts w:eastAsia="Calibri" w:cstheme="minorHAnsi"/>
          <w:i/>
          <w:sz w:val="24"/>
          <w:szCs w:val="24"/>
        </w:rPr>
        <w:t>Childhood and Biopolitics: Climate Change, Bio-science and Human Futures</w:t>
      </w:r>
      <w:r w:rsidRPr="00344F92">
        <w:rPr>
          <w:rFonts w:eastAsia="Calibri" w:cstheme="minorHAnsi"/>
          <w:sz w:val="24"/>
          <w:szCs w:val="24"/>
        </w:rPr>
        <w:t>. London: Palgrave Macmillian.</w:t>
      </w:r>
    </w:p>
    <w:p w:rsidR="00492175" w:rsidRPr="00344F92" w:rsidRDefault="00492175" w:rsidP="00492175">
      <w:pPr>
        <w:spacing w:after="120" w:line="240" w:lineRule="auto"/>
        <w:rPr>
          <w:rFonts w:eastAsia="Calibri" w:cstheme="minorHAnsi"/>
          <w:sz w:val="24"/>
          <w:szCs w:val="24"/>
        </w:rPr>
      </w:pPr>
      <w:r w:rsidRPr="00344F92">
        <w:rPr>
          <w:rFonts w:eastAsia="Calibri" w:cstheme="minorHAnsi"/>
          <w:sz w:val="24"/>
          <w:szCs w:val="24"/>
        </w:rPr>
        <w:t>Lyon, D.</w:t>
      </w:r>
      <w:r w:rsidR="00AB6DA2">
        <w:rPr>
          <w:rFonts w:eastAsia="Calibri" w:cstheme="minorHAnsi"/>
          <w:sz w:val="24"/>
          <w:szCs w:val="24"/>
        </w:rPr>
        <w:t xml:space="preserve"> and</w:t>
      </w:r>
      <w:r w:rsidRPr="00344F92">
        <w:rPr>
          <w:rFonts w:eastAsia="Calibri" w:cstheme="minorHAnsi"/>
          <w:sz w:val="24"/>
          <w:szCs w:val="24"/>
        </w:rPr>
        <w:t xml:space="preserve"> Carabelli, G. 2016. Researching young people’s orientations to the future: the methodological challenges of using arts practice. </w:t>
      </w:r>
      <w:r w:rsidRPr="00344F92">
        <w:rPr>
          <w:rFonts w:eastAsia="Calibri" w:cstheme="minorHAnsi"/>
          <w:i/>
          <w:iCs/>
          <w:sz w:val="24"/>
          <w:szCs w:val="24"/>
        </w:rPr>
        <w:t>Qualitative Research</w:t>
      </w:r>
      <w:r w:rsidRPr="00344F92">
        <w:rPr>
          <w:rFonts w:eastAsia="Calibri" w:cstheme="minorHAnsi"/>
          <w:sz w:val="24"/>
          <w:szCs w:val="24"/>
        </w:rPr>
        <w:t>, </w:t>
      </w:r>
      <w:r w:rsidR="00AB6DA2" w:rsidRPr="00AB6DA2">
        <w:rPr>
          <w:rFonts w:eastAsia="Calibri" w:cstheme="minorHAnsi"/>
          <w:sz w:val="24"/>
          <w:szCs w:val="24"/>
        </w:rPr>
        <w:t xml:space="preserve">Vol. </w:t>
      </w:r>
      <w:r w:rsidRPr="00AB6DA2">
        <w:rPr>
          <w:rFonts w:eastAsia="Calibri" w:cstheme="minorHAnsi"/>
          <w:sz w:val="24"/>
          <w:szCs w:val="24"/>
        </w:rPr>
        <w:t>16</w:t>
      </w:r>
      <w:r w:rsidR="00AB6DA2" w:rsidRPr="00AB6DA2">
        <w:rPr>
          <w:rFonts w:eastAsia="Calibri" w:cstheme="minorHAnsi"/>
          <w:sz w:val="24"/>
          <w:szCs w:val="24"/>
        </w:rPr>
        <w:t>, No</w:t>
      </w:r>
      <w:r w:rsidR="00AB6DA2">
        <w:rPr>
          <w:rFonts w:eastAsia="Calibri" w:cstheme="minorHAnsi"/>
          <w:sz w:val="24"/>
          <w:szCs w:val="24"/>
        </w:rPr>
        <w:t xml:space="preserve">. </w:t>
      </w:r>
      <w:r w:rsidRPr="00344F92">
        <w:rPr>
          <w:rFonts w:eastAsia="Calibri" w:cstheme="minorHAnsi"/>
          <w:sz w:val="24"/>
          <w:szCs w:val="24"/>
        </w:rPr>
        <w:t>4,</w:t>
      </w:r>
      <w:r w:rsidR="00AB6DA2">
        <w:rPr>
          <w:rFonts w:eastAsia="Calibri" w:cstheme="minorHAnsi"/>
          <w:sz w:val="24"/>
          <w:szCs w:val="24"/>
        </w:rPr>
        <w:t xml:space="preserve"> pp.</w:t>
      </w:r>
      <w:r w:rsidRPr="00344F92">
        <w:rPr>
          <w:rFonts w:eastAsia="Calibri" w:cstheme="minorHAnsi"/>
          <w:sz w:val="24"/>
          <w:szCs w:val="24"/>
        </w:rPr>
        <w:t xml:space="preserve"> 430-445.</w:t>
      </w:r>
    </w:p>
    <w:p w:rsidR="00492175" w:rsidRPr="00344F92" w:rsidRDefault="00492175" w:rsidP="00492175">
      <w:pPr>
        <w:spacing w:after="120" w:line="240" w:lineRule="auto"/>
        <w:rPr>
          <w:rFonts w:eastAsia="Calibri" w:cstheme="minorHAnsi"/>
          <w:sz w:val="24"/>
          <w:szCs w:val="24"/>
        </w:rPr>
      </w:pPr>
      <w:r w:rsidRPr="00344F92">
        <w:rPr>
          <w:rFonts w:eastAsia="Calibri" w:cstheme="minorHAnsi"/>
          <w:sz w:val="24"/>
          <w:szCs w:val="24"/>
        </w:rPr>
        <w:t xml:space="preserve">Pink, S. </w:t>
      </w:r>
      <w:r w:rsidR="00AB6DA2">
        <w:rPr>
          <w:rFonts w:eastAsia="Calibri" w:cstheme="minorHAnsi"/>
          <w:sz w:val="24"/>
          <w:szCs w:val="24"/>
        </w:rPr>
        <w:t>and</w:t>
      </w:r>
      <w:r w:rsidRPr="00344F92">
        <w:rPr>
          <w:rFonts w:eastAsia="Calibri" w:cstheme="minorHAnsi"/>
          <w:sz w:val="24"/>
          <w:szCs w:val="24"/>
        </w:rPr>
        <w:t xml:space="preserve"> Salazar, J. 2017</w:t>
      </w:r>
      <w:r w:rsidR="00AB6DA2">
        <w:rPr>
          <w:rFonts w:eastAsia="Calibri" w:cstheme="minorHAnsi"/>
          <w:sz w:val="24"/>
          <w:szCs w:val="24"/>
        </w:rPr>
        <w:t>.</w:t>
      </w:r>
      <w:r w:rsidRPr="00344F92">
        <w:rPr>
          <w:rFonts w:eastAsia="Calibri" w:cstheme="minorHAnsi"/>
          <w:sz w:val="24"/>
          <w:szCs w:val="24"/>
        </w:rPr>
        <w:t xml:space="preserve"> Anthropologies and futures: Setting the agenda. In J. Salazar, S. Pink, A. Irving, &amp; J. Sjoberg</w:t>
      </w:r>
      <w:r w:rsidR="00AB6DA2">
        <w:rPr>
          <w:rFonts w:eastAsia="Calibri" w:cstheme="minorHAnsi"/>
          <w:sz w:val="24"/>
          <w:szCs w:val="24"/>
        </w:rPr>
        <w:t xml:space="preserve"> (e</w:t>
      </w:r>
      <w:r w:rsidRPr="00344F92">
        <w:rPr>
          <w:rFonts w:eastAsia="Calibri" w:cstheme="minorHAnsi"/>
          <w:sz w:val="24"/>
          <w:szCs w:val="24"/>
        </w:rPr>
        <w:t>ds</w:t>
      </w:r>
      <w:r w:rsidR="00AB6DA2">
        <w:rPr>
          <w:rFonts w:eastAsia="Calibri" w:cstheme="minorHAnsi"/>
          <w:sz w:val="24"/>
          <w:szCs w:val="24"/>
        </w:rPr>
        <w:t>)</w:t>
      </w:r>
      <w:r w:rsidRPr="00344F92">
        <w:rPr>
          <w:rFonts w:eastAsia="Calibri" w:cstheme="minorHAnsi"/>
          <w:sz w:val="24"/>
          <w:szCs w:val="24"/>
        </w:rPr>
        <w:t xml:space="preserve">. </w:t>
      </w:r>
      <w:r w:rsidRPr="00344F92">
        <w:rPr>
          <w:rFonts w:eastAsia="Calibri" w:cstheme="minorHAnsi"/>
          <w:i/>
          <w:iCs/>
          <w:sz w:val="24"/>
          <w:szCs w:val="24"/>
        </w:rPr>
        <w:t>Anthropologies and futures: Researching emerging and uncertain worlds</w:t>
      </w:r>
      <w:r w:rsidR="00AB6DA2">
        <w:rPr>
          <w:rFonts w:eastAsia="Calibri" w:cstheme="minorHAnsi"/>
          <w:sz w:val="24"/>
          <w:szCs w:val="24"/>
        </w:rPr>
        <w:t>, pp</w:t>
      </w:r>
      <w:r w:rsidRPr="00344F92">
        <w:rPr>
          <w:rFonts w:eastAsia="Calibri" w:cstheme="minorHAnsi"/>
          <w:sz w:val="24"/>
          <w:szCs w:val="24"/>
        </w:rPr>
        <w:t>. 3-22. London &amp; New York: Bloomsbury.</w:t>
      </w:r>
    </w:p>
    <w:p w:rsidR="00492175" w:rsidRPr="00344F92" w:rsidRDefault="00492175" w:rsidP="00492175">
      <w:pPr>
        <w:spacing w:after="120" w:line="240" w:lineRule="auto"/>
        <w:rPr>
          <w:rFonts w:eastAsia="Times New Roman" w:cstheme="minorHAnsi"/>
          <w:sz w:val="24"/>
          <w:szCs w:val="24"/>
        </w:rPr>
      </w:pPr>
      <w:r w:rsidRPr="00344F92">
        <w:rPr>
          <w:rFonts w:eastAsia="Times New Roman" w:cstheme="minorHAnsi"/>
          <w:color w:val="000000"/>
          <w:sz w:val="24"/>
          <w:szCs w:val="24"/>
        </w:rPr>
        <w:t xml:space="preserve">Poli, R. 2011. Steps towards an explicit ontology of the future. </w:t>
      </w:r>
      <w:r w:rsidRPr="00344F92">
        <w:rPr>
          <w:rFonts w:eastAsia="Times New Roman" w:cstheme="minorHAnsi"/>
          <w:i/>
          <w:color w:val="000000"/>
          <w:sz w:val="24"/>
          <w:szCs w:val="24"/>
        </w:rPr>
        <w:t>Futures</w:t>
      </w:r>
      <w:r w:rsidRPr="00344F92">
        <w:rPr>
          <w:rFonts w:eastAsia="Times New Roman" w:cstheme="minorHAnsi"/>
          <w:color w:val="000000"/>
          <w:sz w:val="24"/>
          <w:szCs w:val="24"/>
        </w:rPr>
        <w:t xml:space="preserve">, </w:t>
      </w:r>
      <w:r w:rsidR="00AB6DA2">
        <w:rPr>
          <w:rFonts w:eastAsia="Times New Roman" w:cstheme="minorHAnsi"/>
          <w:color w:val="000000"/>
          <w:sz w:val="24"/>
          <w:szCs w:val="24"/>
        </w:rPr>
        <w:t xml:space="preserve">Vol. </w:t>
      </w:r>
      <w:r w:rsidRPr="00344F92">
        <w:rPr>
          <w:rFonts w:eastAsia="Times New Roman" w:cstheme="minorHAnsi"/>
          <w:color w:val="000000"/>
          <w:sz w:val="24"/>
          <w:szCs w:val="24"/>
        </w:rPr>
        <w:t>16</w:t>
      </w:r>
      <w:r w:rsidR="00AB6DA2">
        <w:rPr>
          <w:rFonts w:eastAsia="Times New Roman" w:cstheme="minorHAnsi"/>
          <w:color w:val="000000"/>
          <w:sz w:val="24"/>
          <w:szCs w:val="24"/>
        </w:rPr>
        <w:t xml:space="preserve">, No. </w:t>
      </w:r>
      <w:r w:rsidRPr="00344F92">
        <w:rPr>
          <w:rFonts w:eastAsia="Times New Roman" w:cstheme="minorHAnsi"/>
          <w:color w:val="000000"/>
          <w:sz w:val="24"/>
          <w:szCs w:val="24"/>
        </w:rPr>
        <w:t>1,</w:t>
      </w:r>
      <w:r w:rsidR="00AB6DA2">
        <w:rPr>
          <w:rFonts w:eastAsia="Times New Roman" w:cstheme="minorHAnsi"/>
          <w:color w:val="000000"/>
          <w:sz w:val="24"/>
          <w:szCs w:val="24"/>
        </w:rPr>
        <w:t xml:space="preserve"> pp.</w:t>
      </w:r>
      <w:r w:rsidRPr="00344F92">
        <w:rPr>
          <w:rFonts w:eastAsia="Times New Roman" w:cstheme="minorHAnsi"/>
          <w:color w:val="000000"/>
          <w:sz w:val="24"/>
          <w:szCs w:val="24"/>
        </w:rPr>
        <w:t xml:space="preserve"> 67-78.  </w:t>
      </w:r>
    </w:p>
    <w:p w:rsidR="00492175" w:rsidRPr="00344F92" w:rsidRDefault="00492175" w:rsidP="00492175">
      <w:pPr>
        <w:spacing w:after="120" w:line="240" w:lineRule="auto"/>
        <w:rPr>
          <w:rFonts w:eastAsia="Times New Roman" w:cstheme="minorHAnsi"/>
          <w:sz w:val="24"/>
          <w:szCs w:val="24"/>
        </w:rPr>
      </w:pPr>
      <w:r w:rsidRPr="00344F92">
        <w:rPr>
          <w:rFonts w:eastAsia="Times New Roman" w:cstheme="minorHAnsi"/>
          <w:color w:val="000000"/>
          <w:sz w:val="24"/>
          <w:szCs w:val="24"/>
        </w:rPr>
        <w:t xml:space="preserve">Salazar, J., Pink, S., Irving, A &amp; Sjoberg, J. </w:t>
      </w:r>
      <w:r w:rsidR="00AB6DA2">
        <w:rPr>
          <w:rFonts w:eastAsia="Times New Roman" w:cstheme="minorHAnsi"/>
          <w:color w:val="000000"/>
          <w:sz w:val="24"/>
          <w:szCs w:val="24"/>
        </w:rPr>
        <w:t>(e</w:t>
      </w:r>
      <w:r w:rsidRPr="00344F92">
        <w:rPr>
          <w:rFonts w:eastAsia="Times New Roman" w:cstheme="minorHAnsi"/>
          <w:color w:val="000000"/>
          <w:sz w:val="24"/>
          <w:szCs w:val="24"/>
        </w:rPr>
        <w:t>ds.</w:t>
      </w:r>
      <w:r w:rsidR="00AB6DA2">
        <w:rPr>
          <w:rFonts w:eastAsia="Times New Roman" w:cstheme="minorHAnsi"/>
          <w:color w:val="000000"/>
          <w:sz w:val="24"/>
          <w:szCs w:val="24"/>
        </w:rPr>
        <w:t>).</w:t>
      </w:r>
      <w:r w:rsidRPr="00344F92">
        <w:rPr>
          <w:rFonts w:eastAsia="Times New Roman" w:cstheme="minorHAnsi"/>
          <w:color w:val="000000"/>
          <w:sz w:val="24"/>
          <w:szCs w:val="24"/>
        </w:rPr>
        <w:t xml:space="preserve"> 2017</w:t>
      </w:r>
      <w:r w:rsidR="00AB6DA2">
        <w:rPr>
          <w:rFonts w:eastAsia="Times New Roman" w:cstheme="minorHAnsi"/>
          <w:color w:val="000000"/>
          <w:sz w:val="24"/>
          <w:szCs w:val="24"/>
        </w:rPr>
        <w:t>.</w:t>
      </w:r>
      <w:r w:rsidRPr="00344F92">
        <w:rPr>
          <w:rFonts w:eastAsia="Times New Roman" w:cstheme="minorHAnsi"/>
          <w:color w:val="000000"/>
          <w:sz w:val="24"/>
          <w:szCs w:val="24"/>
        </w:rPr>
        <w:t xml:space="preserve"> </w:t>
      </w:r>
      <w:r w:rsidRPr="00344F92">
        <w:rPr>
          <w:rFonts w:eastAsia="Times New Roman" w:cstheme="minorHAnsi"/>
          <w:i/>
          <w:color w:val="000000"/>
          <w:sz w:val="24"/>
          <w:szCs w:val="24"/>
        </w:rPr>
        <w:t>Anthropologies and futures: Researching emerging and uncertain worlds</w:t>
      </w:r>
      <w:r w:rsidRPr="00344F92">
        <w:rPr>
          <w:rFonts w:eastAsia="Times New Roman" w:cstheme="minorHAnsi"/>
          <w:color w:val="000000"/>
          <w:sz w:val="24"/>
          <w:szCs w:val="24"/>
        </w:rPr>
        <w:t>. London &amp; New York: Bloomsbury. </w:t>
      </w:r>
    </w:p>
    <w:p w:rsidR="00492175" w:rsidRPr="00344F92" w:rsidRDefault="00492175" w:rsidP="00492175">
      <w:pPr>
        <w:spacing w:after="120" w:line="240" w:lineRule="auto"/>
        <w:rPr>
          <w:rFonts w:cstheme="minorHAnsi"/>
          <w:sz w:val="24"/>
          <w:szCs w:val="24"/>
        </w:rPr>
      </w:pPr>
      <w:r w:rsidRPr="00344F92">
        <w:rPr>
          <w:rFonts w:eastAsia="ArialUnicodeMS" w:cstheme="minorHAnsi"/>
          <w:sz w:val="24"/>
          <w:szCs w:val="24"/>
        </w:rPr>
        <w:lastRenderedPageBreak/>
        <w:t>Springgay S.</w:t>
      </w:r>
      <w:r w:rsidR="00AB6DA2">
        <w:rPr>
          <w:rFonts w:eastAsia="ArialUnicodeMS" w:cstheme="minorHAnsi"/>
          <w:sz w:val="24"/>
          <w:szCs w:val="24"/>
        </w:rPr>
        <w:t xml:space="preserve"> and</w:t>
      </w:r>
      <w:r w:rsidRPr="00344F92">
        <w:rPr>
          <w:rFonts w:eastAsia="ArialUnicodeMS" w:cstheme="minorHAnsi"/>
          <w:sz w:val="24"/>
          <w:szCs w:val="24"/>
        </w:rPr>
        <w:t xml:space="preserve"> Truman, S. 2019</w:t>
      </w:r>
      <w:r w:rsidR="00AB6DA2">
        <w:rPr>
          <w:rFonts w:eastAsia="ArialUnicodeMS" w:cstheme="minorHAnsi"/>
          <w:sz w:val="24"/>
          <w:szCs w:val="24"/>
        </w:rPr>
        <w:t>.</w:t>
      </w:r>
      <w:r w:rsidRPr="00344F92">
        <w:rPr>
          <w:rFonts w:eastAsia="ArialUnicodeMS" w:cstheme="minorHAnsi"/>
          <w:sz w:val="24"/>
          <w:szCs w:val="24"/>
        </w:rPr>
        <w:t xml:space="preserve"> Counterfuturisms and speculative temporalities: walking research-creation in school</w:t>
      </w:r>
      <w:r w:rsidR="00AB6DA2">
        <w:rPr>
          <w:rFonts w:eastAsia="ArialUnicodeMS" w:cstheme="minorHAnsi"/>
          <w:sz w:val="24"/>
          <w:szCs w:val="24"/>
        </w:rPr>
        <w:t>.</w:t>
      </w:r>
      <w:r w:rsidRPr="00344F92">
        <w:rPr>
          <w:rFonts w:eastAsia="ArialUnicodeMS" w:cstheme="minorHAnsi"/>
          <w:sz w:val="24"/>
          <w:szCs w:val="24"/>
        </w:rPr>
        <w:t xml:space="preserve"> </w:t>
      </w:r>
      <w:r w:rsidRPr="00344F92">
        <w:rPr>
          <w:rFonts w:eastAsia="ArialUnicodeMS" w:cstheme="minorHAnsi"/>
          <w:i/>
          <w:iCs/>
          <w:sz w:val="24"/>
          <w:szCs w:val="24"/>
        </w:rPr>
        <w:t>International Journal of Qualitative Studies in Education</w:t>
      </w:r>
      <w:r w:rsidRPr="00344F92">
        <w:rPr>
          <w:rFonts w:eastAsia="ArialUnicodeMS" w:cstheme="minorHAnsi"/>
          <w:sz w:val="24"/>
          <w:szCs w:val="24"/>
        </w:rPr>
        <w:t xml:space="preserve">, </w:t>
      </w:r>
      <w:r w:rsidR="00AB6DA2">
        <w:rPr>
          <w:rFonts w:eastAsia="ArialUnicodeMS" w:cstheme="minorHAnsi"/>
          <w:sz w:val="24"/>
          <w:szCs w:val="24"/>
        </w:rPr>
        <w:t xml:space="preserve">Vol. </w:t>
      </w:r>
      <w:r w:rsidRPr="00344F92">
        <w:rPr>
          <w:rFonts w:eastAsia="ArialUnicodeMS" w:cstheme="minorHAnsi"/>
          <w:sz w:val="24"/>
          <w:szCs w:val="24"/>
        </w:rPr>
        <w:t>32</w:t>
      </w:r>
      <w:r w:rsidR="00AB6DA2">
        <w:rPr>
          <w:rFonts w:eastAsia="ArialUnicodeMS" w:cstheme="minorHAnsi"/>
          <w:sz w:val="24"/>
          <w:szCs w:val="24"/>
        </w:rPr>
        <w:t xml:space="preserve">, No. </w:t>
      </w:r>
      <w:r w:rsidRPr="00344F92">
        <w:rPr>
          <w:rFonts w:eastAsia="ArialUnicodeMS" w:cstheme="minorHAnsi"/>
          <w:sz w:val="24"/>
          <w:szCs w:val="24"/>
        </w:rPr>
        <w:t>6</w:t>
      </w:r>
      <w:r w:rsidR="00AB6DA2">
        <w:rPr>
          <w:rFonts w:eastAsia="ArialUnicodeMS" w:cstheme="minorHAnsi"/>
          <w:sz w:val="24"/>
          <w:szCs w:val="24"/>
        </w:rPr>
        <w:t>, pp.</w:t>
      </w:r>
      <w:r w:rsidRPr="00344F92">
        <w:rPr>
          <w:rFonts w:eastAsia="ArialUnicodeMS" w:cstheme="minorHAnsi"/>
          <w:sz w:val="24"/>
          <w:szCs w:val="24"/>
        </w:rPr>
        <w:t xml:space="preserve"> 547-559.</w:t>
      </w:r>
    </w:p>
    <w:p w:rsidR="00492175" w:rsidRPr="00344F92" w:rsidRDefault="00492175" w:rsidP="00492175">
      <w:pPr>
        <w:spacing w:after="120" w:line="240" w:lineRule="auto"/>
        <w:rPr>
          <w:rFonts w:eastAsia="Calibri" w:cstheme="minorHAnsi"/>
          <w:sz w:val="24"/>
          <w:szCs w:val="24"/>
        </w:rPr>
      </w:pPr>
      <w:r w:rsidRPr="00344F92">
        <w:rPr>
          <w:rFonts w:eastAsia="Calibri" w:cstheme="minorHAnsi"/>
          <w:sz w:val="24"/>
          <w:szCs w:val="24"/>
        </w:rPr>
        <w:t>Thunberg, G. 2019</w:t>
      </w:r>
      <w:r w:rsidR="00AB6DA2">
        <w:rPr>
          <w:rFonts w:eastAsia="Calibri" w:cstheme="minorHAnsi"/>
          <w:sz w:val="24"/>
          <w:szCs w:val="24"/>
        </w:rPr>
        <w:t>.</w:t>
      </w:r>
      <w:r w:rsidRPr="00344F92">
        <w:rPr>
          <w:rFonts w:eastAsia="Calibri" w:cstheme="minorHAnsi"/>
          <w:sz w:val="24"/>
          <w:szCs w:val="24"/>
        </w:rPr>
        <w:t xml:space="preserve"> </w:t>
      </w:r>
      <w:r w:rsidRPr="00344F92">
        <w:rPr>
          <w:rFonts w:eastAsia="Calibri" w:cstheme="minorHAnsi"/>
          <w:i/>
          <w:sz w:val="24"/>
          <w:szCs w:val="24"/>
        </w:rPr>
        <w:t>No one is too small to make a difference</w:t>
      </w:r>
      <w:r w:rsidRPr="00344F92">
        <w:rPr>
          <w:rFonts w:eastAsia="Calibri" w:cstheme="minorHAnsi"/>
          <w:sz w:val="24"/>
          <w:szCs w:val="24"/>
        </w:rPr>
        <w:t>. London: Penguin.</w:t>
      </w:r>
    </w:p>
    <w:p w:rsidR="00492175" w:rsidRPr="00344F92" w:rsidRDefault="00492175" w:rsidP="00492175">
      <w:pPr>
        <w:spacing w:after="120" w:line="240" w:lineRule="auto"/>
        <w:rPr>
          <w:rFonts w:eastAsia="Times New Roman" w:cstheme="minorHAnsi"/>
          <w:color w:val="000000"/>
          <w:sz w:val="24"/>
          <w:szCs w:val="24"/>
        </w:rPr>
      </w:pPr>
      <w:r w:rsidRPr="00344F92">
        <w:rPr>
          <w:rFonts w:eastAsia="Times New Roman" w:cstheme="minorHAnsi"/>
          <w:color w:val="000000"/>
          <w:sz w:val="24"/>
          <w:szCs w:val="24"/>
        </w:rPr>
        <w:t>Wilkie, A., Savransky, M. and Rosengarten, M. 2017</w:t>
      </w:r>
      <w:r w:rsidR="00AB6DA2">
        <w:rPr>
          <w:rFonts w:eastAsia="Times New Roman" w:cstheme="minorHAnsi"/>
          <w:color w:val="000000"/>
          <w:sz w:val="24"/>
          <w:szCs w:val="24"/>
        </w:rPr>
        <w:t>.</w:t>
      </w:r>
      <w:r w:rsidRPr="00344F92">
        <w:rPr>
          <w:rFonts w:eastAsia="Times New Roman" w:cstheme="minorHAnsi"/>
          <w:color w:val="000000"/>
          <w:sz w:val="24"/>
          <w:szCs w:val="24"/>
        </w:rPr>
        <w:t xml:space="preserve"> </w:t>
      </w:r>
      <w:r w:rsidRPr="00344F92">
        <w:rPr>
          <w:rFonts w:eastAsia="Times New Roman" w:cstheme="minorHAnsi"/>
          <w:i/>
          <w:color w:val="000000"/>
          <w:sz w:val="24"/>
          <w:szCs w:val="24"/>
        </w:rPr>
        <w:t>Speculative Research: The Lure of Possible Futures</w:t>
      </w:r>
      <w:r w:rsidRPr="00344F92">
        <w:rPr>
          <w:rFonts w:eastAsia="Times New Roman" w:cstheme="minorHAnsi"/>
          <w:color w:val="000000"/>
          <w:sz w:val="24"/>
          <w:szCs w:val="24"/>
        </w:rPr>
        <w:t>. London &amp; New York: Routledge. </w:t>
      </w:r>
    </w:p>
    <w:p w:rsidR="00492175" w:rsidRPr="00344F92" w:rsidRDefault="00492175" w:rsidP="00492175">
      <w:pPr>
        <w:spacing w:after="120" w:line="240" w:lineRule="auto"/>
        <w:rPr>
          <w:rFonts w:cstheme="minorHAnsi"/>
          <w:sz w:val="24"/>
          <w:szCs w:val="24"/>
        </w:rPr>
      </w:pPr>
    </w:p>
    <w:sectPr w:rsidR="00492175" w:rsidRPr="00344F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604020202020204"/>
    <w:charset w:val="00"/>
    <w:family w:val="swiss"/>
    <w:pitch w:val="variable"/>
    <w:sig w:usb0="E4002EFF" w:usb1="C000E47F" w:usb2="00000009" w:usb3="00000000" w:csb0="000001FF" w:csb1="00000000"/>
  </w:font>
  <w:font w:name="CordiaUPC">
    <w:panose1 w:val="020B0304020202020204"/>
    <w:charset w:val="DE"/>
    <w:family w:val="swiss"/>
    <w:pitch w:val="variable"/>
    <w:sig w:usb0="81000003" w:usb1="00000000" w:usb2="00000000" w:usb3="00000000" w:csb0="00010001" w:csb1="00000000"/>
  </w:font>
  <w:font w:name="ArialUnicode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8"/>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678"/>
    <w:rsid w:val="00044DCF"/>
    <w:rsid w:val="00060359"/>
    <w:rsid w:val="00095153"/>
    <w:rsid w:val="000A7F76"/>
    <w:rsid w:val="00264925"/>
    <w:rsid w:val="00266022"/>
    <w:rsid w:val="00313CD8"/>
    <w:rsid w:val="00344F92"/>
    <w:rsid w:val="00360AEB"/>
    <w:rsid w:val="00492175"/>
    <w:rsid w:val="006A4DE7"/>
    <w:rsid w:val="00701C0F"/>
    <w:rsid w:val="007C28E0"/>
    <w:rsid w:val="007D4DF3"/>
    <w:rsid w:val="008A2702"/>
    <w:rsid w:val="00937538"/>
    <w:rsid w:val="009D64F0"/>
    <w:rsid w:val="00AB6DA2"/>
    <w:rsid w:val="00AE0521"/>
    <w:rsid w:val="00B6426E"/>
    <w:rsid w:val="00C11CB7"/>
    <w:rsid w:val="00D35287"/>
    <w:rsid w:val="00E83D04"/>
    <w:rsid w:val="00F03848"/>
    <w:rsid w:val="00F74678"/>
    <w:rsid w:val="00FB41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72384-EC5E-45AF-A25B-4808473BC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4925"/>
    <w:rPr>
      <w:lang w:val="en-US"/>
    </w:rPr>
  </w:style>
  <w:style w:type="paragraph" w:styleId="Heading1">
    <w:name w:val="heading 1"/>
    <w:basedOn w:val="Normal"/>
    <w:next w:val="Normal"/>
    <w:link w:val="Heading1Char"/>
    <w:uiPriority w:val="9"/>
    <w:qFormat/>
    <w:rsid w:val="000A7F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E05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E052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4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DCF"/>
    <w:rPr>
      <w:rFonts w:ascii="Segoe UI" w:hAnsi="Segoe UI" w:cs="Segoe UI"/>
      <w:sz w:val="18"/>
      <w:szCs w:val="18"/>
      <w:lang w:val="en-US"/>
    </w:rPr>
  </w:style>
  <w:style w:type="character" w:customStyle="1" w:styleId="Heading1Char">
    <w:name w:val="Heading 1 Char"/>
    <w:basedOn w:val="DefaultParagraphFont"/>
    <w:link w:val="Heading1"/>
    <w:uiPriority w:val="9"/>
    <w:rsid w:val="000A7F76"/>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rsid w:val="00AE0521"/>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rsid w:val="00AE0521"/>
    <w:rPr>
      <w:rFonts w:asciiTheme="majorHAnsi" w:eastAsiaTheme="majorEastAsia" w:hAnsiTheme="majorHAnsi" w:cstheme="majorBidi"/>
      <w:color w:val="1F4D78" w:themeColor="accent1" w:themeShade="7F"/>
      <w:sz w:val="24"/>
      <w:szCs w:val="24"/>
      <w:lang w:val="en-US"/>
    </w:rPr>
  </w:style>
  <w:style w:type="character" w:styleId="CommentReference">
    <w:name w:val="annotation reference"/>
    <w:basedOn w:val="DefaultParagraphFont"/>
    <w:uiPriority w:val="99"/>
    <w:semiHidden/>
    <w:unhideWhenUsed/>
    <w:rsid w:val="00266022"/>
    <w:rPr>
      <w:sz w:val="16"/>
      <w:szCs w:val="16"/>
    </w:rPr>
  </w:style>
  <w:style w:type="paragraph" w:styleId="CommentText">
    <w:name w:val="annotation text"/>
    <w:basedOn w:val="Normal"/>
    <w:link w:val="CommentTextChar"/>
    <w:uiPriority w:val="99"/>
    <w:semiHidden/>
    <w:unhideWhenUsed/>
    <w:rsid w:val="00266022"/>
    <w:pPr>
      <w:spacing w:line="240" w:lineRule="auto"/>
    </w:pPr>
    <w:rPr>
      <w:sz w:val="20"/>
      <w:szCs w:val="20"/>
    </w:rPr>
  </w:style>
  <w:style w:type="character" w:customStyle="1" w:styleId="CommentTextChar">
    <w:name w:val="Comment Text Char"/>
    <w:basedOn w:val="DefaultParagraphFont"/>
    <w:link w:val="CommentText"/>
    <w:uiPriority w:val="99"/>
    <w:semiHidden/>
    <w:rsid w:val="00266022"/>
    <w:rPr>
      <w:sz w:val="20"/>
      <w:szCs w:val="20"/>
      <w:lang w:val="en-US"/>
    </w:rPr>
  </w:style>
  <w:style w:type="paragraph" w:styleId="CommentSubject">
    <w:name w:val="annotation subject"/>
    <w:basedOn w:val="CommentText"/>
    <w:next w:val="CommentText"/>
    <w:link w:val="CommentSubjectChar"/>
    <w:uiPriority w:val="99"/>
    <w:semiHidden/>
    <w:unhideWhenUsed/>
    <w:rsid w:val="00266022"/>
    <w:rPr>
      <w:b/>
      <w:bCs/>
    </w:rPr>
  </w:style>
  <w:style w:type="character" w:customStyle="1" w:styleId="CommentSubjectChar">
    <w:name w:val="Comment Subject Char"/>
    <w:basedOn w:val="CommentTextChar"/>
    <w:link w:val="CommentSubject"/>
    <w:uiPriority w:val="99"/>
    <w:semiHidden/>
    <w:rsid w:val="00266022"/>
    <w:rPr>
      <w:b/>
      <w:bCs/>
      <w:sz w:val="20"/>
      <w:szCs w:val="20"/>
      <w:lang w:val="en-US"/>
    </w:rPr>
  </w:style>
  <w:style w:type="character" w:styleId="Hyperlink">
    <w:name w:val="Hyperlink"/>
    <w:basedOn w:val="DefaultParagraphFont"/>
    <w:uiPriority w:val="99"/>
    <w:unhideWhenUsed/>
    <w:rsid w:val="00492175"/>
    <w:rPr>
      <w:color w:val="0563C1" w:themeColor="hyperlink"/>
      <w:u w:val="single"/>
    </w:rPr>
  </w:style>
  <w:style w:type="character" w:customStyle="1" w:styleId="apple-converted-space">
    <w:name w:val="apple-converted-space"/>
    <w:basedOn w:val="DefaultParagraphFont"/>
    <w:rsid w:val="00492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ichardsandford.net/edfutures/wp-content/uploads/2011/06/Building-Agency-in-the-Face-of-%20Uncertainty-Thinking-Tool.pdf" TargetMode="External"/><Relationship Id="rId4" Type="http://schemas.openxmlformats.org/officeDocument/2006/relationships/hyperlink" Target="http://openhumanitiespress.org/books/download/Colebrook_2014_Death-of-the-PostHum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1957</Words>
  <Characters>11155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UNESCO</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Namreen Akhter</dc:creator>
  <cp:keywords/>
  <dc:description/>
  <cp:lastModifiedBy>Esther Priyadharshini (EDU - Staff)</cp:lastModifiedBy>
  <cp:revision>3</cp:revision>
  <dcterms:created xsi:type="dcterms:W3CDTF">2019-12-05T10:47:00Z</dcterms:created>
  <dcterms:modified xsi:type="dcterms:W3CDTF">2019-12-05T10:47:00Z</dcterms:modified>
</cp:coreProperties>
</file>