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7A0D0E" w14:textId="71C6A4C5" w:rsidR="00693B44" w:rsidRDefault="00693B44" w:rsidP="00097178">
      <w:pPr>
        <w:spacing w:beforeLines="80" w:before="192" w:afterLines="80" w:after="192" w:line="480" w:lineRule="auto"/>
        <w:rPr>
          <w:b/>
          <w:sz w:val="32"/>
          <w:szCs w:val="32"/>
        </w:rPr>
      </w:pPr>
      <w:r w:rsidRPr="006E6F1A">
        <w:rPr>
          <w:b/>
          <w:sz w:val="32"/>
          <w:szCs w:val="32"/>
        </w:rPr>
        <w:t>Shifting dementia discourses from deficit to active citizenship</w:t>
      </w:r>
    </w:p>
    <w:p w14:paraId="6CAC05E9" w14:textId="670D1B7B" w:rsidR="00AA2FA7" w:rsidRPr="00AA2FA7" w:rsidRDefault="00AA2FA7" w:rsidP="00097178">
      <w:pPr>
        <w:spacing w:beforeLines="80" w:before="192" w:afterLines="80" w:after="192" w:line="480" w:lineRule="auto"/>
        <w:rPr>
          <w:sz w:val="24"/>
          <w:szCs w:val="24"/>
          <w:vertAlign w:val="superscript"/>
        </w:rPr>
      </w:pPr>
      <w:r w:rsidRPr="00AA2FA7">
        <w:rPr>
          <w:sz w:val="24"/>
          <w:szCs w:val="24"/>
        </w:rPr>
        <w:t>Linda Birt</w:t>
      </w:r>
      <w:r w:rsidRPr="00AA2FA7">
        <w:rPr>
          <w:sz w:val="24"/>
          <w:szCs w:val="24"/>
          <w:vertAlign w:val="superscript"/>
        </w:rPr>
        <w:t>1</w:t>
      </w:r>
      <w:r w:rsidRPr="00AA2FA7">
        <w:rPr>
          <w:sz w:val="24"/>
          <w:szCs w:val="24"/>
        </w:rPr>
        <w:t>, Fiona Poland</w:t>
      </w:r>
      <w:r w:rsidRPr="00AA2FA7">
        <w:rPr>
          <w:sz w:val="24"/>
          <w:szCs w:val="24"/>
          <w:vertAlign w:val="superscript"/>
        </w:rPr>
        <w:t>1</w:t>
      </w:r>
      <w:r w:rsidRPr="00AA2FA7">
        <w:rPr>
          <w:sz w:val="24"/>
          <w:szCs w:val="24"/>
        </w:rPr>
        <w:t>, Emese Csipke</w:t>
      </w:r>
      <w:r w:rsidRPr="00AA2FA7">
        <w:rPr>
          <w:sz w:val="24"/>
          <w:szCs w:val="24"/>
          <w:vertAlign w:val="superscript"/>
        </w:rPr>
        <w:t>2</w:t>
      </w:r>
      <w:r w:rsidRPr="00AA2FA7">
        <w:rPr>
          <w:sz w:val="24"/>
          <w:szCs w:val="24"/>
        </w:rPr>
        <w:t>, Georgina Charlesworth</w:t>
      </w:r>
      <w:r w:rsidRPr="00AA2FA7">
        <w:rPr>
          <w:sz w:val="24"/>
          <w:szCs w:val="24"/>
          <w:vertAlign w:val="superscript"/>
        </w:rPr>
        <w:t>3</w:t>
      </w:r>
      <w:proofErr w:type="gramStart"/>
      <w:r w:rsidRPr="00AA2FA7">
        <w:rPr>
          <w:sz w:val="24"/>
          <w:szCs w:val="24"/>
          <w:vertAlign w:val="superscript"/>
        </w:rPr>
        <w:t>,4</w:t>
      </w:r>
      <w:proofErr w:type="gramEnd"/>
      <w:r w:rsidRPr="00AA2FA7">
        <w:rPr>
          <w:sz w:val="24"/>
          <w:szCs w:val="24"/>
          <w:vertAlign w:val="superscript"/>
        </w:rPr>
        <w:t>.</w:t>
      </w:r>
    </w:p>
    <w:p w14:paraId="76063430" w14:textId="0907DC62" w:rsidR="00AA2FA7" w:rsidRPr="00AA2FA7" w:rsidRDefault="00AA2FA7" w:rsidP="00097178">
      <w:pPr>
        <w:spacing w:beforeLines="80" w:before="192" w:afterLines="80" w:after="192" w:line="480" w:lineRule="auto"/>
        <w:rPr>
          <w:sz w:val="24"/>
          <w:szCs w:val="24"/>
        </w:rPr>
      </w:pPr>
      <w:r w:rsidRPr="00AA2FA7">
        <w:rPr>
          <w:sz w:val="24"/>
          <w:szCs w:val="24"/>
        </w:rPr>
        <w:t>1 School of Health Sciences, University of East Anglia, UK.</w:t>
      </w:r>
    </w:p>
    <w:p w14:paraId="4F2FDB9C" w14:textId="6A599076" w:rsidR="00AA2FA7" w:rsidRPr="00AA2FA7" w:rsidRDefault="00AA2FA7" w:rsidP="00097178">
      <w:pPr>
        <w:spacing w:beforeLines="80" w:before="192" w:afterLines="80" w:after="192" w:line="480" w:lineRule="auto"/>
        <w:rPr>
          <w:sz w:val="24"/>
          <w:szCs w:val="24"/>
        </w:rPr>
      </w:pPr>
      <w:r w:rsidRPr="00AA2FA7">
        <w:rPr>
          <w:sz w:val="24"/>
          <w:szCs w:val="24"/>
        </w:rPr>
        <w:t>2 Division of Psychiatry, University College London, UK.</w:t>
      </w:r>
    </w:p>
    <w:p w14:paraId="06405415" w14:textId="60B3BCA9" w:rsidR="00AA2FA7" w:rsidRPr="00AA2FA7" w:rsidRDefault="00AA2FA7" w:rsidP="00097178">
      <w:pPr>
        <w:spacing w:beforeLines="80" w:before="192" w:afterLines="80" w:after="192" w:line="480" w:lineRule="auto"/>
        <w:rPr>
          <w:sz w:val="24"/>
          <w:szCs w:val="24"/>
        </w:rPr>
      </w:pPr>
      <w:r w:rsidRPr="00AA2FA7">
        <w:rPr>
          <w:sz w:val="24"/>
          <w:szCs w:val="24"/>
        </w:rPr>
        <w:t>3 Research Department of Clinical, Educational and Health Psychology, University College London, UK.</w:t>
      </w:r>
    </w:p>
    <w:p w14:paraId="4EB247FF" w14:textId="38BDB41E" w:rsidR="00AA2FA7" w:rsidRPr="00AA2FA7" w:rsidRDefault="00AA2FA7" w:rsidP="00097178">
      <w:pPr>
        <w:spacing w:beforeLines="80" w:before="192" w:afterLines="80" w:after="192" w:line="480" w:lineRule="auto"/>
        <w:rPr>
          <w:sz w:val="24"/>
          <w:szCs w:val="24"/>
        </w:rPr>
      </w:pPr>
      <w:r w:rsidRPr="00AA2FA7">
        <w:rPr>
          <w:sz w:val="24"/>
          <w:szCs w:val="24"/>
        </w:rPr>
        <w:t xml:space="preserve">4 Research and Development Department, North East London NHS Foundation Trust.  </w:t>
      </w:r>
    </w:p>
    <w:p w14:paraId="4F7FB81A" w14:textId="77777777" w:rsidR="00AA2FA7" w:rsidRDefault="00AA2FA7">
      <w:pPr>
        <w:spacing w:after="0" w:line="240" w:lineRule="auto"/>
        <w:rPr>
          <w:rFonts w:ascii="Cambria" w:eastAsia="MS Gothic" w:hAnsi="Cambria" w:cs="Cambria"/>
          <w:b/>
          <w:bCs/>
          <w:sz w:val="28"/>
          <w:szCs w:val="28"/>
          <w:lang w:eastAsia="zh-CN"/>
        </w:rPr>
      </w:pPr>
      <w:r>
        <w:br w:type="page"/>
      </w:r>
    </w:p>
    <w:p w14:paraId="6F5388DB" w14:textId="7CE099F8" w:rsidR="00693B44" w:rsidRPr="006E6F1A" w:rsidRDefault="00693B44" w:rsidP="00097178">
      <w:pPr>
        <w:pStyle w:val="Heading1"/>
        <w:numPr>
          <w:ilvl w:val="0"/>
          <w:numId w:val="1"/>
        </w:numPr>
        <w:spacing w:beforeLines="80" w:before="192" w:afterLines="80" w:after="192" w:line="480" w:lineRule="auto"/>
        <w:rPr>
          <w:color w:val="auto"/>
        </w:rPr>
      </w:pPr>
      <w:r w:rsidRPr="006E6F1A">
        <w:rPr>
          <w:color w:val="auto"/>
        </w:rPr>
        <w:lastRenderedPageBreak/>
        <w:t>Abstract</w:t>
      </w:r>
    </w:p>
    <w:p w14:paraId="763BE395" w14:textId="38F4E87C" w:rsidR="00103574" w:rsidRPr="006E6F1A" w:rsidRDefault="003F70E4" w:rsidP="00097178">
      <w:pPr>
        <w:spacing w:beforeLines="80" w:before="192" w:afterLines="80" w:after="192" w:line="480" w:lineRule="auto"/>
        <w:rPr>
          <w:rFonts w:cs="TimesNewRomanPS"/>
          <w:lang w:eastAsia="en-GB"/>
        </w:rPr>
      </w:pPr>
      <w:r w:rsidRPr="006E6F1A">
        <w:t xml:space="preserve">Within Western cultures, portrayals of dementia as ‘a living death’ are being challenged by people living with the diagnosis. Yet dementia remains one of the most feared conditions. The sociological lens of citizenship provides a conceptual framework for reviewing the role of society and culture in repositioning dementia away from deficit to a discourse of agency and interdependence. </w:t>
      </w:r>
      <w:r w:rsidR="007E1460" w:rsidRPr="006E6F1A">
        <w:t xml:space="preserve">Awareness of cognitive change, and engaging with the </w:t>
      </w:r>
      <w:r w:rsidR="0095159F" w:rsidRPr="006E6F1A">
        <w:t>diagnos</w:t>
      </w:r>
      <w:r w:rsidR="007E1460" w:rsidRPr="006E6F1A">
        <w:t>tic process</w:t>
      </w:r>
      <w:r w:rsidR="00097178">
        <w:t>,</w:t>
      </w:r>
      <w:r w:rsidR="007E1460" w:rsidRPr="006E6F1A">
        <w:t xml:space="preserve"> moves</w:t>
      </w:r>
      <w:r w:rsidR="0095159F" w:rsidRPr="006E6F1A">
        <w:t xml:space="preserve"> </w:t>
      </w:r>
      <w:r w:rsidR="007E1460" w:rsidRPr="006E6F1A">
        <w:t xml:space="preserve">people into </w:t>
      </w:r>
      <w:r w:rsidR="0095159F" w:rsidRPr="006E6F1A">
        <w:t>a transitional</w:t>
      </w:r>
      <w:r w:rsidR="007E1460" w:rsidRPr="006E6F1A">
        <w:t>, or ‘liminal’</w:t>
      </w:r>
      <w:r w:rsidR="004F5C93" w:rsidRPr="006E6F1A">
        <w:t xml:space="preserve"> </w:t>
      </w:r>
      <w:r w:rsidR="0095159F" w:rsidRPr="006E6F1A">
        <w:t>state</w:t>
      </w:r>
      <w:r w:rsidR="004F5C93" w:rsidRPr="006E6F1A">
        <w:t xml:space="preserve"> </w:t>
      </w:r>
      <w:r w:rsidR="00B47052" w:rsidRPr="006E6F1A">
        <w:t xml:space="preserve">of uncertainty. They are </w:t>
      </w:r>
      <w:r w:rsidR="0095159F" w:rsidRPr="006E6F1A">
        <w:t xml:space="preserve">no longer able to return to their </w:t>
      </w:r>
      <w:r w:rsidR="007E1460" w:rsidRPr="006E6F1A">
        <w:t>previous</w:t>
      </w:r>
      <w:r w:rsidR="0095159F" w:rsidRPr="006E6F1A">
        <w:t xml:space="preserve"> status</w:t>
      </w:r>
      <w:r w:rsidR="00B47052" w:rsidRPr="006E6F1A">
        <w:t>, but may resist the unwanted status of ‘person with dementia’</w:t>
      </w:r>
      <w:r w:rsidR="007E1460" w:rsidRPr="006E6F1A">
        <w:t xml:space="preserve">. </w:t>
      </w:r>
      <w:r w:rsidR="00A42A8E" w:rsidRPr="006E6F1A">
        <w:t>Drawing on qualitative studies on social participation by people with dementia, we suggest that w</w:t>
      </w:r>
      <w:r w:rsidR="00876DAB" w:rsidRPr="006E6F1A">
        <w:t xml:space="preserve">hether people are able to move beyond the liminal phase depends on </w:t>
      </w:r>
      <w:r w:rsidR="00A42A8E" w:rsidRPr="006E6F1A">
        <w:t xml:space="preserve">acceptance of the diagnosis, social capital, </w:t>
      </w:r>
      <w:r w:rsidR="00876DAB" w:rsidRPr="006E6F1A">
        <w:t>personal and cultural beliefs, the responses of others</w:t>
      </w:r>
      <w:r w:rsidR="00A42A8E" w:rsidRPr="006E6F1A">
        <w:t xml:space="preserve"> and comorbidities</w:t>
      </w:r>
      <w:r w:rsidR="00876DAB" w:rsidRPr="006E6F1A">
        <w:t xml:space="preserve">. Some people publicly embrace a new identity whereas others withdraw, or are withdrawn, from society to live in the shadow of the fourth age. </w:t>
      </w:r>
      <w:r w:rsidR="00103574" w:rsidRPr="006E6F1A">
        <w:t xml:space="preserve">We suggest </w:t>
      </w:r>
      <w:r w:rsidR="00103574" w:rsidRPr="006E6F1A">
        <w:rPr>
          <w:rFonts w:cs="TimesNewRomanPS"/>
          <w:lang w:eastAsia="en-GB"/>
        </w:rPr>
        <w:t xml:space="preserve">narratives of deficit fail to reflect the agency people with dementia can enact to shape their social worlds in ways which enable them to </w:t>
      </w:r>
      <w:r w:rsidR="00B47052" w:rsidRPr="006E6F1A">
        <w:rPr>
          <w:rFonts w:cs="TimesNewRomanPS"/>
          <w:lang w:eastAsia="en-GB"/>
        </w:rPr>
        <w:t xml:space="preserve">establish post-liminal </w:t>
      </w:r>
      <w:r w:rsidR="00103574" w:rsidRPr="006E6F1A">
        <w:rPr>
          <w:rFonts w:cs="TimesNewRomanPS"/>
          <w:lang w:eastAsia="en-GB"/>
        </w:rPr>
        <w:t>citizen roles.</w:t>
      </w:r>
      <w:r w:rsidR="00097178">
        <w:rPr>
          <w:rFonts w:cs="TimesNewRomanPS"/>
          <w:lang w:eastAsia="en-GB"/>
        </w:rPr>
        <w:t xml:space="preserve"> </w:t>
      </w:r>
    </w:p>
    <w:p w14:paraId="0F90825E" w14:textId="05F75CAF" w:rsidR="0095159F" w:rsidRPr="006E6F1A" w:rsidRDefault="0095159F" w:rsidP="00097178">
      <w:pPr>
        <w:spacing w:beforeLines="80" w:before="192" w:afterLines="80" w:after="192" w:line="480" w:lineRule="auto"/>
        <w:rPr>
          <w:rFonts w:cs="Calibri"/>
        </w:rPr>
      </w:pPr>
      <w:r w:rsidRPr="005252DA">
        <w:rPr>
          <w:b/>
        </w:rPr>
        <w:t>Key words</w:t>
      </w:r>
      <w:r w:rsidRPr="006E6F1A">
        <w:t xml:space="preserve">: </w:t>
      </w:r>
      <w:r w:rsidRPr="006E6F1A">
        <w:rPr>
          <w:rFonts w:cs="Calibri"/>
        </w:rPr>
        <w:t xml:space="preserve">dementia, citizen, agency, liminality, </w:t>
      </w:r>
    </w:p>
    <w:p w14:paraId="18760127" w14:textId="4A8950C1" w:rsidR="00693B44" w:rsidRPr="005252DA" w:rsidRDefault="00693B44" w:rsidP="00097178">
      <w:pPr>
        <w:pStyle w:val="Heading3"/>
        <w:spacing w:beforeLines="80" w:before="192" w:afterLines="80" w:after="192" w:line="480" w:lineRule="auto"/>
      </w:pPr>
      <w:r w:rsidRPr="005252DA">
        <w:t xml:space="preserve">Introduction </w:t>
      </w:r>
    </w:p>
    <w:p w14:paraId="6D4B416D" w14:textId="462F8C8F" w:rsidR="0059714C" w:rsidRPr="005252DA" w:rsidRDefault="0059714C" w:rsidP="00097178">
      <w:pPr>
        <w:autoSpaceDE w:val="0"/>
        <w:autoSpaceDN w:val="0"/>
        <w:adjustRightInd w:val="0"/>
        <w:spacing w:beforeLines="80" w:before="192" w:afterLines="80" w:after="192" w:line="480" w:lineRule="auto"/>
      </w:pPr>
      <w:r w:rsidRPr="005252DA">
        <w:t>Sociological understandings of the experie</w:t>
      </w:r>
      <w:r w:rsidR="006E6F1A" w:rsidRPr="005252DA">
        <w:t>nce of living with dementia are</w:t>
      </w:r>
      <w:r w:rsidRPr="005252DA">
        <w:t xml:space="preserve"> </w:t>
      </w:r>
      <w:r w:rsidR="002D7F7B" w:rsidRPr="005252DA">
        <w:t xml:space="preserve">often </w:t>
      </w:r>
      <w:r w:rsidRPr="005252DA">
        <w:t xml:space="preserve">situated within socio-political discourses. While definitions of citizenship can be located within civil or political domains (Marshall 1950), it is the notion of </w:t>
      </w:r>
      <w:r w:rsidRPr="005252DA">
        <w:rPr>
          <w:i/>
        </w:rPr>
        <w:t>social citizenship</w:t>
      </w:r>
      <w:r w:rsidRPr="005252DA">
        <w:t xml:space="preserve"> that is increasingly relevant to understanding the dementia experience </w:t>
      </w:r>
      <w:r w:rsidR="000E7726" w:rsidRPr="005252DA">
        <w:t xml:space="preserve">(O’Conner &amp; </w:t>
      </w:r>
      <w:proofErr w:type="spellStart"/>
      <w:r w:rsidR="000E7726" w:rsidRPr="005252DA">
        <w:t>Nedlund</w:t>
      </w:r>
      <w:proofErr w:type="spellEnd"/>
      <w:r w:rsidRPr="005252DA">
        <w:t xml:space="preserve"> 2016).  Citizenship can be considered</w:t>
      </w:r>
      <w:r w:rsidR="004F5C93" w:rsidRPr="005252DA">
        <w:t xml:space="preserve"> </w:t>
      </w:r>
      <w:r w:rsidRPr="005252DA">
        <w:t>a social construct, actively shaped over time: ‘</w:t>
      </w:r>
      <w:r w:rsidRPr="005252DA">
        <w:rPr>
          <w:i/>
        </w:rPr>
        <w:t xml:space="preserve">it is a set of social practices which define the nature of social membership’ </w:t>
      </w:r>
      <w:r w:rsidRPr="005252DA">
        <w:t xml:space="preserve">(Turner 1993: 4). Understanding citizenship within a wider context than merely civil or political rights provides opportunities to explore what social structures are needed to enable people with dementia to participate in and belong to a community, and the distinctive ways in which </w:t>
      </w:r>
      <w:r w:rsidRPr="005252DA">
        <w:lastRenderedPageBreak/>
        <w:t>citizenship roles can be enacted following a diagnosis of dementia. This is key in countering discourses which support the covert</w:t>
      </w:r>
      <w:r w:rsidR="002D7F7B" w:rsidRPr="005252DA">
        <w:t>,</w:t>
      </w:r>
      <w:r w:rsidRPr="005252DA">
        <w:t xml:space="preserve"> or overt</w:t>
      </w:r>
      <w:r w:rsidR="002D7F7B" w:rsidRPr="005252DA">
        <w:t>,</w:t>
      </w:r>
      <w:r w:rsidRPr="005252DA">
        <w:t xml:space="preserve"> exclusion of individuals with dementia from equal participation in social practices; participating as decision makers and with an equal position in social groups from workplaces to care facilities. Bartlett and O’Conner (2010) propose that social citizenship </w:t>
      </w:r>
      <w:r w:rsidRPr="005252DA">
        <w:rPr>
          <w:i/>
        </w:rPr>
        <w:t>‘</w:t>
      </w:r>
      <w:r w:rsidRPr="005252DA">
        <w:rPr>
          <w:rFonts w:cs="AdvTimes"/>
          <w:i/>
          <w:lang w:eastAsia="en-GB"/>
        </w:rPr>
        <w:t>recognizes the person with dementia as an active agent with rights, history, and competencies’</w:t>
      </w:r>
      <w:r w:rsidRPr="005252DA">
        <w:rPr>
          <w:rFonts w:cs="AdvTimes"/>
          <w:lang w:eastAsia="en-GB"/>
        </w:rPr>
        <w:t xml:space="preserve"> (2010: 39).</w:t>
      </w:r>
      <w:r w:rsidRPr="005252DA">
        <w:t xml:space="preserve"> This gains force by closer attention to Turner’s argument that citizenship is a ‘</w:t>
      </w:r>
      <w:r w:rsidRPr="005252DA">
        <w:rPr>
          <w:i/>
        </w:rPr>
        <w:t>dynamic social construction’</w:t>
      </w:r>
      <w:r w:rsidRPr="005252DA">
        <w:t xml:space="preserve"> the practices of which are shaped by history and political events </w:t>
      </w:r>
      <w:r w:rsidR="000E7726" w:rsidRPr="005252DA">
        <w:t>(Turner 1993:</w:t>
      </w:r>
      <w:r w:rsidRPr="005252DA">
        <w:t xml:space="preserve"> 3). Such dynamic construction can be seen in the global response to the dementia challenge which has shifted discourses of dementia from being centred on individual experiences, to recognising the ways in which socio-political practices and discourses shape the imaginary of dementia.</w:t>
      </w:r>
    </w:p>
    <w:p w14:paraId="0C5E1EB3" w14:textId="6FFB5152" w:rsidR="0059714C" w:rsidRPr="005252DA" w:rsidRDefault="007A475B" w:rsidP="00097178">
      <w:pPr>
        <w:spacing w:beforeLines="80" w:before="192" w:afterLines="80" w:after="192" w:line="480" w:lineRule="auto"/>
      </w:pPr>
      <w:r w:rsidRPr="005252DA">
        <w:rPr>
          <w:rFonts w:cs="TimesNewRomanPS"/>
          <w:lang w:eastAsia="en-GB"/>
        </w:rPr>
        <w:t>I</w:t>
      </w:r>
      <w:r w:rsidR="00376990" w:rsidRPr="005252DA">
        <w:rPr>
          <w:rFonts w:cs="TimesNewRomanPS"/>
          <w:lang w:eastAsia="en-GB"/>
        </w:rPr>
        <w:t>n dementia studies we see the constructs of social citizenship as helping understand the practice of citizenship in ‘ordinary places’ (Bartlett 2016:</w:t>
      </w:r>
      <w:r w:rsidR="000E7726" w:rsidRPr="005252DA">
        <w:rPr>
          <w:rFonts w:cs="TimesNewRomanPS"/>
          <w:lang w:eastAsia="en-GB"/>
        </w:rPr>
        <w:t xml:space="preserve"> </w:t>
      </w:r>
      <w:r w:rsidR="00376990" w:rsidRPr="005252DA">
        <w:rPr>
          <w:rFonts w:cs="TimesNewRomanPS"/>
          <w:lang w:eastAsia="en-GB"/>
        </w:rPr>
        <w:t xml:space="preserve">456). </w:t>
      </w:r>
      <w:r w:rsidR="00376990" w:rsidRPr="005252DA">
        <w:t xml:space="preserve">Exploring the macro- and micro-practices of social citizenship enables a more specific understanding of how social rights, obligations and social structures can condition an individual’s access as an equal to communities. Applying this understanding to how people with dementia are currently positioned as citizens, often within discourses of deficit, creates means to counter this by, instead, foregrounding the form and types of work people with dementia undertake as individuals and groups so as to re-position themselves as active citizens within their communities. </w:t>
      </w:r>
    </w:p>
    <w:p w14:paraId="4C1AEFBA" w14:textId="77777777" w:rsidR="00A33F7C" w:rsidRPr="005252DA" w:rsidRDefault="0055135E" w:rsidP="00097178">
      <w:pPr>
        <w:autoSpaceDE w:val="0"/>
        <w:autoSpaceDN w:val="0"/>
        <w:adjustRightInd w:val="0"/>
        <w:spacing w:beforeLines="80" w:before="192" w:afterLines="80" w:after="192" w:line="480" w:lineRule="auto"/>
        <w:rPr>
          <w:rFonts w:asciiTheme="minorHAnsi" w:hAnsiTheme="minorHAnsi" w:cs="AdvP8585"/>
          <w:lang w:eastAsia="en-GB"/>
        </w:rPr>
      </w:pPr>
      <w:r w:rsidRPr="005252DA">
        <w:t>From a sociological perspective</w:t>
      </w:r>
      <w:r w:rsidR="005C1EFE" w:rsidRPr="005252DA">
        <w:t>,</w:t>
      </w:r>
      <w:r w:rsidR="006D2C52" w:rsidRPr="005252DA">
        <w:t xml:space="preserve"> journ</w:t>
      </w:r>
      <w:r w:rsidR="002C32E0" w:rsidRPr="005252DA">
        <w:t xml:space="preserve">eying </w:t>
      </w:r>
      <w:r w:rsidR="006D2C52" w:rsidRPr="005252DA">
        <w:t xml:space="preserve">with dementia </w:t>
      </w:r>
      <w:r w:rsidR="005C1EFE" w:rsidRPr="005252DA">
        <w:t xml:space="preserve">will not </w:t>
      </w:r>
      <w:r w:rsidR="00D85D9E" w:rsidRPr="005252DA">
        <w:t xml:space="preserve">entail </w:t>
      </w:r>
      <w:r w:rsidR="002C32E0" w:rsidRPr="005252DA">
        <w:t xml:space="preserve">chronological, unidirectional </w:t>
      </w:r>
      <w:r w:rsidR="006D2C52" w:rsidRPr="005252DA">
        <w:t xml:space="preserve">passage </w:t>
      </w:r>
      <w:r w:rsidR="00403A36" w:rsidRPr="005252DA">
        <w:t xml:space="preserve">along </w:t>
      </w:r>
      <w:r w:rsidR="006D2C52" w:rsidRPr="005252DA">
        <w:t>an illness trajectory</w:t>
      </w:r>
      <w:r w:rsidR="00804B73" w:rsidRPr="005252DA">
        <w:t xml:space="preserve"> marked by pathological ch</w:t>
      </w:r>
      <w:r w:rsidR="001A58D6" w:rsidRPr="005252DA">
        <w:t>a</w:t>
      </w:r>
      <w:r w:rsidR="005C1EFE" w:rsidRPr="005252DA">
        <w:t>nges and health-</w:t>
      </w:r>
      <w:r w:rsidR="00804B73" w:rsidRPr="005252DA">
        <w:t>driven structures</w:t>
      </w:r>
      <w:r w:rsidR="005C1EFE" w:rsidRPr="005252DA">
        <w:t>;</w:t>
      </w:r>
      <w:r w:rsidRPr="005252DA">
        <w:t xml:space="preserve"> rather</w:t>
      </w:r>
      <w:r w:rsidR="006D2C52" w:rsidRPr="005252DA">
        <w:t xml:space="preserve"> it is a journey through different life events</w:t>
      </w:r>
      <w:r w:rsidR="005C1EFE" w:rsidRPr="005252DA">
        <w:t xml:space="preserve">. </w:t>
      </w:r>
      <w:r w:rsidR="0059111A" w:rsidRPr="005252DA">
        <w:t xml:space="preserve">This </w:t>
      </w:r>
      <w:r w:rsidR="00EE4519" w:rsidRPr="005252DA">
        <w:t xml:space="preserve">presents </w:t>
      </w:r>
      <w:r w:rsidR="002C32E0" w:rsidRPr="005252DA">
        <w:t>risks to</w:t>
      </w:r>
      <w:r w:rsidR="0050316E" w:rsidRPr="005252DA">
        <w:t>,</w:t>
      </w:r>
      <w:r w:rsidR="002C32E0" w:rsidRPr="005252DA">
        <w:t xml:space="preserve"> and opportunities for</w:t>
      </w:r>
      <w:r w:rsidR="0050316E" w:rsidRPr="005252DA">
        <w:t>,</w:t>
      </w:r>
      <w:r w:rsidR="002C32E0" w:rsidRPr="005252DA">
        <w:t xml:space="preserve"> </w:t>
      </w:r>
      <w:r w:rsidR="006D2C52" w:rsidRPr="005252DA">
        <w:t>social interactions</w:t>
      </w:r>
      <w:r w:rsidR="0050316E" w:rsidRPr="005252DA">
        <w:t>. The movement along the</w:t>
      </w:r>
      <w:r w:rsidR="00376990" w:rsidRPr="005252DA">
        <w:t xml:space="preserve"> illness</w:t>
      </w:r>
      <w:r w:rsidR="0050316E" w:rsidRPr="005252DA">
        <w:t xml:space="preserve"> trajectory is</w:t>
      </w:r>
      <w:r w:rsidR="0059111A" w:rsidRPr="005252DA">
        <w:t xml:space="preserve"> </w:t>
      </w:r>
      <w:r w:rsidR="002C32E0" w:rsidRPr="005252DA">
        <w:t xml:space="preserve">marked by </w:t>
      </w:r>
      <w:r w:rsidR="006D2C52" w:rsidRPr="005252DA">
        <w:t xml:space="preserve">changing </w:t>
      </w:r>
      <w:r w:rsidR="002C32E0" w:rsidRPr="005252DA">
        <w:t xml:space="preserve">social </w:t>
      </w:r>
      <w:r w:rsidR="006D2C52" w:rsidRPr="005252DA">
        <w:t xml:space="preserve">status, </w:t>
      </w:r>
      <w:r w:rsidRPr="005252DA">
        <w:t xml:space="preserve">some of which </w:t>
      </w:r>
      <w:r w:rsidR="00847C2A" w:rsidRPr="005252DA">
        <w:t xml:space="preserve">can be stigmatising. </w:t>
      </w:r>
      <w:r w:rsidR="00A33F7C" w:rsidRPr="005252DA">
        <w:t xml:space="preserve">The sociological concept of liminality provides a lens to </w:t>
      </w:r>
      <w:r w:rsidR="00A33F7C" w:rsidRPr="005252DA">
        <w:rPr>
          <w:rFonts w:asciiTheme="minorHAnsi" w:hAnsiTheme="minorHAnsi" w:cs="AdvP8585"/>
          <w:lang w:eastAsia="en-GB"/>
        </w:rPr>
        <w:t xml:space="preserve">explore those social structures which may constrain, or support, opportunities for </w:t>
      </w:r>
      <w:r w:rsidR="00A33F7C" w:rsidRPr="005252DA">
        <w:rPr>
          <w:rFonts w:asciiTheme="minorHAnsi" w:hAnsiTheme="minorHAnsi" w:cs="AdvP8585"/>
          <w:lang w:eastAsia="en-GB"/>
        </w:rPr>
        <w:lastRenderedPageBreak/>
        <w:t>people with dementia to move from the liminal state of ambiguity and uncertainty often triggered by diagnosis to a post-liminal state which can enable interdependency and provide the mechanisms for their own agentic actions to support social citizenship.</w:t>
      </w:r>
    </w:p>
    <w:p w14:paraId="610DA793" w14:textId="73D614C1" w:rsidR="001A58D6" w:rsidRPr="005252DA" w:rsidRDefault="00847C2A" w:rsidP="00097178">
      <w:pPr>
        <w:autoSpaceDE w:val="0"/>
        <w:autoSpaceDN w:val="0"/>
        <w:adjustRightInd w:val="0"/>
        <w:spacing w:beforeLines="80" w:before="192" w:afterLines="80" w:after="192" w:line="480" w:lineRule="auto"/>
        <w:rPr>
          <w:rFonts w:cs="TimesNewRomanPS"/>
          <w:lang w:eastAsia="en-GB"/>
        </w:rPr>
      </w:pPr>
      <w:r w:rsidRPr="005252DA">
        <w:t>Medical and social discourses around dementia are bring</w:t>
      </w:r>
      <w:r w:rsidR="00C17F04" w:rsidRPr="005252DA">
        <w:t>ing</w:t>
      </w:r>
      <w:r w:rsidRPr="005252DA">
        <w:t xml:space="preserve"> the condition of dementia </w:t>
      </w:r>
      <w:r w:rsidR="00C17F04" w:rsidRPr="005252DA">
        <w:t>increasingly</w:t>
      </w:r>
      <w:r w:rsidRPr="005252DA">
        <w:t xml:space="preserve"> into public view, </w:t>
      </w:r>
      <w:r w:rsidR="00C17F04" w:rsidRPr="005252DA">
        <w:t xml:space="preserve">together </w:t>
      </w:r>
      <w:r w:rsidRPr="005252DA">
        <w:t xml:space="preserve">with </w:t>
      </w:r>
      <w:r w:rsidR="00C17F04" w:rsidRPr="005252DA">
        <w:t xml:space="preserve">a growing </w:t>
      </w:r>
      <w:r w:rsidRPr="005252DA">
        <w:t xml:space="preserve">emphasis on early diagnosis (Prince </w:t>
      </w:r>
      <w:r w:rsidRPr="005252DA">
        <w:rPr>
          <w:i/>
        </w:rPr>
        <w:t>et al.</w:t>
      </w:r>
      <w:r w:rsidRPr="005252DA">
        <w:t xml:space="preserve"> 2011)</w:t>
      </w:r>
      <w:r w:rsidR="002D7F7B" w:rsidRPr="005252DA">
        <w:t>,</w:t>
      </w:r>
      <w:r w:rsidRPr="005252DA">
        <w:t xml:space="preserve"> </w:t>
      </w:r>
      <w:r w:rsidR="00C17F04" w:rsidRPr="005252DA">
        <w:t xml:space="preserve">giving momentum to a </w:t>
      </w:r>
      <w:r w:rsidRPr="005252DA">
        <w:t xml:space="preserve">socio-political agenda to </w:t>
      </w:r>
      <w:r w:rsidR="00C17F04" w:rsidRPr="005252DA">
        <w:t xml:space="preserve">raise </w:t>
      </w:r>
      <w:r w:rsidRPr="005252DA">
        <w:t xml:space="preserve">public awareness of the challenges </w:t>
      </w:r>
      <w:r w:rsidR="00C17F04" w:rsidRPr="005252DA">
        <w:t xml:space="preserve">being </w:t>
      </w:r>
      <w:r w:rsidRPr="005252DA">
        <w:t>encountered by people with dementia and their families (</w:t>
      </w:r>
      <w:r w:rsidR="00105871" w:rsidRPr="005252DA">
        <w:t>Department of Health 2013</w:t>
      </w:r>
      <w:r w:rsidRPr="005252DA">
        <w:t>).</w:t>
      </w:r>
      <w:r w:rsidR="00CC4B29" w:rsidRPr="005252DA">
        <w:t xml:space="preserve"> </w:t>
      </w:r>
      <w:r w:rsidR="00B05275" w:rsidRPr="005252DA">
        <w:t>D</w:t>
      </w:r>
      <w:r w:rsidR="00CC4B29" w:rsidRPr="005252DA">
        <w:t xml:space="preserve">ementia defines a syndrome </w:t>
      </w:r>
      <w:r w:rsidR="00B05275" w:rsidRPr="005252DA">
        <w:t>where symptoms are grounded in decline of brain function</w:t>
      </w:r>
      <w:r w:rsidR="00097178">
        <w:t>;</w:t>
      </w:r>
      <w:r w:rsidR="00CC4B29" w:rsidRPr="005252DA">
        <w:t xml:space="preserve"> </w:t>
      </w:r>
      <w:r w:rsidR="00B05275" w:rsidRPr="005252DA">
        <w:t>specific symptoms</w:t>
      </w:r>
      <w:r w:rsidR="00CC4B29" w:rsidRPr="005252DA">
        <w:t xml:space="preserve"> differ across different </w:t>
      </w:r>
      <w:r w:rsidR="00B05275" w:rsidRPr="005252DA">
        <w:t>neurological disease. However</w:t>
      </w:r>
      <w:r w:rsidR="00097178">
        <w:t>,</w:t>
      </w:r>
      <w:r w:rsidR="00B05275" w:rsidRPr="005252DA">
        <w:t xml:space="preserve"> </w:t>
      </w:r>
      <w:r w:rsidR="00097178">
        <w:t>for most</w:t>
      </w:r>
      <w:r w:rsidR="00B05275" w:rsidRPr="005252DA">
        <w:t xml:space="preserve"> people there will be social consequences to a diagnosis of dementia, therefore i</w:t>
      </w:r>
      <w:r w:rsidR="00C17F04" w:rsidRPr="005252DA">
        <w:t xml:space="preserve">t </w:t>
      </w:r>
      <w:r w:rsidRPr="005252DA">
        <w:t>is timely</w:t>
      </w:r>
      <w:r w:rsidR="00B05275" w:rsidRPr="005252DA">
        <w:t xml:space="preserve"> </w:t>
      </w:r>
      <w:r w:rsidRPr="005252DA">
        <w:t xml:space="preserve">to </w:t>
      </w:r>
      <w:r w:rsidR="00C17F04" w:rsidRPr="005252DA">
        <w:t xml:space="preserve">examine </w:t>
      </w:r>
      <w:r w:rsidRPr="005252DA">
        <w:t xml:space="preserve">the social structures which </w:t>
      </w:r>
      <w:r w:rsidR="00C17F04" w:rsidRPr="005252DA">
        <w:t xml:space="preserve">may </w:t>
      </w:r>
      <w:r w:rsidRPr="005252DA">
        <w:t>shape the journey</w:t>
      </w:r>
      <w:r w:rsidR="001D590F" w:rsidRPr="005252DA">
        <w:t>.</w:t>
      </w:r>
    </w:p>
    <w:p w14:paraId="03B84D5B" w14:textId="2B7EC343" w:rsidR="00200D4C" w:rsidRPr="005252DA" w:rsidRDefault="001D590F" w:rsidP="00097178">
      <w:pPr>
        <w:autoSpaceDE w:val="0"/>
        <w:autoSpaceDN w:val="0"/>
        <w:adjustRightInd w:val="0"/>
        <w:spacing w:beforeLines="80" w:before="192" w:afterLines="80" w:after="192" w:line="480" w:lineRule="auto"/>
        <w:rPr>
          <w:rFonts w:cs="TimesNewRomanPS"/>
          <w:lang w:eastAsia="en-GB"/>
        </w:rPr>
      </w:pPr>
      <w:r w:rsidRPr="005252DA">
        <w:rPr>
          <w:rFonts w:cs="TimesNewRomanPS"/>
          <w:lang w:eastAsia="en-GB"/>
        </w:rPr>
        <w:t xml:space="preserve">Illustrations in this paper are drawn from a </w:t>
      </w:r>
      <w:r w:rsidR="003E365C" w:rsidRPr="005252DA">
        <w:rPr>
          <w:rFonts w:cs="TimesNewRomanPS"/>
          <w:lang w:eastAsia="en-GB"/>
        </w:rPr>
        <w:t xml:space="preserve">scoping review of </w:t>
      </w:r>
      <w:r w:rsidR="00254A1F" w:rsidRPr="005252DA">
        <w:rPr>
          <w:rFonts w:cs="TimesNewRomanPS"/>
          <w:lang w:eastAsia="en-GB"/>
        </w:rPr>
        <w:t xml:space="preserve">literature </w:t>
      </w:r>
      <w:r w:rsidR="003E365C" w:rsidRPr="005252DA">
        <w:rPr>
          <w:rFonts w:cs="TimesNewRomanPS"/>
          <w:lang w:eastAsia="en-GB"/>
        </w:rPr>
        <w:t xml:space="preserve">on </w:t>
      </w:r>
      <w:r w:rsidR="00254A1F" w:rsidRPr="005252DA">
        <w:rPr>
          <w:rFonts w:cs="TimesNewRomanPS"/>
          <w:lang w:eastAsia="en-GB"/>
        </w:rPr>
        <w:t>social participation in dementia</w:t>
      </w:r>
      <w:r w:rsidRPr="005252DA">
        <w:t xml:space="preserve">. The </w:t>
      </w:r>
      <w:r w:rsidR="009431DD" w:rsidRPr="005252DA">
        <w:t>r</w:t>
      </w:r>
      <w:r w:rsidRPr="005252DA">
        <w:t>eview has been used to ground the (</w:t>
      </w:r>
      <w:r w:rsidRPr="005252DA">
        <w:rPr>
          <w:i/>
        </w:rPr>
        <w:t>removed for blind peer review</w:t>
      </w:r>
      <w:r w:rsidRPr="005252DA">
        <w:t xml:space="preserve">) study which seeks to explore </w:t>
      </w:r>
      <w:r w:rsidR="000D3328" w:rsidRPr="005252DA">
        <w:t>(</w:t>
      </w:r>
      <w:r w:rsidR="000D3328" w:rsidRPr="005252DA">
        <w:rPr>
          <w:i/>
        </w:rPr>
        <w:t>removed for blind peer review</w:t>
      </w:r>
      <w:r w:rsidR="000D3328" w:rsidRPr="005252DA">
        <w:t>)</w:t>
      </w:r>
      <w:r w:rsidRPr="005252DA">
        <w:t xml:space="preserve"> of dementia. For the review we searched health and social science databases for literature reporting the experiences of social participation in people with dementia, living within the community. While we did not restrict country of origin, the literature retrieved mainly reported western experiences. Full details of the review are available from the authors. </w:t>
      </w:r>
    </w:p>
    <w:p w14:paraId="40A27597" w14:textId="77777777" w:rsidR="009B4A9A" w:rsidRPr="005252DA" w:rsidRDefault="009B4A9A" w:rsidP="00097178">
      <w:pPr>
        <w:pStyle w:val="Heading3"/>
        <w:spacing w:beforeLines="80" w:before="192" w:afterLines="80" w:after="192" w:line="480" w:lineRule="auto"/>
        <w:rPr>
          <w:lang w:eastAsia="en-GB"/>
        </w:rPr>
      </w:pPr>
      <w:r w:rsidRPr="005252DA">
        <w:rPr>
          <w:lang w:eastAsia="en-GB"/>
        </w:rPr>
        <w:t>Disrupted trajectories</w:t>
      </w:r>
    </w:p>
    <w:p w14:paraId="3385E72A" w14:textId="49715ACB" w:rsidR="009B4A9A" w:rsidRPr="005252DA" w:rsidRDefault="009B4A9A" w:rsidP="00097178">
      <w:pPr>
        <w:spacing w:beforeLines="80" w:before="192" w:afterLines="80" w:after="192" w:line="480" w:lineRule="auto"/>
        <w:rPr>
          <w:rFonts w:cs="TimesNewRomanPS"/>
          <w:lang w:eastAsia="en-GB"/>
        </w:rPr>
      </w:pPr>
      <w:r w:rsidRPr="005252DA">
        <w:rPr>
          <w:rFonts w:cs="TimesNewRomanPS"/>
          <w:lang w:eastAsia="en-GB"/>
        </w:rPr>
        <w:t xml:space="preserve">A universal event in the dementia journey is the disruption triggered by a change in cognitive function. Such disruption may stem from the terror of suddenly not knowing where you are, or the gradual realisation that memory and processing skills are receding. Personal attributions for such cognitive changes are varied and situated within lived experiences </w:t>
      </w:r>
      <w:r w:rsidR="000E7726" w:rsidRPr="005252DA">
        <w:rPr>
          <w:rFonts w:cs="TimesNewRomanPS"/>
          <w:lang w:eastAsia="en-GB"/>
        </w:rPr>
        <w:t xml:space="preserve">(Hurt </w:t>
      </w:r>
      <w:r w:rsidR="000E7726" w:rsidRPr="005252DA">
        <w:rPr>
          <w:rFonts w:cs="TimesNewRomanPS"/>
          <w:i/>
          <w:lang w:eastAsia="en-GB"/>
        </w:rPr>
        <w:t>et al.</w:t>
      </w:r>
      <w:r w:rsidR="000E7726" w:rsidRPr="005252DA">
        <w:rPr>
          <w:rFonts w:cs="TimesNewRomanPS"/>
          <w:lang w:eastAsia="en-GB"/>
        </w:rPr>
        <w:t xml:space="preserve"> </w:t>
      </w:r>
      <w:r w:rsidRPr="005252DA">
        <w:rPr>
          <w:rFonts w:cs="TimesNewRomanPS"/>
          <w:lang w:eastAsia="en-GB"/>
        </w:rPr>
        <w:t xml:space="preserve">2011). Nonetheless, changes in cognition mark a key sociological event as the previous certainties of the form and </w:t>
      </w:r>
      <w:r w:rsidRPr="005252DA">
        <w:rPr>
          <w:rFonts w:cs="TimesNewRomanPS"/>
          <w:lang w:eastAsia="en-GB"/>
        </w:rPr>
        <w:lastRenderedPageBreak/>
        <w:t xml:space="preserve">function of social roles, statuses and planned life trajectories are threatened; the equilibrium of life is disturbed. </w:t>
      </w:r>
    </w:p>
    <w:p w14:paraId="330210C6" w14:textId="37CE2310" w:rsidR="009B4A9A" w:rsidRPr="005252DA" w:rsidRDefault="009B4A9A" w:rsidP="00097178">
      <w:pPr>
        <w:autoSpaceDE w:val="0"/>
        <w:autoSpaceDN w:val="0"/>
        <w:adjustRightInd w:val="0"/>
        <w:spacing w:beforeLines="80" w:before="192" w:afterLines="80" w:after="192" w:line="480" w:lineRule="auto"/>
      </w:pPr>
      <w:r w:rsidRPr="005252DA">
        <w:t xml:space="preserve">Becoming a person with dementia rarely happens at a single time point but rather across time situated within a sequence of physical and social changes either realised by the individual or by others. People may be living with uncertainty about cognitive changes for some time as </w:t>
      </w:r>
      <w:r w:rsidR="002D7F7B" w:rsidRPr="005252DA">
        <w:t xml:space="preserve">the </w:t>
      </w:r>
      <w:r w:rsidRPr="005252DA">
        <w:rPr>
          <w:rFonts w:cs="TimesNewRomanPS"/>
          <w:lang w:eastAsia="en-GB"/>
        </w:rPr>
        <w:t xml:space="preserve">fear of being stigmatised can </w:t>
      </w:r>
      <w:r w:rsidR="000E7726" w:rsidRPr="005252DA">
        <w:rPr>
          <w:rFonts w:cs="TimesNewRomanPS"/>
          <w:lang w:eastAsia="en-GB"/>
        </w:rPr>
        <w:t xml:space="preserve">delay seeking help (Bamford </w:t>
      </w:r>
      <w:r w:rsidR="000E7726" w:rsidRPr="005252DA">
        <w:rPr>
          <w:rFonts w:cs="TimesNewRomanPS"/>
          <w:i/>
          <w:lang w:eastAsia="en-GB"/>
        </w:rPr>
        <w:t>et al.</w:t>
      </w:r>
      <w:r w:rsidRPr="005252DA">
        <w:rPr>
          <w:rFonts w:cs="TimesNewRomanPS"/>
          <w:lang w:eastAsia="en-GB"/>
        </w:rPr>
        <w:t xml:space="preserve"> 2014</w:t>
      </w:r>
      <w:r w:rsidRPr="005252DA">
        <w:t xml:space="preserve">). Once help-seeking is triggered a series of medical examinations usually precede diagnosis. </w:t>
      </w:r>
    </w:p>
    <w:p w14:paraId="3915A886" w14:textId="60D4CAA3" w:rsidR="000D3328" w:rsidRPr="005252DA" w:rsidRDefault="009B4A9A" w:rsidP="00097178">
      <w:pPr>
        <w:autoSpaceDE w:val="0"/>
        <w:autoSpaceDN w:val="0"/>
        <w:adjustRightInd w:val="0"/>
        <w:spacing w:beforeLines="80" w:before="192" w:afterLines="80" w:after="192" w:line="480" w:lineRule="auto"/>
        <w:rPr>
          <w:rFonts w:asciiTheme="minorHAnsi" w:hAnsiTheme="minorHAnsi" w:cs="AdvP8585"/>
          <w:lang w:eastAsia="en-GB"/>
        </w:rPr>
      </w:pPr>
      <w:r w:rsidRPr="005252DA">
        <w:t>Receiving the diagnosis of dementia can be a watershed moment for how the person and others around them perceive their future (</w:t>
      </w:r>
      <w:proofErr w:type="spellStart"/>
      <w:r w:rsidRPr="005252DA">
        <w:t>Vernooij-Dassen</w:t>
      </w:r>
      <w:proofErr w:type="spellEnd"/>
      <w:r w:rsidRPr="005252DA">
        <w:t xml:space="preserve"> </w:t>
      </w:r>
      <w:r w:rsidRPr="005252DA">
        <w:rPr>
          <w:i/>
        </w:rPr>
        <w:t>et al.</w:t>
      </w:r>
      <w:r w:rsidRPr="005252DA">
        <w:t xml:space="preserve"> 2006</w:t>
      </w:r>
      <w:r w:rsidR="00EC207D" w:rsidRPr="005252DA">
        <w:t xml:space="preserve">, </w:t>
      </w:r>
      <w:proofErr w:type="spellStart"/>
      <w:r w:rsidR="00EC207D" w:rsidRPr="005252DA">
        <w:t>Aminzadeh</w:t>
      </w:r>
      <w:proofErr w:type="spellEnd"/>
      <w:r w:rsidR="00EC207D" w:rsidRPr="005252DA">
        <w:t xml:space="preserve"> </w:t>
      </w:r>
      <w:r w:rsidR="00EC207D" w:rsidRPr="005252DA">
        <w:rPr>
          <w:i/>
        </w:rPr>
        <w:t>et al.</w:t>
      </w:r>
      <w:r w:rsidR="00EC207D" w:rsidRPr="005252DA">
        <w:t xml:space="preserve"> 2007</w:t>
      </w:r>
      <w:r w:rsidRPr="005252DA">
        <w:t xml:space="preserve">). It moves people along to an uncertain state and a place which is often defined by narratives of deficit. </w:t>
      </w:r>
      <w:r w:rsidRPr="005252DA">
        <w:rPr>
          <w:rFonts w:cs="TimesNewRomanPS"/>
          <w:lang w:eastAsia="en-GB"/>
        </w:rPr>
        <w:t xml:space="preserve">The diagnosis of dementia may be intrinsically linked both by the individual and others as a stigmatised condition (Milne 2010). </w:t>
      </w:r>
      <w:r w:rsidRPr="005252DA">
        <w:t>A dementia diagnosis can be socially discrediting and lead to the person be</w:t>
      </w:r>
      <w:r w:rsidRPr="005252DA">
        <w:rPr>
          <w:rFonts w:asciiTheme="minorHAnsi" w:hAnsiTheme="minorHAnsi"/>
        </w:rPr>
        <w:t>ing ‘</w:t>
      </w:r>
      <w:r w:rsidRPr="005252DA">
        <w:rPr>
          <w:rFonts w:asciiTheme="minorHAnsi" w:hAnsiTheme="minorHAnsi" w:cs="HelveticaNeue-Light"/>
          <w:i/>
          <w:lang w:eastAsia="en-GB"/>
        </w:rPr>
        <w:t>unjustifiably rendered shameful, excluded and discriminated against</w:t>
      </w:r>
      <w:r w:rsidR="000E7726" w:rsidRPr="005252DA">
        <w:rPr>
          <w:rFonts w:asciiTheme="minorHAnsi" w:hAnsiTheme="minorHAnsi" w:cs="HelveticaNeue-Light"/>
          <w:i/>
          <w:lang w:eastAsia="en-GB"/>
        </w:rPr>
        <w:t>’</w:t>
      </w:r>
      <w:r w:rsidRPr="005252DA">
        <w:rPr>
          <w:rFonts w:asciiTheme="minorHAnsi" w:hAnsiTheme="minorHAnsi" w:cs="HelveticaNeue-Light"/>
          <w:i/>
          <w:lang w:eastAsia="en-GB"/>
        </w:rPr>
        <w:t xml:space="preserve"> </w:t>
      </w:r>
      <w:r w:rsidRPr="005252DA">
        <w:rPr>
          <w:rFonts w:asciiTheme="minorHAnsi" w:hAnsiTheme="minorHAnsi" w:cs="HelveticaNeue-Light"/>
          <w:lang w:eastAsia="en-GB"/>
        </w:rPr>
        <w:t>(WHO 2002:</w:t>
      </w:r>
      <w:r w:rsidR="000E7726" w:rsidRPr="005252DA">
        <w:rPr>
          <w:rFonts w:asciiTheme="minorHAnsi" w:hAnsiTheme="minorHAnsi" w:cs="HelveticaNeue-Light"/>
          <w:lang w:eastAsia="en-GB"/>
        </w:rPr>
        <w:t xml:space="preserve"> </w:t>
      </w:r>
      <w:r w:rsidRPr="005252DA">
        <w:rPr>
          <w:rFonts w:asciiTheme="minorHAnsi" w:hAnsiTheme="minorHAnsi" w:cs="HelveticaNeue-Light"/>
          <w:lang w:eastAsia="en-GB"/>
        </w:rPr>
        <w:t>8).</w:t>
      </w:r>
      <w:r w:rsidRPr="005252DA">
        <w:rPr>
          <w:rFonts w:asciiTheme="minorHAnsi" w:hAnsiTheme="minorHAnsi"/>
        </w:rPr>
        <w:t xml:space="preserve"> </w:t>
      </w:r>
      <w:r w:rsidRPr="005252DA">
        <w:rPr>
          <w:rFonts w:cs="TimesNewRomanPS"/>
          <w:lang w:eastAsia="en-GB"/>
        </w:rPr>
        <w:t xml:space="preserve">   Nonetheless people are themselves seen to use their diagnosis as a disclaimer enabling them to situate dementia and the accompanying cognitive changes as a sickness over which they have no control (</w:t>
      </w:r>
      <w:proofErr w:type="spellStart"/>
      <w:r w:rsidRPr="005252DA">
        <w:rPr>
          <w:rFonts w:cs="TimesNewRomanPS"/>
          <w:lang w:eastAsia="en-GB"/>
        </w:rPr>
        <w:t>MacRae</w:t>
      </w:r>
      <w:proofErr w:type="spellEnd"/>
      <w:r w:rsidRPr="005252DA">
        <w:rPr>
          <w:rFonts w:cs="TimesNewRomanPS"/>
          <w:lang w:eastAsia="en-GB"/>
        </w:rPr>
        <w:t xml:space="preserve"> 2010).  Such </w:t>
      </w:r>
      <w:r w:rsidR="00097178" w:rsidRPr="005252DA">
        <w:rPr>
          <w:rFonts w:cs="TimesNewRomanPS"/>
          <w:lang w:eastAsia="en-GB"/>
        </w:rPr>
        <w:t>difference in reactions to diagnosis indicates</w:t>
      </w:r>
      <w:r w:rsidRPr="005252DA">
        <w:rPr>
          <w:rFonts w:cs="TimesNewRomanPS"/>
          <w:lang w:eastAsia="en-GB"/>
        </w:rPr>
        <w:t xml:space="preserve"> that there may be different personal or wider social structures which enable people to follow different trajectories following diagnosis. </w:t>
      </w:r>
      <w:r w:rsidR="00EF60E7">
        <w:t>For al</w:t>
      </w:r>
      <w:r w:rsidR="00EC207D" w:rsidRPr="005252DA">
        <w:t>th</w:t>
      </w:r>
      <w:r w:rsidRPr="005252DA">
        <w:t>ough, a diagnosis of dementia, even if its symptoms have been apparent for some time, places people on a different trajectory to their previously-envisaged selves.</w:t>
      </w:r>
    </w:p>
    <w:p w14:paraId="38BCC7B6" w14:textId="10E0795C" w:rsidR="00EE4519" w:rsidRPr="005252DA" w:rsidRDefault="00EE4519" w:rsidP="00097178">
      <w:pPr>
        <w:pStyle w:val="Heading3"/>
        <w:spacing w:beforeLines="80" w:before="192" w:afterLines="80" w:after="192" w:line="480" w:lineRule="auto"/>
        <w:rPr>
          <w:lang w:eastAsia="en-GB"/>
        </w:rPr>
      </w:pPr>
      <w:r w:rsidRPr="005252DA">
        <w:rPr>
          <w:lang w:eastAsia="en-GB"/>
        </w:rPr>
        <w:t>Liminality</w:t>
      </w:r>
    </w:p>
    <w:p w14:paraId="1151D791" w14:textId="39BC5B90" w:rsidR="00985998" w:rsidRPr="005252DA" w:rsidRDefault="005171B5" w:rsidP="00097178">
      <w:pPr>
        <w:spacing w:beforeLines="80" w:before="192" w:afterLines="80" w:after="192" w:line="480" w:lineRule="auto"/>
        <w:rPr>
          <w:rFonts w:asciiTheme="minorHAnsi" w:hAnsiTheme="minorHAnsi" w:cs="TimesNewRomanPS"/>
          <w:lang w:eastAsia="en-GB"/>
        </w:rPr>
      </w:pPr>
      <w:r w:rsidRPr="005252DA">
        <w:rPr>
          <w:rFonts w:cs="TimesNewRomanPS"/>
          <w:lang w:eastAsia="en-GB"/>
        </w:rPr>
        <w:t>Chronic illnesses</w:t>
      </w:r>
      <w:r w:rsidR="00125E82" w:rsidRPr="005252DA">
        <w:rPr>
          <w:rFonts w:cs="TimesNewRomanPS"/>
          <w:lang w:eastAsia="en-GB"/>
        </w:rPr>
        <w:t>, including dementia,</w:t>
      </w:r>
      <w:r w:rsidRPr="005252DA">
        <w:rPr>
          <w:rFonts w:cs="TimesNewRomanPS"/>
          <w:lang w:eastAsia="en-GB"/>
        </w:rPr>
        <w:t xml:space="preserve"> are ongoing processes with landmarks, transitions and changing demands. Rolland (1987) described three major phases of chronic illness: crisis, chronic and terminal, each with implications for individual and family adaptation and role changes. </w:t>
      </w:r>
      <w:r w:rsidR="00985998" w:rsidRPr="005252DA">
        <w:rPr>
          <w:rFonts w:cs="TimesNewRomanPS"/>
          <w:lang w:eastAsia="en-GB"/>
        </w:rPr>
        <w:t xml:space="preserve">The social experiences of living in the </w:t>
      </w:r>
      <w:r w:rsidRPr="005252DA">
        <w:rPr>
          <w:rFonts w:cs="TimesNewRomanPS"/>
          <w:lang w:eastAsia="en-GB"/>
        </w:rPr>
        <w:t xml:space="preserve">‘crisis’ </w:t>
      </w:r>
      <w:r w:rsidR="00985998" w:rsidRPr="005252DA">
        <w:rPr>
          <w:rFonts w:cs="TimesNewRomanPS"/>
          <w:lang w:eastAsia="en-GB"/>
        </w:rPr>
        <w:t xml:space="preserve">period </w:t>
      </w:r>
      <w:r w:rsidRPr="005252DA">
        <w:rPr>
          <w:rFonts w:cs="TimesNewRomanPS"/>
          <w:lang w:eastAsia="en-GB"/>
        </w:rPr>
        <w:t>(pre-and post-medical diagnosis)</w:t>
      </w:r>
      <w:r w:rsidR="00985998" w:rsidRPr="005252DA">
        <w:rPr>
          <w:rFonts w:cs="TimesNewRomanPS"/>
          <w:lang w:eastAsia="en-GB"/>
        </w:rPr>
        <w:t xml:space="preserve">, may be </w:t>
      </w:r>
      <w:r w:rsidR="00125E82" w:rsidRPr="005252DA">
        <w:rPr>
          <w:rFonts w:cs="TimesNewRomanPS"/>
          <w:lang w:eastAsia="en-GB"/>
        </w:rPr>
        <w:t xml:space="preserve">considered </w:t>
      </w:r>
      <w:r w:rsidR="004F3726" w:rsidRPr="005252DA">
        <w:rPr>
          <w:rFonts w:cs="TimesNewRomanPS"/>
          <w:lang w:eastAsia="en-GB"/>
        </w:rPr>
        <w:lastRenderedPageBreak/>
        <w:t xml:space="preserve">as </w:t>
      </w:r>
      <w:r w:rsidR="00125E82" w:rsidRPr="005252DA">
        <w:rPr>
          <w:rFonts w:cs="TimesNewRomanPS"/>
          <w:lang w:eastAsia="en-GB"/>
        </w:rPr>
        <w:t xml:space="preserve">an example of </w:t>
      </w:r>
      <w:r w:rsidR="00985998" w:rsidRPr="005252DA">
        <w:rPr>
          <w:rFonts w:cs="TimesNewRomanPS"/>
          <w:lang w:eastAsia="en-GB"/>
        </w:rPr>
        <w:t>‘liminality’</w:t>
      </w:r>
      <w:r w:rsidR="00125E82" w:rsidRPr="005252DA">
        <w:rPr>
          <w:rFonts w:cs="TimesNewRomanPS"/>
          <w:lang w:eastAsia="en-GB"/>
        </w:rPr>
        <w:t xml:space="preserve"> or </w:t>
      </w:r>
      <w:r w:rsidR="00125E82" w:rsidRPr="005252DA">
        <w:rPr>
          <w:rFonts w:cs="TimesNewRomanPS"/>
          <w:i/>
          <w:lang w:eastAsia="en-GB"/>
        </w:rPr>
        <w:t>‘</w:t>
      </w:r>
      <w:r w:rsidR="00125E82" w:rsidRPr="005252DA">
        <w:rPr>
          <w:i/>
        </w:rPr>
        <w:t xml:space="preserve">movement between fixed points’ </w:t>
      </w:r>
      <w:r w:rsidR="00125E82" w:rsidRPr="005252DA">
        <w:t>which is</w:t>
      </w:r>
      <w:r w:rsidR="00125E82" w:rsidRPr="005252DA">
        <w:rPr>
          <w:i/>
        </w:rPr>
        <w:t xml:space="preserve"> ‘essentially ambiguous, unsettled, and unsettling</w:t>
      </w:r>
      <w:r w:rsidR="00125E82" w:rsidRPr="005252DA">
        <w:t xml:space="preserve">’ </w:t>
      </w:r>
      <w:r w:rsidR="00125E82" w:rsidRPr="005252DA">
        <w:rPr>
          <w:rFonts w:cs="TimesNewRomanPS"/>
          <w:lang w:eastAsia="en-GB"/>
        </w:rPr>
        <w:t>(</w:t>
      </w:r>
      <w:r w:rsidR="000E7726" w:rsidRPr="005252DA">
        <w:rPr>
          <w:rFonts w:cs="TimesNewRomanPS"/>
          <w:lang w:eastAsia="en-GB"/>
        </w:rPr>
        <w:t>Turner</w:t>
      </w:r>
      <w:r w:rsidR="00125E82" w:rsidRPr="005252DA">
        <w:rPr>
          <w:rFonts w:cs="TimesNewRomanPS"/>
          <w:lang w:eastAsia="en-GB"/>
        </w:rPr>
        <w:t xml:space="preserve"> 1974: 274). </w:t>
      </w:r>
      <w:r w:rsidR="009C6E4E" w:rsidRPr="005252DA">
        <w:rPr>
          <w:rFonts w:cs="TimesNewRomanPS"/>
          <w:lang w:eastAsia="en-GB"/>
        </w:rPr>
        <w:t xml:space="preserve">During the liminal state people are often </w:t>
      </w:r>
      <w:r w:rsidR="00C7185F" w:rsidRPr="005252DA">
        <w:rPr>
          <w:rFonts w:cs="TimesNewRomanPS"/>
          <w:lang w:eastAsia="en-GB"/>
        </w:rPr>
        <w:t>structurally invisible</w:t>
      </w:r>
      <w:r w:rsidR="009C6E4E" w:rsidRPr="005252DA">
        <w:rPr>
          <w:rFonts w:cs="TimesNewRomanPS"/>
          <w:lang w:eastAsia="en-GB"/>
        </w:rPr>
        <w:t>, without status: ‘</w:t>
      </w:r>
      <w:r w:rsidR="009C6E4E" w:rsidRPr="005252DA">
        <w:rPr>
          <w:rFonts w:cs="TimesNewRomanPS"/>
          <w:i/>
          <w:lang w:eastAsia="en-GB"/>
        </w:rPr>
        <w:t>no longer classified and not yet classified</w:t>
      </w:r>
      <w:r w:rsidR="00C7185F" w:rsidRPr="005252DA">
        <w:rPr>
          <w:rFonts w:cs="TimesNewRomanPS"/>
          <w:lang w:eastAsia="en-GB"/>
        </w:rPr>
        <w:t>’</w:t>
      </w:r>
      <w:r w:rsidR="009C6E4E" w:rsidRPr="005252DA">
        <w:rPr>
          <w:rFonts w:cs="TimesNewRomanPS"/>
          <w:lang w:eastAsia="en-GB"/>
        </w:rPr>
        <w:t xml:space="preserve"> (Turner 1967: 96)</w:t>
      </w:r>
      <w:r w:rsidR="00C7185F" w:rsidRPr="005252DA">
        <w:rPr>
          <w:rFonts w:cs="TimesNewRomanPS"/>
          <w:lang w:eastAsia="en-GB"/>
        </w:rPr>
        <w:t>.</w:t>
      </w:r>
      <w:r w:rsidR="00F11B92" w:rsidRPr="005252DA">
        <w:rPr>
          <w:rFonts w:cs="TimesNewRomanPS"/>
          <w:lang w:eastAsia="en-GB"/>
        </w:rPr>
        <w:t xml:space="preserve"> In the post-liminal state they may be positioned within new groups and achieve new status.</w:t>
      </w:r>
    </w:p>
    <w:p w14:paraId="2F7906EA" w14:textId="1F33EA31" w:rsidR="00900C64" w:rsidRPr="005252DA" w:rsidRDefault="00022832" w:rsidP="00097178">
      <w:pPr>
        <w:spacing w:beforeLines="80" w:before="192" w:afterLines="80" w:after="192" w:line="480" w:lineRule="auto"/>
      </w:pPr>
      <w:r w:rsidRPr="005252DA">
        <w:t>For those living with chronic illness and cancer a clearly structured post</w:t>
      </w:r>
      <w:r w:rsidR="00EC207D" w:rsidRPr="005252DA">
        <w:t>-</w:t>
      </w:r>
      <w:r w:rsidRPr="005252DA">
        <w:t>liminal s</w:t>
      </w:r>
      <w:r w:rsidR="00EC207D" w:rsidRPr="005252DA">
        <w:t>t</w:t>
      </w:r>
      <w:r w:rsidRPr="005252DA">
        <w:t xml:space="preserve">ate may not be possible. </w:t>
      </w:r>
      <w:r w:rsidR="001069E9" w:rsidRPr="005252DA">
        <w:t xml:space="preserve">Bruce </w:t>
      </w:r>
      <w:r w:rsidR="001069E9" w:rsidRPr="005252DA">
        <w:rPr>
          <w:i/>
        </w:rPr>
        <w:t>et al</w:t>
      </w:r>
      <w:r w:rsidR="000E7726" w:rsidRPr="005252DA">
        <w:rPr>
          <w:i/>
        </w:rPr>
        <w:t>.</w:t>
      </w:r>
      <w:r w:rsidR="001069E9" w:rsidRPr="005252DA">
        <w:t xml:space="preserve"> (2014) in their work with people living with cancer, HIV/AIDS and chronic kidney disease identified the concept of ‘</w:t>
      </w:r>
      <w:r w:rsidR="001069E9" w:rsidRPr="005252DA">
        <w:rPr>
          <w:i/>
        </w:rPr>
        <w:t xml:space="preserve">pervasive liminality’ </w:t>
      </w:r>
      <w:r w:rsidR="001069E9" w:rsidRPr="005252DA">
        <w:t>as</w:t>
      </w:r>
      <w:r w:rsidR="00D13A3F" w:rsidRPr="005252DA">
        <w:t xml:space="preserve"> the delicate balance of the ‘in between’ experience. Shields (2015) describes the challenge of focussing on living lives while at the same time having an acute awareness of death and one’s own mortality.</w:t>
      </w:r>
      <w:r w:rsidR="001069E9" w:rsidRPr="005252DA">
        <w:t xml:space="preserve"> </w:t>
      </w:r>
      <w:r w:rsidR="0010112A" w:rsidRPr="005252DA">
        <w:t xml:space="preserve">People living with cancer can experience both acute and sustained liminality (Little </w:t>
      </w:r>
      <w:r w:rsidR="0010112A" w:rsidRPr="005252DA">
        <w:rPr>
          <w:i/>
        </w:rPr>
        <w:t>et al.</w:t>
      </w:r>
      <w:r w:rsidR="0010112A" w:rsidRPr="005252DA">
        <w:t xml:space="preserve"> 1998). Diagnosis leads to the acute liminal state of uncertainty and confusion then over time a sustained liminal state is entered as people adapt and endure their illness; sustained liminality may become a permanent state (Little </w:t>
      </w:r>
      <w:r w:rsidR="0010112A" w:rsidRPr="005252DA">
        <w:rPr>
          <w:i/>
        </w:rPr>
        <w:t>et al</w:t>
      </w:r>
      <w:r w:rsidR="0010112A" w:rsidRPr="005252DA">
        <w:t>. 1998)</w:t>
      </w:r>
      <w:r w:rsidR="00147E6F" w:rsidRPr="005252DA">
        <w:t>.</w:t>
      </w:r>
      <w:r w:rsidR="004016CD" w:rsidRPr="005252DA">
        <w:t xml:space="preserve"> </w:t>
      </w:r>
      <w:r w:rsidR="00147E6F" w:rsidRPr="005252DA">
        <w:t xml:space="preserve">The concept of liminality in health has also been explored through the experiences of family caregivers. Gibbons </w:t>
      </w:r>
      <w:r w:rsidR="00147E6F" w:rsidRPr="005252DA">
        <w:rPr>
          <w:i/>
        </w:rPr>
        <w:t>et al.</w:t>
      </w:r>
      <w:r w:rsidR="00C67861" w:rsidRPr="005252DA">
        <w:t xml:space="preserve"> (2014) </w:t>
      </w:r>
      <w:r w:rsidR="00147E6F" w:rsidRPr="005252DA">
        <w:t>report th</w:t>
      </w:r>
      <w:r w:rsidRPr="005252DA">
        <w:t>at</w:t>
      </w:r>
      <w:r w:rsidR="00147E6F" w:rsidRPr="005252DA">
        <w:t xml:space="preserve"> diagnosis </w:t>
      </w:r>
      <w:r w:rsidR="00C67861" w:rsidRPr="005252DA">
        <w:t>is</w:t>
      </w:r>
      <w:r w:rsidRPr="005252DA">
        <w:t xml:space="preserve"> often a </w:t>
      </w:r>
      <w:r w:rsidR="00147E6F" w:rsidRPr="005252DA">
        <w:t>pivotal point which thrusts caregivers into a liminal state</w:t>
      </w:r>
      <w:r w:rsidRPr="005252DA">
        <w:t xml:space="preserve">, however </w:t>
      </w:r>
      <w:r w:rsidR="00C67861" w:rsidRPr="005252DA">
        <w:t>in</w:t>
      </w:r>
      <w:r w:rsidRPr="005252DA">
        <w:t xml:space="preserve"> dementia </w:t>
      </w:r>
      <w:r w:rsidR="00EC207D" w:rsidRPr="005252DA">
        <w:t>the transition</w:t>
      </w:r>
      <w:r w:rsidR="00C67861" w:rsidRPr="005252DA">
        <w:t xml:space="preserve"> is</w:t>
      </w:r>
      <w:r w:rsidRPr="005252DA">
        <w:t xml:space="preserve"> often</w:t>
      </w:r>
      <w:r w:rsidR="00EC207D" w:rsidRPr="005252DA">
        <w:t xml:space="preserve"> characterised by</w:t>
      </w:r>
      <w:r w:rsidRPr="005252DA">
        <w:t xml:space="preserve"> a gradual change in roles and social changes.</w:t>
      </w:r>
      <w:r w:rsidR="0010112A" w:rsidRPr="005252DA">
        <w:t xml:space="preserve">  </w:t>
      </w:r>
    </w:p>
    <w:p w14:paraId="667AA051" w14:textId="28687A35" w:rsidR="000B148E" w:rsidRPr="005252DA" w:rsidRDefault="006904BD" w:rsidP="00097178">
      <w:pPr>
        <w:autoSpaceDE w:val="0"/>
        <w:autoSpaceDN w:val="0"/>
        <w:adjustRightInd w:val="0"/>
        <w:spacing w:beforeLines="80" w:before="192" w:afterLines="80" w:after="192" w:line="480" w:lineRule="auto"/>
        <w:rPr>
          <w:rFonts w:cs="TimesNewRomanPS"/>
          <w:lang w:eastAsia="en-GB"/>
        </w:rPr>
      </w:pPr>
      <w:r w:rsidRPr="005252DA">
        <w:rPr>
          <w:rFonts w:cs="TimesNewRomanPS"/>
          <w:lang w:eastAsia="en-GB"/>
        </w:rPr>
        <w:t xml:space="preserve">The concept of liminality within dementia research is relatively under-considered. Sweeting and Gilhooly (1997) in their work </w:t>
      </w:r>
      <w:r w:rsidR="009320C3" w:rsidRPr="005252DA">
        <w:rPr>
          <w:rFonts w:cs="TimesNewRomanPS"/>
          <w:lang w:eastAsia="en-GB"/>
        </w:rPr>
        <w:t>exploring</w:t>
      </w:r>
      <w:r w:rsidRPr="005252DA">
        <w:rPr>
          <w:rFonts w:cs="TimesNewRomanPS"/>
          <w:lang w:eastAsia="en-GB"/>
        </w:rPr>
        <w:t xml:space="preserve"> ‘social death’</w:t>
      </w:r>
      <w:r w:rsidR="009320C3" w:rsidRPr="005252DA">
        <w:rPr>
          <w:rFonts w:cs="TimesNewRomanPS"/>
          <w:lang w:eastAsia="en-GB"/>
        </w:rPr>
        <w:t>,</w:t>
      </w:r>
      <w:r w:rsidRPr="005252DA">
        <w:rPr>
          <w:rFonts w:cs="TimesNewRomanPS"/>
          <w:lang w:eastAsia="en-GB"/>
        </w:rPr>
        <w:t xml:space="preserve"> introduced the notion of a person with dementia being ‘a liminal’, a non-person who was still making the ‘transition from life to death’ (1997:</w:t>
      </w:r>
      <w:r w:rsidR="000E7726" w:rsidRPr="005252DA">
        <w:rPr>
          <w:rFonts w:cs="TimesNewRomanPS"/>
          <w:lang w:eastAsia="en-GB"/>
        </w:rPr>
        <w:t xml:space="preserve"> </w:t>
      </w:r>
      <w:r w:rsidRPr="005252DA">
        <w:rPr>
          <w:rFonts w:cs="TimesNewRomanPS"/>
          <w:lang w:eastAsia="en-GB"/>
        </w:rPr>
        <w:t xml:space="preserve">99). </w:t>
      </w:r>
      <w:r w:rsidR="00022832" w:rsidRPr="005252DA">
        <w:rPr>
          <w:rFonts w:cs="TimesNewRomanPS"/>
          <w:lang w:eastAsia="en-GB"/>
        </w:rPr>
        <w:t xml:space="preserve">Kelly (2008, 2010) working with people with AIDS dementia explored liminality from the perspective of people with a HIV diagnosis and their families. She drew attention to both social and emotional liminal states experienced when people received a diagnosis of dementia, drawing out the sense of uncertainty inherent in liminality. While in her later work Kelly reports people as ‘learning to live with liminality’ (Kelly 2010: 7), rather than seeing the liminal state as a transitory </w:t>
      </w:r>
      <w:r w:rsidR="00022832" w:rsidRPr="005252DA">
        <w:rPr>
          <w:rFonts w:cs="TimesNewRomanPS"/>
          <w:lang w:eastAsia="en-GB"/>
        </w:rPr>
        <w:lastRenderedPageBreak/>
        <w:t>state on the route to new roles and status</w:t>
      </w:r>
      <w:r w:rsidR="007E5081" w:rsidRPr="005252DA">
        <w:rPr>
          <w:rFonts w:cs="TimesNewRomanPS"/>
          <w:lang w:eastAsia="en-GB"/>
        </w:rPr>
        <w:t xml:space="preserve">. This has resonance with Bruce’s description of pervasive liminality (Bruce </w:t>
      </w:r>
      <w:r w:rsidR="007E5081" w:rsidRPr="005252DA">
        <w:rPr>
          <w:rFonts w:cs="TimesNewRomanPS"/>
          <w:i/>
          <w:lang w:eastAsia="en-GB"/>
        </w:rPr>
        <w:t>et al.</w:t>
      </w:r>
      <w:r w:rsidR="007E5081" w:rsidRPr="005252DA">
        <w:rPr>
          <w:rFonts w:cs="TimesNewRomanPS"/>
          <w:lang w:eastAsia="en-GB"/>
        </w:rPr>
        <w:t xml:space="preserve"> 2014)</w:t>
      </w:r>
      <w:r w:rsidR="000B148E" w:rsidRPr="005252DA">
        <w:rPr>
          <w:rFonts w:cs="TimesNewRomanPS"/>
          <w:lang w:eastAsia="en-GB"/>
        </w:rPr>
        <w:t>.</w:t>
      </w:r>
    </w:p>
    <w:p w14:paraId="5E64A49E" w14:textId="4C1AFE1F" w:rsidR="003E28A5" w:rsidRPr="005252DA" w:rsidRDefault="006904BD" w:rsidP="00097178">
      <w:pPr>
        <w:autoSpaceDE w:val="0"/>
        <w:autoSpaceDN w:val="0"/>
        <w:adjustRightInd w:val="0"/>
        <w:spacing w:beforeLines="80" w:before="192" w:afterLines="80" w:after="192" w:line="480" w:lineRule="auto"/>
        <w:rPr>
          <w:rFonts w:asciiTheme="minorHAnsi" w:hAnsiTheme="minorHAnsi" w:cs="AdvP8585"/>
          <w:lang w:eastAsia="en-GB"/>
        </w:rPr>
      </w:pPr>
      <w:r w:rsidRPr="005252DA">
        <w:rPr>
          <w:rFonts w:cs="TimesNewRomanPS"/>
          <w:lang w:eastAsia="en-GB"/>
        </w:rPr>
        <w:t xml:space="preserve">The unsettling and continuing nature of transition in dementia is </w:t>
      </w:r>
      <w:r w:rsidR="000B148E" w:rsidRPr="005252DA">
        <w:rPr>
          <w:rFonts w:cs="TimesNewRomanPS"/>
          <w:lang w:eastAsia="en-GB"/>
        </w:rPr>
        <w:t xml:space="preserve">reported </w:t>
      </w:r>
      <w:r w:rsidRPr="005252DA">
        <w:rPr>
          <w:rFonts w:cs="TimesNewRomanPS"/>
          <w:lang w:eastAsia="en-GB"/>
        </w:rPr>
        <w:t xml:space="preserve">in the findings of Godwin and Poland (2015) </w:t>
      </w:r>
      <w:r w:rsidR="000B148E" w:rsidRPr="005252DA">
        <w:rPr>
          <w:rFonts w:cs="TimesNewRomanPS"/>
          <w:lang w:eastAsia="en-GB"/>
        </w:rPr>
        <w:t>where</w:t>
      </w:r>
      <w:r w:rsidRPr="005252DA">
        <w:rPr>
          <w:rFonts w:cs="TimesNewRomanPS"/>
          <w:lang w:eastAsia="en-GB"/>
        </w:rPr>
        <w:t xml:space="preserve"> people with dementia living in care homes </w:t>
      </w:r>
      <w:r w:rsidR="000B148E" w:rsidRPr="005252DA">
        <w:rPr>
          <w:rFonts w:cs="TimesNewRomanPS"/>
          <w:lang w:eastAsia="en-GB"/>
        </w:rPr>
        <w:t xml:space="preserve">are </w:t>
      </w:r>
      <w:r w:rsidRPr="005252DA">
        <w:rPr>
          <w:rFonts w:cs="TimesNewRomanPS"/>
          <w:lang w:eastAsia="en-GB"/>
        </w:rPr>
        <w:t>described as being in a liminal state</w:t>
      </w:r>
      <w:r w:rsidR="000B148E" w:rsidRPr="005252DA">
        <w:rPr>
          <w:rFonts w:cs="TimesNewRomanPS"/>
          <w:lang w:eastAsia="en-GB"/>
        </w:rPr>
        <w:t>. Participants</w:t>
      </w:r>
      <w:r w:rsidRPr="005252DA">
        <w:rPr>
          <w:rFonts w:cs="TimesNewRomanPS"/>
          <w:lang w:eastAsia="en-GB"/>
        </w:rPr>
        <w:t xml:space="preserve"> express</w:t>
      </w:r>
      <w:r w:rsidR="000B148E" w:rsidRPr="005252DA">
        <w:rPr>
          <w:rFonts w:cs="TimesNewRomanPS"/>
          <w:lang w:eastAsia="en-GB"/>
        </w:rPr>
        <w:t>ed</w:t>
      </w:r>
      <w:r w:rsidRPr="005252DA">
        <w:rPr>
          <w:rFonts w:cs="TimesNewRomanPS"/>
          <w:lang w:eastAsia="en-GB"/>
        </w:rPr>
        <w:t xml:space="preserve"> uncertainty about why or how they came to be the home; for some, liminality reduced wellbeing, while others seemed less troubled by the uncertainty.</w:t>
      </w:r>
      <w:r w:rsidR="001069E9" w:rsidRPr="005252DA">
        <w:rPr>
          <w:rFonts w:cs="TimesNewRomanPS"/>
          <w:lang w:eastAsia="en-GB"/>
        </w:rPr>
        <w:t xml:space="preserve"> </w:t>
      </w:r>
      <w:r w:rsidR="001069E9" w:rsidRPr="005252DA">
        <w:t>A potential</w:t>
      </w:r>
      <w:r w:rsidR="00125E82" w:rsidRPr="005252DA">
        <w:t xml:space="preserve"> </w:t>
      </w:r>
      <w:r w:rsidR="001069E9" w:rsidRPr="005252DA">
        <w:t xml:space="preserve">strength of considering liminality as a concept to explore the dementia journey lies in its attention to the social, those social (and therefore shared) rituals and actions which shape experiences. Detailing the social rituals which surround the dementia trajectory can help us see how wider social and political discourses on dementia </w:t>
      </w:r>
      <w:r w:rsidR="007A3009" w:rsidRPr="005252DA">
        <w:t xml:space="preserve">has an impact on </w:t>
      </w:r>
      <w:r w:rsidR="001069E9" w:rsidRPr="005252DA">
        <w:t>individual experience and the inclusion</w:t>
      </w:r>
      <w:r w:rsidR="007A3009" w:rsidRPr="005252DA">
        <w:t>, or otherwise, of people with dementia</w:t>
      </w:r>
      <w:r w:rsidR="001069E9" w:rsidRPr="005252DA">
        <w:t xml:space="preserve"> as social citizens.</w:t>
      </w:r>
    </w:p>
    <w:p w14:paraId="2B033224" w14:textId="126E73B5" w:rsidR="00697A62" w:rsidRPr="005252DA" w:rsidRDefault="00697A62" w:rsidP="00097178">
      <w:pPr>
        <w:autoSpaceDE w:val="0"/>
        <w:autoSpaceDN w:val="0"/>
        <w:adjustRightInd w:val="0"/>
        <w:spacing w:beforeLines="80" w:before="192" w:afterLines="80" w:after="192" w:line="480" w:lineRule="auto"/>
        <w:rPr>
          <w:b/>
          <w:sz w:val="24"/>
        </w:rPr>
      </w:pPr>
      <w:r w:rsidRPr="005252DA">
        <w:rPr>
          <w:b/>
          <w:sz w:val="24"/>
        </w:rPr>
        <w:t>Rites of passage</w:t>
      </w:r>
    </w:p>
    <w:p w14:paraId="4D467A45" w14:textId="56F94884" w:rsidR="00125E82" w:rsidRPr="005252DA" w:rsidRDefault="00125E82" w:rsidP="00097178">
      <w:pPr>
        <w:spacing w:beforeLines="80" w:before="192" w:afterLines="80" w:after="192" w:line="480" w:lineRule="auto"/>
        <w:rPr>
          <w:rFonts w:asciiTheme="minorHAnsi" w:hAnsiTheme="minorHAnsi" w:cs="TimesNewRomanPS"/>
          <w:lang w:eastAsia="en-GB"/>
        </w:rPr>
      </w:pPr>
      <w:r w:rsidRPr="005252DA">
        <w:rPr>
          <w:rFonts w:cs="TimesNewRomanPS"/>
          <w:lang w:eastAsia="en-GB"/>
        </w:rPr>
        <w:t xml:space="preserve">With the social recognition of illness comes then-recognised rites of passage: movement to status of patient, known or unknown norms of behaviour in medical spaces, changes to roles and responsibilities within families and communities.  </w:t>
      </w:r>
      <w:r w:rsidRPr="005252DA">
        <w:rPr>
          <w:rFonts w:asciiTheme="minorHAnsi" w:hAnsiTheme="minorHAnsi" w:cs="TimesNewRomanPS"/>
          <w:lang w:eastAsia="en-GB"/>
        </w:rPr>
        <w:t xml:space="preserve">Van </w:t>
      </w:r>
      <w:proofErr w:type="spellStart"/>
      <w:r w:rsidRPr="005252DA">
        <w:rPr>
          <w:rFonts w:asciiTheme="minorHAnsi" w:hAnsiTheme="minorHAnsi" w:cs="TimesNewRomanPS"/>
          <w:lang w:eastAsia="en-GB"/>
        </w:rPr>
        <w:t>Gennep’s</w:t>
      </w:r>
      <w:proofErr w:type="spellEnd"/>
      <w:r w:rsidRPr="005252DA">
        <w:rPr>
          <w:rFonts w:asciiTheme="minorHAnsi" w:hAnsiTheme="minorHAnsi" w:cs="TimesNewRomanPS"/>
          <w:lang w:eastAsia="en-GB"/>
        </w:rPr>
        <w:t xml:space="preserve"> (1960) social anthropological concept of staged rites of passage placed the initial focus on social rituals.  However, increasingly rites of passage have since been applied to culturally-identified and -managed life transitions.</w:t>
      </w:r>
      <w:r w:rsidR="000B148E" w:rsidRPr="005252DA">
        <w:rPr>
          <w:rFonts w:asciiTheme="minorHAnsi" w:hAnsiTheme="minorHAnsi" w:cs="TimesNewRomanPS"/>
          <w:lang w:eastAsia="en-GB"/>
        </w:rPr>
        <w:t xml:space="preserve"> </w:t>
      </w:r>
      <w:r w:rsidR="003325BB" w:rsidRPr="005252DA">
        <w:rPr>
          <w:rFonts w:asciiTheme="minorHAnsi" w:hAnsiTheme="minorHAnsi" w:cs="TimesNewRomanPS"/>
          <w:lang w:eastAsia="en-GB"/>
        </w:rPr>
        <w:t>The trans</w:t>
      </w:r>
      <w:r w:rsidR="00EF60E7">
        <w:rPr>
          <w:rFonts w:asciiTheme="minorHAnsi" w:hAnsiTheme="minorHAnsi" w:cs="TimesNewRomanPS"/>
          <w:lang w:eastAsia="en-GB"/>
        </w:rPr>
        <w:t>ition from adolescence to adult</w:t>
      </w:r>
      <w:r w:rsidR="003325BB" w:rsidRPr="005252DA">
        <w:rPr>
          <w:rFonts w:asciiTheme="minorHAnsi" w:hAnsiTheme="minorHAnsi" w:cs="TimesNewRomanPS"/>
          <w:lang w:eastAsia="en-GB"/>
        </w:rPr>
        <w:t xml:space="preserve">hood is marked by </w:t>
      </w:r>
      <w:r w:rsidR="000B148E" w:rsidRPr="005252DA">
        <w:rPr>
          <w:rFonts w:asciiTheme="minorHAnsi" w:hAnsiTheme="minorHAnsi" w:cs="TimesNewRomanPS"/>
          <w:lang w:eastAsia="en-GB"/>
        </w:rPr>
        <w:t>social events, both positive and negative which guide child’s passage</w:t>
      </w:r>
      <w:r w:rsidR="00E12CAD" w:rsidRPr="005252DA">
        <w:rPr>
          <w:rFonts w:asciiTheme="minorHAnsi" w:hAnsiTheme="minorHAnsi" w:cs="TimesNewRomanPS"/>
          <w:lang w:eastAsia="en-GB"/>
        </w:rPr>
        <w:t xml:space="preserve">; </w:t>
      </w:r>
      <w:r w:rsidR="003325BB" w:rsidRPr="005252DA">
        <w:rPr>
          <w:rFonts w:asciiTheme="minorHAnsi" w:hAnsiTheme="minorHAnsi" w:cs="TimesNewRomanPS"/>
          <w:lang w:eastAsia="en-GB"/>
        </w:rPr>
        <w:t xml:space="preserve">rites of passage </w:t>
      </w:r>
      <w:r w:rsidR="00E12CAD" w:rsidRPr="005252DA">
        <w:rPr>
          <w:rFonts w:asciiTheme="minorHAnsi" w:hAnsiTheme="minorHAnsi" w:cs="TimesNewRomanPS"/>
          <w:lang w:eastAsia="en-GB"/>
        </w:rPr>
        <w:t>may include a religious</w:t>
      </w:r>
      <w:r w:rsidR="003325BB" w:rsidRPr="005252DA">
        <w:rPr>
          <w:rFonts w:asciiTheme="minorHAnsi" w:hAnsiTheme="minorHAnsi" w:cs="TimesNewRomanPS"/>
          <w:lang w:eastAsia="en-GB"/>
        </w:rPr>
        <w:t xml:space="preserve"> coming of age ceremonies </w:t>
      </w:r>
      <w:r w:rsidR="00E12CAD" w:rsidRPr="005252DA">
        <w:rPr>
          <w:rFonts w:asciiTheme="minorHAnsi" w:hAnsiTheme="minorHAnsi" w:cs="TimesNewRomanPS"/>
          <w:lang w:eastAsia="en-GB"/>
        </w:rPr>
        <w:t>or gaining the citizenship right to vote (</w:t>
      </w:r>
      <w:proofErr w:type="spellStart"/>
      <w:r w:rsidR="00E12CAD" w:rsidRPr="005252DA">
        <w:rPr>
          <w:rFonts w:asciiTheme="minorHAnsi" w:hAnsiTheme="minorHAnsi" w:cs="TimesNewRomanPS"/>
          <w:lang w:eastAsia="en-GB"/>
        </w:rPr>
        <w:t>Scheer</w:t>
      </w:r>
      <w:proofErr w:type="spellEnd"/>
      <w:r w:rsidR="00064F8A" w:rsidRPr="005252DA">
        <w:rPr>
          <w:rFonts w:asciiTheme="minorHAnsi" w:hAnsiTheme="minorHAnsi" w:cs="TimesNewRomanPS"/>
          <w:lang w:eastAsia="en-GB"/>
        </w:rPr>
        <w:t xml:space="preserve"> </w:t>
      </w:r>
      <w:r w:rsidR="00064F8A" w:rsidRPr="005252DA">
        <w:rPr>
          <w:rFonts w:asciiTheme="minorHAnsi" w:hAnsiTheme="minorHAnsi" w:cs="TimesNewRomanPS"/>
          <w:i/>
          <w:lang w:eastAsia="en-GB"/>
        </w:rPr>
        <w:t>et al</w:t>
      </w:r>
      <w:r w:rsidR="00064F8A" w:rsidRPr="005252DA">
        <w:rPr>
          <w:rFonts w:asciiTheme="minorHAnsi" w:hAnsiTheme="minorHAnsi" w:cs="TimesNewRomanPS"/>
          <w:lang w:eastAsia="en-GB"/>
        </w:rPr>
        <w:t>.</w:t>
      </w:r>
      <w:r w:rsidR="00E12CAD" w:rsidRPr="005252DA">
        <w:rPr>
          <w:rFonts w:asciiTheme="minorHAnsi" w:hAnsiTheme="minorHAnsi" w:cs="TimesNewRomanPS"/>
          <w:lang w:eastAsia="en-GB"/>
        </w:rPr>
        <w:t xml:space="preserve"> 2007).</w:t>
      </w:r>
      <w:r w:rsidR="000B148E" w:rsidRPr="005252DA">
        <w:rPr>
          <w:rFonts w:asciiTheme="minorHAnsi" w:hAnsiTheme="minorHAnsi" w:cs="TimesNewRomanPS"/>
          <w:lang w:eastAsia="en-GB"/>
        </w:rPr>
        <w:t xml:space="preserve"> </w:t>
      </w:r>
      <w:r w:rsidR="00E12CAD" w:rsidRPr="005252DA">
        <w:rPr>
          <w:rFonts w:asciiTheme="minorHAnsi" w:hAnsiTheme="minorHAnsi" w:cs="TimesNewRomanPS"/>
          <w:lang w:eastAsia="en-GB"/>
        </w:rPr>
        <w:t xml:space="preserve">Such </w:t>
      </w:r>
      <w:r w:rsidRPr="005252DA">
        <w:rPr>
          <w:rFonts w:asciiTheme="minorHAnsi" w:hAnsiTheme="minorHAnsi" w:cs="TimesNewRomanPS"/>
          <w:lang w:eastAsia="en-GB"/>
        </w:rPr>
        <w:t xml:space="preserve">passages may often be marked by three phases: the pre-liminal phase, the point marking the end of the ‘old’ status; the liminal phase, where one is ‘betwixt and between’ statuses; and the post-liminal phase, of re-incorporation or re-assimilation into a new ‘normal’.  </w:t>
      </w:r>
    </w:p>
    <w:p w14:paraId="3FB9D311" w14:textId="01ED9393" w:rsidR="00DE7BC1" w:rsidRPr="005252DA" w:rsidRDefault="009760FA" w:rsidP="00097178">
      <w:pPr>
        <w:autoSpaceDE w:val="0"/>
        <w:autoSpaceDN w:val="0"/>
        <w:adjustRightInd w:val="0"/>
        <w:spacing w:beforeLines="80" w:before="192" w:afterLines="80" w:after="192" w:line="480" w:lineRule="auto"/>
      </w:pPr>
      <w:r w:rsidRPr="005252DA">
        <w:lastRenderedPageBreak/>
        <w:t xml:space="preserve">Rites of passage are vital in moving people through liminality to a post-liminal </w:t>
      </w:r>
      <w:r w:rsidR="00064F8A" w:rsidRPr="005252DA">
        <w:t>state</w:t>
      </w:r>
      <w:r w:rsidRPr="005252DA">
        <w:t>. In the dementia trajectory, the pre-diagnosis liminal state is increasingly well-structured. Memory tests, brain scans and being given a diagnosis can all be considered social rituals</w:t>
      </w:r>
      <w:r w:rsidR="00064F8A" w:rsidRPr="005252DA">
        <w:t xml:space="preserve"> (see figure 1)</w:t>
      </w:r>
      <w:r w:rsidRPr="005252DA">
        <w:t>. If diagnosis is viewed as</w:t>
      </w:r>
      <w:r w:rsidR="00697A62" w:rsidRPr="005252DA">
        <w:t xml:space="preserve"> a rite of passage which enables movement along the dementia trajectory, a ritual hiatus can occur when the diagnosis is either not provided or </w:t>
      </w:r>
      <w:r w:rsidRPr="005252DA">
        <w:t xml:space="preserve">is </w:t>
      </w:r>
      <w:r w:rsidR="00697A62" w:rsidRPr="005252DA">
        <w:t xml:space="preserve">denied by the person with cognitive symptoms. </w:t>
      </w:r>
      <w:r w:rsidRPr="005252DA">
        <w:t>D</w:t>
      </w:r>
      <w:r w:rsidR="00697A62" w:rsidRPr="005252DA">
        <w:t xml:space="preserve">iagnosis </w:t>
      </w:r>
      <w:r w:rsidRPr="005252DA">
        <w:t>is not always straightforward, especially for p</w:t>
      </w:r>
      <w:r w:rsidR="00DE7BC1" w:rsidRPr="005252DA">
        <w:t xml:space="preserve">eople with mild symptoms or complex histories, and diagnoses </w:t>
      </w:r>
      <w:r w:rsidR="00697A62" w:rsidRPr="005252DA">
        <w:t xml:space="preserve">may not be definitive (Phillips </w:t>
      </w:r>
      <w:r w:rsidR="00697A62" w:rsidRPr="005252DA">
        <w:rPr>
          <w:i/>
        </w:rPr>
        <w:t>et al</w:t>
      </w:r>
      <w:r w:rsidR="000E7726" w:rsidRPr="005252DA">
        <w:t>.</w:t>
      </w:r>
      <w:r w:rsidR="00697A62" w:rsidRPr="005252DA">
        <w:t xml:space="preserve"> 2012).  An absence of a definitive diagnosis can cause uncertainty and ambiguity (</w:t>
      </w:r>
      <w:r w:rsidR="00697A62" w:rsidRPr="005252DA">
        <w:rPr>
          <w:rFonts w:cs="Calibri"/>
        </w:rPr>
        <w:t xml:space="preserve">Beard and </w:t>
      </w:r>
      <w:proofErr w:type="spellStart"/>
      <w:r w:rsidR="00697A62" w:rsidRPr="005252DA">
        <w:rPr>
          <w:rFonts w:cs="Calibri"/>
        </w:rPr>
        <w:t>Neary</w:t>
      </w:r>
      <w:proofErr w:type="spellEnd"/>
      <w:r w:rsidR="00697A62" w:rsidRPr="005252DA">
        <w:rPr>
          <w:rFonts w:cs="Calibri"/>
        </w:rPr>
        <w:t xml:space="preserve">, 2013; </w:t>
      </w:r>
      <w:r w:rsidR="00697A62" w:rsidRPr="005252DA">
        <w:t xml:space="preserve">Samsi </w:t>
      </w:r>
      <w:r w:rsidR="00697A62" w:rsidRPr="005252DA">
        <w:rPr>
          <w:i/>
        </w:rPr>
        <w:t>et al.</w:t>
      </w:r>
      <w:r w:rsidR="00697A62" w:rsidRPr="005252DA">
        <w:t xml:space="preserve"> 2014). </w:t>
      </w:r>
    </w:p>
    <w:p w14:paraId="4913DABB" w14:textId="388BCBC4" w:rsidR="000D259B" w:rsidRPr="005252DA" w:rsidRDefault="000D259B" w:rsidP="00097178">
      <w:pPr>
        <w:autoSpaceDE w:val="0"/>
        <w:spacing w:beforeLines="80" w:before="192" w:afterLines="80" w:after="192" w:line="480" w:lineRule="auto"/>
      </w:pPr>
      <w:r w:rsidRPr="005252DA">
        <w:t>A diagnosis socially situates what can be expected of the ‘patient’ and the behaviour which others will tolerate as part of the disease (</w:t>
      </w:r>
      <w:proofErr w:type="spellStart"/>
      <w:r w:rsidRPr="005252DA">
        <w:t>Jutel</w:t>
      </w:r>
      <w:proofErr w:type="spellEnd"/>
      <w:r w:rsidRPr="005252DA">
        <w:t xml:space="preserve"> 2009).  Disclosing a dementia diagnosis to those outside the family can help people move out of the liminal state and along a journey towards living well with dementia. The decision to disclose a diagnosis may be actively managed by the person as a way of retaining previous status and so potentially protecting the former self.  Telling others of their dementia diagnosis creates opportunities to take control of social situations and use strategies to reduce the risk of stigma or embarrassment. Some people take control of social interactions by being explicit about the challenges they face and explaining to others how they can be helped with communication (</w:t>
      </w:r>
      <w:proofErr w:type="spellStart"/>
      <w:r w:rsidRPr="005252DA">
        <w:t>MacQuarrie</w:t>
      </w:r>
      <w:proofErr w:type="spellEnd"/>
      <w:r w:rsidRPr="005252DA">
        <w:t xml:space="preserve"> 2005, </w:t>
      </w:r>
      <w:proofErr w:type="spellStart"/>
      <w:r w:rsidRPr="005252DA">
        <w:t>MacRae</w:t>
      </w:r>
      <w:proofErr w:type="spellEnd"/>
      <w:r w:rsidRPr="005252DA">
        <w:t xml:space="preserve"> 2010). Beard and Fox (2008) report that some found being direct about their capabilities was the ‘</w:t>
      </w:r>
      <w:r w:rsidRPr="005252DA">
        <w:rPr>
          <w:i/>
        </w:rPr>
        <w:t>best way to handle things like that’</w:t>
      </w:r>
      <w:r w:rsidRPr="005252DA">
        <w:t xml:space="preserve"> (2008: 1513). People were also explicit about the types of interaction which were not empowering, as ‘</w:t>
      </w:r>
      <w:r w:rsidRPr="005252DA">
        <w:rPr>
          <w:i/>
        </w:rPr>
        <w:t>when people ask me questions with no context</w:t>
      </w:r>
      <w:r w:rsidRPr="005252DA">
        <w:t xml:space="preserve">’ suggesting their good insight into the process and work of the social interaction (Beard </w:t>
      </w:r>
      <w:r w:rsidRPr="005252DA">
        <w:rPr>
          <w:i/>
        </w:rPr>
        <w:t>et al.</w:t>
      </w:r>
      <w:r w:rsidRPr="005252DA">
        <w:t xml:space="preserve"> 2009: 230). </w:t>
      </w:r>
    </w:p>
    <w:p w14:paraId="29F8A51E" w14:textId="1E42E57A" w:rsidR="00DE7BC1" w:rsidRPr="005252DA" w:rsidRDefault="00DE7BC1" w:rsidP="00097178">
      <w:pPr>
        <w:autoSpaceDE w:val="0"/>
        <w:autoSpaceDN w:val="0"/>
        <w:adjustRightInd w:val="0"/>
        <w:spacing w:beforeLines="80" w:before="192" w:afterLines="80" w:after="192" w:line="480" w:lineRule="auto"/>
        <w:rPr>
          <w:rFonts w:cs="TimesNewRomanPS"/>
          <w:lang w:eastAsia="en-GB"/>
        </w:rPr>
      </w:pPr>
      <w:r w:rsidRPr="005252DA">
        <w:rPr>
          <w:rFonts w:cs="Calibri"/>
        </w:rPr>
        <w:t>M</w:t>
      </w:r>
      <w:r w:rsidR="00697A62" w:rsidRPr="005252DA">
        <w:rPr>
          <w:rFonts w:cs="Calibri"/>
        </w:rPr>
        <w:t>acro structures shape the experience of the dementia journey.</w:t>
      </w:r>
      <w:r w:rsidRPr="005252DA">
        <w:rPr>
          <w:rFonts w:cs="Calibri"/>
        </w:rPr>
        <w:t xml:space="preserve"> For example, the western socio-political emphasis on early diagnosis means that the ‘taken for granted’ forgetfulness of older age is challenged; memory is repeatedly tested through standardised tests which one passes or fails, with implications for social status. Yet taxonomies of ‘acceptable’ memory are arbitrary, being historically </w:t>
      </w:r>
      <w:r w:rsidRPr="005252DA">
        <w:rPr>
          <w:rFonts w:cs="Calibri"/>
        </w:rPr>
        <w:lastRenderedPageBreak/>
        <w:t>and cultural</w:t>
      </w:r>
      <w:r w:rsidR="000E7726" w:rsidRPr="005252DA">
        <w:rPr>
          <w:rFonts w:cs="Calibri"/>
        </w:rPr>
        <w:t>ly defined (Harding and Palfrey</w:t>
      </w:r>
      <w:r w:rsidRPr="005252DA">
        <w:rPr>
          <w:rFonts w:cs="Calibri"/>
        </w:rPr>
        <w:t xml:space="preserve"> 1997, Katz 2013). A diagnosis of dementia </w:t>
      </w:r>
      <w:r w:rsidR="00210F2C" w:rsidRPr="005252DA">
        <w:rPr>
          <w:rFonts w:cs="Calibri"/>
        </w:rPr>
        <w:t xml:space="preserve">does not change an individual’s legal status, yet it is a pre-cursor to significant change.  For example, in the UK a person with dementia must declare their diagnosis to the driver licencing authority; their ability to make decisions may be subjected to </w:t>
      </w:r>
      <w:r w:rsidR="001069E9" w:rsidRPr="005252DA">
        <w:rPr>
          <w:rFonts w:cs="Calibri"/>
        </w:rPr>
        <w:t xml:space="preserve">‘mental </w:t>
      </w:r>
      <w:r w:rsidR="00210F2C" w:rsidRPr="005252DA">
        <w:rPr>
          <w:rFonts w:cs="Calibri"/>
        </w:rPr>
        <w:t>capacity</w:t>
      </w:r>
      <w:r w:rsidR="001069E9" w:rsidRPr="005252DA">
        <w:rPr>
          <w:rFonts w:cs="Calibri"/>
        </w:rPr>
        <w:t>’</w:t>
      </w:r>
      <w:r w:rsidR="00210F2C" w:rsidRPr="005252DA">
        <w:rPr>
          <w:rFonts w:cs="Calibri"/>
        </w:rPr>
        <w:t xml:space="preserve"> assessments and they are encouraged to put in place legal procedures to identify those who will act on their behalf once their mental capacity is</w:t>
      </w:r>
      <w:r w:rsidR="001069E9" w:rsidRPr="005252DA">
        <w:rPr>
          <w:rFonts w:cs="Calibri"/>
        </w:rPr>
        <w:t xml:space="preserve"> found wanting</w:t>
      </w:r>
      <w:r w:rsidR="00210F2C" w:rsidRPr="005252DA">
        <w:rPr>
          <w:rFonts w:cs="Calibri"/>
        </w:rPr>
        <w:t>. There are financial benefits to accepting a label of ‘severe mental impairment’, for example people with dementia can be “completely disregarded” for the purposes of council tax (a local authority charge payable by residents of properties in England and Wales).</w:t>
      </w:r>
      <w:r w:rsidR="00F30A69" w:rsidRPr="005252DA">
        <w:rPr>
          <w:rFonts w:cs="Calibri"/>
        </w:rPr>
        <w:t xml:space="preserve"> In contrast to the UK’s ‘capacity’ approach is that of </w:t>
      </w:r>
      <w:r w:rsidR="00F30A69" w:rsidRPr="005252DA">
        <w:rPr>
          <w:rFonts w:cs="Calibri"/>
          <w:i/>
        </w:rPr>
        <w:t>self-determination</w:t>
      </w:r>
      <w:r w:rsidR="00F30A69" w:rsidRPr="005252DA">
        <w:rPr>
          <w:rFonts w:cs="Calibri"/>
        </w:rPr>
        <w:t>, as applied in Sweden</w:t>
      </w:r>
      <w:r w:rsidR="00472F5C" w:rsidRPr="005252DA">
        <w:rPr>
          <w:rFonts w:cs="Calibri"/>
        </w:rPr>
        <w:t xml:space="preserve"> (see </w:t>
      </w:r>
      <w:proofErr w:type="spellStart"/>
      <w:r w:rsidR="00472F5C" w:rsidRPr="005252DA">
        <w:rPr>
          <w:rFonts w:cs="Calibri"/>
        </w:rPr>
        <w:t>Osterholm</w:t>
      </w:r>
      <w:proofErr w:type="spellEnd"/>
      <w:r w:rsidR="00472F5C" w:rsidRPr="005252DA">
        <w:rPr>
          <w:rFonts w:cs="Calibri"/>
        </w:rPr>
        <w:t xml:space="preserve"> 2015)</w:t>
      </w:r>
    </w:p>
    <w:p w14:paraId="5F24EE4E" w14:textId="26D71E86" w:rsidR="00F30A69" w:rsidRPr="005252DA" w:rsidRDefault="00F30A69" w:rsidP="00097178">
      <w:pPr>
        <w:pStyle w:val="Heading3"/>
        <w:spacing w:beforeLines="80" w:before="192" w:afterLines="80" w:after="192" w:line="480" w:lineRule="auto"/>
        <w:rPr>
          <w:lang w:eastAsia="en-GB"/>
        </w:rPr>
      </w:pPr>
      <w:r w:rsidRPr="005252DA">
        <w:rPr>
          <w:lang w:eastAsia="en-GB"/>
        </w:rPr>
        <w:t>Post-liminal destinations</w:t>
      </w:r>
    </w:p>
    <w:p w14:paraId="6F73DA43" w14:textId="32482981" w:rsidR="00D13A3F" w:rsidRPr="005252DA" w:rsidRDefault="00D13A3F" w:rsidP="00097178">
      <w:pPr>
        <w:spacing w:line="480" w:lineRule="auto"/>
        <w:rPr>
          <w:lang w:eastAsia="en-GB"/>
        </w:rPr>
      </w:pPr>
      <w:r w:rsidRPr="005252DA">
        <w:rPr>
          <w:lang w:eastAsia="en-GB"/>
        </w:rPr>
        <w:t>Our scoping review generated evidence for a range of post-liminal states</w:t>
      </w:r>
      <w:r w:rsidR="00064F8A" w:rsidRPr="005252DA">
        <w:rPr>
          <w:lang w:eastAsia="en-GB"/>
        </w:rPr>
        <w:t xml:space="preserve">: </w:t>
      </w:r>
      <w:r w:rsidR="00064F8A" w:rsidRPr="005252DA">
        <w:rPr>
          <w:rFonts w:asciiTheme="minorHAnsi" w:hAnsiTheme="minorHAnsi" w:cs="AdvP8585"/>
          <w:lang w:eastAsia="en-GB"/>
        </w:rPr>
        <w:t>‘</w:t>
      </w:r>
      <w:r w:rsidR="00064F8A" w:rsidRPr="005252DA">
        <w:rPr>
          <w:rFonts w:asciiTheme="minorHAnsi" w:hAnsiTheme="minorHAnsi" w:cs="AdvP8585"/>
          <w:i/>
          <w:lang w:eastAsia="en-GB"/>
        </w:rPr>
        <w:t>living in the shadow of the fourth age’,</w:t>
      </w:r>
      <w:r w:rsidR="00064F8A" w:rsidRPr="005252DA">
        <w:rPr>
          <w:rFonts w:asciiTheme="minorHAnsi" w:hAnsiTheme="minorHAnsi" w:cs="AdvP8585"/>
          <w:lang w:eastAsia="en-GB"/>
        </w:rPr>
        <w:t xml:space="preserve"> ‘</w:t>
      </w:r>
      <w:r w:rsidR="00064F8A" w:rsidRPr="005252DA">
        <w:rPr>
          <w:rFonts w:asciiTheme="minorHAnsi" w:hAnsiTheme="minorHAnsi" w:cs="AdvP8585"/>
          <w:i/>
          <w:lang w:eastAsia="en-GB"/>
        </w:rPr>
        <w:t>living as an active citizen with dementia’</w:t>
      </w:r>
      <w:r w:rsidR="00064F8A" w:rsidRPr="005252DA">
        <w:rPr>
          <w:rFonts w:asciiTheme="minorHAnsi" w:hAnsiTheme="minorHAnsi" w:cs="AdvP8585"/>
          <w:lang w:eastAsia="en-GB"/>
        </w:rPr>
        <w:t xml:space="preserve"> and ‘</w:t>
      </w:r>
      <w:r w:rsidR="00064F8A" w:rsidRPr="005252DA">
        <w:rPr>
          <w:rFonts w:asciiTheme="minorHAnsi" w:hAnsiTheme="minorHAnsi" w:cs="AdvP8585"/>
          <w:i/>
          <w:lang w:eastAsia="en-GB"/>
        </w:rPr>
        <w:t>living in</w:t>
      </w:r>
      <w:r w:rsidR="00064F8A" w:rsidRPr="005252DA">
        <w:rPr>
          <w:rFonts w:asciiTheme="minorHAnsi" w:hAnsiTheme="minorHAnsi" w:cs="AdvP8585"/>
          <w:lang w:eastAsia="en-GB"/>
        </w:rPr>
        <w:t xml:space="preserve"> </w:t>
      </w:r>
      <w:r w:rsidR="00064F8A" w:rsidRPr="005252DA">
        <w:rPr>
          <w:rFonts w:asciiTheme="minorHAnsi" w:hAnsiTheme="minorHAnsi" w:cs="AdvP8585"/>
          <w:i/>
          <w:lang w:eastAsia="en-GB"/>
        </w:rPr>
        <w:t>extended liminality’</w:t>
      </w:r>
      <w:r w:rsidR="00064F8A" w:rsidRPr="005252DA">
        <w:rPr>
          <w:lang w:eastAsia="en-GB"/>
        </w:rPr>
        <w:t xml:space="preserve">. </w:t>
      </w:r>
      <w:r w:rsidR="00064F8A" w:rsidRPr="005252DA">
        <w:rPr>
          <w:rFonts w:asciiTheme="minorHAnsi" w:hAnsiTheme="minorHAnsi" w:cs="AdvP8585"/>
          <w:lang w:eastAsia="en-GB"/>
        </w:rPr>
        <w:t>Identifying these distinct trajectories helps construct a sociologically-relevant debate around the dementia journey, bringing into view novel ways to shift discourses of deficit so as to also allow for discourses of active citizenship.</w:t>
      </w:r>
      <w:r w:rsidR="00064F8A" w:rsidRPr="005252DA">
        <w:rPr>
          <w:lang w:eastAsia="en-GB"/>
        </w:rPr>
        <w:t xml:space="preserve"> </w:t>
      </w:r>
    </w:p>
    <w:p w14:paraId="19AA15EF" w14:textId="673B4E7F" w:rsidR="006A4C40" w:rsidRPr="005252DA" w:rsidRDefault="00A26AD3" w:rsidP="00097178">
      <w:pPr>
        <w:pStyle w:val="Heading3"/>
        <w:spacing w:beforeLines="80" w:before="192" w:afterLines="80" w:after="192" w:line="480" w:lineRule="auto"/>
        <w:rPr>
          <w:i/>
          <w:sz w:val="22"/>
          <w:szCs w:val="22"/>
          <w:lang w:eastAsia="en-GB"/>
        </w:rPr>
      </w:pPr>
      <w:r w:rsidRPr="005252DA">
        <w:rPr>
          <w:i/>
          <w:sz w:val="22"/>
          <w:szCs w:val="22"/>
          <w:lang w:eastAsia="en-GB"/>
        </w:rPr>
        <w:t xml:space="preserve">Living in </w:t>
      </w:r>
      <w:r w:rsidR="000A653F" w:rsidRPr="005252DA">
        <w:rPr>
          <w:i/>
          <w:sz w:val="22"/>
          <w:szCs w:val="22"/>
          <w:lang w:eastAsia="en-GB"/>
        </w:rPr>
        <w:t xml:space="preserve">the </w:t>
      </w:r>
      <w:r w:rsidRPr="005252DA">
        <w:rPr>
          <w:i/>
          <w:sz w:val="22"/>
          <w:szCs w:val="22"/>
          <w:lang w:eastAsia="en-GB"/>
        </w:rPr>
        <w:t xml:space="preserve">shadow of </w:t>
      </w:r>
      <w:r w:rsidR="000A653F" w:rsidRPr="005252DA">
        <w:rPr>
          <w:i/>
          <w:sz w:val="22"/>
          <w:szCs w:val="22"/>
          <w:lang w:eastAsia="en-GB"/>
        </w:rPr>
        <w:t xml:space="preserve">the </w:t>
      </w:r>
      <w:r w:rsidRPr="005252DA">
        <w:rPr>
          <w:i/>
          <w:sz w:val="22"/>
          <w:szCs w:val="22"/>
          <w:lang w:eastAsia="en-GB"/>
        </w:rPr>
        <w:t>fourth age</w:t>
      </w:r>
    </w:p>
    <w:p w14:paraId="2ACFD781" w14:textId="3EEEB8FB" w:rsidR="007515AC" w:rsidRPr="005252DA" w:rsidRDefault="007515AC" w:rsidP="00097178">
      <w:pPr>
        <w:spacing w:beforeLines="80" w:before="192" w:afterLines="80" w:after="192" w:line="480" w:lineRule="auto"/>
        <w:rPr>
          <w:rFonts w:cs="TimesNewRomanPS"/>
          <w:i/>
          <w:lang w:eastAsia="en-GB"/>
        </w:rPr>
      </w:pPr>
      <w:r w:rsidRPr="005252DA">
        <w:rPr>
          <w:rFonts w:cs="TimesNewRomanPS"/>
          <w:i/>
          <w:lang w:eastAsia="en-GB"/>
        </w:rPr>
        <w:t>The non-citizen</w:t>
      </w:r>
    </w:p>
    <w:p w14:paraId="62FA4873" w14:textId="725F091E" w:rsidR="00BA5B6C" w:rsidRPr="005252DA" w:rsidRDefault="000510DB" w:rsidP="00097178">
      <w:pPr>
        <w:spacing w:beforeLines="80" w:before="192" w:afterLines="80" w:after="192" w:line="480" w:lineRule="auto"/>
        <w:rPr>
          <w:rFonts w:cs="TimesNewRomanPS"/>
          <w:lang w:eastAsia="en-GB"/>
        </w:rPr>
      </w:pPr>
      <w:r w:rsidRPr="005252DA">
        <w:rPr>
          <w:rFonts w:cs="TimesNewRomanPS"/>
          <w:lang w:eastAsia="en-GB"/>
        </w:rPr>
        <w:t>Ageing and dementia are currently intertwined in most cultures and the social imaginary of dementia is often embedded within the end</w:t>
      </w:r>
      <w:r w:rsidR="000A653F" w:rsidRPr="005252DA">
        <w:rPr>
          <w:rFonts w:cs="TimesNewRomanPS"/>
          <w:lang w:eastAsia="en-GB"/>
        </w:rPr>
        <w:t>-</w:t>
      </w:r>
      <w:r w:rsidRPr="005252DA">
        <w:rPr>
          <w:rFonts w:cs="TimesNewRomanPS"/>
          <w:lang w:eastAsia="en-GB"/>
        </w:rPr>
        <w:t xml:space="preserve">stage of the disease where an individual may be seen as frail and dependant, almost wholly unable to participate within their social world: socially dead (McManus and Devine 2011, </w:t>
      </w:r>
      <w:proofErr w:type="spellStart"/>
      <w:r w:rsidRPr="005252DA">
        <w:rPr>
          <w:lang w:val="en"/>
        </w:rPr>
        <w:t>Zeilig</w:t>
      </w:r>
      <w:proofErr w:type="spellEnd"/>
      <w:r w:rsidRPr="005252DA">
        <w:rPr>
          <w:lang w:val="en"/>
        </w:rPr>
        <w:t xml:space="preserve"> 2013,</w:t>
      </w:r>
      <w:r w:rsidRPr="005252DA">
        <w:t xml:space="preserve"> Cipriani and </w:t>
      </w:r>
      <w:proofErr w:type="spellStart"/>
      <w:r w:rsidRPr="005252DA">
        <w:t>Borin</w:t>
      </w:r>
      <w:proofErr w:type="spellEnd"/>
      <w:r w:rsidRPr="005252DA">
        <w:t xml:space="preserve"> 2014, </w:t>
      </w:r>
      <w:proofErr w:type="spellStart"/>
      <w:r w:rsidRPr="005252DA">
        <w:rPr>
          <w:rFonts w:cs="TimesNewRomanPS"/>
          <w:lang w:eastAsia="en-GB"/>
        </w:rPr>
        <w:t>Gilleard</w:t>
      </w:r>
      <w:proofErr w:type="spellEnd"/>
      <w:r w:rsidRPr="005252DA">
        <w:rPr>
          <w:rFonts w:cs="TimesNewRomanPS"/>
          <w:lang w:eastAsia="en-GB"/>
        </w:rPr>
        <w:t xml:space="preserve"> and Higgs 2014). </w:t>
      </w:r>
      <w:r w:rsidR="00BA5B6C" w:rsidRPr="005252DA">
        <w:rPr>
          <w:rFonts w:cs="TimesNewRomanPS"/>
          <w:lang w:eastAsia="en-GB"/>
        </w:rPr>
        <w:t>Here people may be non-citizens, existing</w:t>
      </w:r>
      <w:r w:rsidR="00F43641" w:rsidRPr="005252DA">
        <w:rPr>
          <w:rFonts w:cs="TimesNewRomanPS"/>
          <w:lang w:eastAsia="en-GB"/>
        </w:rPr>
        <w:t xml:space="preserve"> </w:t>
      </w:r>
      <w:r w:rsidR="00BA5B6C" w:rsidRPr="005252DA">
        <w:rPr>
          <w:rFonts w:cs="TimesNewRomanPS"/>
          <w:lang w:eastAsia="en-GB"/>
        </w:rPr>
        <w:t xml:space="preserve">without rights, without agency, relining on others for physical care. </w:t>
      </w:r>
      <w:r w:rsidRPr="005252DA">
        <w:rPr>
          <w:rFonts w:cs="TimesNewRomanPS"/>
          <w:lang w:eastAsia="en-GB"/>
        </w:rPr>
        <w:t>Such an imaginary resonates with the conceptualisation of the oldest old living in the fourth age in a period of ‘decrepitude and dependency’ (</w:t>
      </w:r>
      <w:proofErr w:type="spellStart"/>
      <w:r w:rsidRPr="005252DA">
        <w:rPr>
          <w:rFonts w:cs="TimesNewRomanPS"/>
          <w:lang w:eastAsia="en-GB"/>
        </w:rPr>
        <w:t>Kertzer</w:t>
      </w:r>
      <w:proofErr w:type="spellEnd"/>
      <w:r w:rsidRPr="005252DA">
        <w:rPr>
          <w:rFonts w:cs="TimesNewRomanPS"/>
          <w:lang w:eastAsia="en-GB"/>
        </w:rPr>
        <w:t xml:space="preserve"> and </w:t>
      </w:r>
      <w:proofErr w:type="spellStart"/>
      <w:r w:rsidRPr="005252DA">
        <w:rPr>
          <w:rFonts w:cs="TimesNewRomanPS"/>
          <w:lang w:eastAsia="en-GB"/>
        </w:rPr>
        <w:t>Laslett</w:t>
      </w:r>
      <w:proofErr w:type="spellEnd"/>
      <w:r w:rsidRPr="005252DA">
        <w:rPr>
          <w:rFonts w:cs="TimesNewRomanPS"/>
          <w:lang w:eastAsia="en-GB"/>
        </w:rPr>
        <w:t xml:space="preserve"> 1995). </w:t>
      </w:r>
    </w:p>
    <w:p w14:paraId="6FEBCC54" w14:textId="648490D2" w:rsidR="006A4C40" w:rsidRPr="005252DA" w:rsidRDefault="00DF4737" w:rsidP="00097178">
      <w:pPr>
        <w:spacing w:beforeLines="80" w:before="192" w:afterLines="80" w:after="192" w:line="480" w:lineRule="auto"/>
      </w:pPr>
      <w:r w:rsidRPr="005252DA">
        <w:lastRenderedPageBreak/>
        <w:t xml:space="preserve">Western cultures attribute value to the ‘productive autonomous self’, and how </w:t>
      </w:r>
      <w:r w:rsidR="007838D9" w:rsidRPr="005252DA">
        <w:t xml:space="preserve">living with </w:t>
      </w:r>
      <w:r w:rsidRPr="005252DA">
        <w:t xml:space="preserve">dementia is framed may ultimately, if stigmatising, rob the person of their autonomy (Gilmour and </w:t>
      </w:r>
      <w:proofErr w:type="spellStart"/>
      <w:r w:rsidRPr="005252DA">
        <w:t>Brannelly</w:t>
      </w:r>
      <w:proofErr w:type="spellEnd"/>
      <w:r w:rsidRPr="005252DA">
        <w:t xml:space="preserve"> 2010). Unchallenged or unsupported, this can create tensions and challenges for the attempts of the person with dementia to assimilate changed status and roles framed in this way.</w:t>
      </w:r>
      <w:r w:rsidRPr="005252DA">
        <w:rPr>
          <w:rFonts w:ascii="Calibri Light" w:eastAsia="Times New Roman" w:hAnsi="Calibri Light" w:cs="Calibri Light"/>
          <w:b/>
          <w:bCs/>
        </w:rPr>
        <w:t xml:space="preserve"> </w:t>
      </w:r>
      <w:r w:rsidRPr="005252DA">
        <w:t>Too often, stigmatising attitudes can lead to their exclusion from decisions, care opt</w:t>
      </w:r>
      <w:r w:rsidR="00112128" w:rsidRPr="005252DA">
        <w:t>ions and social spaces (</w:t>
      </w:r>
      <w:proofErr w:type="spellStart"/>
      <w:r w:rsidR="00112128" w:rsidRPr="005252DA">
        <w:t>Batsch</w:t>
      </w:r>
      <w:proofErr w:type="spellEnd"/>
      <w:r w:rsidR="00112128" w:rsidRPr="005252DA">
        <w:t xml:space="preserve"> and </w:t>
      </w:r>
      <w:proofErr w:type="spellStart"/>
      <w:r w:rsidR="00112128" w:rsidRPr="005252DA">
        <w:t>Mittelman</w:t>
      </w:r>
      <w:proofErr w:type="spellEnd"/>
      <w:r w:rsidRPr="005252DA">
        <w:t xml:space="preserve"> 2012). As dementia is more prevalent in older people, these individuals face the double jeopardy of the stigma of ageing and dementia.   </w:t>
      </w:r>
      <w:r w:rsidR="00A47AB7" w:rsidRPr="005252DA">
        <w:rPr>
          <w:rFonts w:cs="TimesNewRomanPS"/>
          <w:lang w:eastAsia="en-GB"/>
        </w:rPr>
        <w:t>Dementia is</w:t>
      </w:r>
      <w:r w:rsidR="000510DB" w:rsidRPr="005252DA">
        <w:rPr>
          <w:rFonts w:cs="TimesNewRomanPS"/>
          <w:lang w:eastAsia="en-GB"/>
        </w:rPr>
        <w:t xml:space="preserve"> </w:t>
      </w:r>
      <w:r w:rsidR="000A653F" w:rsidRPr="005252DA">
        <w:rPr>
          <w:rFonts w:cs="TimesNewRomanPS"/>
          <w:lang w:eastAsia="en-GB"/>
        </w:rPr>
        <w:t xml:space="preserve">here </w:t>
      </w:r>
      <w:r w:rsidR="000510DB" w:rsidRPr="005252DA">
        <w:rPr>
          <w:rFonts w:cs="TimesNewRomanPS"/>
          <w:lang w:eastAsia="en-GB"/>
        </w:rPr>
        <w:t xml:space="preserve">imagined </w:t>
      </w:r>
      <w:r w:rsidR="00A47AB7" w:rsidRPr="005252DA">
        <w:rPr>
          <w:rFonts w:cs="TimesNewRomanPS"/>
          <w:lang w:eastAsia="en-GB"/>
        </w:rPr>
        <w:t>as stripping the person of their very essence</w:t>
      </w:r>
      <w:r w:rsidR="000A653F" w:rsidRPr="005252DA">
        <w:rPr>
          <w:rFonts w:cs="TimesNewRomanPS"/>
          <w:lang w:eastAsia="en-GB"/>
        </w:rPr>
        <w:t xml:space="preserve">, to </w:t>
      </w:r>
      <w:r w:rsidR="00A47AB7" w:rsidRPr="005252DA">
        <w:rPr>
          <w:rFonts w:cs="TimesNewRomanPS"/>
          <w:lang w:eastAsia="en-GB"/>
        </w:rPr>
        <w:t xml:space="preserve">become a subaltern a </w:t>
      </w:r>
      <w:r w:rsidR="000A653F" w:rsidRPr="005252DA">
        <w:rPr>
          <w:rFonts w:cs="TimesNewRomanPS"/>
          <w:lang w:eastAsia="en-GB"/>
        </w:rPr>
        <w:t>non-person</w:t>
      </w:r>
      <w:r w:rsidR="00AD7255" w:rsidRPr="005252DA">
        <w:rPr>
          <w:rFonts w:cs="TimesNewRomanPS"/>
          <w:lang w:eastAsia="en-GB"/>
        </w:rPr>
        <w:t xml:space="preserve"> (</w:t>
      </w:r>
      <w:r w:rsidR="00112128" w:rsidRPr="005252DA">
        <w:rPr>
          <w:rFonts w:cs="TimesNewRomanPS"/>
          <w:lang w:eastAsia="en-GB"/>
        </w:rPr>
        <w:t xml:space="preserve">Gilmour and </w:t>
      </w:r>
      <w:proofErr w:type="spellStart"/>
      <w:r w:rsidR="00112128" w:rsidRPr="005252DA">
        <w:rPr>
          <w:rFonts w:cs="TimesNewRomanPS"/>
          <w:lang w:eastAsia="en-GB"/>
        </w:rPr>
        <w:t>Brannelly</w:t>
      </w:r>
      <w:proofErr w:type="spellEnd"/>
      <w:r w:rsidR="00112128" w:rsidRPr="005252DA">
        <w:rPr>
          <w:rFonts w:cs="TimesNewRomanPS"/>
          <w:lang w:eastAsia="en-GB"/>
        </w:rPr>
        <w:t xml:space="preserve"> </w:t>
      </w:r>
      <w:r w:rsidR="00352A40" w:rsidRPr="005252DA">
        <w:rPr>
          <w:rFonts w:cs="TimesNewRomanPS"/>
          <w:lang w:eastAsia="en-GB"/>
        </w:rPr>
        <w:t>2010</w:t>
      </w:r>
      <w:r w:rsidR="00A47AB7" w:rsidRPr="005252DA">
        <w:rPr>
          <w:rFonts w:cs="TimesNewRomanPS"/>
          <w:lang w:eastAsia="en-GB"/>
        </w:rPr>
        <w:t>). In the extreme imaginaries of dementia</w:t>
      </w:r>
      <w:r w:rsidR="000A653F" w:rsidRPr="005252DA">
        <w:rPr>
          <w:rFonts w:cs="TimesNewRomanPS"/>
          <w:lang w:eastAsia="en-GB"/>
        </w:rPr>
        <w:t>,</w:t>
      </w:r>
      <w:r w:rsidR="00A47AB7" w:rsidRPr="005252DA">
        <w:rPr>
          <w:rFonts w:cs="TimesNewRomanPS"/>
          <w:lang w:eastAsia="en-GB"/>
        </w:rPr>
        <w:t xml:space="preserve"> people are </w:t>
      </w:r>
      <w:r w:rsidR="009B24C9" w:rsidRPr="005252DA">
        <w:rPr>
          <w:rFonts w:cs="TimesNewRomanPS"/>
          <w:lang w:eastAsia="en-GB"/>
        </w:rPr>
        <w:t>dependent</w:t>
      </w:r>
      <w:r w:rsidR="00A47AB7" w:rsidRPr="005252DA">
        <w:rPr>
          <w:rFonts w:cs="TimesNewRomanPS"/>
          <w:lang w:eastAsia="en-GB"/>
        </w:rPr>
        <w:t xml:space="preserve"> on others to bestow care and compassion on them by virtue of their right to care</w:t>
      </w:r>
      <w:r w:rsidR="000A653F" w:rsidRPr="005252DA">
        <w:rPr>
          <w:rFonts w:cs="TimesNewRomanPS"/>
          <w:lang w:eastAsia="en-GB"/>
        </w:rPr>
        <w:t>,</w:t>
      </w:r>
      <w:r w:rsidR="00A47AB7" w:rsidRPr="005252DA">
        <w:rPr>
          <w:rFonts w:cs="TimesNewRomanPS"/>
          <w:lang w:eastAsia="en-GB"/>
        </w:rPr>
        <w:t xml:space="preserve"> through their personhood (</w:t>
      </w:r>
      <w:proofErr w:type="spellStart"/>
      <w:r w:rsidR="007838D9" w:rsidRPr="005252DA">
        <w:rPr>
          <w:rFonts w:cs="TimesNewRomanPS"/>
          <w:lang w:eastAsia="en-GB"/>
        </w:rPr>
        <w:t>Kitwood</w:t>
      </w:r>
      <w:proofErr w:type="spellEnd"/>
      <w:r w:rsidR="00AD7255" w:rsidRPr="005252DA">
        <w:rPr>
          <w:rFonts w:cs="TimesNewRomanPS"/>
          <w:lang w:eastAsia="en-GB"/>
        </w:rPr>
        <w:t xml:space="preserve"> </w:t>
      </w:r>
      <w:r w:rsidR="00352A40" w:rsidRPr="005252DA">
        <w:rPr>
          <w:rFonts w:cs="TimesNewRomanPS"/>
          <w:lang w:eastAsia="en-GB"/>
        </w:rPr>
        <w:t>1997</w:t>
      </w:r>
      <w:r w:rsidR="00A47AB7" w:rsidRPr="005252DA">
        <w:rPr>
          <w:rFonts w:cs="TimesNewRomanPS"/>
          <w:lang w:eastAsia="en-GB"/>
        </w:rPr>
        <w:t>).</w:t>
      </w:r>
      <w:r w:rsidRPr="005252DA">
        <w:rPr>
          <w:rFonts w:cs="TimesNewRomanPS"/>
          <w:lang w:eastAsia="en-GB"/>
        </w:rPr>
        <w:t xml:space="preserve"> </w:t>
      </w:r>
      <w:r w:rsidR="001943B5" w:rsidRPr="005252DA">
        <w:rPr>
          <w:rFonts w:cs="TimesNewRomanPS"/>
          <w:lang w:eastAsia="en-GB"/>
        </w:rPr>
        <w:t xml:space="preserve">Such </w:t>
      </w:r>
      <w:r w:rsidR="00A47AB7" w:rsidRPr="005252DA">
        <w:rPr>
          <w:rFonts w:cs="TimesNewRomanPS"/>
          <w:lang w:eastAsia="en-GB"/>
        </w:rPr>
        <w:t>concepts</w:t>
      </w:r>
      <w:r w:rsidR="001943B5" w:rsidRPr="005252DA">
        <w:rPr>
          <w:rFonts w:cs="TimesNewRomanPS"/>
          <w:lang w:eastAsia="en-GB"/>
        </w:rPr>
        <w:t xml:space="preserve"> have </w:t>
      </w:r>
      <w:r w:rsidR="00A47AB7" w:rsidRPr="005252DA">
        <w:rPr>
          <w:rFonts w:cs="TimesNewRomanPS"/>
          <w:lang w:eastAsia="en-GB"/>
        </w:rPr>
        <w:t>resonance</w:t>
      </w:r>
      <w:r w:rsidR="001943B5" w:rsidRPr="005252DA">
        <w:rPr>
          <w:rFonts w:cs="TimesNewRomanPS"/>
          <w:lang w:eastAsia="en-GB"/>
        </w:rPr>
        <w:t xml:space="preserve"> with those </w:t>
      </w:r>
      <w:r w:rsidR="00A47AB7" w:rsidRPr="005252DA">
        <w:rPr>
          <w:rFonts w:cs="TimesNewRomanPS"/>
          <w:lang w:eastAsia="en-GB"/>
        </w:rPr>
        <w:t xml:space="preserve">used by </w:t>
      </w:r>
      <w:proofErr w:type="spellStart"/>
      <w:r w:rsidR="00112128" w:rsidRPr="005252DA">
        <w:rPr>
          <w:rFonts w:cs="TimesNewRomanPS"/>
          <w:lang w:eastAsia="en-GB"/>
        </w:rPr>
        <w:t>Gilleard</w:t>
      </w:r>
      <w:proofErr w:type="spellEnd"/>
      <w:r w:rsidR="00A47AB7" w:rsidRPr="005252DA">
        <w:rPr>
          <w:rFonts w:cs="TimesNewRomanPS"/>
          <w:lang w:eastAsia="en-GB"/>
        </w:rPr>
        <w:t xml:space="preserve"> </w:t>
      </w:r>
      <w:r w:rsidR="009A76A8" w:rsidRPr="005252DA">
        <w:rPr>
          <w:rFonts w:cs="TimesNewRomanPS"/>
          <w:lang w:eastAsia="en-GB"/>
        </w:rPr>
        <w:t xml:space="preserve">and Higgs </w:t>
      </w:r>
      <w:r w:rsidR="00A47AB7" w:rsidRPr="005252DA">
        <w:rPr>
          <w:rFonts w:cs="TimesNewRomanPS"/>
          <w:lang w:eastAsia="en-GB"/>
        </w:rPr>
        <w:t>to characterise the cultural imaginary of the fourth age where people no longer have status</w:t>
      </w:r>
      <w:r w:rsidR="009A76A8" w:rsidRPr="005252DA">
        <w:rPr>
          <w:rFonts w:cs="TimesNewRomanPS"/>
          <w:lang w:eastAsia="en-GB"/>
        </w:rPr>
        <w:t>,</w:t>
      </w:r>
      <w:r w:rsidR="00A47AB7" w:rsidRPr="005252DA">
        <w:rPr>
          <w:rFonts w:cs="TimesNewRomanPS"/>
          <w:lang w:eastAsia="en-GB"/>
        </w:rPr>
        <w:t xml:space="preserve"> rather they live in a state of being (</w:t>
      </w:r>
      <w:proofErr w:type="spellStart"/>
      <w:r w:rsidR="004C2B00" w:rsidRPr="005252DA">
        <w:rPr>
          <w:rFonts w:cs="TimesNewRomanPS"/>
          <w:lang w:eastAsia="en-GB"/>
        </w:rPr>
        <w:t>Gilleard</w:t>
      </w:r>
      <w:proofErr w:type="spellEnd"/>
      <w:r w:rsidR="004C2B00" w:rsidRPr="005252DA">
        <w:rPr>
          <w:rFonts w:cs="TimesNewRomanPS"/>
          <w:lang w:eastAsia="en-GB"/>
        </w:rPr>
        <w:t xml:space="preserve"> and Higgs 2010</w:t>
      </w:r>
      <w:r w:rsidR="00A47AB7" w:rsidRPr="005252DA">
        <w:rPr>
          <w:rFonts w:cs="TimesNewRomanPS"/>
          <w:lang w:eastAsia="en-GB"/>
        </w:rPr>
        <w:t xml:space="preserve">). </w:t>
      </w:r>
      <w:r w:rsidR="009A76A8" w:rsidRPr="005252DA">
        <w:rPr>
          <w:rFonts w:cs="TimesNewRomanPS"/>
          <w:lang w:eastAsia="en-GB"/>
        </w:rPr>
        <w:t>The concept of the fourth age and its imaginary around loss of agency for older people who are ‘</w:t>
      </w:r>
      <w:r w:rsidR="009A76A8" w:rsidRPr="005252DA">
        <w:rPr>
          <w:rFonts w:cs="TimesNewRomanPS"/>
          <w:i/>
          <w:lang w:eastAsia="en-GB"/>
        </w:rPr>
        <w:t>stripped of social and cultural capital</w:t>
      </w:r>
      <w:r w:rsidR="009A76A8" w:rsidRPr="005252DA">
        <w:rPr>
          <w:rFonts w:cs="TimesNewRomanPS"/>
          <w:lang w:eastAsia="en-GB"/>
        </w:rPr>
        <w:t>’ (</w:t>
      </w:r>
      <w:proofErr w:type="spellStart"/>
      <w:r w:rsidR="009A76A8" w:rsidRPr="005252DA">
        <w:rPr>
          <w:rFonts w:cs="TimesNewRomanPS"/>
          <w:lang w:eastAsia="en-GB"/>
        </w:rPr>
        <w:t>Gilleard</w:t>
      </w:r>
      <w:proofErr w:type="spellEnd"/>
      <w:r w:rsidR="009A76A8" w:rsidRPr="005252DA">
        <w:rPr>
          <w:rFonts w:cs="TimesNewRomanPS"/>
          <w:lang w:eastAsia="en-GB"/>
        </w:rPr>
        <w:t xml:space="preserve"> &amp; Higgs 2010: 123), may be imposed on the older person by institutions, health care professional and family rather than reflecting any aspects of the internal sense of self held by the older person (Lloyd </w:t>
      </w:r>
      <w:r w:rsidR="009A76A8" w:rsidRPr="005252DA">
        <w:rPr>
          <w:rFonts w:cs="TimesNewRomanPS"/>
          <w:i/>
          <w:lang w:eastAsia="en-GB"/>
        </w:rPr>
        <w:t>et al</w:t>
      </w:r>
      <w:r w:rsidR="009A76A8" w:rsidRPr="005252DA">
        <w:rPr>
          <w:rFonts w:cs="TimesNewRomanPS"/>
          <w:lang w:eastAsia="en-GB"/>
        </w:rPr>
        <w:t>. 201</w:t>
      </w:r>
      <w:r w:rsidR="009320C3" w:rsidRPr="005252DA">
        <w:rPr>
          <w:rFonts w:cs="TimesNewRomanPS"/>
          <w:lang w:eastAsia="en-GB"/>
        </w:rPr>
        <w:t>4</w:t>
      </w:r>
      <w:r w:rsidR="009A76A8" w:rsidRPr="005252DA">
        <w:rPr>
          <w:rFonts w:cs="TimesNewRomanPS"/>
          <w:lang w:eastAsia="en-GB"/>
        </w:rPr>
        <w:t>). Other</w:t>
      </w:r>
      <w:r w:rsidR="00BA5B6C" w:rsidRPr="005252DA">
        <w:rPr>
          <w:rFonts w:cs="TimesNewRomanPS"/>
          <w:lang w:eastAsia="en-GB"/>
        </w:rPr>
        <w:t>s</w:t>
      </w:r>
      <w:r w:rsidR="009A76A8" w:rsidRPr="005252DA">
        <w:rPr>
          <w:rFonts w:cs="TimesNewRomanPS"/>
          <w:lang w:eastAsia="en-GB"/>
        </w:rPr>
        <w:t xml:space="preserve"> position people</w:t>
      </w:r>
      <w:r w:rsidR="006A4C40" w:rsidRPr="005252DA">
        <w:rPr>
          <w:rFonts w:cs="TimesNewRomanPS"/>
          <w:lang w:eastAsia="en-GB"/>
        </w:rPr>
        <w:t xml:space="preserve"> with dementia </w:t>
      </w:r>
      <w:r w:rsidR="009A76A8" w:rsidRPr="005252DA">
        <w:rPr>
          <w:rFonts w:cs="TimesNewRomanPS"/>
          <w:lang w:eastAsia="en-GB"/>
        </w:rPr>
        <w:t xml:space="preserve">as </w:t>
      </w:r>
      <w:r w:rsidR="006A4C40" w:rsidRPr="005252DA">
        <w:rPr>
          <w:rFonts w:cs="TimesNewRomanPS"/>
          <w:lang w:eastAsia="en-GB"/>
        </w:rPr>
        <w:t xml:space="preserve">living as non-citizens, socially dead, within a narrative of complete deficit. By too-readily positioning the oldest old and those with dementia in this place of deficit we risk ignoring </w:t>
      </w:r>
      <w:r w:rsidR="006A4C40" w:rsidRPr="005252DA">
        <w:t>the distinction between being and feeling frail (Grenier 2006)</w:t>
      </w:r>
      <w:r w:rsidR="00BA5B6C" w:rsidRPr="005252DA">
        <w:t xml:space="preserve"> and too quickly close the discourse on whether people with advanced dementia can have a citizen status</w:t>
      </w:r>
      <w:r w:rsidR="006A4C40" w:rsidRPr="005252DA">
        <w:t xml:space="preserve">. </w:t>
      </w:r>
    </w:p>
    <w:p w14:paraId="693F4BC1" w14:textId="156D18A7" w:rsidR="007515AC" w:rsidRPr="00097178" w:rsidRDefault="005236FF" w:rsidP="00097178">
      <w:pPr>
        <w:spacing w:beforeLines="80" w:before="192" w:afterLines="80" w:after="192" w:line="480" w:lineRule="auto"/>
      </w:pPr>
      <w:r w:rsidRPr="005252DA">
        <w:rPr>
          <w:rFonts w:cs="TimesNewRomanPS"/>
          <w:lang w:eastAsia="en-GB"/>
        </w:rPr>
        <w:t>When considering the potential for active citizenship</w:t>
      </w:r>
      <w:r w:rsidR="00D92737" w:rsidRPr="005252DA">
        <w:rPr>
          <w:rFonts w:cs="TimesNewRomanPS"/>
          <w:lang w:eastAsia="en-GB"/>
        </w:rPr>
        <w:t xml:space="preserve"> within the fourth age</w:t>
      </w:r>
      <w:r w:rsidRPr="005252DA">
        <w:rPr>
          <w:rFonts w:cs="TimesNewRomanPS"/>
          <w:lang w:eastAsia="en-GB"/>
        </w:rPr>
        <w:t xml:space="preserve"> the challenge is not only in supporting access to resources for the individual with </w:t>
      </w:r>
      <w:r w:rsidR="007838D9" w:rsidRPr="005252DA">
        <w:rPr>
          <w:rFonts w:cs="TimesNewRomanPS"/>
          <w:lang w:eastAsia="en-GB"/>
        </w:rPr>
        <w:t>dementia</w:t>
      </w:r>
      <w:r w:rsidRPr="005252DA">
        <w:rPr>
          <w:rFonts w:cs="TimesNewRomanPS"/>
          <w:lang w:eastAsia="en-GB"/>
        </w:rPr>
        <w:t xml:space="preserve"> but also in </w:t>
      </w:r>
      <w:r w:rsidR="00BA5B6C" w:rsidRPr="005252DA">
        <w:rPr>
          <w:rFonts w:cs="TimesNewRomanPS"/>
          <w:lang w:eastAsia="en-GB"/>
        </w:rPr>
        <w:t>addressing the</w:t>
      </w:r>
      <w:r w:rsidRPr="005252DA">
        <w:rPr>
          <w:rFonts w:cs="TimesNewRomanPS"/>
          <w:lang w:eastAsia="en-GB"/>
        </w:rPr>
        <w:t xml:space="preserve"> stigmatizing attitudes and behaviours of others</w:t>
      </w:r>
      <w:r w:rsidR="006A4C40" w:rsidRPr="005252DA">
        <w:t xml:space="preserve">. </w:t>
      </w:r>
      <w:r w:rsidR="00470531" w:rsidRPr="005252DA">
        <w:rPr>
          <w:rFonts w:asciiTheme="minorHAnsi" w:hAnsiTheme="minorHAnsi"/>
        </w:rPr>
        <w:t xml:space="preserve">While </w:t>
      </w:r>
      <w:r w:rsidR="0056652E" w:rsidRPr="005252DA">
        <w:rPr>
          <w:rFonts w:asciiTheme="minorHAnsi" w:hAnsiTheme="minorHAnsi"/>
        </w:rPr>
        <w:t xml:space="preserve">those living with dementia may wish to continue </w:t>
      </w:r>
      <w:r w:rsidR="00470531" w:rsidRPr="005252DA">
        <w:rPr>
          <w:rFonts w:asciiTheme="minorHAnsi" w:hAnsiTheme="minorHAnsi"/>
        </w:rPr>
        <w:t xml:space="preserve">to be agentic citizens </w:t>
      </w:r>
      <w:r w:rsidR="0056652E" w:rsidRPr="005252DA">
        <w:rPr>
          <w:rFonts w:asciiTheme="minorHAnsi" w:hAnsiTheme="minorHAnsi"/>
        </w:rPr>
        <w:t xml:space="preserve">the opportunity for this is challenged </w:t>
      </w:r>
      <w:r w:rsidR="00470531" w:rsidRPr="005252DA">
        <w:rPr>
          <w:rFonts w:asciiTheme="minorHAnsi" w:hAnsiTheme="minorHAnsi"/>
        </w:rPr>
        <w:t xml:space="preserve">if others do not </w:t>
      </w:r>
      <w:r w:rsidR="0056652E" w:rsidRPr="005252DA">
        <w:rPr>
          <w:rFonts w:asciiTheme="minorHAnsi" w:hAnsiTheme="minorHAnsi"/>
        </w:rPr>
        <w:t xml:space="preserve">recognise this ability or provide opportunities for agency. </w:t>
      </w:r>
      <w:proofErr w:type="spellStart"/>
      <w:r w:rsidR="00470531" w:rsidRPr="005252DA">
        <w:rPr>
          <w:rFonts w:asciiTheme="minorHAnsi" w:hAnsiTheme="minorHAnsi"/>
        </w:rPr>
        <w:t>Kitwood</w:t>
      </w:r>
      <w:proofErr w:type="spellEnd"/>
      <w:r w:rsidR="00BA5B6C" w:rsidRPr="005252DA">
        <w:rPr>
          <w:rFonts w:asciiTheme="minorHAnsi" w:hAnsiTheme="minorHAnsi"/>
        </w:rPr>
        <w:t xml:space="preserve"> (1997)</w:t>
      </w:r>
      <w:r w:rsidR="00470531" w:rsidRPr="005252DA">
        <w:rPr>
          <w:rFonts w:asciiTheme="minorHAnsi" w:hAnsiTheme="minorHAnsi"/>
        </w:rPr>
        <w:t xml:space="preserve"> describe</w:t>
      </w:r>
      <w:r w:rsidR="00BA5B6C" w:rsidRPr="005252DA">
        <w:rPr>
          <w:rFonts w:asciiTheme="minorHAnsi" w:hAnsiTheme="minorHAnsi"/>
        </w:rPr>
        <w:t>s</w:t>
      </w:r>
      <w:r w:rsidR="00470531" w:rsidRPr="005252DA">
        <w:rPr>
          <w:rFonts w:asciiTheme="minorHAnsi" w:hAnsiTheme="minorHAnsi"/>
        </w:rPr>
        <w:t xml:space="preserve"> how the </w:t>
      </w:r>
      <w:r w:rsidR="00470531" w:rsidRPr="005252DA">
        <w:rPr>
          <w:rStyle w:val="st"/>
          <w:rFonts w:asciiTheme="minorHAnsi" w:hAnsiTheme="minorHAnsi"/>
        </w:rPr>
        <w:t xml:space="preserve">actions of carers, </w:t>
      </w:r>
      <w:r w:rsidR="00470531" w:rsidRPr="005252DA">
        <w:rPr>
          <w:rStyle w:val="st"/>
          <w:rFonts w:asciiTheme="minorHAnsi" w:hAnsiTheme="minorHAnsi"/>
        </w:rPr>
        <w:lastRenderedPageBreak/>
        <w:t>although well-meaning, could lead to a pervasive erosion of the personhood of the person with dementia, their individual and human characteristics,</w:t>
      </w:r>
      <w:r w:rsidR="00470531" w:rsidRPr="005252DA">
        <w:rPr>
          <w:rFonts w:asciiTheme="minorHAnsi" w:hAnsiTheme="minorHAnsi"/>
        </w:rPr>
        <w:t xml:space="preserve"> designating this a ‘</w:t>
      </w:r>
      <w:r w:rsidR="00470531" w:rsidRPr="005252DA">
        <w:rPr>
          <w:rStyle w:val="Emphasis"/>
          <w:rFonts w:asciiTheme="minorHAnsi" w:hAnsiTheme="minorHAnsi"/>
        </w:rPr>
        <w:t>malignant social psychology’</w:t>
      </w:r>
      <w:r w:rsidR="00470531" w:rsidRPr="005252DA">
        <w:rPr>
          <w:rStyle w:val="st"/>
          <w:rFonts w:asciiTheme="minorHAnsi" w:hAnsiTheme="minorHAnsi"/>
        </w:rPr>
        <w:t xml:space="preserve"> (</w:t>
      </w:r>
      <w:proofErr w:type="spellStart"/>
      <w:r w:rsidR="00470531" w:rsidRPr="005252DA">
        <w:rPr>
          <w:rStyle w:val="st"/>
          <w:rFonts w:asciiTheme="minorHAnsi" w:hAnsiTheme="minorHAnsi"/>
        </w:rPr>
        <w:t>Kitwood</w:t>
      </w:r>
      <w:proofErr w:type="spellEnd"/>
      <w:r w:rsidR="00470531" w:rsidRPr="005252DA">
        <w:rPr>
          <w:rStyle w:val="st"/>
          <w:rFonts w:asciiTheme="minorHAnsi" w:hAnsiTheme="minorHAnsi"/>
        </w:rPr>
        <w:t xml:space="preserve"> 1997).</w:t>
      </w:r>
      <w:r w:rsidR="00470531" w:rsidRPr="005252DA">
        <w:rPr>
          <w:rFonts w:cs="TimesNewRomanPS"/>
          <w:lang w:eastAsia="en-GB"/>
        </w:rPr>
        <w:t xml:space="preserve"> </w:t>
      </w:r>
      <w:r w:rsidR="00DC037A" w:rsidRPr="005252DA">
        <w:rPr>
          <w:rFonts w:cs="TimesNewRomanPS"/>
          <w:lang w:eastAsia="en-GB"/>
        </w:rPr>
        <w:t>Knowing people predominately by their diagnosis and not through their personal and socially-situated attributes increases the likelihood that the person with dementia will be given the social persona of ‘dysfunctional patient' (</w:t>
      </w:r>
      <w:proofErr w:type="spellStart"/>
      <w:r w:rsidR="00DC037A" w:rsidRPr="005252DA">
        <w:rPr>
          <w:rFonts w:cs="TimesNewRomanPS"/>
          <w:lang w:eastAsia="en-GB"/>
        </w:rPr>
        <w:t>Sabat</w:t>
      </w:r>
      <w:proofErr w:type="spellEnd"/>
      <w:r w:rsidR="00DC037A" w:rsidRPr="005252DA">
        <w:rPr>
          <w:rFonts w:cs="TimesNewRomanPS"/>
          <w:lang w:eastAsia="en-GB"/>
        </w:rPr>
        <w:t xml:space="preserve"> 2002), reinforcing negative discourses.  </w:t>
      </w:r>
    </w:p>
    <w:p w14:paraId="3C4A215A" w14:textId="77777777" w:rsidR="007515AC" w:rsidRPr="005252DA" w:rsidRDefault="007515AC" w:rsidP="00097178">
      <w:pPr>
        <w:spacing w:beforeLines="80" w:before="192" w:afterLines="80" w:after="192" w:line="480" w:lineRule="auto"/>
        <w:rPr>
          <w:rFonts w:cs="TimesNewRomanPS"/>
          <w:i/>
          <w:lang w:eastAsia="en-GB"/>
        </w:rPr>
      </w:pPr>
      <w:r w:rsidRPr="005252DA">
        <w:rPr>
          <w:rFonts w:cs="TimesNewRomanPS"/>
          <w:i/>
          <w:lang w:eastAsia="en-GB"/>
        </w:rPr>
        <w:t>The passive citizen</w:t>
      </w:r>
    </w:p>
    <w:p w14:paraId="37242433" w14:textId="02EE454D" w:rsidR="00BA5B6C" w:rsidRPr="005252DA" w:rsidRDefault="008A74B2" w:rsidP="00097178">
      <w:pPr>
        <w:spacing w:beforeLines="80" w:before="192" w:afterLines="80" w:after="192" w:line="480" w:lineRule="auto"/>
      </w:pPr>
      <w:r w:rsidRPr="005252DA">
        <w:rPr>
          <w:rFonts w:cs="TimesNewRomanPS"/>
          <w:lang w:eastAsia="en-GB"/>
        </w:rPr>
        <w:t xml:space="preserve">Some people living with dementia will be frail </w:t>
      </w:r>
      <w:r w:rsidR="006137FD" w:rsidRPr="005252DA">
        <w:rPr>
          <w:rFonts w:cs="TimesNewRomanPS"/>
          <w:lang w:eastAsia="en-GB"/>
        </w:rPr>
        <w:t xml:space="preserve">and dependent as they live </w:t>
      </w:r>
      <w:r w:rsidRPr="005252DA">
        <w:rPr>
          <w:rFonts w:cs="TimesNewRomanPS"/>
          <w:lang w:eastAsia="en-GB"/>
        </w:rPr>
        <w:t xml:space="preserve">with </w:t>
      </w:r>
      <w:r w:rsidR="006137FD" w:rsidRPr="005252DA">
        <w:rPr>
          <w:rFonts w:cs="TimesNewRomanPS"/>
          <w:lang w:eastAsia="en-GB"/>
        </w:rPr>
        <w:t xml:space="preserve">decreasing cognitive ability and </w:t>
      </w:r>
      <w:r w:rsidRPr="005252DA">
        <w:rPr>
          <w:rFonts w:cs="TimesNewRomanPS"/>
          <w:lang w:eastAsia="en-GB"/>
        </w:rPr>
        <w:t>comorbidities</w:t>
      </w:r>
      <w:r w:rsidR="006137FD" w:rsidRPr="005252DA">
        <w:rPr>
          <w:rFonts w:cs="TimesNewRomanPS"/>
          <w:lang w:eastAsia="en-GB"/>
        </w:rPr>
        <w:t>; they will need the support of others to manage every day activities</w:t>
      </w:r>
      <w:r w:rsidR="00BA5B6C" w:rsidRPr="005252DA">
        <w:rPr>
          <w:rFonts w:cs="TimesNewRomanPS"/>
          <w:lang w:eastAsia="en-GB"/>
        </w:rPr>
        <w:t>, yet</w:t>
      </w:r>
      <w:r w:rsidR="006137FD" w:rsidRPr="005252DA">
        <w:rPr>
          <w:rFonts w:cs="TimesNewRomanPS"/>
          <w:lang w:eastAsia="en-GB"/>
        </w:rPr>
        <w:t xml:space="preserve"> </w:t>
      </w:r>
      <w:r w:rsidR="00BA5B6C" w:rsidRPr="005252DA">
        <w:t>b</w:t>
      </w:r>
      <w:r w:rsidRPr="005252DA">
        <w:t xml:space="preserve">eing able to make decisions, choosing how and when to exercise rights and responsibilities, demonstrates agency and enacts citizenship status. </w:t>
      </w:r>
      <w:r w:rsidR="006137FD" w:rsidRPr="005252DA">
        <w:t>Social citizenship acknowledges that some people will not be able to be active citizens in the sense of contributing to communities</w:t>
      </w:r>
      <w:r w:rsidR="00BA5B6C" w:rsidRPr="005252DA">
        <w:t>, rather they will be passive citizens.</w:t>
      </w:r>
      <w:r w:rsidR="006137FD" w:rsidRPr="005252DA">
        <w:t xml:space="preserve"> </w:t>
      </w:r>
      <w:r w:rsidR="00BA5B6C" w:rsidRPr="005252DA">
        <w:t>A</w:t>
      </w:r>
      <w:r w:rsidR="006137FD" w:rsidRPr="005252DA">
        <w:t xml:space="preserve"> rights</w:t>
      </w:r>
      <w:r w:rsidR="00BA5B6C" w:rsidRPr="005252DA">
        <w:t>,</w:t>
      </w:r>
      <w:r w:rsidR="006137FD" w:rsidRPr="005252DA">
        <w:t xml:space="preserve"> rather </w:t>
      </w:r>
      <w:r w:rsidR="00BA5B6C" w:rsidRPr="005252DA">
        <w:t>than needs, based discourse</w:t>
      </w:r>
      <w:r w:rsidR="006137FD" w:rsidRPr="005252DA">
        <w:t xml:space="preserve"> enables structural</w:t>
      </w:r>
      <w:r w:rsidR="00BA5B6C" w:rsidRPr="005252DA">
        <w:t>-</w:t>
      </w:r>
      <w:r w:rsidR="006137FD" w:rsidRPr="005252DA">
        <w:t>stigma due to age or dementia diagnosis to be challenged</w:t>
      </w:r>
      <w:r w:rsidR="000E1D5C" w:rsidRPr="005252DA">
        <w:t xml:space="preserve"> (Bartlett and O’Conner 2010)</w:t>
      </w:r>
      <w:r w:rsidR="006137FD" w:rsidRPr="005252DA">
        <w:t xml:space="preserve">. </w:t>
      </w:r>
      <w:r w:rsidR="00BA5B6C" w:rsidRPr="005252DA">
        <w:t xml:space="preserve">People can live well in the fourth age as passive citizens if the actions of others recognise and acknowledge the nuanced ways in which people with severe dementia may display agency. </w:t>
      </w:r>
      <w:r w:rsidR="00BA5B6C" w:rsidRPr="005252DA">
        <w:rPr>
          <w:rFonts w:cs="TimesNewRomanPS"/>
          <w:lang w:eastAsia="en-GB"/>
        </w:rPr>
        <w:t xml:space="preserve">People with severe dementia may continue to display embodied agency and with the appropriate social rituals can continue to live as recognised people, passive citizens, with the social rights to good quality care (Godwin and Poland 2015). </w:t>
      </w:r>
    </w:p>
    <w:p w14:paraId="6FD50FF2" w14:textId="15576988" w:rsidR="00C82070" w:rsidRPr="00097178" w:rsidRDefault="000E1D5C" w:rsidP="00097178">
      <w:pPr>
        <w:spacing w:beforeLines="80" w:before="192" w:afterLines="80" w:after="192" w:line="480" w:lineRule="auto"/>
      </w:pPr>
      <w:r w:rsidRPr="005252DA">
        <w:rPr>
          <w:rFonts w:cs="TimesNewRomanPS"/>
          <w:lang w:eastAsia="en-GB"/>
        </w:rPr>
        <w:t>For some people, in some life stages moving to live “in the shadow of the fourth age” can be a (destination) which is both realistic in accepting age-inherent physical challenges, while still offering opportunities for agentic actions</w:t>
      </w:r>
      <w:r w:rsidR="00BA5B6C" w:rsidRPr="005252DA">
        <w:rPr>
          <w:rFonts w:cs="TimesNewRomanPS"/>
          <w:lang w:eastAsia="en-GB"/>
        </w:rPr>
        <w:t>.</w:t>
      </w:r>
      <w:r w:rsidRPr="005252DA">
        <w:rPr>
          <w:rFonts w:cs="TimesNewRomanPS"/>
          <w:lang w:eastAsia="en-GB"/>
        </w:rPr>
        <w:t xml:space="preserve"> </w:t>
      </w:r>
      <w:r w:rsidR="00BA5B6C" w:rsidRPr="005252DA">
        <w:rPr>
          <w:rFonts w:cs="TimesNewRomanPS"/>
          <w:lang w:eastAsia="en-GB"/>
        </w:rPr>
        <w:t>M</w:t>
      </w:r>
      <w:r w:rsidR="00D203E4" w:rsidRPr="005252DA">
        <w:rPr>
          <w:rFonts w:cs="TimesNewRomanPS"/>
          <w:lang w:eastAsia="en-GB"/>
        </w:rPr>
        <w:t>oving into the fourth age may be an acceptable post-liminal state if people are able to review their lives and look back over a positive life (</w:t>
      </w:r>
      <w:proofErr w:type="spellStart"/>
      <w:r w:rsidR="00D203E4" w:rsidRPr="005252DA">
        <w:rPr>
          <w:rFonts w:cs="TimesNewRomanPS"/>
          <w:lang w:eastAsia="en-GB"/>
        </w:rPr>
        <w:t>Wolverston</w:t>
      </w:r>
      <w:proofErr w:type="spellEnd"/>
      <w:r w:rsidR="00D203E4" w:rsidRPr="005252DA">
        <w:rPr>
          <w:rFonts w:cs="TimesNewRomanPS"/>
          <w:lang w:eastAsia="en-GB"/>
        </w:rPr>
        <w:t xml:space="preserve"> </w:t>
      </w:r>
      <w:r w:rsidR="00D203E4" w:rsidRPr="005252DA">
        <w:rPr>
          <w:rFonts w:cs="TimesNewRomanPS"/>
          <w:i/>
          <w:lang w:eastAsia="en-GB"/>
        </w:rPr>
        <w:t>et al</w:t>
      </w:r>
      <w:r w:rsidR="00112128" w:rsidRPr="005252DA">
        <w:rPr>
          <w:rFonts w:cs="TimesNewRomanPS"/>
          <w:i/>
          <w:lang w:eastAsia="en-GB"/>
        </w:rPr>
        <w:t>.</w:t>
      </w:r>
      <w:r w:rsidR="00D203E4" w:rsidRPr="005252DA">
        <w:rPr>
          <w:rFonts w:cs="TimesNewRomanPS"/>
          <w:lang w:eastAsia="en-GB"/>
        </w:rPr>
        <w:t xml:space="preserve"> 2015). </w:t>
      </w:r>
      <w:r w:rsidR="00470531" w:rsidRPr="005252DA">
        <w:rPr>
          <w:rFonts w:cs="TimesNewRomanPS"/>
          <w:lang w:eastAsia="en-GB"/>
        </w:rPr>
        <w:t>To ease the path along the journey to the fourth age there needs to be a realisation and imaginary of the fourth age as being</w:t>
      </w:r>
      <w:r w:rsidR="00BA5B6C" w:rsidRPr="005252DA">
        <w:rPr>
          <w:rFonts w:cs="TimesNewRomanPS"/>
          <w:lang w:eastAsia="en-GB"/>
        </w:rPr>
        <w:t xml:space="preserve"> not only </w:t>
      </w:r>
      <w:r w:rsidR="00470531" w:rsidRPr="005252DA">
        <w:rPr>
          <w:rFonts w:cs="TimesNewRomanPS"/>
          <w:lang w:eastAsia="en-GB"/>
        </w:rPr>
        <w:t>a time of frailty</w:t>
      </w:r>
      <w:r w:rsidR="00BA5B6C" w:rsidRPr="005252DA">
        <w:rPr>
          <w:rFonts w:cs="TimesNewRomanPS"/>
          <w:lang w:eastAsia="en-GB"/>
        </w:rPr>
        <w:t>,</w:t>
      </w:r>
      <w:r w:rsidR="00470531" w:rsidRPr="005252DA">
        <w:rPr>
          <w:rFonts w:cs="TimesNewRomanPS"/>
          <w:lang w:eastAsia="en-GB"/>
        </w:rPr>
        <w:t xml:space="preserve"> but al</w:t>
      </w:r>
      <w:r w:rsidR="00A6293E" w:rsidRPr="005252DA">
        <w:rPr>
          <w:rFonts w:cs="TimesNewRomanPS"/>
          <w:lang w:eastAsia="en-GB"/>
        </w:rPr>
        <w:t>so</w:t>
      </w:r>
      <w:r w:rsidR="00470531" w:rsidRPr="005252DA">
        <w:rPr>
          <w:rFonts w:cs="TimesNewRomanPS"/>
          <w:lang w:eastAsia="en-GB"/>
        </w:rPr>
        <w:t xml:space="preserve"> a time when some embodied agentic actions remain, even if it requires care workers to </w:t>
      </w:r>
      <w:r w:rsidR="00A6293E" w:rsidRPr="005252DA">
        <w:rPr>
          <w:rFonts w:cs="TimesNewRomanPS"/>
          <w:lang w:eastAsia="en-GB"/>
        </w:rPr>
        <w:t>support such agency</w:t>
      </w:r>
      <w:r w:rsidR="00470531" w:rsidRPr="005252DA">
        <w:rPr>
          <w:rFonts w:cs="TimesNewRomanPS"/>
          <w:lang w:eastAsia="en-GB"/>
        </w:rPr>
        <w:t xml:space="preserve">. </w:t>
      </w:r>
    </w:p>
    <w:p w14:paraId="3247985D" w14:textId="77777777" w:rsidR="00F057A6" w:rsidRPr="005252DA" w:rsidRDefault="00F057A6" w:rsidP="00097178">
      <w:pPr>
        <w:spacing w:line="480" w:lineRule="auto"/>
        <w:rPr>
          <w:b/>
          <w:i/>
          <w:lang w:eastAsia="en-GB"/>
        </w:rPr>
      </w:pPr>
      <w:r w:rsidRPr="005252DA">
        <w:rPr>
          <w:b/>
          <w:i/>
          <w:lang w:eastAsia="en-GB"/>
        </w:rPr>
        <w:lastRenderedPageBreak/>
        <w:t>Living as an active citizen with dementia</w:t>
      </w:r>
    </w:p>
    <w:p w14:paraId="76E8EE89" w14:textId="557835FC" w:rsidR="006E07F1" w:rsidRPr="005252DA" w:rsidRDefault="006E07F1" w:rsidP="00097178">
      <w:pPr>
        <w:spacing w:line="480" w:lineRule="auto"/>
        <w:rPr>
          <w:lang w:eastAsia="en-GB"/>
        </w:rPr>
      </w:pPr>
      <w:r w:rsidRPr="005252DA">
        <w:rPr>
          <w:i/>
          <w:lang w:eastAsia="en-GB"/>
        </w:rPr>
        <w:t>The active citizen</w:t>
      </w:r>
    </w:p>
    <w:p w14:paraId="44B457F2" w14:textId="695F75BE" w:rsidR="00DC037A" w:rsidRPr="005252DA" w:rsidRDefault="0048224D" w:rsidP="00097178">
      <w:pPr>
        <w:spacing w:beforeLines="80" w:before="192" w:afterLines="80" w:after="192" w:line="480" w:lineRule="auto"/>
        <w:rPr>
          <w:rFonts w:cs="TimesNewRomanPS"/>
          <w:lang w:eastAsia="en-GB"/>
        </w:rPr>
      </w:pPr>
      <w:r w:rsidRPr="005252DA">
        <w:rPr>
          <w:rFonts w:cs="TimesNewRomanPS"/>
          <w:lang w:eastAsia="en-GB"/>
        </w:rPr>
        <w:t>The</w:t>
      </w:r>
      <w:r w:rsidR="005F3144" w:rsidRPr="005252DA">
        <w:rPr>
          <w:rFonts w:cs="TimesNewRomanPS"/>
          <w:lang w:eastAsia="en-GB"/>
        </w:rPr>
        <w:t xml:space="preserve"> </w:t>
      </w:r>
      <w:r w:rsidR="00FB7E48" w:rsidRPr="005252DA">
        <w:rPr>
          <w:rFonts w:cs="TimesNewRomanPS"/>
          <w:lang w:eastAsia="en-GB"/>
        </w:rPr>
        <w:t>narratives</w:t>
      </w:r>
      <w:r w:rsidRPr="005252DA">
        <w:rPr>
          <w:rFonts w:cs="TimesNewRomanPS"/>
          <w:lang w:eastAsia="en-GB"/>
        </w:rPr>
        <w:t xml:space="preserve"> of deficit</w:t>
      </w:r>
      <w:r w:rsidR="005F3144" w:rsidRPr="005252DA">
        <w:rPr>
          <w:rFonts w:cs="TimesNewRomanPS"/>
          <w:lang w:eastAsia="en-GB"/>
        </w:rPr>
        <w:t xml:space="preserve"> presented above</w:t>
      </w:r>
      <w:r w:rsidRPr="005252DA">
        <w:rPr>
          <w:rFonts w:cs="TimesNewRomanPS"/>
          <w:lang w:eastAsia="en-GB"/>
        </w:rPr>
        <w:t xml:space="preserve"> are counter</w:t>
      </w:r>
      <w:r w:rsidR="0024428E" w:rsidRPr="005252DA">
        <w:rPr>
          <w:rFonts w:cs="TimesNewRomanPS"/>
          <w:lang w:eastAsia="en-GB"/>
        </w:rPr>
        <w:t>ed</w:t>
      </w:r>
      <w:r w:rsidRPr="005252DA">
        <w:rPr>
          <w:rFonts w:cs="TimesNewRomanPS"/>
          <w:lang w:eastAsia="en-GB"/>
        </w:rPr>
        <w:t xml:space="preserve"> by narratives from people with dementia articulating and defending positive accounts of living well, engaging in loving relationships, preserving identity and self, and living as recognised citizens in their communities (Beard </w:t>
      </w:r>
      <w:r w:rsidRPr="005252DA">
        <w:rPr>
          <w:rFonts w:cs="TimesNewRomanPS"/>
          <w:i/>
          <w:lang w:eastAsia="en-GB"/>
        </w:rPr>
        <w:t>et al.</w:t>
      </w:r>
      <w:r w:rsidR="007515AC" w:rsidRPr="005252DA">
        <w:rPr>
          <w:rFonts w:cs="TimesNewRomanPS"/>
          <w:lang w:eastAsia="en-GB"/>
        </w:rPr>
        <w:t xml:space="preserve"> 2009, Bartlett 2014</w:t>
      </w:r>
      <w:r w:rsidRPr="005252DA">
        <w:rPr>
          <w:rFonts w:cs="TimesNewRomanPS"/>
          <w:lang w:eastAsia="en-GB"/>
        </w:rPr>
        <w:t xml:space="preserve">). </w:t>
      </w:r>
    </w:p>
    <w:p w14:paraId="5CD16D16" w14:textId="5F249723" w:rsidR="00FC0ABA" w:rsidRPr="005252DA" w:rsidRDefault="00FC0ABA" w:rsidP="00097178">
      <w:pPr>
        <w:autoSpaceDE w:val="0"/>
        <w:spacing w:beforeLines="80" w:before="192" w:afterLines="80" w:after="192" w:line="480" w:lineRule="auto"/>
      </w:pPr>
      <w:r w:rsidRPr="005252DA">
        <w:t>A</w:t>
      </w:r>
      <w:r w:rsidR="00DC037A" w:rsidRPr="005252DA">
        <w:t xml:space="preserve"> growing body of qualitative research suggests that people with dementia </w:t>
      </w:r>
      <w:r w:rsidRPr="005252DA">
        <w:t xml:space="preserve">continue in social interactions, </w:t>
      </w:r>
      <w:r w:rsidR="00DC037A" w:rsidRPr="005252DA">
        <w:t>able to contribute to their communities</w:t>
      </w:r>
      <w:r w:rsidRPr="005252DA">
        <w:t xml:space="preserve"> as a social citizen</w:t>
      </w:r>
      <w:r w:rsidR="00DC037A" w:rsidRPr="005252DA">
        <w:t xml:space="preserve">. Beard </w:t>
      </w:r>
      <w:r w:rsidR="00DC037A" w:rsidRPr="005252DA">
        <w:rPr>
          <w:i/>
        </w:rPr>
        <w:t>et al</w:t>
      </w:r>
      <w:r w:rsidR="00DC037A" w:rsidRPr="005252DA">
        <w:t>. (2009) report that people with dementia demonstrate ‘</w:t>
      </w:r>
      <w:r w:rsidR="00DC037A" w:rsidRPr="005252DA">
        <w:rPr>
          <w:i/>
        </w:rPr>
        <w:t>agency by actively accommodating dementia into their lives rather than allowing it to be imposed on them by structural forces’</w:t>
      </w:r>
      <w:r w:rsidR="00DC037A" w:rsidRPr="005252DA">
        <w:t xml:space="preserve"> (2009: 234), suggesting an awareness, certainly in the mild stages of dementia, of how social structures may facilitate or inhibit agency and citizenship for </w:t>
      </w:r>
      <w:r w:rsidR="00FB7E48" w:rsidRPr="005252DA">
        <w:t>people</w:t>
      </w:r>
      <w:r w:rsidR="00DC037A" w:rsidRPr="005252DA">
        <w:t xml:space="preserve">. </w:t>
      </w:r>
    </w:p>
    <w:p w14:paraId="3A1C52E2" w14:textId="59A5043A" w:rsidR="00A33F44" w:rsidRPr="005252DA" w:rsidRDefault="00B84BDD" w:rsidP="00097178">
      <w:pPr>
        <w:spacing w:beforeLines="80" w:before="192" w:afterLines="80" w:after="192" w:line="480" w:lineRule="auto"/>
        <w:rPr>
          <w:rFonts w:ascii="Cambria" w:eastAsia="MS Gothic" w:hAnsi="Cambria" w:cs="Cambria"/>
          <w:b/>
          <w:bCs/>
          <w:sz w:val="28"/>
          <w:szCs w:val="28"/>
          <w:lang w:eastAsia="en-GB"/>
        </w:rPr>
      </w:pPr>
      <w:r w:rsidRPr="005252DA">
        <w:t xml:space="preserve">Dementia support groups provide social structures within which people can </w:t>
      </w:r>
      <w:r w:rsidR="00A33F44" w:rsidRPr="005252DA">
        <w:t>perform social citizen roles</w:t>
      </w:r>
      <w:r w:rsidRPr="005252DA">
        <w:t>,</w:t>
      </w:r>
      <w:r w:rsidR="00A33F44" w:rsidRPr="005252DA">
        <w:t xml:space="preserve"> through actions </w:t>
      </w:r>
      <w:r w:rsidR="007515AC" w:rsidRPr="005252DA">
        <w:t>that</w:t>
      </w:r>
      <w:r w:rsidR="00A33F44" w:rsidRPr="005252DA">
        <w:t xml:space="preserve"> acknowledge both their diagnosis and their right to live free from discrimination in inclusionary ways.</w:t>
      </w:r>
      <w:r w:rsidR="00A33F44" w:rsidRPr="005252DA">
        <w:rPr>
          <w:rFonts w:ascii="Cambria" w:eastAsia="MS Gothic" w:hAnsi="Cambria" w:cs="Cambria"/>
          <w:b/>
          <w:bCs/>
          <w:sz w:val="28"/>
          <w:szCs w:val="28"/>
          <w:lang w:eastAsia="en-GB"/>
        </w:rPr>
        <w:t xml:space="preserve"> </w:t>
      </w:r>
      <w:r w:rsidR="00A33F44" w:rsidRPr="005252DA">
        <w:t xml:space="preserve">Accessing online support groups can help reduce the feelings of fear and social isolation (Clare </w:t>
      </w:r>
      <w:r w:rsidR="00A33F44" w:rsidRPr="005252DA">
        <w:rPr>
          <w:i/>
        </w:rPr>
        <w:t>et al.</w:t>
      </w:r>
      <w:r w:rsidR="00EF60E7">
        <w:t xml:space="preserve"> 2008). Interacting whether on</w:t>
      </w:r>
      <w:r w:rsidR="00A33F44" w:rsidRPr="005252DA">
        <w:t>line or in person can help normalise problems</w:t>
      </w:r>
      <w:r w:rsidRPr="005252DA">
        <w:t>, thereby potentially creating new groups to which the person can move to and belong in</w:t>
      </w:r>
      <w:r w:rsidR="00A33F44" w:rsidRPr="005252DA">
        <w:t xml:space="preserve"> (Preston </w:t>
      </w:r>
      <w:r w:rsidR="00A33F44" w:rsidRPr="005252DA">
        <w:rPr>
          <w:i/>
        </w:rPr>
        <w:t>et al.</w:t>
      </w:r>
      <w:r w:rsidR="00A33F44" w:rsidRPr="005252DA">
        <w:t xml:space="preserve"> 2007).Several studies report that people use humour in their verbal interactions with others (Clarke </w:t>
      </w:r>
      <w:r w:rsidR="00A33F44" w:rsidRPr="005252DA">
        <w:rPr>
          <w:i/>
        </w:rPr>
        <w:t>et al.</w:t>
      </w:r>
      <w:r w:rsidR="00A33F44" w:rsidRPr="005252DA">
        <w:t xml:space="preserve"> 2010, Langdon </w:t>
      </w:r>
      <w:r w:rsidR="00A33F44" w:rsidRPr="005252DA">
        <w:rPr>
          <w:i/>
        </w:rPr>
        <w:t>et al.</w:t>
      </w:r>
      <w:r w:rsidR="00A33F44" w:rsidRPr="005252DA">
        <w:t xml:space="preserve"> 2007, </w:t>
      </w:r>
      <w:proofErr w:type="spellStart"/>
      <w:r w:rsidR="00A33F44" w:rsidRPr="005252DA">
        <w:t>MacRae</w:t>
      </w:r>
      <w:proofErr w:type="spellEnd"/>
      <w:r w:rsidR="00A33F44" w:rsidRPr="005252DA">
        <w:t xml:space="preserve"> 2010). Humour is often present in liminal life stages</w:t>
      </w:r>
      <w:r w:rsidR="007515AC" w:rsidRPr="005252DA">
        <w:t xml:space="preserve"> and</w:t>
      </w:r>
      <w:r w:rsidR="00A33F44" w:rsidRPr="005252DA">
        <w:t xml:space="preserve"> serves various social functions</w:t>
      </w:r>
      <w:r w:rsidR="007515AC" w:rsidRPr="005252DA">
        <w:t>. Humour</w:t>
      </w:r>
      <w:r w:rsidR="00A33F44" w:rsidRPr="005252DA">
        <w:t xml:space="preserve"> can control, unite or enable adjustment (Martineau 1972, </w:t>
      </w:r>
      <w:proofErr w:type="spellStart"/>
      <w:r w:rsidR="00A33F44" w:rsidRPr="005252DA">
        <w:t>Ziv</w:t>
      </w:r>
      <w:proofErr w:type="spellEnd"/>
      <w:r w:rsidR="00A33F44" w:rsidRPr="005252DA">
        <w:t xml:space="preserve"> 2010) and may be a way of relieving tensions in managing new social identities. </w:t>
      </w:r>
      <w:r w:rsidR="007515AC" w:rsidRPr="005252DA">
        <w:t xml:space="preserve">In dementia humour may be a way of approaching and dealing with the inevitable losses which accompany changing status and roles: </w:t>
      </w:r>
      <w:r w:rsidR="00A33F44" w:rsidRPr="005252DA">
        <w:t>“</w:t>
      </w:r>
      <w:r w:rsidR="00A33F44" w:rsidRPr="005252DA">
        <w:rPr>
          <w:i/>
        </w:rPr>
        <w:t>Since it is difficult to maintain my old social networks, I have begun to reach out to others online”</w:t>
      </w:r>
      <w:r w:rsidR="00A33F44" w:rsidRPr="005252DA">
        <w:t xml:space="preserve"> (Beard </w:t>
      </w:r>
      <w:r w:rsidR="00A33F44" w:rsidRPr="005252DA">
        <w:rPr>
          <w:i/>
        </w:rPr>
        <w:t>et al.</w:t>
      </w:r>
      <w:r w:rsidR="00A33F44" w:rsidRPr="005252DA">
        <w:t xml:space="preserve"> 2009: 230).</w:t>
      </w:r>
      <w:r w:rsidR="000F6A57" w:rsidRPr="005252DA">
        <w:t xml:space="preserve"> </w:t>
      </w:r>
    </w:p>
    <w:p w14:paraId="588B1452" w14:textId="38B4E691" w:rsidR="007B3E13" w:rsidRPr="005252DA" w:rsidRDefault="00A33F44" w:rsidP="00097178">
      <w:pPr>
        <w:autoSpaceDE w:val="0"/>
        <w:spacing w:beforeLines="80" w:before="192" w:afterLines="80" w:after="192" w:line="480" w:lineRule="auto"/>
        <w:rPr>
          <w:rFonts w:cs="AdvTTec369687"/>
          <w:lang w:eastAsia="en-GB"/>
        </w:rPr>
      </w:pPr>
      <w:r w:rsidRPr="005252DA">
        <w:lastRenderedPageBreak/>
        <w:t xml:space="preserve">Social contact with others with dementia provides more than friendship and support for some people as it now it enables them to actively campaign for the citizenship rights of people with dementia. </w:t>
      </w:r>
      <w:r w:rsidR="000F6A57" w:rsidRPr="005252DA">
        <w:rPr>
          <w:rFonts w:cs="TimesNewRomanPS"/>
          <w:lang w:eastAsia="en-GB"/>
        </w:rPr>
        <w:t xml:space="preserve">Having the distinct identity of person with dementia can create opportunities to campaign for social change and provide access to service user evaluations. </w:t>
      </w:r>
      <w:r w:rsidRPr="005252DA">
        <w:t>Some have been seen to use their group not only to raise awareness but also to enable them to contribute to debates</w:t>
      </w:r>
      <w:r w:rsidRPr="005252DA">
        <w:rPr>
          <w:i/>
        </w:rPr>
        <w:t xml:space="preserve">, ‘DASNI </w:t>
      </w:r>
      <w:r w:rsidRPr="005252DA">
        <w:t xml:space="preserve">(Dementia Advocacy and Support Network International) </w:t>
      </w:r>
      <w:r w:rsidRPr="005252DA">
        <w:rPr>
          <w:i/>
        </w:rPr>
        <w:t>gives me entrée in a variety of places where I want to participate</w:t>
      </w:r>
      <w:r w:rsidRPr="005252DA">
        <w:t xml:space="preserve"> (</w:t>
      </w:r>
      <w:r w:rsidR="00112128" w:rsidRPr="005252DA">
        <w:t xml:space="preserve">Clare </w:t>
      </w:r>
      <w:r w:rsidR="00112128" w:rsidRPr="005252DA">
        <w:rPr>
          <w:i/>
        </w:rPr>
        <w:t>et al.</w:t>
      </w:r>
      <w:r w:rsidR="00112128" w:rsidRPr="005252DA">
        <w:t xml:space="preserve"> </w:t>
      </w:r>
      <w:r w:rsidRPr="005252DA">
        <w:t>2008: 19). Bartlett’s (2014) longitudinal study with people who campaign for social justice through political lobbying and raising awareness of living with dementia presented a balanced view of the advantages but also the challenges of being an active citizen. She concludes ‘</w:t>
      </w:r>
      <w:r w:rsidRPr="005252DA">
        <w:rPr>
          <w:rFonts w:cs="AdvTTec369687"/>
          <w:i/>
          <w:lang w:eastAsia="en-GB"/>
        </w:rPr>
        <w:t>campaigning can be energising and reaf</w:t>
      </w:r>
      <w:r w:rsidRPr="005252DA">
        <w:rPr>
          <w:rFonts w:cs="AdvTTec369687+fb"/>
          <w:i/>
          <w:lang w:eastAsia="en-GB"/>
        </w:rPr>
        <w:t>fi</w:t>
      </w:r>
      <w:r w:rsidRPr="005252DA">
        <w:rPr>
          <w:rFonts w:cs="AdvTTec369687"/>
          <w:i/>
          <w:lang w:eastAsia="en-GB"/>
        </w:rPr>
        <w:t xml:space="preserve">rming of citizen identity because it (re)located a person within the realm of work’; </w:t>
      </w:r>
      <w:r w:rsidRPr="005252DA">
        <w:rPr>
          <w:rFonts w:cs="AdvTTec369687"/>
          <w:lang w:eastAsia="en-GB"/>
        </w:rPr>
        <w:t>however,</w:t>
      </w:r>
      <w:r w:rsidRPr="005252DA">
        <w:rPr>
          <w:rFonts w:cs="AdvTTec369687"/>
          <w:i/>
          <w:lang w:eastAsia="en-GB"/>
        </w:rPr>
        <w:t xml:space="preserve"> ‘individuals may experience fatigue due to their dementia and oppression linked to normative expectations about what someone with dementia </w:t>
      </w:r>
      <w:r w:rsidRPr="005252DA">
        <w:rPr>
          <w:rFonts w:cs="AdvTTec369687+20"/>
          <w:i/>
          <w:lang w:eastAsia="en-GB"/>
        </w:rPr>
        <w:t>‘</w:t>
      </w:r>
      <w:r w:rsidRPr="005252DA">
        <w:rPr>
          <w:rFonts w:cs="AdvTTec369687"/>
          <w:i/>
          <w:lang w:eastAsia="en-GB"/>
        </w:rPr>
        <w:t>should</w:t>
      </w:r>
      <w:r w:rsidRPr="005252DA">
        <w:rPr>
          <w:rFonts w:cs="AdvTTec369687+20"/>
          <w:i/>
          <w:lang w:eastAsia="en-GB"/>
        </w:rPr>
        <w:t xml:space="preserve">’ </w:t>
      </w:r>
      <w:r w:rsidRPr="005252DA">
        <w:rPr>
          <w:rFonts w:cs="AdvTTec369687"/>
          <w:i/>
          <w:lang w:eastAsia="en-GB"/>
        </w:rPr>
        <w:t>be like</w:t>
      </w:r>
      <w:r w:rsidRPr="005252DA">
        <w:rPr>
          <w:rFonts w:cs="AdvTTec369687"/>
          <w:lang w:eastAsia="en-GB"/>
        </w:rPr>
        <w:t>’ (2</w:t>
      </w:r>
      <w:r w:rsidR="000F6A57" w:rsidRPr="005252DA">
        <w:rPr>
          <w:rFonts w:cs="AdvTTec369687"/>
          <w:lang w:eastAsia="en-GB"/>
        </w:rPr>
        <w:t>014: 1300). It should be noted</w:t>
      </w:r>
      <w:r w:rsidRPr="005252DA">
        <w:rPr>
          <w:rFonts w:cs="AdvTTec369687"/>
          <w:lang w:eastAsia="en-GB"/>
        </w:rPr>
        <w:t xml:space="preserve"> that not all people with mild dementia have the resources or the desire to undertake the work of active campaigning, but equally do not wish to be negatively positioned (Preston </w:t>
      </w:r>
      <w:r w:rsidRPr="005252DA">
        <w:rPr>
          <w:rFonts w:cs="AdvTTec369687"/>
          <w:i/>
          <w:lang w:eastAsia="en-GB"/>
        </w:rPr>
        <w:t>et al.</w:t>
      </w:r>
      <w:r w:rsidRPr="005252DA">
        <w:rPr>
          <w:rFonts w:cs="AdvTTec369687"/>
          <w:lang w:eastAsia="en-GB"/>
        </w:rPr>
        <w:t xml:space="preserve"> 2007) objectified (</w:t>
      </w:r>
      <w:proofErr w:type="spellStart"/>
      <w:r w:rsidRPr="005252DA">
        <w:rPr>
          <w:rFonts w:cs="AdvTTec369687"/>
          <w:lang w:eastAsia="en-GB"/>
        </w:rPr>
        <w:t>MacQuarrie</w:t>
      </w:r>
      <w:proofErr w:type="spellEnd"/>
      <w:r w:rsidRPr="005252DA">
        <w:rPr>
          <w:rFonts w:cs="AdvTTec369687"/>
          <w:lang w:eastAsia="en-GB"/>
        </w:rPr>
        <w:t xml:space="preserve"> 2005) nor patronised or over-protected (Beard </w:t>
      </w:r>
      <w:r w:rsidRPr="005252DA">
        <w:rPr>
          <w:rFonts w:cs="AdvTTec369687"/>
          <w:i/>
          <w:lang w:eastAsia="en-GB"/>
        </w:rPr>
        <w:t>et al.</w:t>
      </w:r>
      <w:r w:rsidRPr="005252DA">
        <w:rPr>
          <w:rFonts w:cs="AdvTTec369687"/>
          <w:lang w:eastAsia="en-GB"/>
        </w:rPr>
        <w:t xml:space="preserve"> 2009). They do not want the social status of</w:t>
      </w:r>
      <w:r w:rsidRPr="005252DA">
        <w:rPr>
          <w:rFonts w:cs="AdvTTec369687"/>
          <w:i/>
          <w:lang w:eastAsia="en-GB"/>
        </w:rPr>
        <w:t xml:space="preserve"> sufferer</w:t>
      </w:r>
      <w:r w:rsidRPr="005252DA">
        <w:rPr>
          <w:rFonts w:cs="AdvTTec369687"/>
          <w:lang w:eastAsia="en-GB"/>
        </w:rPr>
        <w:t xml:space="preserve"> conferred on them (Beard </w:t>
      </w:r>
      <w:r w:rsidRPr="005252DA">
        <w:rPr>
          <w:rFonts w:cs="AdvTTec369687"/>
          <w:i/>
          <w:lang w:eastAsia="en-GB"/>
        </w:rPr>
        <w:t>et al.</w:t>
      </w:r>
      <w:r w:rsidRPr="005252DA">
        <w:rPr>
          <w:rFonts w:cs="AdvTTec369687"/>
          <w:lang w:eastAsia="en-GB"/>
        </w:rPr>
        <w:t xml:space="preserve"> 2009). </w:t>
      </w:r>
    </w:p>
    <w:p w14:paraId="0F6EFDEF" w14:textId="68CCBD14" w:rsidR="00A33F44" w:rsidRPr="005252DA" w:rsidRDefault="003D5309" w:rsidP="00097178">
      <w:pPr>
        <w:spacing w:beforeLines="80" w:before="192" w:afterLines="80" w:after="192" w:line="480" w:lineRule="auto"/>
        <w:rPr>
          <w:rFonts w:cs="TimesNewRomanPS"/>
          <w:lang w:eastAsia="en-GB"/>
        </w:rPr>
      </w:pPr>
      <w:r w:rsidRPr="005252DA">
        <w:rPr>
          <w:rFonts w:cs="TimesNewRomanPS"/>
          <w:lang w:eastAsia="en-GB"/>
        </w:rPr>
        <w:t>P</w:t>
      </w:r>
      <w:r w:rsidR="00A33F44" w:rsidRPr="005252DA">
        <w:rPr>
          <w:rFonts w:cs="TimesNewRomanPS"/>
          <w:lang w:eastAsia="en-GB"/>
        </w:rPr>
        <w:t xml:space="preserve">eople </w:t>
      </w:r>
      <w:r w:rsidRPr="005252DA">
        <w:rPr>
          <w:rFonts w:cs="TimesNewRomanPS"/>
          <w:lang w:eastAsia="en-GB"/>
        </w:rPr>
        <w:t xml:space="preserve">with dementia may </w:t>
      </w:r>
      <w:r w:rsidR="00A33F44" w:rsidRPr="005252DA">
        <w:rPr>
          <w:rFonts w:cs="TimesNewRomanPS"/>
          <w:lang w:eastAsia="en-GB"/>
        </w:rPr>
        <w:t>participat</w:t>
      </w:r>
      <w:r w:rsidRPr="005252DA">
        <w:rPr>
          <w:rFonts w:cs="TimesNewRomanPS"/>
          <w:lang w:eastAsia="en-GB"/>
        </w:rPr>
        <w:t>e</w:t>
      </w:r>
      <w:r w:rsidR="00A33F44" w:rsidRPr="005252DA">
        <w:rPr>
          <w:rFonts w:cs="TimesNewRomanPS"/>
          <w:lang w:eastAsia="en-GB"/>
        </w:rPr>
        <w:t xml:space="preserve"> as </w:t>
      </w:r>
      <w:r w:rsidRPr="005252DA">
        <w:rPr>
          <w:rFonts w:cs="TimesNewRomanPS"/>
          <w:lang w:eastAsia="en-GB"/>
        </w:rPr>
        <w:t>social</w:t>
      </w:r>
      <w:r w:rsidR="007515AC" w:rsidRPr="005252DA">
        <w:rPr>
          <w:rFonts w:cs="TimesNewRomanPS"/>
          <w:lang w:eastAsia="en-GB"/>
        </w:rPr>
        <w:t>ly active</w:t>
      </w:r>
      <w:r w:rsidRPr="005252DA">
        <w:rPr>
          <w:rFonts w:cs="TimesNewRomanPS"/>
          <w:lang w:eastAsia="en-GB"/>
        </w:rPr>
        <w:t xml:space="preserve"> </w:t>
      </w:r>
      <w:r w:rsidR="00A33F44" w:rsidRPr="005252DA">
        <w:rPr>
          <w:rFonts w:cs="TimesNewRomanPS"/>
          <w:lang w:eastAsia="en-GB"/>
        </w:rPr>
        <w:t xml:space="preserve">citizens, giving to others, in ways not directly linked to their dementia and at a micro-level.  Beard </w:t>
      </w:r>
      <w:r w:rsidR="00A33F44" w:rsidRPr="005252DA">
        <w:rPr>
          <w:rFonts w:cs="TimesNewRomanPS"/>
          <w:i/>
          <w:lang w:eastAsia="en-GB"/>
        </w:rPr>
        <w:t>et al.</w:t>
      </w:r>
      <w:r w:rsidR="00A33F44" w:rsidRPr="005252DA">
        <w:rPr>
          <w:rFonts w:cs="TimesNewRomanPS"/>
          <w:lang w:eastAsia="en-GB"/>
        </w:rPr>
        <w:t xml:space="preserve"> (2009) recount the case of a man who had always been a basketball coach and who continued this activity after his diagnosis. </w:t>
      </w:r>
      <w:proofErr w:type="spellStart"/>
      <w:r w:rsidR="00A33F44" w:rsidRPr="005252DA">
        <w:rPr>
          <w:rFonts w:cs="TimesNewRomanPS"/>
          <w:lang w:eastAsia="en-GB"/>
        </w:rPr>
        <w:t>Phinney</w:t>
      </w:r>
      <w:proofErr w:type="spellEnd"/>
      <w:r w:rsidR="00A33F44" w:rsidRPr="005252DA">
        <w:rPr>
          <w:rFonts w:cs="TimesNewRomanPS"/>
          <w:lang w:eastAsia="en-GB"/>
        </w:rPr>
        <w:t xml:space="preserve"> </w:t>
      </w:r>
      <w:r w:rsidR="00A33F44" w:rsidRPr="005252DA">
        <w:rPr>
          <w:rFonts w:cs="TimesNewRomanPS"/>
          <w:i/>
          <w:lang w:eastAsia="en-GB"/>
        </w:rPr>
        <w:t>et al.</w:t>
      </w:r>
      <w:r w:rsidR="00A33F44" w:rsidRPr="005252DA">
        <w:rPr>
          <w:rFonts w:cs="TimesNewRomanPS"/>
          <w:lang w:eastAsia="en-GB"/>
        </w:rPr>
        <w:t xml:space="preserve"> (2007) present a similar example of a man who had worked as a musician who continued to make music and to share this at his dementia group. </w:t>
      </w:r>
      <w:r w:rsidR="007515AC" w:rsidRPr="005252DA">
        <w:rPr>
          <w:rFonts w:cs="TimesNewRomanPS"/>
          <w:lang w:eastAsia="en-GB"/>
        </w:rPr>
        <w:t xml:space="preserve">However such active citizenship may need to be supported by others. </w:t>
      </w:r>
      <w:r w:rsidR="00A43C94" w:rsidRPr="005252DA">
        <w:rPr>
          <w:rFonts w:cs="TimesNewRomanPS"/>
          <w:lang w:eastAsia="en-GB"/>
        </w:rPr>
        <w:t>Opportunities</w:t>
      </w:r>
      <w:r w:rsidR="00A33F44" w:rsidRPr="005252DA">
        <w:rPr>
          <w:rFonts w:cs="TimesNewRomanPS"/>
          <w:lang w:eastAsia="en-GB"/>
        </w:rPr>
        <w:t xml:space="preserve"> to remain a productive part of family life were sometimes </w:t>
      </w:r>
      <w:r w:rsidR="007515AC" w:rsidRPr="005252DA">
        <w:rPr>
          <w:rFonts w:cs="TimesNewRomanPS"/>
          <w:lang w:eastAsia="en-GB"/>
        </w:rPr>
        <w:t>created</w:t>
      </w:r>
      <w:r w:rsidR="00A33F44" w:rsidRPr="005252DA">
        <w:rPr>
          <w:rFonts w:cs="TimesNewRomanPS"/>
          <w:lang w:eastAsia="en-GB"/>
        </w:rPr>
        <w:t xml:space="preserve"> by the actions of family members: “</w:t>
      </w:r>
      <w:r w:rsidR="00A33F44" w:rsidRPr="005252DA">
        <w:rPr>
          <w:rFonts w:cs="TimesNewRomanPS"/>
          <w:i/>
          <w:lang w:eastAsia="en-GB"/>
        </w:rPr>
        <w:t>I leave her grandchildren with her because one it alleviates the fact she feels useless. You know, she’s now, she’s great with the kids”</w:t>
      </w:r>
      <w:r w:rsidR="00A33F44" w:rsidRPr="005252DA">
        <w:rPr>
          <w:rFonts w:cs="TimesNewRomanPS"/>
          <w:lang w:eastAsia="en-GB"/>
        </w:rPr>
        <w:t xml:space="preserve"> (Clarke </w:t>
      </w:r>
      <w:r w:rsidR="00A33F44" w:rsidRPr="005252DA">
        <w:rPr>
          <w:rFonts w:cs="TimesNewRomanPS"/>
          <w:i/>
          <w:lang w:eastAsia="en-GB"/>
        </w:rPr>
        <w:t>et al</w:t>
      </w:r>
      <w:r w:rsidR="00A33F44" w:rsidRPr="005252DA">
        <w:rPr>
          <w:rFonts w:cs="TimesNewRomanPS"/>
          <w:lang w:eastAsia="en-GB"/>
        </w:rPr>
        <w:t xml:space="preserve">. </w:t>
      </w:r>
      <w:r w:rsidR="00A33F44" w:rsidRPr="005252DA">
        <w:rPr>
          <w:rFonts w:cs="TimesNewRomanPS"/>
          <w:lang w:eastAsia="en-GB"/>
        </w:rPr>
        <w:lastRenderedPageBreak/>
        <w:t>2010: 109)</w:t>
      </w:r>
      <w:r w:rsidR="007515AC" w:rsidRPr="005252DA">
        <w:rPr>
          <w:rFonts w:cs="TimesNewRomanPS"/>
          <w:lang w:eastAsia="en-GB"/>
        </w:rPr>
        <w:t xml:space="preserve">, yet the person </w:t>
      </w:r>
      <w:r w:rsidR="00A43C94" w:rsidRPr="005252DA">
        <w:rPr>
          <w:rFonts w:cs="TimesNewRomanPS"/>
          <w:lang w:eastAsia="en-GB"/>
        </w:rPr>
        <w:t>with</w:t>
      </w:r>
      <w:r w:rsidR="007515AC" w:rsidRPr="005252DA">
        <w:rPr>
          <w:rFonts w:cs="TimesNewRomanPS"/>
          <w:lang w:eastAsia="en-GB"/>
        </w:rPr>
        <w:t xml:space="preserve"> dementia </w:t>
      </w:r>
      <w:r w:rsidR="00A43C94" w:rsidRPr="005252DA">
        <w:rPr>
          <w:rFonts w:cs="TimesNewRomanPS"/>
          <w:lang w:eastAsia="en-GB"/>
        </w:rPr>
        <w:t>must also be agentic in taking up the opportunity for active citizenship.</w:t>
      </w:r>
    </w:p>
    <w:p w14:paraId="6B795E7C" w14:textId="53E293DA" w:rsidR="00A43C94" w:rsidRPr="005252DA" w:rsidRDefault="000D7FF2" w:rsidP="00097178">
      <w:pPr>
        <w:spacing w:line="480" w:lineRule="auto"/>
        <w:rPr>
          <w:rFonts w:asciiTheme="minorHAnsi" w:hAnsiTheme="minorHAnsi" w:cs="TimesNewRomanPS"/>
          <w:lang w:eastAsia="en-GB"/>
        </w:rPr>
      </w:pPr>
      <w:r w:rsidRPr="005252DA">
        <w:rPr>
          <w:rFonts w:cs="TimesNewRomanPS"/>
          <w:lang w:eastAsia="en-GB"/>
        </w:rPr>
        <w:t xml:space="preserve">Many people with dementia give positive accounts of living with the condition emphasising the continued abilities and contentment with life while downplaying cognitive difficulties. </w:t>
      </w:r>
      <w:proofErr w:type="spellStart"/>
      <w:r w:rsidRPr="005252DA">
        <w:rPr>
          <w:rFonts w:cs="TimesNewRomanPS"/>
          <w:lang w:eastAsia="en-GB"/>
        </w:rPr>
        <w:t>Steeman</w:t>
      </w:r>
      <w:proofErr w:type="spellEnd"/>
      <w:r w:rsidRPr="005252DA">
        <w:rPr>
          <w:rFonts w:cs="TimesNewRomanPS"/>
          <w:lang w:eastAsia="en-GB"/>
        </w:rPr>
        <w:t xml:space="preserve"> </w:t>
      </w:r>
      <w:r w:rsidRPr="005252DA">
        <w:rPr>
          <w:rFonts w:cs="TimesNewRomanPS"/>
          <w:i/>
          <w:lang w:eastAsia="en-GB"/>
        </w:rPr>
        <w:t>et al.</w:t>
      </w:r>
      <w:r w:rsidRPr="005252DA">
        <w:rPr>
          <w:rFonts w:cs="TimesNewRomanPS"/>
          <w:lang w:eastAsia="en-GB"/>
        </w:rPr>
        <w:t xml:space="preserve"> (2007)</w:t>
      </w:r>
      <w:r w:rsidR="00BB261E" w:rsidRPr="005252DA">
        <w:rPr>
          <w:rFonts w:cs="TimesNewRomanPS"/>
          <w:lang w:eastAsia="en-GB"/>
        </w:rPr>
        <w:t xml:space="preserve"> in</w:t>
      </w:r>
      <w:r w:rsidRPr="005252DA">
        <w:rPr>
          <w:rFonts w:cs="TimesNewRomanPS"/>
          <w:lang w:eastAsia="en-GB"/>
        </w:rPr>
        <w:t xml:space="preserve"> critically explor</w:t>
      </w:r>
      <w:r w:rsidR="00BB261E" w:rsidRPr="005252DA">
        <w:rPr>
          <w:rFonts w:cs="TimesNewRomanPS"/>
          <w:lang w:eastAsia="en-GB"/>
        </w:rPr>
        <w:t>ing</w:t>
      </w:r>
      <w:r w:rsidRPr="005252DA">
        <w:rPr>
          <w:rFonts w:cs="TimesNewRomanPS"/>
          <w:lang w:eastAsia="en-GB"/>
        </w:rPr>
        <w:t xml:space="preserve"> the positive narratives of older people li</w:t>
      </w:r>
      <w:r w:rsidR="00BB261E" w:rsidRPr="005252DA">
        <w:rPr>
          <w:rFonts w:cs="TimesNewRomanPS"/>
          <w:lang w:eastAsia="en-GB"/>
        </w:rPr>
        <w:t>ving with mild dementia, suggest</w:t>
      </w:r>
      <w:r w:rsidRPr="005252DA">
        <w:rPr>
          <w:rFonts w:cs="TimesNewRomanPS"/>
          <w:lang w:eastAsia="en-GB"/>
        </w:rPr>
        <w:t xml:space="preserve"> that </w:t>
      </w:r>
      <w:r w:rsidR="00BB261E" w:rsidRPr="005252DA">
        <w:rPr>
          <w:rFonts w:cs="TimesNewRomanPS"/>
          <w:lang w:eastAsia="en-GB"/>
        </w:rPr>
        <w:t xml:space="preserve">there may be a </w:t>
      </w:r>
      <w:r w:rsidRPr="005252DA">
        <w:rPr>
          <w:rFonts w:cs="TimesNewRomanPS"/>
          <w:lang w:eastAsia="en-GB"/>
        </w:rPr>
        <w:t>constant</w:t>
      </w:r>
      <w:r w:rsidR="00BB261E" w:rsidRPr="005252DA">
        <w:rPr>
          <w:rFonts w:cs="TimesNewRomanPS"/>
          <w:lang w:eastAsia="en-GB"/>
        </w:rPr>
        <w:t xml:space="preserve"> </w:t>
      </w:r>
      <w:r w:rsidRPr="005252DA">
        <w:rPr>
          <w:rFonts w:cs="TimesNewRomanPS"/>
          <w:lang w:eastAsia="en-GB"/>
        </w:rPr>
        <w:t xml:space="preserve">balancing </w:t>
      </w:r>
      <w:r w:rsidR="00BB261E" w:rsidRPr="005252DA">
        <w:rPr>
          <w:rFonts w:cs="TimesNewRomanPS"/>
          <w:lang w:eastAsia="en-GB"/>
        </w:rPr>
        <w:t>of ‘being</w:t>
      </w:r>
      <w:r w:rsidRPr="005252DA">
        <w:rPr>
          <w:rFonts w:cs="TimesNewRomanPS"/>
          <w:lang w:eastAsia="en-GB"/>
        </w:rPr>
        <w:t xml:space="preserve"> </w:t>
      </w:r>
      <w:r w:rsidR="009E232D" w:rsidRPr="005252DA">
        <w:rPr>
          <w:rFonts w:cs="TimesNewRomanPS"/>
          <w:lang w:eastAsia="en-GB"/>
        </w:rPr>
        <w:t>valued</w:t>
      </w:r>
      <w:r w:rsidR="00BB261E" w:rsidRPr="005252DA">
        <w:rPr>
          <w:rFonts w:cs="TimesNewRomanPS"/>
          <w:lang w:eastAsia="en-GB"/>
        </w:rPr>
        <w:t>’</w:t>
      </w:r>
      <w:r w:rsidRPr="005252DA">
        <w:rPr>
          <w:rFonts w:cs="TimesNewRomanPS"/>
          <w:lang w:eastAsia="en-GB"/>
        </w:rPr>
        <w:t xml:space="preserve"> against </w:t>
      </w:r>
      <w:r w:rsidR="00BB261E" w:rsidRPr="005252DA">
        <w:rPr>
          <w:rFonts w:cs="TimesNewRomanPS"/>
          <w:lang w:eastAsia="en-GB"/>
        </w:rPr>
        <w:t>‘being</w:t>
      </w:r>
      <w:r w:rsidRPr="005252DA">
        <w:rPr>
          <w:rFonts w:cs="TimesNewRomanPS"/>
          <w:lang w:eastAsia="en-GB"/>
        </w:rPr>
        <w:t xml:space="preserve"> worthless</w:t>
      </w:r>
      <w:r w:rsidR="00BB261E" w:rsidRPr="005252DA">
        <w:rPr>
          <w:rFonts w:cs="TimesNewRomanPS"/>
          <w:lang w:eastAsia="en-GB"/>
        </w:rPr>
        <w:t>’</w:t>
      </w:r>
      <w:r w:rsidRPr="005252DA">
        <w:rPr>
          <w:rFonts w:cs="TimesNewRomanPS"/>
          <w:lang w:eastAsia="en-GB"/>
        </w:rPr>
        <w:t>.</w:t>
      </w:r>
      <w:r w:rsidR="00BB261E" w:rsidRPr="005252DA">
        <w:rPr>
          <w:rFonts w:cs="TimesNewRomanPS"/>
          <w:lang w:eastAsia="en-GB"/>
        </w:rPr>
        <w:t xml:space="preserve"> While people with dementia strive to affirm their competencies other may devalue their abilities and roles (</w:t>
      </w:r>
      <w:proofErr w:type="spellStart"/>
      <w:r w:rsidR="00BB261E" w:rsidRPr="005252DA">
        <w:rPr>
          <w:rFonts w:cs="TimesNewRomanPS"/>
          <w:lang w:eastAsia="en-GB"/>
        </w:rPr>
        <w:t>Steeman</w:t>
      </w:r>
      <w:proofErr w:type="spellEnd"/>
      <w:r w:rsidR="00BB261E" w:rsidRPr="005252DA">
        <w:rPr>
          <w:rFonts w:cs="TimesNewRomanPS"/>
          <w:lang w:eastAsia="en-GB"/>
        </w:rPr>
        <w:t xml:space="preserve"> </w:t>
      </w:r>
      <w:r w:rsidR="00BB261E" w:rsidRPr="005252DA">
        <w:rPr>
          <w:rFonts w:cs="TimesNewRomanPS"/>
          <w:i/>
          <w:lang w:eastAsia="en-GB"/>
        </w:rPr>
        <w:t>et al</w:t>
      </w:r>
      <w:r w:rsidR="00BB261E" w:rsidRPr="005252DA">
        <w:rPr>
          <w:rFonts w:cs="TimesNewRomanPS"/>
          <w:lang w:eastAsia="en-GB"/>
        </w:rPr>
        <w:t xml:space="preserve">. 2007: </w:t>
      </w:r>
      <w:r w:rsidR="00BB261E" w:rsidRPr="005252DA">
        <w:rPr>
          <w:rFonts w:ascii="Times New Roman" w:eastAsia="Times New Roman" w:hAnsi="Times New Roman"/>
          <w:sz w:val="23"/>
          <w:szCs w:val="23"/>
          <w:lang w:eastAsia="en-GB"/>
        </w:rPr>
        <w:t xml:space="preserve">126). </w:t>
      </w:r>
      <w:r w:rsidR="00BB261E" w:rsidRPr="005252DA">
        <w:rPr>
          <w:rFonts w:asciiTheme="minorHAnsi" w:eastAsia="Times New Roman" w:hAnsiTheme="minorHAnsi"/>
          <w:lang w:eastAsia="en-GB"/>
        </w:rPr>
        <w:t>Being confronted by losses and lacking the support of others to be active citizens can led to restricted opportunities fo</w:t>
      </w:r>
      <w:r w:rsidR="009E232D" w:rsidRPr="005252DA">
        <w:rPr>
          <w:rFonts w:asciiTheme="minorHAnsi" w:eastAsia="Times New Roman" w:hAnsiTheme="minorHAnsi"/>
          <w:lang w:eastAsia="en-GB"/>
        </w:rPr>
        <w:t>r</w:t>
      </w:r>
      <w:r w:rsidR="00BB261E" w:rsidRPr="005252DA">
        <w:rPr>
          <w:rFonts w:asciiTheme="minorHAnsi" w:eastAsia="Times New Roman" w:hAnsiTheme="minorHAnsi"/>
          <w:lang w:eastAsia="en-GB"/>
        </w:rPr>
        <w:t xml:space="preserve"> citizenship, even while the person is striving to live as an active citizen with dementia. </w:t>
      </w:r>
    </w:p>
    <w:p w14:paraId="7148C25F" w14:textId="59903355" w:rsidR="000E1D5C" w:rsidRPr="005252DA" w:rsidRDefault="000D7FF2" w:rsidP="00097178">
      <w:pPr>
        <w:spacing w:beforeLines="80" w:before="192" w:afterLines="80" w:after="192" w:line="480" w:lineRule="auto"/>
        <w:rPr>
          <w:i/>
        </w:rPr>
      </w:pPr>
      <w:r w:rsidRPr="005252DA">
        <w:rPr>
          <w:i/>
        </w:rPr>
        <w:t>Restricted citizen</w:t>
      </w:r>
    </w:p>
    <w:p w14:paraId="0F55991F" w14:textId="3CBA0E3A" w:rsidR="000E1D5C" w:rsidRPr="005252DA" w:rsidRDefault="009E232D" w:rsidP="00097178">
      <w:pPr>
        <w:spacing w:beforeLines="80" w:before="192" w:afterLines="80" w:after="192" w:line="480" w:lineRule="auto"/>
      </w:pPr>
      <w:r w:rsidRPr="005252DA">
        <w:t>The</w:t>
      </w:r>
      <w:r w:rsidR="000E1D5C" w:rsidRPr="005252DA">
        <w:t xml:space="preserve"> cognitive abilities of a person with dementia decline over time. Family members are expected to take increasing responsibility for making proxy decisions for their relative (Samsi &amp; Manthorpe 2013). However some people with dementia report that this happens too-readily, leading them to feel ‘</w:t>
      </w:r>
      <w:r w:rsidR="000E1D5C" w:rsidRPr="005252DA">
        <w:rPr>
          <w:i/>
        </w:rPr>
        <w:t xml:space="preserve">put down’ </w:t>
      </w:r>
      <w:r w:rsidR="000E1D5C" w:rsidRPr="005252DA">
        <w:t xml:space="preserve">(Langdon </w:t>
      </w:r>
      <w:r w:rsidR="000E1D5C" w:rsidRPr="005252DA">
        <w:rPr>
          <w:i/>
        </w:rPr>
        <w:t>et al</w:t>
      </w:r>
      <w:r w:rsidR="000E1D5C" w:rsidRPr="005252DA">
        <w:t xml:space="preserve">. 2007: 995). </w:t>
      </w:r>
      <w:r w:rsidR="000D7FF2" w:rsidRPr="005252DA">
        <w:t xml:space="preserve">In these situations opportunities to be an active citizen are restricted rather than supported by others. </w:t>
      </w:r>
      <w:r w:rsidR="000E1D5C" w:rsidRPr="005252DA">
        <w:t xml:space="preserve">Not being listened to or consulted about decisions appeared to lead to frustration and anger, </w:t>
      </w:r>
      <w:r w:rsidR="000E1D5C" w:rsidRPr="005252DA">
        <w:rPr>
          <w:i/>
        </w:rPr>
        <w:t>“Oh I was furious…not to have talked to me…we think this is best for you”</w:t>
      </w:r>
      <w:r w:rsidR="000E1D5C" w:rsidRPr="005252DA">
        <w:t xml:space="preserve"> (</w:t>
      </w:r>
      <w:proofErr w:type="spellStart"/>
      <w:r w:rsidR="000E1D5C" w:rsidRPr="005252DA">
        <w:t>MacQuarrie</w:t>
      </w:r>
      <w:proofErr w:type="spellEnd"/>
      <w:r w:rsidR="000E1D5C" w:rsidRPr="005252DA">
        <w:t xml:space="preserve"> 2005: 433).  Being central to decision making, however minor that decision may be, and being offered subtle support to enable purposeful contribution to the decisions, were all acknowledged as important, especially as people recognised their changing cognitive abilities (</w:t>
      </w:r>
      <w:proofErr w:type="spellStart"/>
      <w:r w:rsidR="000E1D5C" w:rsidRPr="005252DA">
        <w:t>Fetherstonhaugh</w:t>
      </w:r>
      <w:proofErr w:type="spellEnd"/>
      <w:r w:rsidR="000E1D5C" w:rsidRPr="005252DA">
        <w:t xml:space="preserve"> </w:t>
      </w:r>
      <w:r w:rsidR="000E1D5C" w:rsidRPr="005252DA">
        <w:rPr>
          <w:i/>
        </w:rPr>
        <w:t>et al.</w:t>
      </w:r>
      <w:r w:rsidR="000E1D5C" w:rsidRPr="005252DA">
        <w:t xml:space="preserve"> 2013).  </w:t>
      </w:r>
    </w:p>
    <w:p w14:paraId="2E9299DD" w14:textId="2F0CCBE1" w:rsidR="001C2CAE" w:rsidRPr="005252DA" w:rsidRDefault="001C2CAE" w:rsidP="00097178">
      <w:pPr>
        <w:spacing w:beforeLines="80" w:before="192" w:afterLines="80" w:after="192" w:line="480" w:lineRule="auto"/>
      </w:pPr>
      <w:r w:rsidRPr="005252DA">
        <w:t xml:space="preserve">People with dementia may be striving to </w:t>
      </w:r>
      <w:r w:rsidR="005252DA" w:rsidRPr="005252DA">
        <w:t xml:space="preserve">be </w:t>
      </w:r>
      <w:r w:rsidRPr="005252DA">
        <w:t xml:space="preserve">active in their families and communities but the actions of others constantly constrain their opportunities for agency. This can generate feelings of being disempowered when others take over tasks, and restrict opportunities for access to meaningful or </w:t>
      </w:r>
      <w:r w:rsidRPr="005252DA">
        <w:lastRenderedPageBreak/>
        <w:t>enjoyable activities due to others perceiving them too risky (</w:t>
      </w:r>
      <w:proofErr w:type="spellStart"/>
      <w:r w:rsidRPr="005252DA">
        <w:t>MacQuarrie</w:t>
      </w:r>
      <w:proofErr w:type="spellEnd"/>
      <w:r w:rsidRPr="005252DA">
        <w:t xml:space="preserve"> 2005; Clarke </w:t>
      </w:r>
      <w:r w:rsidRPr="005252DA">
        <w:rPr>
          <w:i/>
        </w:rPr>
        <w:t>et al</w:t>
      </w:r>
      <w:r w:rsidRPr="005252DA">
        <w:t xml:space="preserve">. 2010). Having others restrict opportunities for people with dementia to be agentic, reflects the many frustrations and constraints experienced by those living in the shadow of the fourth age.  Such uncertainties and threats to self, alongside the desire to remain an active citizen, are succinctly captured in the Beard and Fox (2008) study exploring how people with Alzheimer’s disease resist becoming socially disenfranchised. They report one participant as saying </w:t>
      </w:r>
      <w:r w:rsidRPr="005252DA">
        <w:rPr>
          <w:i/>
        </w:rPr>
        <w:t xml:space="preserve">‘I still have enough intelligence, you know, to be a person and not just someone you pat on the head as you go by… it’s devastating and it takes away your sense of self’  </w:t>
      </w:r>
      <w:r w:rsidRPr="005252DA">
        <w:t xml:space="preserve">(Beard and Fox 2008: 1516). </w:t>
      </w:r>
    </w:p>
    <w:p w14:paraId="192E60C2" w14:textId="18F643EB" w:rsidR="00C82070" w:rsidRPr="005252DA" w:rsidRDefault="009E232D" w:rsidP="00097178">
      <w:pPr>
        <w:spacing w:beforeLines="80" w:before="192" w:afterLines="80" w:after="192" w:line="480" w:lineRule="auto"/>
        <w:rPr>
          <w:rFonts w:cs="TimesNewRomanPS"/>
          <w:lang w:eastAsia="en-GB"/>
        </w:rPr>
      </w:pPr>
      <w:r w:rsidRPr="005252DA">
        <w:rPr>
          <w:rFonts w:cs="TimesNewRomanPS"/>
          <w:lang w:eastAsia="en-GB"/>
        </w:rPr>
        <w:t>A</w:t>
      </w:r>
      <w:r w:rsidR="000E1D5C" w:rsidRPr="005252DA">
        <w:rPr>
          <w:rFonts w:cs="TimesNewRomanPS"/>
          <w:lang w:eastAsia="en-GB"/>
        </w:rPr>
        <w:t>ttempts to participate</w:t>
      </w:r>
      <w:r w:rsidRPr="005252DA">
        <w:rPr>
          <w:rFonts w:cs="TimesNewRomanPS"/>
          <w:lang w:eastAsia="en-GB"/>
        </w:rPr>
        <w:t xml:space="preserve"> as citizens</w:t>
      </w:r>
      <w:r w:rsidR="000E1D5C" w:rsidRPr="005252DA">
        <w:rPr>
          <w:rFonts w:cs="TimesNewRomanPS"/>
          <w:lang w:eastAsia="en-GB"/>
        </w:rPr>
        <w:t xml:space="preserve"> by the person with dementia </w:t>
      </w:r>
      <w:r w:rsidRPr="005252DA">
        <w:rPr>
          <w:rFonts w:cs="TimesNewRomanPS"/>
          <w:lang w:eastAsia="en-GB"/>
        </w:rPr>
        <w:t xml:space="preserve">may be </w:t>
      </w:r>
      <w:r w:rsidR="000E1D5C" w:rsidRPr="005252DA">
        <w:rPr>
          <w:rFonts w:cs="TimesNewRomanPS"/>
          <w:lang w:eastAsia="en-GB"/>
        </w:rPr>
        <w:t xml:space="preserve">refuted by family (Preston </w:t>
      </w:r>
      <w:r w:rsidR="000E1D5C" w:rsidRPr="005252DA">
        <w:rPr>
          <w:rFonts w:cs="TimesNewRomanPS"/>
          <w:i/>
          <w:lang w:eastAsia="en-GB"/>
        </w:rPr>
        <w:t>et al.</w:t>
      </w:r>
      <w:r w:rsidR="000E1D5C" w:rsidRPr="005252DA">
        <w:rPr>
          <w:rFonts w:cs="TimesNewRomanPS"/>
          <w:lang w:eastAsia="en-GB"/>
        </w:rPr>
        <w:t xml:space="preserve"> 2007, Clarke </w:t>
      </w:r>
      <w:r w:rsidR="000E1D5C" w:rsidRPr="005252DA">
        <w:rPr>
          <w:rFonts w:cs="TimesNewRomanPS"/>
          <w:i/>
          <w:lang w:eastAsia="en-GB"/>
        </w:rPr>
        <w:t>et al.</w:t>
      </w:r>
      <w:r w:rsidR="000E1D5C" w:rsidRPr="005252DA">
        <w:rPr>
          <w:rFonts w:cs="TimesNewRomanPS"/>
          <w:lang w:eastAsia="en-GB"/>
        </w:rPr>
        <w:t xml:space="preserve"> 2010, </w:t>
      </w:r>
      <w:proofErr w:type="spellStart"/>
      <w:r w:rsidR="000E1D5C" w:rsidRPr="005252DA">
        <w:rPr>
          <w:rFonts w:cs="TimesNewRomanPS"/>
          <w:lang w:eastAsia="en-GB"/>
        </w:rPr>
        <w:t>Clemerson</w:t>
      </w:r>
      <w:proofErr w:type="spellEnd"/>
      <w:r w:rsidR="000E1D5C" w:rsidRPr="005252DA">
        <w:rPr>
          <w:rFonts w:cs="TimesNewRomanPS"/>
          <w:lang w:eastAsia="en-GB"/>
        </w:rPr>
        <w:t xml:space="preserve"> </w:t>
      </w:r>
      <w:r w:rsidR="000E1D5C" w:rsidRPr="005252DA">
        <w:rPr>
          <w:rFonts w:cs="TimesNewRomanPS"/>
          <w:i/>
          <w:lang w:eastAsia="en-GB"/>
        </w:rPr>
        <w:t>et al.</w:t>
      </w:r>
      <w:r w:rsidR="000E1D5C" w:rsidRPr="005252DA">
        <w:rPr>
          <w:rFonts w:cs="TimesNewRomanPS"/>
          <w:lang w:eastAsia="en-GB"/>
        </w:rPr>
        <w:t xml:space="preserve"> 2014), illustrating the need for effective, understanding support systems if people are to enact citizenship roles. </w:t>
      </w:r>
      <w:r w:rsidR="000E1D5C" w:rsidRPr="005252DA">
        <w:t>Families are often left to ‘muddle through’ and may struggle to find a good balance between protection and enabling of their relative with dementia. Retain</w:t>
      </w:r>
      <w:r w:rsidRPr="005252DA">
        <w:t>ing</w:t>
      </w:r>
      <w:r w:rsidR="000E1D5C" w:rsidRPr="005252DA">
        <w:t xml:space="preserve"> trusting relationships and sustain effective social networks is important at a time when many people can experience depression and withdrawal from previous social networks (</w:t>
      </w:r>
      <w:proofErr w:type="spellStart"/>
      <w:r w:rsidR="000E1D5C" w:rsidRPr="005252DA">
        <w:rPr>
          <w:rFonts w:cs="Arial"/>
          <w:bCs/>
          <w:lang w:eastAsia="en-GB"/>
        </w:rPr>
        <w:t>Burgener</w:t>
      </w:r>
      <w:proofErr w:type="spellEnd"/>
      <w:r w:rsidR="000E1D5C" w:rsidRPr="005252DA">
        <w:rPr>
          <w:rFonts w:cs="Arial"/>
          <w:bCs/>
          <w:lang w:eastAsia="en-GB"/>
        </w:rPr>
        <w:t xml:space="preserve"> </w:t>
      </w:r>
      <w:r w:rsidR="000E1D5C" w:rsidRPr="005252DA">
        <w:rPr>
          <w:rFonts w:cs="Arial"/>
          <w:bCs/>
          <w:i/>
          <w:lang w:eastAsia="en-GB"/>
        </w:rPr>
        <w:t>et al</w:t>
      </w:r>
      <w:r w:rsidR="000E1D5C" w:rsidRPr="005252DA">
        <w:rPr>
          <w:rFonts w:cs="Arial"/>
          <w:bCs/>
          <w:lang w:eastAsia="en-GB"/>
        </w:rPr>
        <w:t xml:space="preserve">. </w:t>
      </w:r>
      <w:r w:rsidR="000E1D5C" w:rsidRPr="005252DA">
        <w:t>2015).</w:t>
      </w:r>
      <w:r w:rsidR="000E1D5C" w:rsidRPr="005252DA">
        <w:rPr>
          <w:rFonts w:cs="TimesNewRomanPS"/>
          <w:lang w:eastAsia="en-GB"/>
        </w:rPr>
        <w:t xml:space="preserve"> </w:t>
      </w:r>
    </w:p>
    <w:p w14:paraId="2984B1B2" w14:textId="51CE8EAA" w:rsidR="00D92737" w:rsidRPr="00E45DB1" w:rsidRDefault="00E45DB1" w:rsidP="00097178">
      <w:pPr>
        <w:pStyle w:val="Heading3"/>
        <w:spacing w:beforeLines="80" w:before="192" w:afterLines="80" w:after="192" w:line="480" w:lineRule="auto"/>
        <w:rPr>
          <w:i/>
          <w:sz w:val="22"/>
          <w:szCs w:val="22"/>
          <w:lang w:eastAsia="en-GB"/>
        </w:rPr>
      </w:pPr>
      <w:r>
        <w:rPr>
          <w:i/>
          <w:sz w:val="22"/>
          <w:szCs w:val="22"/>
          <w:lang w:eastAsia="en-GB"/>
        </w:rPr>
        <w:t>Living in e</w:t>
      </w:r>
      <w:r w:rsidR="00D92737" w:rsidRPr="00E45DB1">
        <w:rPr>
          <w:i/>
          <w:sz w:val="22"/>
          <w:szCs w:val="22"/>
          <w:lang w:eastAsia="en-GB"/>
        </w:rPr>
        <w:t>xtended liminality</w:t>
      </w:r>
    </w:p>
    <w:p w14:paraId="0342FAF0" w14:textId="018D7F35" w:rsidR="004568A1" w:rsidRPr="005252DA" w:rsidRDefault="004568A1" w:rsidP="00097178">
      <w:pPr>
        <w:spacing w:beforeLines="80" w:before="192" w:afterLines="80" w:after="192" w:line="480" w:lineRule="auto"/>
        <w:rPr>
          <w:i/>
        </w:rPr>
      </w:pPr>
      <w:r w:rsidRPr="005252DA">
        <w:rPr>
          <w:rFonts w:cs="TimesNewRomanPS"/>
          <w:i/>
          <w:lang w:eastAsia="en-GB"/>
        </w:rPr>
        <w:t>Uncertain citizen</w:t>
      </w:r>
    </w:p>
    <w:p w14:paraId="12D78770" w14:textId="4713AA5E" w:rsidR="001C2CAE" w:rsidRPr="005252DA" w:rsidRDefault="00F75834" w:rsidP="00097178">
      <w:pPr>
        <w:spacing w:beforeLines="80" w:before="192" w:afterLines="80" w:after="192" w:line="480" w:lineRule="auto"/>
      </w:pPr>
      <w:r w:rsidRPr="005252DA">
        <w:t>Literature</w:t>
      </w:r>
      <w:r w:rsidR="00F057A6" w:rsidRPr="005252DA">
        <w:t xml:space="preserve"> exploring </w:t>
      </w:r>
      <w:r w:rsidRPr="005252DA">
        <w:t>liminality</w:t>
      </w:r>
      <w:r w:rsidR="00F057A6" w:rsidRPr="005252DA">
        <w:t xml:space="preserve"> in chronic illness frequently refers to the concept of on-going liminality</w:t>
      </w:r>
      <w:r w:rsidRPr="005252DA">
        <w:t xml:space="preserve">: pervasive liminality (Bruce </w:t>
      </w:r>
      <w:r w:rsidRPr="005252DA">
        <w:rPr>
          <w:i/>
        </w:rPr>
        <w:t>et al</w:t>
      </w:r>
      <w:r w:rsidR="001C2CAE" w:rsidRPr="005252DA">
        <w:t>. 2014</w:t>
      </w:r>
      <w:r w:rsidRPr="005252DA">
        <w:t>); sustained liminality (</w:t>
      </w:r>
      <w:r w:rsidR="00C82070" w:rsidRPr="005252DA">
        <w:t>L</w:t>
      </w:r>
      <w:r w:rsidRPr="005252DA">
        <w:t xml:space="preserve">ittle </w:t>
      </w:r>
      <w:r w:rsidRPr="005252DA">
        <w:rPr>
          <w:i/>
        </w:rPr>
        <w:t>et al</w:t>
      </w:r>
      <w:r w:rsidRPr="005252DA">
        <w:t>.</w:t>
      </w:r>
      <w:r w:rsidR="001C2CAE" w:rsidRPr="005252DA">
        <w:t xml:space="preserve"> 1998</w:t>
      </w:r>
      <w:r w:rsidRPr="005252DA">
        <w:t>)</w:t>
      </w:r>
      <w:r w:rsidR="001C2CAE" w:rsidRPr="005252DA">
        <w:t>.</w:t>
      </w:r>
      <w:r w:rsidRPr="005252DA">
        <w:t xml:space="preserve"> These </w:t>
      </w:r>
      <w:r w:rsidR="00C82070" w:rsidRPr="005252DA">
        <w:t>liminal</w:t>
      </w:r>
      <w:r w:rsidR="00392C4B" w:rsidRPr="005252DA">
        <w:t xml:space="preserve"> </w:t>
      </w:r>
      <w:r w:rsidRPr="005252DA">
        <w:t>states are presented as non-</w:t>
      </w:r>
      <w:r w:rsidR="00262A04" w:rsidRPr="005252DA">
        <w:t>problematic</w:t>
      </w:r>
      <w:r w:rsidR="00392C4B" w:rsidRPr="005252DA">
        <w:t>,</w:t>
      </w:r>
      <w:r w:rsidR="00262A04" w:rsidRPr="005252DA">
        <w:t xml:space="preserve"> without</w:t>
      </w:r>
      <w:r w:rsidRPr="005252DA">
        <w:t xml:space="preserve"> need to be resolved</w:t>
      </w:r>
      <w:r w:rsidR="00262A04" w:rsidRPr="005252DA">
        <w:t>.</w:t>
      </w:r>
      <w:r w:rsidRPr="005252DA">
        <w:t xml:space="preserve"> </w:t>
      </w:r>
      <w:r w:rsidR="00262A04" w:rsidRPr="005252DA">
        <w:t xml:space="preserve">We suggest that </w:t>
      </w:r>
      <w:r w:rsidR="001C2CAE" w:rsidRPr="005252DA">
        <w:t>being in an extended state of liminality for people with dementia may be problematic as it may constrain opportunities for fulfilling the roles and accepting the rights of being an active citizen with dementia.</w:t>
      </w:r>
    </w:p>
    <w:p w14:paraId="62A1C604" w14:textId="29A8309A" w:rsidR="00D92737" w:rsidRPr="005252DA" w:rsidRDefault="00262A04" w:rsidP="00097178">
      <w:pPr>
        <w:spacing w:beforeLines="80" w:before="192" w:afterLines="80" w:after="192" w:line="480" w:lineRule="auto"/>
      </w:pPr>
      <w:r w:rsidRPr="005252DA">
        <w:t xml:space="preserve">If a </w:t>
      </w:r>
      <w:r w:rsidR="00F75834" w:rsidRPr="005252DA">
        <w:t xml:space="preserve">diagnosis </w:t>
      </w:r>
      <w:r w:rsidRPr="005252DA">
        <w:t>is</w:t>
      </w:r>
      <w:r w:rsidR="00F75834" w:rsidRPr="005252DA">
        <w:t xml:space="preserve"> not accepted </w:t>
      </w:r>
      <w:r w:rsidRPr="005252DA">
        <w:t>or the</w:t>
      </w:r>
      <w:r w:rsidR="00F75834" w:rsidRPr="005252DA">
        <w:t xml:space="preserve"> social structure</w:t>
      </w:r>
      <w:r w:rsidR="00BA4284" w:rsidRPr="005252DA">
        <w:t>s, such as family and health care services</w:t>
      </w:r>
      <w:r w:rsidR="00F75834" w:rsidRPr="005252DA">
        <w:t xml:space="preserve"> do not assist the </w:t>
      </w:r>
      <w:r w:rsidRPr="005252DA">
        <w:t xml:space="preserve">movement to either being a passive or active citizen people may potentially become </w:t>
      </w:r>
      <w:r w:rsidR="00392C4B" w:rsidRPr="005252DA">
        <w:lastRenderedPageBreak/>
        <w:t>‘</w:t>
      </w:r>
      <w:r w:rsidRPr="005252DA">
        <w:t>stuck</w:t>
      </w:r>
      <w:r w:rsidR="00392C4B" w:rsidRPr="005252DA">
        <w:t>’</w:t>
      </w:r>
      <w:r w:rsidRPr="005252DA">
        <w:t xml:space="preserve"> in extended </w:t>
      </w:r>
      <w:r w:rsidR="001C2CAE" w:rsidRPr="005252DA">
        <w:t>liminality;</w:t>
      </w:r>
      <w:r w:rsidRPr="005252DA">
        <w:t xml:space="preserve"> a place where roles are contested and rights may not be readily accessible because the person one does not have the status of ‘person with dementia’. Th</w:t>
      </w:r>
      <w:r w:rsidR="001C2CAE" w:rsidRPr="005252DA">
        <w:t>is</w:t>
      </w:r>
      <w:r w:rsidRPr="005252DA">
        <w:t xml:space="preserve"> p</w:t>
      </w:r>
      <w:r w:rsidR="001C2CAE" w:rsidRPr="005252DA">
        <w:t>ost</w:t>
      </w:r>
      <w:r w:rsidRPr="005252DA">
        <w:t>-liminal s</w:t>
      </w:r>
      <w:r w:rsidR="001C2CAE" w:rsidRPr="005252DA">
        <w:t>t</w:t>
      </w:r>
      <w:r w:rsidRPr="005252DA">
        <w:t xml:space="preserve">ate is </w:t>
      </w:r>
      <w:r w:rsidR="00D92737" w:rsidRPr="005252DA">
        <w:t xml:space="preserve">characterised by continuing ambiguity and uncertainty </w:t>
      </w:r>
      <w:r w:rsidR="001C2CAE" w:rsidRPr="005252DA">
        <w:t xml:space="preserve">particularly about the </w:t>
      </w:r>
      <w:r w:rsidR="00D92737" w:rsidRPr="005252DA">
        <w:t>diagnosis.</w:t>
      </w:r>
      <w:r w:rsidR="00D92737" w:rsidRPr="005252DA">
        <w:rPr>
          <w:rFonts w:cs="TimesNewRomanPS"/>
          <w:i/>
          <w:lang w:eastAsia="en-GB"/>
        </w:rPr>
        <w:t xml:space="preserve"> </w:t>
      </w:r>
      <w:r w:rsidRPr="005252DA">
        <w:t>Either</w:t>
      </w:r>
      <w:r w:rsidR="00D92737" w:rsidRPr="005252DA">
        <w:t xml:space="preserve"> the ‘truth’ of the medical label of dementia will be contested, or opportunities are not taken to disclose the diagnosis</w:t>
      </w:r>
      <w:r w:rsidR="00392C4B" w:rsidRPr="005252DA">
        <w:t xml:space="preserve"> (</w:t>
      </w:r>
      <w:proofErr w:type="spellStart"/>
      <w:r w:rsidR="00392C4B" w:rsidRPr="005252DA">
        <w:t>Aminzadeh</w:t>
      </w:r>
      <w:proofErr w:type="spellEnd"/>
      <w:r w:rsidR="00392C4B" w:rsidRPr="005252DA">
        <w:t xml:space="preserve"> </w:t>
      </w:r>
      <w:r w:rsidR="00392C4B" w:rsidRPr="005252DA">
        <w:rPr>
          <w:i/>
        </w:rPr>
        <w:t>et al.</w:t>
      </w:r>
      <w:r w:rsidR="00392C4B" w:rsidRPr="005252DA">
        <w:t xml:space="preserve"> 2007)</w:t>
      </w:r>
      <w:r w:rsidR="00D92737" w:rsidRPr="005252DA">
        <w:t>; an act seemingly necessary for enabling an active citizen’s participative work. Nonetheless the cognitive decline inherent in dementia means that changes in roles and status can eventually become inevitable.</w:t>
      </w:r>
    </w:p>
    <w:p w14:paraId="3E3DC0B2" w14:textId="044CDC4D" w:rsidR="00D92737" w:rsidRPr="005252DA" w:rsidRDefault="001C2CAE" w:rsidP="00097178">
      <w:pPr>
        <w:spacing w:beforeLines="80" w:before="192" w:afterLines="80" w:after="192" w:line="480" w:lineRule="auto"/>
      </w:pPr>
      <w:r w:rsidRPr="005252DA">
        <w:t>Some</w:t>
      </w:r>
      <w:r w:rsidR="00D92737" w:rsidRPr="005252DA">
        <w:t xml:space="preserve"> people have a confirmed diagnosis but are unable to acknowledge or act on this, perhaps relating to </w:t>
      </w:r>
      <w:r w:rsidR="00262A04" w:rsidRPr="005252DA">
        <w:t xml:space="preserve">the </w:t>
      </w:r>
      <w:r w:rsidR="00D92737" w:rsidRPr="005252DA">
        <w:t>agency they had in obtaining the diagnosis. Living within a state of ‘extended liminality’ can have negative social consequences, as failing to receive or act on a diagnosis of dementia may mean masking the symptoms of cognitive decline. While people are able to mask their difficulties in social interactions and social roles they can continue to pass as an intact self. However, if their ability to mask difficulties declines and others notice their potentially-deviant behaviours, the risk of being stigmatised increases. To avoid such risks to self, people may ‘</w:t>
      </w:r>
      <w:r w:rsidR="00D92737" w:rsidRPr="005252DA">
        <w:rPr>
          <w:i/>
        </w:rPr>
        <w:t>isolate themselves from others’</w:t>
      </w:r>
      <w:r w:rsidR="00D92737" w:rsidRPr="005252DA">
        <w:t xml:space="preserve"> (Robinson </w:t>
      </w:r>
      <w:r w:rsidR="00D92737" w:rsidRPr="005252DA">
        <w:rPr>
          <w:i/>
        </w:rPr>
        <w:t>et al</w:t>
      </w:r>
      <w:r w:rsidR="00112128" w:rsidRPr="005252DA">
        <w:t>.</w:t>
      </w:r>
      <w:r w:rsidR="00D92737" w:rsidRPr="005252DA">
        <w:t xml:space="preserve"> 2005:</w:t>
      </w:r>
      <w:r w:rsidR="00112128" w:rsidRPr="005252DA">
        <w:t xml:space="preserve"> </w:t>
      </w:r>
      <w:r w:rsidR="00D92737" w:rsidRPr="005252DA">
        <w:t>341), thus reducing opportunities for exercising their social citizenship.</w:t>
      </w:r>
    </w:p>
    <w:p w14:paraId="696B075B" w14:textId="727EC4B2" w:rsidR="0019545E" w:rsidRPr="005252DA" w:rsidRDefault="00D92737" w:rsidP="00097178">
      <w:pPr>
        <w:pStyle w:val="Heading3"/>
        <w:spacing w:beforeLines="80" w:before="192" w:afterLines="80" w:after="192" w:line="480" w:lineRule="auto"/>
        <w:rPr>
          <w:rFonts w:asciiTheme="minorHAnsi" w:eastAsia="BatangChe" w:hAnsiTheme="minorHAnsi"/>
          <w:b w:val="0"/>
          <w:sz w:val="22"/>
          <w:szCs w:val="22"/>
        </w:rPr>
      </w:pPr>
      <w:r w:rsidRPr="005252DA">
        <w:rPr>
          <w:rFonts w:asciiTheme="minorHAnsi" w:eastAsia="BatangChe" w:hAnsiTheme="minorHAnsi"/>
          <w:b w:val="0"/>
          <w:sz w:val="22"/>
          <w:szCs w:val="22"/>
        </w:rPr>
        <w:t>More fully exploring th</w:t>
      </w:r>
      <w:r w:rsidR="00392C4B" w:rsidRPr="005252DA">
        <w:rPr>
          <w:rFonts w:asciiTheme="minorHAnsi" w:eastAsia="BatangChe" w:hAnsiTheme="minorHAnsi"/>
          <w:b w:val="0"/>
          <w:sz w:val="22"/>
          <w:szCs w:val="22"/>
        </w:rPr>
        <w:t>e</w:t>
      </w:r>
      <w:r w:rsidRPr="005252DA">
        <w:rPr>
          <w:rFonts w:asciiTheme="minorHAnsi" w:eastAsia="BatangChe" w:hAnsiTheme="minorHAnsi"/>
          <w:b w:val="0"/>
          <w:sz w:val="22"/>
          <w:szCs w:val="22"/>
        </w:rPr>
        <w:t xml:space="preserve"> </w:t>
      </w:r>
      <w:r w:rsidR="00392C4B" w:rsidRPr="005252DA">
        <w:rPr>
          <w:rFonts w:asciiTheme="minorHAnsi" w:eastAsia="BatangChe" w:hAnsiTheme="minorHAnsi"/>
          <w:b w:val="0"/>
          <w:sz w:val="22"/>
          <w:szCs w:val="22"/>
        </w:rPr>
        <w:t>‘</w:t>
      </w:r>
      <w:r w:rsidRPr="005252DA">
        <w:rPr>
          <w:rFonts w:asciiTheme="minorHAnsi" w:eastAsia="BatangChe" w:hAnsiTheme="minorHAnsi"/>
          <w:b w:val="0"/>
          <w:sz w:val="22"/>
          <w:szCs w:val="22"/>
        </w:rPr>
        <w:t>extended liminal</w:t>
      </w:r>
      <w:r w:rsidR="00392C4B" w:rsidRPr="005252DA">
        <w:rPr>
          <w:rFonts w:asciiTheme="minorHAnsi" w:eastAsia="BatangChe" w:hAnsiTheme="minorHAnsi"/>
          <w:b w:val="0"/>
          <w:sz w:val="22"/>
          <w:szCs w:val="22"/>
        </w:rPr>
        <w:t>ity’</w:t>
      </w:r>
      <w:r w:rsidRPr="005252DA">
        <w:rPr>
          <w:rFonts w:asciiTheme="minorHAnsi" w:eastAsia="BatangChe" w:hAnsiTheme="minorHAnsi"/>
          <w:b w:val="0"/>
          <w:sz w:val="22"/>
          <w:szCs w:val="22"/>
        </w:rPr>
        <w:t xml:space="preserve"> state may help delineate the social structures which block successful transition to a post-liminal place, and so enable us to develop new ways to support those with dementia and their families in ensuring agentic movement along the dementia journey. </w:t>
      </w:r>
    </w:p>
    <w:p w14:paraId="1DF24CF4" w14:textId="02AC863C" w:rsidR="00075942" w:rsidRPr="005252DA" w:rsidRDefault="000E2295" w:rsidP="00097178">
      <w:pPr>
        <w:pStyle w:val="Heading3"/>
        <w:spacing w:beforeLines="80" w:before="192" w:afterLines="80" w:after="192" w:line="480" w:lineRule="auto"/>
      </w:pPr>
      <w:r w:rsidRPr="005252DA">
        <w:t xml:space="preserve">Critiques of the </w:t>
      </w:r>
      <w:r w:rsidR="006E07F1" w:rsidRPr="005252DA">
        <w:t>citizen roles</w:t>
      </w:r>
    </w:p>
    <w:p w14:paraId="3B9F49BA" w14:textId="05A04731" w:rsidR="007A3009" w:rsidRPr="005252DA" w:rsidRDefault="007A3009" w:rsidP="00097178">
      <w:pPr>
        <w:spacing w:beforeLines="80" w:before="192" w:afterLines="80" w:after="192" w:line="480" w:lineRule="auto"/>
      </w:pPr>
      <w:r w:rsidRPr="005252DA">
        <w:rPr>
          <w:lang w:eastAsia="en-GB"/>
        </w:rPr>
        <w:t>In this paper we have drawn predominantly on literature which contextualises the western experience of living with dementia.</w:t>
      </w:r>
      <w:r w:rsidR="00125E82" w:rsidRPr="005252DA">
        <w:rPr>
          <w:lang w:eastAsia="en-GB"/>
        </w:rPr>
        <w:t xml:space="preserve"> </w:t>
      </w:r>
      <w:r w:rsidRPr="005252DA">
        <w:rPr>
          <w:lang w:eastAsia="en-GB"/>
        </w:rPr>
        <w:t xml:space="preserve">We do, however, acknowledge ethnic variations of experiences within western (Dilworth-Anderson and Gibson 2002, La Fontaine </w:t>
      </w:r>
      <w:r w:rsidRPr="005252DA">
        <w:rPr>
          <w:i/>
          <w:lang w:eastAsia="en-GB"/>
        </w:rPr>
        <w:t>et al</w:t>
      </w:r>
      <w:r w:rsidRPr="005252DA">
        <w:rPr>
          <w:lang w:eastAsia="en-GB"/>
        </w:rPr>
        <w:t>. 2007) and non-western illness experiences (</w:t>
      </w:r>
      <w:r w:rsidR="00440F1A" w:rsidRPr="005252DA">
        <w:t xml:space="preserve">Cipriani and </w:t>
      </w:r>
      <w:proofErr w:type="spellStart"/>
      <w:r w:rsidR="00440F1A" w:rsidRPr="005252DA">
        <w:t>Borin</w:t>
      </w:r>
      <w:proofErr w:type="spellEnd"/>
      <w:r w:rsidR="00440F1A" w:rsidRPr="005252DA">
        <w:t xml:space="preserve"> 2014</w:t>
      </w:r>
      <w:r w:rsidRPr="005252DA">
        <w:rPr>
          <w:lang w:eastAsia="en-GB"/>
        </w:rPr>
        <w:t>).</w:t>
      </w:r>
    </w:p>
    <w:p w14:paraId="410298DE" w14:textId="673DF4A1" w:rsidR="00935021" w:rsidRPr="00242FE6" w:rsidRDefault="00075942" w:rsidP="00097178">
      <w:pPr>
        <w:spacing w:beforeLines="80" w:before="192" w:afterLines="80" w:after="192" w:line="480" w:lineRule="auto"/>
      </w:pPr>
      <w:r w:rsidRPr="005252DA">
        <w:lastRenderedPageBreak/>
        <w:t>W</w:t>
      </w:r>
      <w:r w:rsidR="000E2295" w:rsidRPr="005252DA">
        <w:t>e</w:t>
      </w:r>
      <w:r w:rsidRPr="005252DA">
        <w:t xml:space="preserve"> accept that </w:t>
      </w:r>
      <w:r w:rsidR="007A3009" w:rsidRPr="005252DA">
        <w:t>our representation of the dem</w:t>
      </w:r>
      <w:r w:rsidR="00CB569D" w:rsidRPr="005252DA">
        <w:t>entia journey is linear whereas</w:t>
      </w:r>
      <w:r w:rsidR="007A3009" w:rsidRPr="005252DA">
        <w:t xml:space="preserve"> there can be sudden or gradual changes in cognitive function, alongside changes in physical abilities due to co-morbidities</w:t>
      </w:r>
      <w:r w:rsidR="007A3009" w:rsidRPr="005252DA" w:rsidDel="007A3009">
        <w:t xml:space="preserve"> </w:t>
      </w:r>
      <w:r w:rsidRPr="005252DA">
        <w:t>and that indiv</w:t>
      </w:r>
      <w:r w:rsidR="000E2295" w:rsidRPr="005252DA">
        <w:t>id</w:t>
      </w:r>
      <w:r w:rsidRPr="005252DA">
        <w:t xml:space="preserve">ual experiences will certainly be shaped by </w:t>
      </w:r>
      <w:r w:rsidR="0019545E" w:rsidRPr="005252DA">
        <w:t>micro</w:t>
      </w:r>
      <w:r w:rsidR="00AA0CA4" w:rsidRPr="005252DA">
        <w:t>-</w:t>
      </w:r>
      <w:r w:rsidRPr="005252DA">
        <w:t xml:space="preserve">social events. </w:t>
      </w:r>
      <w:r w:rsidR="0019545E" w:rsidRPr="005252DA">
        <w:t xml:space="preserve"> </w:t>
      </w:r>
      <w:r w:rsidR="00797AEF" w:rsidRPr="005252DA">
        <w:t>C</w:t>
      </w:r>
      <w:r w:rsidR="000E2295" w:rsidRPr="005252DA">
        <w:t>hanges</w:t>
      </w:r>
      <w:r w:rsidRPr="005252DA">
        <w:t xml:space="preserve"> in emotional </w:t>
      </w:r>
      <w:r w:rsidR="008608BB" w:rsidRPr="005252DA">
        <w:t>well-being</w:t>
      </w:r>
      <w:r w:rsidRPr="005252DA">
        <w:t xml:space="preserve"> with </w:t>
      </w:r>
      <w:r w:rsidR="000E2295" w:rsidRPr="005252DA">
        <w:t>depression</w:t>
      </w:r>
      <w:r w:rsidRPr="005252DA">
        <w:t xml:space="preserve"> </w:t>
      </w:r>
      <w:r w:rsidR="00797AEF" w:rsidRPr="005252DA">
        <w:t>may occur</w:t>
      </w:r>
      <w:r w:rsidRPr="005252DA">
        <w:t xml:space="preserve"> in those living with dementia making it difficult to enact agentic </w:t>
      </w:r>
      <w:r w:rsidR="000E2295" w:rsidRPr="005252DA">
        <w:t xml:space="preserve">decisions. </w:t>
      </w:r>
      <w:r w:rsidR="0019545E" w:rsidRPr="005252DA">
        <w:t>Further changes in social networks may be due to death of older friends and re</w:t>
      </w:r>
      <w:r w:rsidR="0091332A" w:rsidRPr="005252DA">
        <w:t>-</w:t>
      </w:r>
      <w:r w:rsidR="0019545E" w:rsidRPr="005252DA">
        <w:t xml:space="preserve">location </w:t>
      </w:r>
      <w:r w:rsidR="0091332A" w:rsidRPr="005252DA">
        <w:t xml:space="preserve">connected to </w:t>
      </w:r>
      <w:r w:rsidR="0019545E" w:rsidRPr="005252DA">
        <w:t xml:space="preserve">frailty. </w:t>
      </w:r>
      <w:r w:rsidR="000E2295" w:rsidRPr="005252DA">
        <w:t xml:space="preserve">Nonetheless </w:t>
      </w:r>
      <w:r w:rsidR="0091332A" w:rsidRPr="005252DA">
        <w:t xml:space="preserve">theorising </w:t>
      </w:r>
      <w:r w:rsidR="000E2295" w:rsidRPr="005252DA">
        <w:t xml:space="preserve">liminality </w:t>
      </w:r>
      <w:r w:rsidR="0091332A" w:rsidRPr="005252DA">
        <w:t>here provides ways to understand</w:t>
      </w:r>
      <w:r w:rsidR="000E2295" w:rsidRPr="005252DA">
        <w:t xml:space="preserve"> the impact of these physical</w:t>
      </w:r>
      <w:r w:rsidR="0019545E" w:rsidRPr="005252DA">
        <w:t>,</w:t>
      </w:r>
      <w:r w:rsidR="000E2295" w:rsidRPr="005252DA">
        <w:t xml:space="preserve"> emotional</w:t>
      </w:r>
      <w:r w:rsidR="0019545E" w:rsidRPr="005252DA">
        <w:t>, social</w:t>
      </w:r>
      <w:r w:rsidR="000E2295" w:rsidRPr="005252DA">
        <w:t xml:space="preserve"> and cognitive changes.</w:t>
      </w:r>
      <w:r w:rsidR="007A3009" w:rsidRPr="005252DA">
        <w:t xml:space="preserve"> Conceptualising post-liminal states</w:t>
      </w:r>
      <w:r w:rsidR="00112128" w:rsidRPr="005252DA">
        <w:t xml:space="preserve"> </w:t>
      </w:r>
      <w:r w:rsidR="007A3009" w:rsidRPr="005252DA">
        <w:t xml:space="preserve">provides new ways to understand the experience of moving along the dementia journey and to acknowledge positive as well as negative narratives in dementia. </w:t>
      </w:r>
      <w:r w:rsidR="000E2295" w:rsidRPr="005252DA">
        <w:t xml:space="preserve"> </w:t>
      </w:r>
    </w:p>
    <w:p w14:paraId="1BAF4A34" w14:textId="153465AF" w:rsidR="00935021" w:rsidRPr="005252DA" w:rsidRDefault="00FA3837" w:rsidP="00097178">
      <w:pPr>
        <w:pStyle w:val="Heading3"/>
        <w:spacing w:beforeLines="80" w:before="192" w:afterLines="80" w:after="192" w:line="480" w:lineRule="auto"/>
        <w:rPr>
          <w:lang w:eastAsia="en-GB"/>
        </w:rPr>
      </w:pPr>
      <w:r w:rsidRPr="005252DA">
        <w:rPr>
          <w:lang w:eastAsia="en-GB"/>
        </w:rPr>
        <w:t>Conclusion</w:t>
      </w:r>
    </w:p>
    <w:p w14:paraId="18D1EE68" w14:textId="7C43F043" w:rsidR="004568A1" w:rsidRPr="005252DA" w:rsidRDefault="001B1591" w:rsidP="00097178">
      <w:pPr>
        <w:spacing w:beforeLines="80" w:before="192" w:afterLines="80" w:after="192" w:line="480" w:lineRule="auto"/>
        <w:rPr>
          <w:rFonts w:cs="TimesNewRomanPS"/>
          <w:lang w:eastAsia="en-GB"/>
        </w:rPr>
      </w:pPr>
      <w:r w:rsidRPr="005252DA">
        <w:rPr>
          <w:rFonts w:cs="TimesNewRomanPS"/>
          <w:lang w:eastAsia="en-GB"/>
        </w:rPr>
        <w:t>The concept of liminality, being in a place of uncertainty and ambiguity, provides novel ways to understand the structures which move</w:t>
      </w:r>
      <w:r w:rsidR="00E45DB1">
        <w:rPr>
          <w:rFonts w:cs="TimesNewRomanPS"/>
          <w:lang w:eastAsia="en-GB"/>
        </w:rPr>
        <w:t xml:space="preserve"> people</w:t>
      </w:r>
      <w:r w:rsidRPr="005252DA">
        <w:rPr>
          <w:rFonts w:cs="TimesNewRomanPS"/>
          <w:lang w:eastAsia="en-GB"/>
        </w:rPr>
        <w:t xml:space="preserve"> along the dementia journey</w:t>
      </w:r>
      <w:r w:rsidR="00112128" w:rsidRPr="005252DA">
        <w:rPr>
          <w:rFonts w:cs="TimesNewRomanPS"/>
          <w:lang w:eastAsia="en-GB"/>
        </w:rPr>
        <w:t xml:space="preserve"> </w:t>
      </w:r>
      <w:r w:rsidRPr="005252DA">
        <w:rPr>
          <w:rFonts w:cs="TimesNewRomanPS"/>
          <w:lang w:eastAsia="en-GB"/>
        </w:rPr>
        <w:t>to post-liminal states</w:t>
      </w:r>
      <w:r w:rsidR="007A3009" w:rsidRPr="005252DA">
        <w:rPr>
          <w:rFonts w:cs="TimesNewRomanPS"/>
          <w:lang w:eastAsia="en-GB"/>
        </w:rPr>
        <w:t>.</w:t>
      </w:r>
      <w:r w:rsidR="004568A1" w:rsidRPr="005252DA">
        <w:rPr>
          <w:rFonts w:cs="TimesNewRomanPS"/>
          <w:lang w:eastAsia="en-GB"/>
        </w:rPr>
        <w:t xml:space="preserve"> </w:t>
      </w:r>
      <w:r w:rsidR="00CB569D" w:rsidRPr="005252DA">
        <w:rPr>
          <w:rFonts w:cs="TimesNewRomanPS"/>
          <w:lang w:eastAsia="en-GB"/>
        </w:rPr>
        <w:t xml:space="preserve"> Bringing to the fore the post-liminal state of living well with dementia makes it possible to illustrate the </w:t>
      </w:r>
      <w:r w:rsidR="004568A1" w:rsidRPr="005252DA">
        <w:rPr>
          <w:rFonts w:cs="TimesNewRomanPS"/>
          <w:lang w:eastAsia="en-GB"/>
        </w:rPr>
        <w:t>various citizen roles held by people with dementia (passive or active citizen) as well as factors which may inhibitor opportunities to fulfil such roles (restricted or uncertain citizen).</w:t>
      </w:r>
      <w:r w:rsidR="00CB569D" w:rsidRPr="005252DA">
        <w:rPr>
          <w:rFonts w:cs="TimesNewRomanPS"/>
          <w:lang w:eastAsia="en-GB"/>
        </w:rPr>
        <w:t xml:space="preserve"> </w:t>
      </w:r>
    </w:p>
    <w:p w14:paraId="269B6049" w14:textId="48B3C2A1" w:rsidR="00B332C7" w:rsidRPr="005252DA" w:rsidRDefault="00CB569D" w:rsidP="00097178">
      <w:pPr>
        <w:spacing w:beforeLines="80" w:before="192" w:afterLines="80" w:after="192" w:line="480" w:lineRule="auto"/>
      </w:pPr>
      <w:r w:rsidRPr="005252DA">
        <w:rPr>
          <w:rFonts w:cs="TimesNewRomanPS"/>
          <w:lang w:eastAsia="en-GB"/>
        </w:rPr>
        <w:t>By accepting and disclosing a diagnosis people are creating opportunities to use the diagnosis as a tool for explaining any adaptations they may need in order to remain active in their social networks. Recognising and providing opportunities for the development of remaining personal attributes and skills, enables positive narratives rather than focussing on the deficits inherent in dementia.</w:t>
      </w:r>
      <w:r w:rsidR="00112128" w:rsidRPr="005252DA">
        <w:rPr>
          <w:rFonts w:cs="TimesNewRomanPS"/>
          <w:lang w:eastAsia="en-GB"/>
        </w:rPr>
        <w:t xml:space="preserve"> </w:t>
      </w:r>
      <w:r w:rsidR="00B332C7" w:rsidRPr="005252DA">
        <w:t xml:space="preserve">Working within a framework of social citizenship enables a more specific understanding of how social rights, obligations and social structures can condition an individual’s access as an equal, to communities. Applying this understanding to how people with dementia are currently positioned as citizens, often within discourses of deficit, creates means to counter this by, instead, foregrounding the form and types of work people with dementia are undertaking as individuals and groups so as to re-position themselves as active citizens within their communities. </w:t>
      </w:r>
    </w:p>
    <w:p w14:paraId="70AC80DE" w14:textId="2CA61582" w:rsidR="00900C64" w:rsidRPr="005252DA" w:rsidRDefault="00B332C7" w:rsidP="00097178">
      <w:pPr>
        <w:autoSpaceDE w:val="0"/>
        <w:autoSpaceDN w:val="0"/>
        <w:adjustRightInd w:val="0"/>
        <w:spacing w:beforeLines="80" w:before="192" w:afterLines="80" w:after="192" w:line="480" w:lineRule="auto"/>
      </w:pPr>
      <w:r w:rsidRPr="005252DA">
        <w:lastRenderedPageBreak/>
        <w:t>The social standing of the person with dementia may be more fully recognised by creating ways for giving citizenship more prominence in the social imaginary enabling their potential for continuing citizenship to be realised conceptually and in everyday practices</w:t>
      </w:r>
      <w:r w:rsidR="00E45DB1">
        <w:t>,</w:t>
      </w:r>
      <w:r w:rsidRPr="005252DA">
        <w:t xml:space="preserve"> despite their changing expec</w:t>
      </w:r>
      <w:r w:rsidR="004568A1" w:rsidRPr="005252DA">
        <w:t xml:space="preserve">tations of cognitive capacity.  </w:t>
      </w:r>
      <w:r w:rsidR="001B1591" w:rsidRPr="005252DA">
        <w:t xml:space="preserve">By further </w:t>
      </w:r>
      <w:r w:rsidR="001B1591" w:rsidRPr="005252DA">
        <w:rPr>
          <w:rFonts w:cs="TimesNewRomanPS"/>
          <w:lang w:eastAsia="en-GB"/>
        </w:rPr>
        <w:t>exploring the ways in people may sustain such agentic roles in the face of change it may become possible to identify successful ways of managing the status transitions linked to receiving a diagnosis of dementia, enabling movement through the liminal phase. This opens up the possibility of moving interventions beyond behaviour modification to those which empower people with dementia to be active citizens who</w:t>
      </w:r>
      <w:r w:rsidR="00E45DB1">
        <w:rPr>
          <w:rFonts w:cs="TimesNewRomanPS"/>
          <w:lang w:eastAsia="en-GB"/>
        </w:rPr>
        <w:t>,</w:t>
      </w:r>
      <w:r w:rsidR="001B1591" w:rsidRPr="005252DA">
        <w:rPr>
          <w:rFonts w:cs="TimesNewRomanPS"/>
          <w:lang w:eastAsia="en-GB"/>
        </w:rPr>
        <w:t xml:space="preserve"> therefore</w:t>
      </w:r>
      <w:r w:rsidR="00E45DB1">
        <w:rPr>
          <w:rFonts w:cs="TimesNewRomanPS"/>
          <w:lang w:eastAsia="en-GB"/>
        </w:rPr>
        <w:t>,</w:t>
      </w:r>
      <w:r w:rsidR="001B1591" w:rsidRPr="005252DA">
        <w:rPr>
          <w:rFonts w:cs="TimesNewRomanPS"/>
          <w:lang w:eastAsia="en-GB"/>
        </w:rPr>
        <w:t xml:space="preserve"> can retain participatory roles in their social worlds.</w:t>
      </w:r>
    </w:p>
    <w:p w14:paraId="68E46FA0" w14:textId="6400E9A2" w:rsidR="005252DA" w:rsidRDefault="00722BAA" w:rsidP="00097178">
      <w:pPr>
        <w:shd w:val="clear" w:color="auto" w:fill="FFFFFF"/>
        <w:suppressAutoHyphens/>
        <w:spacing w:before="288" w:after="288" w:line="480" w:lineRule="auto"/>
        <w:rPr>
          <w:rFonts w:cs="AdvPS7C81"/>
          <w:b/>
          <w:lang w:eastAsia="en-GB"/>
        </w:rPr>
      </w:pPr>
      <w:r>
        <w:rPr>
          <w:rFonts w:cs="AdvPS7C81"/>
          <w:b/>
          <w:lang w:eastAsia="en-GB"/>
        </w:rPr>
        <w:t>Acknowledgments</w:t>
      </w:r>
    </w:p>
    <w:p w14:paraId="4AE8E75E" w14:textId="6BF60477" w:rsidR="00722BAA" w:rsidRPr="00722BAA" w:rsidRDefault="00722BAA" w:rsidP="00097178">
      <w:pPr>
        <w:shd w:val="clear" w:color="auto" w:fill="FFFFFF"/>
        <w:suppressAutoHyphens/>
        <w:spacing w:before="288" w:after="288" w:line="480" w:lineRule="auto"/>
        <w:rPr>
          <w:rFonts w:cs="AdvPS7C81"/>
          <w:lang w:eastAsia="en-GB"/>
        </w:rPr>
      </w:pPr>
      <w:r w:rsidRPr="00722BAA">
        <w:rPr>
          <w:rFonts w:asciiTheme="minorHAnsi" w:hAnsiTheme="minorHAnsi" w:cs="AdvPS7C81"/>
          <w:lang w:eastAsia="en-GB"/>
        </w:rPr>
        <w:t>We thank</w:t>
      </w:r>
      <w:r w:rsidRPr="00722BAA">
        <w:rPr>
          <w:rFonts w:cs="AdvPS7C81"/>
          <w:lang w:eastAsia="en-GB"/>
        </w:rPr>
        <w:t xml:space="preserve"> our reviewers whose insightful comments on an earlier version enabled us to develop our conceptual ideas thereby improving this paper.</w:t>
      </w:r>
    </w:p>
    <w:p w14:paraId="120FE457" w14:textId="04BD82FE" w:rsidR="00722BAA" w:rsidRDefault="00722BAA" w:rsidP="00097178">
      <w:pPr>
        <w:shd w:val="clear" w:color="auto" w:fill="FFFFFF"/>
        <w:suppressAutoHyphens/>
        <w:spacing w:before="288" w:after="288" w:line="480" w:lineRule="auto"/>
        <w:rPr>
          <w:rFonts w:cs="AdvPS7C81"/>
          <w:b/>
          <w:lang w:eastAsia="en-GB"/>
        </w:rPr>
      </w:pPr>
      <w:r>
        <w:rPr>
          <w:rFonts w:cs="AdvPS7C81"/>
          <w:b/>
          <w:lang w:eastAsia="en-GB"/>
        </w:rPr>
        <w:t>Funding</w:t>
      </w:r>
    </w:p>
    <w:p w14:paraId="5816460F" w14:textId="7C207BFB" w:rsidR="00722BAA" w:rsidRPr="00005C37" w:rsidRDefault="00722BAA" w:rsidP="00005C37">
      <w:pPr>
        <w:spacing w:after="0" w:line="480" w:lineRule="auto"/>
        <w:rPr>
          <w:rFonts w:asciiTheme="minorHAnsi" w:eastAsia="Times New Roman" w:hAnsiTheme="minorHAnsi" w:cs="Arial"/>
          <w:lang w:eastAsia="en-GB"/>
        </w:rPr>
      </w:pPr>
      <w:r w:rsidRPr="00722BAA">
        <w:rPr>
          <w:rStyle w:val="Strong"/>
          <w:b w:val="0"/>
        </w:rPr>
        <w:t>This work was supported by the Economic and Social Research Council</w:t>
      </w:r>
      <w:r w:rsidR="00005C37">
        <w:rPr>
          <w:rStyle w:val="Strong"/>
          <w:b w:val="0"/>
        </w:rPr>
        <w:t>/ National Institute of Health</w:t>
      </w:r>
      <w:r w:rsidRPr="00722BAA">
        <w:rPr>
          <w:rStyle w:val="Strong"/>
          <w:b w:val="0"/>
        </w:rPr>
        <w:t xml:space="preserve"> [grant number </w:t>
      </w:r>
      <w:r w:rsidR="00005C37">
        <w:rPr>
          <w:rStyle w:val="Strong"/>
          <w:b w:val="0"/>
        </w:rPr>
        <w:t>ES/L001802/</w:t>
      </w:r>
      <w:r w:rsidR="000378C3">
        <w:rPr>
          <w:rStyle w:val="Strong"/>
          <w:b w:val="0"/>
        </w:rPr>
        <w:t>2</w:t>
      </w:r>
      <w:bookmarkStart w:id="0" w:name="_GoBack"/>
      <w:bookmarkEnd w:id="0"/>
      <w:r w:rsidRPr="00722BAA">
        <w:rPr>
          <w:rStyle w:val="Strong"/>
          <w:b w:val="0"/>
        </w:rPr>
        <w:t>].</w:t>
      </w:r>
      <w:r w:rsidRPr="00722BAA">
        <w:rPr>
          <w:rFonts w:ascii="Arial" w:eastAsia="Times New Roman" w:hAnsi="Arial" w:cs="Arial"/>
          <w:sz w:val="27"/>
          <w:szCs w:val="27"/>
          <w:lang w:eastAsia="en-GB"/>
        </w:rPr>
        <w:t xml:space="preserve"> </w:t>
      </w:r>
      <w:r w:rsidRPr="00722BAA">
        <w:rPr>
          <w:rFonts w:asciiTheme="minorHAnsi" w:eastAsia="Times New Roman" w:hAnsiTheme="minorHAnsi" w:cs="Arial"/>
          <w:lang w:eastAsia="en-GB"/>
        </w:rPr>
        <w:t>This article presents independent research funded by the National Institute for Health Research (NIHR). The views expressed are those of the authors and not necessarily those of the NHS, the NIHR or the Department of Health.</w:t>
      </w:r>
    </w:p>
    <w:p w14:paraId="42403958" w14:textId="77777777" w:rsidR="00F75834" w:rsidRPr="005252DA" w:rsidRDefault="00F75834" w:rsidP="00097178">
      <w:pPr>
        <w:shd w:val="clear" w:color="auto" w:fill="FFFFFF"/>
        <w:suppressAutoHyphens/>
        <w:spacing w:before="288" w:after="288" w:line="480" w:lineRule="auto"/>
        <w:rPr>
          <w:rFonts w:cs="AdvPS7C81"/>
          <w:b/>
          <w:lang w:eastAsia="en-GB"/>
        </w:rPr>
      </w:pPr>
      <w:r w:rsidRPr="005252DA">
        <w:rPr>
          <w:rFonts w:cs="AdvPS7C81"/>
          <w:b/>
          <w:lang w:eastAsia="en-GB"/>
        </w:rPr>
        <w:t>References</w:t>
      </w:r>
    </w:p>
    <w:p w14:paraId="7AEF06AF" w14:textId="1ABF8F07" w:rsidR="00EC207D" w:rsidRPr="005252DA" w:rsidRDefault="00EC207D" w:rsidP="00097178">
      <w:pPr>
        <w:autoSpaceDE w:val="0"/>
        <w:spacing w:before="288" w:after="288" w:line="480" w:lineRule="auto"/>
      </w:pPr>
      <w:proofErr w:type="spellStart"/>
      <w:r w:rsidRPr="005252DA">
        <w:rPr>
          <w:rFonts w:cs="AdvPA"/>
          <w:color w:val="000000"/>
          <w:lang w:eastAsia="en-GB"/>
        </w:rPr>
        <w:t>Aminzadeh</w:t>
      </w:r>
      <w:proofErr w:type="spellEnd"/>
      <w:r w:rsidRPr="005252DA">
        <w:rPr>
          <w:rFonts w:cs="AdvPA"/>
          <w:color w:val="000000"/>
          <w:lang w:eastAsia="en-GB"/>
        </w:rPr>
        <w:t xml:space="preserve">, F., </w:t>
      </w:r>
      <w:proofErr w:type="spellStart"/>
      <w:r w:rsidRPr="005252DA">
        <w:rPr>
          <w:rFonts w:cs="AdvPA"/>
          <w:color w:val="000000"/>
          <w:lang w:eastAsia="en-GB"/>
        </w:rPr>
        <w:t>Byszewski</w:t>
      </w:r>
      <w:proofErr w:type="spellEnd"/>
      <w:r w:rsidRPr="005252DA">
        <w:rPr>
          <w:rFonts w:cs="AdvPA"/>
          <w:color w:val="000000"/>
          <w:lang w:eastAsia="en-GB"/>
        </w:rPr>
        <w:t xml:space="preserve">, A., Molnar, F.L. and Eisner, M. (2007) Emotional impact of dementia diagnosis: exploring persons with dementia and caregivers’ perspectives, </w:t>
      </w:r>
      <w:r w:rsidRPr="005252DA">
        <w:rPr>
          <w:rFonts w:cs="AdvPA"/>
          <w:i/>
          <w:iCs/>
          <w:color w:val="000000"/>
          <w:lang w:eastAsia="en-GB"/>
        </w:rPr>
        <w:t>Aging and Mental Health</w:t>
      </w:r>
      <w:r w:rsidRPr="005252DA">
        <w:rPr>
          <w:rFonts w:cs="AdvPA"/>
          <w:color w:val="000000"/>
          <w:lang w:eastAsia="en-GB"/>
        </w:rPr>
        <w:t xml:space="preserve">, 11, 3, 281-290.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10.1080/13607860600963695</w:t>
      </w:r>
    </w:p>
    <w:p w14:paraId="739D6ED4" w14:textId="4690A596" w:rsidR="009431DD" w:rsidRPr="005252DA" w:rsidRDefault="009431DD" w:rsidP="00097178">
      <w:pPr>
        <w:shd w:val="clear" w:color="auto" w:fill="FFFFFF"/>
        <w:suppressAutoHyphens/>
        <w:spacing w:before="288" w:after="288" w:line="480" w:lineRule="auto"/>
        <w:rPr>
          <w:lang w:eastAsia="zh-CN"/>
        </w:rPr>
      </w:pPr>
      <w:r w:rsidRPr="005252DA">
        <w:rPr>
          <w:rFonts w:cs="AdvPS7C81"/>
          <w:lang w:eastAsia="en-GB"/>
        </w:rPr>
        <w:lastRenderedPageBreak/>
        <w:t xml:space="preserve">Bamford, S., Holley-Moore, G. </w:t>
      </w:r>
      <w:r w:rsidR="005252DA" w:rsidRPr="005252DA">
        <w:rPr>
          <w:rFonts w:cs="AdvPS7C81"/>
          <w:lang w:eastAsia="en-GB"/>
        </w:rPr>
        <w:t>and</w:t>
      </w:r>
      <w:r w:rsidRPr="005252DA">
        <w:rPr>
          <w:rFonts w:cs="AdvPS7C81"/>
          <w:lang w:eastAsia="en-GB"/>
        </w:rPr>
        <w:t xml:space="preserve"> Watson, J. (2014) </w:t>
      </w:r>
      <w:r w:rsidRPr="005252DA">
        <w:rPr>
          <w:i/>
          <w:iCs/>
          <w:lang w:eastAsia="zh-CN"/>
        </w:rPr>
        <w:t>New perspectives and approaches to understanding dementia and stigma</w:t>
      </w:r>
      <w:r w:rsidRPr="005252DA">
        <w:rPr>
          <w:iCs/>
          <w:lang w:eastAsia="zh-CN"/>
        </w:rPr>
        <w:t>. London: ILC-UK.</w:t>
      </w:r>
    </w:p>
    <w:p w14:paraId="79B1A449" w14:textId="77777777" w:rsidR="009431DD" w:rsidRPr="005252DA" w:rsidRDefault="009431DD" w:rsidP="00097178">
      <w:pPr>
        <w:suppressAutoHyphens/>
        <w:spacing w:before="288" w:after="288" w:line="480" w:lineRule="auto"/>
        <w:rPr>
          <w:lang w:eastAsia="zh-CN"/>
        </w:rPr>
      </w:pPr>
      <w:r w:rsidRPr="005252DA">
        <w:rPr>
          <w:rFonts w:cs="TimesNewRomanPS"/>
          <w:color w:val="231F20"/>
          <w:lang w:eastAsia="en-GB"/>
        </w:rPr>
        <w:t xml:space="preserve">Bartlett, R. (2014) Citizenship in action: the lived experiences of citizens with dementia who campaign for social change, </w:t>
      </w:r>
      <w:r w:rsidRPr="005252DA">
        <w:rPr>
          <w:rFonts w:cs="TimesNewRomanPS"/>
          <w:i/>
          <w:color w:val="231F20"/>
          <w:lang w:eastAsia="en-GB"/>
        </w:rPr>
        <w:t>Disability and Society</w:t>
      </w:r>
      <w:r w:rsidRPr="005252DA">
        <w:rPr>
          <w:rFonts w:cs="TimesNewRomanPS"/>
          <w:color w:val="231F20"/>
          <w:lang w:eastAsia="en-GB"/>
        </w:rPr>
        <w:t xml:space="preserve">, 29, 8, 1291-1304. </w:t>
      </w:r>
    </w:p>
    <w:p w14:paraId="2EF88CAA"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t>Bartlett, R. (2016) Scanning the conceptual horizons of citizenship,</w:t>
      </w:r>
      <w:r w:rsidRPr="005252DA">
        <w:rPr>
          <w:rFonts w:cs="AdvPA"/>
          <w:i/>
          <w:iCs/>
          <w:color w:val="000000"/>
          <w:lang w:eastAsia="en-GB"/>
        </w:rPr>
        <w:t xml:space="preserve"> Dementia</w:t>
      </w:r>
      <w:r w:rsidRPr="005252DA">
        <w:rPr>
          <w:rFonts w:cs="AdvPA"/>
          <w:color w:val="000000"/>
          <w:lang w:eastAsia="en-GB"/>
        </w:rPr>
        <w:t xml:space="preserve">, 15, </w:t>
      </w:r>
      <w:proofErr w:type="gramStart"/>
      <w:r w:rsidRPr="005252DA">
        <w:rPr>
          <w:rFonts w:cs="AdvPA"/>
          <w:color w:val="000000"/>
          <w:lang w:eastAsia="en-GB"/>
        </w:rPr>
        <w:t>3 ,</w:t>
      </w:r>
      <w:proofErr w:type="gramEnd"/>
      <w:r w:rsidRPr="005252DA">
        <w:rPr>
          <w:rFonts w:cs="AdvPA"/>
          <w:color w:val="000000"/>
          <w:lang w:eastAsia="en-GB"/>
        </w:rPr>
        <w:t xml:space="preserve"> 453-461.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10:1177/14713012166441144</w:t>
      </w:r>
    </w:p>
    <w:p w14:paraId="10393140" w14:textId="77777777" w:rsidR="009431DD" w:rsidRPr="005252DA" w:rsidRDefault="009431DD" w:rsidP="00097178">
      <w:pPr>
        <w:suppressAutoHyphens/>
        <w:spacing w:before="288" w:after="288" w:line="480" w:lineRule="auto"/>
        <w:rPr>
          <w:lang w:eastAsia="zh-CN"/>
        </w:rPr>
      </w:pPr>
      <w:r w:rsidRPr="005252DA">
        <w:rPr>
          <w:rFonts w:eastAsia="Times New Roman"/>
          <w:lang w:eastAsia="en-GB"/>
        </w:rPr>
        <w:t xml:space="preserve">Bartlett, R. and O’Conner, D. (2010) </w:t>
      </w:r>
      <w:r w:rsidRPr="005252DA">
        <w:rPr>
          <w:rFonts w:eastAsia="Times New Roman"/>
          <w:i/>
          <w:lang w:eastAsia="en-GB"/>
        </w:rPr>
        <w:t>Broadening the dementia debate: towards social citizenship</w:t>
      </w:r>
      <w:r w:rsidRPr="005252DA">
        <w:rPr>
          <w:rFonts w:eastAsia="Times New Roman"/>
          <w:lang w:eastAsia="en-GB"/>
        </w:rPr>
        <w:t>. Bristol: Policy Press.</w:t>
      </w:r>
    </w:p>
    <w:p w14:paraId="7D230F68" w14:textId="77777777" w:rsidR="009431DD" w:rsidRPr="005252DA" w:rsidRDefault="009431DD" w:rsidP="00097178">
      <w:pPr>
        <w:suppressAutoHyphens/>
        <w:spacing w:before="288" w:after="288" w:line="480" w:lineRule="auto"/>
        <w:rPr>
          <w:lang w:eastAsia="zh-CN"/>
        </w:rPr>
      </w:pPr>
      <w:proofErr w:type="spellStart"/>
      <w:r w:rsidRPr="005252DA">
        <w:rPr>
          <w:rFonts w:cs="TimesNewRomanPS"/>
          <w:color w:val="231F20"/>
          <w:lang w:eastAsia="en-GB"/>
        </w:rPr>
        <w:t>Batsch</w:t>
      </w:r>
      <w:proofErr w:type="spellEnd"/>
      <w:r w:rsidRPr="005252DA">
        <w:rPr>
          <w:rFonts w:cs="TimesNewRomanPS"/>
          <w:color w:val="231F20"/>
          <w:lang w:eastAsia="en-GB"/>
        </w:rPr>
        <w:t xml:space="preserve">, N.L. and </w:t>
      </w:r>
      <w:proofErr w:type="spellStart"/>
      <w:r w:rsidRPr="005252DA">
        <w:rPr>
          <w:rFonts w:cs="TimesNewRomanPS"/>
          <w:color w:val="231F20"/>
          <w:lang w:eastAsia="en-GB"/>
        </w:rPr>
        <w:t>Mittelman</w:t>
      </w:r>
      <w:proofErr w:type="spellEnd"/>
      <w:r w:rsidRPr="005252DA">
        <w:rPr>
          <w:rFonts w:cs="TimesNewRomanPS"/>
          <w:color w:val="231F20"/>
          <w:lang w:eastAsia="en-GB"/>
        </w:rPr>
        <w:t xml:space="preserve">, M.S. (2012) </w:t>
      </w:r>
      <w:r w:rsidRPr="005252DA">
        <w:rPr>
          <w:rFonts w:cs="TimesNewRomanPS"/>
          <w:i/>
          <w:color w:val="231F20"/>
          <w:lang w:eastAsia="en-GB"/>
        </w:rPr>
        <w:t>World Alzheimer Report: Overcoming the stigma of dementia.</w:t>
      </w:r>
      <w:r w:rsidRPr="005252DA">
        <w:rPr>
          <w:rFonts w:cs="TimesNewRomanPS"/>
          <w:color w:val="231F20"/>
          <w:lang w:eastAsia="en-GB"/>
        </w:rPr>
        <w:t xml:space="preserve"> London: Alzheimer Disease International.  </w:t>
      </w:r>
    </w:p>
    <w:p w14:paraId="4512FA99"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t xml:space="preserve">Beard, R. L. and </w:t>
      </w:r>
      <w:proofErr w:type="spellStart"/>
      <w:r w:rsidRPr="005252DA">
        <w:rPr>
          <w:rFonts w:cs="AdvPA"/>
          <w:color w:val="000000"/>
          <w:lang w:eastAsia="en-GB"/>
        </w:rPr>
        <w:t>Neary</w:t>
      </w:r>
      <w:proofErr w:type="spellEnd"/>
      <w:r w:rsidRPr="005252DA">
        <w:rPr>
          <w:rFonts w:cs="AdvPA"/>
          <w:color w:val="000000"/>
          <w:lang w:eastAsia="en-GB"/>
        </w:rPr>
        <w:t xml:space="preserve"> T.M. (2013) Making sense of nonsense: experiences of mild cognitive impairment. </w:t>
      </w:r>
      <w:r w:rsidRPr="005252DA">
        <w:rPr>
          <w:rFonts w:cs="AdvPA"/>
          <w:i/>
          <w:iCs/>
          <w:color w:val="000000"/>
          <w:lang w:eastAsia="en-GB"/>
        </w:rPr>
        <w:t>Sociology of Health and Illness</w:t>
      </w:r>
      <w:r w:rsidRPr="005252DA">
        <w:rPr>
          <w:rFonts w:cs="AdvPA"/>
          <w:color w:val="000000"/>
          <w:lang w:eastAsia="en-GB"/>
        </w:rPr>
        <w:t xml:space="preserve">, 15, 1, 130-246.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10.1111/j.1467-9566.2012.01481.x</w:t>
      </w:r>
    </w:p>
    <w:p w14:paraId="04249621" w14:textId="77777777" w:rsidR="009431DD" w:rsidRPr="005252DA" w:rsidRDefault="009431DD" w:rsidP="00097178">
      <w:pPr>
        <w:suppressAutoHyphens/>
        <w:spacing w:before="288" w:after="288" w:line="480" w:lineRule="auto"/>
        <w:rPr>
          <w:lang w:eastAsia="zh-CN"/>
        </w:rPr>
      </w:pPr>
      <w:r w:rsidRPr="005252DA">
        <w:rPr>
          <w:rFonts w:cs="TimesNewRomanPS"/>
          <w:color w:val="231F20"/>
          <w:lang w:eastAsia="en-GB"/>
        </w:rPr>
        <w:t xml:space="preserve">Beard, R.L. and Fox, P.J. (2008) Resisting social disenfranchisement: negotiating collective identities and everyday life with memory loss, </w:t>
      </w:r>
      <w:r w:rsidRPr="005252DA">
        <w:rPr>
          <w:rFonts w:cs="TimesNewRomanPS"/>
          <w:i/>
          <w:color w:val="231F20"/>
          <w:lang w:eastAsia="en-GB"/>
        </w:rPr>
        <w:t>Social Science and Medicine</w:t>
      </w:r>
      <w:r w:rsidRPr="005252DA">
        <w:rPr>
          <w:rFonts w:cs="TimesNewRomanPS"/>
          <w:color w:val="231F20"/>
          <w:lang w:eastAsia="en-GB"/>
        </w:rPr>
        <w:t xml:space="preserve">, 66, 1509-20. </w:t>
      </w:r>
      <w:proofErr w:type="spellStart"/>
      <w:proofErr w:type="gramStart"/>
      <w:r w:rsidRPr="005252DA">
        <w:rPr>
          <w:rFonts w:cs="TimesNewRomanPS"/>
          <w:color w:val="231F20"/>
          <w:lang w:eastAsia="en-GB"/>
        </w:rPr>
        <w:t>doi</w:t>
      </w:r>
      <w:proofErr w:type="spellEnd"/>
      <w:proofErr w:type="gramEnd"/>
      <w:r w:rsidRPr="005252DA">
        <w:rPr>
          <w:rFonts w:cs="TimesNewRomanPS"/>
          <w:color w:val="231F20"/>
          <w:lang w:eastAsia="en-GB"/>
        </w:rPr>
        <w:t xml:space="preserve">. </w:t>
      </w:r>
      <w:r w:rsidRPr="005252DA">
        <w:rPr>
          <w:lang w:eastAsia="zh-CN"/>
        </w:rPr>
        <w:t>10.1016/j.socscimed.2007.12.024</w:t>
      </w:r>
    </w:p>
    <w:p w14:paraId="0AA01B9A" w14:textId="77777777" w:rsidR="009431DD" w:rsidRPr="005252DA" w:rsidRDefault="009431DD" w:rsidP="00097178">
      <w:pPr>
        <w:suppressAutoHyphens/>
        <w:spacing w:before="288" w:after="288" w:line="480" w:lineRule="auto"/>
        <w:rPr>
          <w:lang w:eastAsia="zh-CN"/>
        </w:rPr>
      </w:pPr>
      <w:r w:rsidRPr="005252DA">
        <w:rPr>
          <w:rFonts w:eastAsia="Times New Roman"/>
          <w:lang w:eastAsia="en-GB"/>
        </w:rPr>
        <w:t xml:space="preserve">Beard, R.L., </w:t>
      </w:r>
      <w:proofErr w:type="spellStart"/>
      <w:r w:rsidRPr="005252DA">
        <w:rPr>
          <w:rFonts w:eastAsia="Times New Roman"/>
          <w:lang w:eastAsia="en-GB"/>
        </w:rPr>
        <w:t>Knauss</w:t>
      </w:r>
      <w:proofErr w:type="spellEnd"/>
      <w:r w:rsidRPr="005252DA">
        <w:rPr>
          <w:rFonts w:eastAsia="Times New Roman"/>
          <w:lang w:eastAsia="en-GB"/>
        </w:rPr>
        <w:t xml:space="preserve">, J. and Moyer, D. (2009) Managing disability and enjoying life: how we reframe dementia through personal narratives, </w:t>
      </w:r>
      <w:r w:rsidRPr="005252DA">
        <w:rPr>
          <w:rFonts w:eastAsia="Times New Roman"/>
          <w:i/>
          <w:lang w:eastAsia="en-GB"/>
        </w:rPr>
        <w:t>Journal of Aging Studies</w:t>
      </w:r>
      <w:r w:rsidRPr="005252DA">
        <w:rPr>
          <w:rFonts w:eastAsia="Times New Roman"/>
          <w:lang w:eastAsia="en-GB"/>
        </w:rPr>
        <w:t>, 23, 227-235.</w:t>
      </w:r>
    </w:p>
    <w:p w14:paraId="1BCAFFA3" w14:textId="77777777" w:rsidR="009431DD" w:rsidRPr="005252DA" w:rsidRDefault="009431DD" w:rsidP="00097178">
      <w:pPr>
        <w:suppressAutoHyphens/>
        <w:autoSpaceDE w:val="0"/>
        <w:spacing w:before="288" w:after="288" w:line="480" w:lineRule="auto"/>
        <w:rPr>
          <w:lang w:eastAsia="zh-CN"/>
        </w:rPr>
      </w:pPr>
      <w:r w:rsidRPr="005252DA">
        <w:rPr>
          <w:rFonts w:cs="Arial"/>
          <w:bCs/>
          <w:lang w:eastAsia="en-GB"/>
        </w:rPr>
        <w:t xml:space="preserve">Bruce, A., </w:t>
      </w:r>
      <w:proofErr w:type="spellStart"/>
      <w:r w:rsidRPr="005252DA">
        <w:rPr>
          <w:rFonts w:cs="Arial"/>
          <w:bCs/>
          <w:lang w:eastAsia="en-GB"/>
        </w:rPr>
        <w:t>Sheilds</w:t>
      </w:r>
      <w:proofErr w:type="spellEnd"/>
      <w:r w:rsidRPr="005252DA">
        <w:rPr>
          <w:rFonts w:cs="Arial"/>
          <w:bCs/>
          <w:lang w:eastAsia="en-GB"/>
        </w:rPr>
        <w:t xml:space="preserve">, L., </w:t>
      </w:r>
      <w:proofErr w:type="spellStart"/>
      <w:r w:rsidRPr="005252DA">
        <w:rPr>
          <w:rFonts w:cs="Arial"/>
          <w:bCs/>
          <w:lang w:eastAsia="en-GB"/>
        </w:rPr>
        <w:t>Molzahn</w:t>
      </w:r>
      <w:proofErr w:type="spellEnd"/>
      <w:r w:rsidRPr="005252DA">
        <w:rPr>
          <w:rFonts w:cs="Arial"/>
          <w:bCs/>
          <w:lang w:eastAsia="en-GB"/>
        </w:rPr>
        <w:t xml:space="preserve">, A., </w:t>
      </w:r>
      <w:proofErr w:type="spellStart"/>
      <w:r w:rsidRPr="005252DA">
        <w:rPr>
          <w:rFonts w:cs="Arial"/>
          <w:bCs/>
          <w:lang w:eastAsia="en-GB"/>
        </w:rPr>
        <w:t>Beuthin</w:t>
      </w:r>
      <w:proofErr w:type="spellEnd"/>
      <w:r w:rsidRPr="005252DA">
        <w:rPr>
          <w:rFonts w:cs="Arial"/>
          <w:bCs/>
          <w:lang w:eastAsia="en-GB"/>
        </w:rPr>
        <w:t>, R., Schick-</w:t>
      </w:r>
      <w:proofErr w:type="spellStart"/>
      <w:r w:rsidRPr="005252DA">
        <w:rPr>
          <w:rFonts w:cs="Arial"/>
          <w:bCs/>
          <w:lang w:eastAsia="en-GB"/>
        </w:rPr>
        <w:t>Makaroff</w:t>
      </w:r>
      <w:proofErr w:type="spellEnd"/>
      <w:r w:rsidRPr="005252DA">
        <w:rPr>
          <w:rFonts w:cs="Arial"/>
          <w:bCs/>
          <w:lang w:eastAsia="en-GB"/>
        </w:rPr>
        <w:t xml:space="preserve">, K. and </w:t>
      </w:r>
      <w:proofErr w:type="spellStart"/>
      <w:r w:rsidRPr="005252DA">
        <w:rPr>
          <w:rFonts w:cs="Arial"/>
          <w:bCs/>
          <w:lang w:eastAsia="en-GB"/>
        </w:rPr>
        <w:t>Shermak</w:t>
      </w:r>
      <w:proofErr w:type="spellEnd"/>
      <w:r w:rsidRPr="005252DA">
        <w:rPr>
          <w:rFonts w:cs="Arial"/>
          <w:bCs/>
          <w:lang w:eastAsia="en-GB"/>
        </w:rPr>
        <w:t xml:space="preserve">, S. (2014) Stories of liminality: living with life-threatening illness, </w:t>
      </w:r>
      <w:r w:rsidRPr="005252DA">
        <w:rPr>
          <w:rFonts w:cs="Arial"/>
          <w:bCs/>
          <w:i/>
          <w:lang w:eastAsia="en-GB"/>
        </w:rPr>
        <w:t>Qualitative Research</w:t>
      </w:r>
      <w:r w:rsidRPr="005252DA">
        <w:rPr>
          <w:rFonts w:cs="Arial"/>
          <w:bCs/>
          <w:lang w:eastAsia="en-GB"/>
        </w:rPr>
        <w:t xml:space="preserve">, 32, 1, 35-43. </w:t>
      </w:r>
      <w:proofErr w:type="spellStart"/>
      <w:proofErr w:type="gramStart"/>
      <w:r w:rsidRPr="005252DA">
        <w:rPr>
          <w:rFonts w:cs="Arial"/>
          <w:bCs/>
          <w:lang w:eastAsia="en-GB"/>
        </w:rPr>
        <w:t>doi</w:t>
      </w:r>
      <w:proofErr w:type="spellEnd"/>
      <w:proofErr w:type="gramEnd"/>
      <w:r w:rsidRPr="005252DA">
        <w:rPr>
          <w:rFonts w:cs="Arial"/>
          <w:bCs/>
          <w:lang w:eastAsia="en-GB"/>
        </w:rPr>
        <w:t xml:space="preserve">: </w:t>
      </w:r>
      <w:r w:rsidRPr="005252DA">
        <w:rPr>
          <w:lang w:eastAsia="zh-CN"/>
        </w:rPr>
        <w:t>10.1177/0898010113498823</w:t>
      </w:r>
    </w:p>
    <w:p w14:paraId="55BDCE2E" w14:textId="77777777" w:rsidR="009431DD" w:rsidRPr="005252DA" w:rsidRDefault="009431DD" w:rsidP="00097178">
      <w:pPr>
        <w:suppressAutoHyphens/>
        <w:autoSpaceDE w:val="0"/>
        <w:spacing w:before="288" w:after="288" w:line="480" w:lineRule="auto"/>
        <w:rPr>
          <w:lang w:eastAsia="zh-CN"/>
        </w:rPr>
      </w:pPr>
      <w:proofErr w:type="spellStart"/>
      <w:r w:rsidRPr="005252DA">
        <w:rPr>
          <w:rFonts w:cs="Arial"/>
          <w:bCs/>
          <w:lang w:eastAsia="en-GB"/>
        </w:rPr>
        <w:lastRenderedPageBreak/>
        <w:t>Burgener</w:t>
      </w:r>
      <w:proofErr w:type="spellEnd"/>
      <w:r w:rsidRPr="005252DA">
        <w:rPr>
          <w:rFonts w:cs="Arial"/>
          <w:bCs/>
          <w:lang w:eastAsia="en-GB"/>
        </w:rPr>
        <w:t xml:space="preserve">, S.C., </w:t>
      </w:r>
      <w:proofErr w:type="spellStart"/>
      <w:r w:rsidRPr="005252DA">
        <w:rPr>
          <w:rFonts w:cs="Arial"/>
          <w:bCs/>
          <w:lang w:eastAsia="en-GB"/>
        </w:rPr>
        <w:t>Buckwalter</w:t>
      </w:r>
      <w:proofErr w:type="spellEnd"/>
      <w:r w:rsidRPr="005252DA">
        <w:rPr>
          <w:rFonts w:cs="Arial"/>
          <w:bCs/>
          <w:lang w:eastAsia="en-GB"/>
        </w:rPr>
        <w:t xml:space="preserve">, K., </w:t>
      </w:r>
      <w:proofErr w:type="spellStart"/>
      <w:r w:rsidRPr="005252DA">
        <w:rPr>
          <w:rFonts w:cs="Arial"/>
          <w:bCs/>
          <w:lang w:eastAsia="en-GB"/>
        </w:rPr>
        <w:t>Perkhounkova</w:t>
      </w:r>
      <w:proofErr w:type="spellEnd"/>
      <w:r w:rsidRPr="005252DA">
        <w:rPr>
          <w:rFonts w:cs="Arial"/>
          <w:bCs/>
          <w:lang w:eastAsia="en-GB"/>
        </w:rPr>
        <w:t xml:space="preserve">, Y., and Liu, M.F. (2015) The effects of stigma on quality of life outcomes in persons with early-stage dementia: longitudinal findings: Part 2, </w:t>
      </w:r>
      <w:r w:rsidRPr="005252DA">
        <w:rPr>
          <w:rFonts w:cs="Arial"/>
          <w:bCs/>
          <w:i/>
          <w:lang w:eastAsia="en-GB"/>
        </w:rPr>
        <w:t>Dementia</w:t>
      </w:r>
      <w:r w:rsidRPr="005252DA">
        <w:rPr>
          <w:rFonts w:cs="Arial"/>
          <w:bCs/>
          <w:lang w:eastAsia="en-GB"/>
        </w:rPr>
        <w:t>, 14, 5, 609-</w:t>
      </w:r>
      <w:proofErr w:type="gramStart"/>
      <w:r w:rsidRPr="005252DA">
        <w:rPr>
          <w:rFonts w:cs="Arial"/>
          <w:bCs/>
          <w:lang w:eastAsia="en-GB"/>
        </w:rPr>
        <w:t>632 .</w:t>
      </w:r>
      <w:proofErr w:type="gramEnd"/>
      <w:r w:rsidRPr="005252DA">
        <w:rPr>
          <w:rFonts w:cs="Arial"/>
          <w:bCs/>
          <w:lang w:eastAsia="en-GB"/>
        </w:rPr>
        <w:t xml:space="preserve"> </w:t>
      </w:r>
      <w:proofErr w:type="spellStart"/>
      <w:proofErr w:type="gramStart"/>
      <w:r w:rsidRPr="005252DA">
        <w:rPr>
          <w:rFonts w:cs="Arial"/>
          <w:bCs/>
          <w:lang w:eastAsia="en-GB"/>
        </w:rPr>
        <w:t>doi</w:t>
      </w:r>
      <w:proofErr w:type="spellEnd"/>
      <w:proofErr w:type="gramEnd"/>
      <w:r w:rsidRPr="005252DA">
        <w:rPr>
          <w:rFonts w:cs="Arial"/>
          <w:bCs/>
          <w:lang w:eastAsia="en-GB"/>
        </w:rPr>
        <w:t>: 10.1177/1471301213504202.</w:t>
      </w:r>
    </w:p>
    <w:p w14:paraId="6D9B9CDD" w14:textId="77777777" w:rsidR="009431DD" w:rsidRPr="005252DA" w:rsidRDefault="009431DD" w:rsidP="00097178">
      <w:pPr>
        <w:suppressAutoHyphens/>
        <w:autoSpaceDE w:val="0"/>
        <w:spacing w:before="288" w:after="288" w:line="480" w:lineRule="auto"/>
        <w:rPr>
          <w:lang w:eastAsia="zh-CN"/>
        </w:rPr>
      </w:pPr>
      <w:r w:rsidRPr="005252DA">
        <w:rPr>
          <w:lang w:eastAsia="zh-CN"/>
        </w:rPr>
        <w:t xml:space="preserve">Cipriani, G. and </w:t>
      </w:r>
      <w:proofErr w:type="spellStart"/>
      <w:r w:rsidRPr="005252DA">
        <w:rPr>
          <w:lang w:eastAsia="zh-CN"/>
        </w:rPr>
        <w:t>Borin</w:t>
      </w:r>
      <w:proofErr w:type="spellEnd"/>
      <w:r w:rsidRPr="005252DA">
        <w:rPr>
          <w:lang w:eastAsia="zh-CN"/>
        </w:rPr>
        <w:t xml:space="preserve">, G. (2014) </w:t>
      </w:r>
      <w:r w:rsidRPr="005252DA">
        <w:rPr>
          <w:rFonts w:cs="GillSansStd-Bold"/>
          <w:bCs/>
          <w:lang w:eastAsia="en-GB"/>
        </w:rPr>
        <w:t xml:space="preserve">Understanding dementia in the sociocultural context: A review, </w:t>
      </w:r>
      <w:r w:rsidRPr="005252DA">
        <w:rPr>
          <w:rFonts w:cs="GillSansStd-Bold"/>
          <w:bCs/>
          <w:i/>
          <w:lang w:eastAsia="en-GB"/>
        </w:rPr>
        <w:t>International Journal of Social Psychiatry</w:t>
      </w:r>
      <w:r w:rsidRPr="005252DA">
        <w:rPr>
          <w:rFonts w:cs="GillSansStd-Bold"/>
          <w:bCs/>
          <w:lang w:eastAsia="en-GB"/>
        </w:rPr>
        <w:t xml:space="preserve">, 61, 198-204. </w:t>
      </w:r>
      <w:proofErr w:type="spellStart"/>
      <w:proofErr w:type="gramStart"/>
      <w:r w:rsidRPr="005252DA">
        <w:rPr>
          <w:rFonts w:cs="GillSansStd-Bold"/>
          <w:bCs/>
          <w:lang w:eastAsia="en-GB"/>
        </w:rPr>
        <w:t>doi</w:t>
      </w:r>
      <w:proofErr w:type="spellEnd"/>
      <w:proofErr w:type="gramEnd"/>
      <w:r w:rsidRPr="005252DA">
        <w:rPr>
          <w:rFonts w:cs="GillSansStd-Bold"/>
          <w:bCs/>
          <w:lang w:eastAsia="en-GB"/>
        </w:rPr>
        <w:t xml:space="preserve">: </w:t>
      </w:r>
      <w:r w:rsidRPr="005252DA">
        <w:rPr>
          <w:lang w:eastAsia="zh-CN"/>
        </w:rPr>
        <w:t>10.1177/0020764014560357</w:t>
      </w:r>
    </w:p>
    <w:p w14:paraId="05DDC88B" w14:textId="77777777" w:rsidR="009431DD" w:rsidRPr="005252DA" w:rsidRDefault="009431DD" w:rsidP="00097178">
      <w:pPr>
        <w:suppressAutoHyphens/>
        <w:autoSpaceDE w:val="0"/>
        <w:spacing w:before="288" w:after="288" w:line="480" w:lineRule="auto"/>
        <w:rPr>
          <w:lang w:eastAsia="zh-CN"/>
        </w:rPr>
      </w:pPr>
      <w:r w:rsidRPr="005252DA">
        <w:rPr>
          <w:rFonts w:cs="GillSansStd-Bold"/>
          <w:bCs/>
          <w:lang w:eastAsia="en-GB"/>
        </w:rPr>
        <w:t xml:space="preserve">Clare, L., Rowlands, J.M. and Quin, R. (2008) Collective strength: the impact of developing a shared social identity in early-stage dementia, </w:t>
      </w:r>
      <w:r w:rsidRPr="005252DA">
        <w:rPr>
          <w:rFonts w:cs="GillSansStd-Bold"/>
          <w:bCs/>
          <w:i/>
          <w:lang w:eastAsia="en-GB"/>
        </w:rPr>
        <w:t>Dementia</w:t>
      </w:r>
      <w:r w:rsidRPr="005252DA">
        <w:rPr>
          <w:rFonts w:cs="GillSansStd-Bold"/>
          <w:bCs/>
          <w:lang w:eastAsia="en-GB"/>
        </w:rPr>
        <w:t xml:space="preserve">, 7, 1, 9-30. </w:t>
      </w:r>
      <w:proofErr w:type="spellStart"/>
      <w:proofErr w:type="gramStart"/>
      <w:r w:rsidRPr="005252DA">
        <w:rPr>
          <w:rFonts w:cs="GillSansStd-Bold"/>
          <w:bCs/>
          <w:lang w:eastAsia="en-GB"/>
        </w:rPr>
        <w:t>doi</w:t>
      </w:r>
      <w:proofErr w:type="spellEnd"/>
      <w:proofErr w:type="gramEnd"/>
      <w:r w:rsidRPr="005252DA">
        <w:rPr>
          <w:rFonts w:cs="GillSansStd-Bold"/>
          <w:bCs/>
          <w:lang w:eastAsia="en-GB"/>
        </w:rPr>
        <w:t xml:space="preserve">: </w:t>
      </w:r>
      <w:r w:rsidRPr="005252DA">
        <w:rPr>
          <w:lang w:eastAsia="zh-CN"/>
        </w:rPr>
        <w:t>10.1177/1471301207085365</w:t>
      </w:r>
    </w:p>
    <w:p w14:paraId="0095F0BC" w14:textId="77777777" w:rsidR="009431DD" w:rsidRPr="005252DA" w:rsidRDefault="009431DD" w:rsidP="00097178">
      <w:pPr>
        <w:suppressAutoHyphens/>
        <w:autoSpaceDE w:val="0"/>
        <w:spacing w:before="288" w:after="288" w:line="480" w:lineRule="auto"/>
        <w:rPr>
          <w:lang w:eastAsia="zh-CN"/>
        </w:rPr>
      </w:pPr>
      <w:r w:rsidRPr="005252DA">
        <w:rPr>
          <w:rFonts w:cs="GillSansStd-Bold"/>
          <w:bCs/>
          <w:lang w:eastAsia="en-GB"/>
        </w:rPr>
        <w:t xml:space="preserve">Clarke, C.L., Keady, J., Wilkinson, H., Gibb, C.E., </w:t>
      </w:r>
      <w:proofErr w:type="spellStart"/>
      <w:r w:rsidRPr="005252DA">
        <w:rPr>
          <w:rFonts w:cs="GillSansStd-Bold"/>
          <w:bCs/>
          <w:lang w:eastAsia="en-GB"/>
        </w:rPr>
        <w:t>Luce</w:t>
      </w:r>
      <w:proofErr w:type="spellEnd"/>
      <w:r w:rsidRPr="005252DA">
        <w:rPr>
          <w:rFonts w:cs="GillSansStd-Bold"/>
          <w:bCs/>
          <w:lang w:eastAsia="en-GB"/>
        </w:rPr>
        <w:t xml:space="preserve">, A., Cook, A. and Williams, L.  (2010) Dementia risk: contested territories of everyday life, </w:t>
      </w:r>
      <w:r w:rsidRPr="005252DA">
        <w:rPr>
          <w:rFonts w:cs="GillSansStd-Bold"/>
          <w:bCs/>
          <w:i/>
          <w:lang w:eastAsia="en-GB"/>
        </w:rPr>
        <w:t>Journal of Nursing and Healthcare of Chronic Illness</w:t>
      </w:r>
      <w:r w:rsidRPr="005252DA">
        <w:rPr>
          <w:rFonts w:cs="GillSansStd-Bold"/>
          <w:bCs/>
          <w:lang w:eastAsia="en-GB"/>
        </w:rPr>
        <w:t xml:space="preserve">, 2, 102-112. </w:t>
      </w:r>
      <w:proofErr w:type="spellStart"/>
      <w:proofErr w:type="gramStart"/>
      <w:r w:rsidRPr="005252DA">
        <w:rPr>
          <w:rFonts w:cs="GillSansStd-Bold"/>
          <w:bCs/>
          <w:lang w:eastAsia="en-GB"/>
        </w:rPr>
        <w:t>doi</w:t>
      </w:r>
      <w:proofErr w:type="spellEnd"/>
      <w:proofErr w:type="gramEnd"/>
      <w:r w:rsidRPr="005252DA">
        <w:rPr>
          <w:rFonts w:cs="GillSansStd-Bold"/>
          <w:bCs/>
          <w:lang w:eastAsia="en-GB"/>
        </w:rPr>
        <w:t>: 10.111/j.1752-9824.2010.01040</w:t>
      </w:r>
    </w:p>
    <w:p w14:paraId="13411CAA" w14:textId="77777777" w:rsidR="009431DD" w:rsidRPr="005252DA" w:rsidRDefault="009431DD" w:rsidP="00097178">
      <w:pPr>
        <w:suppressAutoHyphens/>
        <w:autoSpaceDE w:val="0"/>
        <w:spacing w:before="288" w:after="288" w:line="480" w:lineRule="auto"/>
        <w:rPr>
          <w:lang w:eastAsia="zh-CN"/>
        </w:rPr>
      </w:pPr>
      <w:proofErr w:type="spellStart"/>
      <w:r w:rsidRPr="005252DA">
        <w:rPr>
          <w:lang w:eastAsia="zh-CN"/>
        </w:rPr>
        <w:t>Clemerson</w:t>
      </w:r>
      <w:proofErr w:type="spellEnd"/>
      <w:r w:rsidRPr="005252DA">
        <w:rPr>
          <w:lang w:eastAsia="zh-CN"/>
        </w:rPr>
        <w:t xml:space="preserve">, G., Walsh, S. and Isaac, C. (2014) </w:t>
      </w:r>
      <w:proofErr w:type="gramStart"/>
      <w:r w:rsidRPr="005252DA">
        <w:rPr>
          <w:rFonts w:cs="Arial"/>
          <w:bCs/>
          <w:lang w:eastAsia="en-GB"/>
        </w:rPr>
        <w:t>Towards</w:t>
      </w:r>
      <w:proofErr w:type="gramEnd"/>
      <w:r w:rsidRPr="005252DA">
        <w:rPr>
          <w:rFonts w:cs="Arial"/>
          <w:bCs/>
          <w:lang w:eastAsia="en-GB"/>
        </w:rPr>
        <w:t xml:space="preserve"> living well with young onset dementia: an exploration of coping from the perspective of those diagnosed, </w:t>
      </w:r>
      <w:r w:rsidRPr="005252DA">
        <w:rPr>
          <w:rFonts w:cs="Arial"/>
          <w:bCs/>
          <w:i/>
          <w:lang w:eastAsia="en-GB"/>
        </w:rPr>
        <w:t>Dementia</w:t>
      </w:r>
      <w:r w:rsidRPr="005252DA">
        <w:rPr>
          <w:rFonts w:cs="Arial"/>
          <w:bCs/>
          <w:lang w:eastAsia="en-GB"/>
        </w:rPr>
        <w:t xml:space="preserve">, 13, 4, 451-66. </w:t>
      </w:r>
      <w:proofErr w:type="spellStart"/>
      <w:proofErr w:type="gramStart"/>
      <w:r w:rsidRPr="005252DA">
        <w:rPr>
          <w:rFonts w:cs="Arial"/>
          <w:bCs/>
          <w:lang w:eastAsia="en-GB"/>
        </w:rPr>
        <w:t>doi</w:t>
      </w:r>
      <w:proofErr w:type="spellEnd"/>
      <w:proofErr w:type="gramEnd"/>
      <w:r w:rsidRPr="005252DA">
        <w:rPr>
          <w:rFonts w:cs="Arial"/>
          <w:bCs/>
          <w:lang w:eastAsia="en-GB"/>
        </w:rPr>
        <w:t xml:space="preserve">: </w:t>
      </w:r>
      <w:r w:rsidRPr="005252DA">
        <w:rPr>
          <w:lang w:eastAsia="zh-CN"/>
        </w:rPr>
        <w:t>10.1177/1471301212474149</w:t>
      </w:r>
    </w:p>
    <w:p w14:paraId="36984E08" w14:textId="14F27DF3" w:rsidR="009431DD" w:rsidRPr="005252DA" w:rsidRDefault="009431DD" w:rsidP="00097178">
      <w:pPr>
        <w:suppressAutoHyphens/>
        <w:autoSpaceDE w:val="0"/>
        <w:spacing w:before="288" w:after="288" w:line="480" w:lineRule="auto"/>
        <w:rPr>
          <w:lang w:eastAsia="zh-CN"/>
        </w:rPr>
      </w:pPr>
      <w:r w:rsidRPr="005252DA">
        <w:rPr>
          <w:lang w:eastAsia="zh-CN"/>
        </w:rPr>
        <w:t xml:space="preserve">Department of Health (2013) </w:t>
      </w:r>
      <w:r w:rsidRPr="005252DA">
        <w:rPr>
          <w:i/>
          <w:lang w:eastAsia="zh-CN"/>
        </w:rPr>
        <w:t>Dementia: a state of the nation report on dementia care and support in England.</w:t>
      </w:r>
      <w:r w:rsidRPr="005252DA">
        <w:rPr>
          <w:lang w:eastAsia="zh-CN"/>
        </w:rPr>
        <w:t xml:space="preserve"> </w:t>
      </w:r>
      <w:hyperlink r:id="rId8" w:history="1">
        <w:r w:rsidRPr="005252DA">
          <w:rPr>
            <w:color w:val="0563C1"/>
            <w:u w:val="single"/>
            <w:lang w:eastAsia="zh-CN"/>
          </w:rPr>
          <w:t>www.govuk.dh</w:t>
        </w:r>
      </w:hyperlink>
      <w:r w:rsidRPr="005252DA">
        <w:rPr>
          <w:lang w:eastAsia="zh-CN"/>
        </w:rPr>
        <w:t>, on line at https://www.gov.uk/government/uploads/system/uploads/attachment_data/file/262139/Dementia.pdf</w:t>
      </w:r>
    </w:p>
    <w:p w14:paraId="0BF65988" w14:textId="77777777" w:rsidR="009431DD" w:rsidRPr="005252DA" w:rsidRDefault="009431DD" w:rsidP="00097178">
      <w:pPr>
        <w:suppressAutoHyphens/>
        <w:autoSpaceDE w:val="0"/>
        <w:spacing w:before="288" w:after="288" w:line="480" w:lineRule="auto"/>
        <w:rPr>
          <w:rFonts w:cs="Arial"/>
          <w:bCs/>
          <w:lang w:eastAsia="en-GB"/>
        </w:rPr>
      </w:pPr>
      <w:r w:rsidRPr="005252DA">
        <w:rPr>
          <w:rFonts w:cs="Arial"/>
          <w:bCs/>
          <w:lang w:eastAsia="en-GB"/>
        </w:rPr>
        <w:t xml:space="preserve">Dilworth-Anderson, P. and Gibson, B.E. (2002) The cultural influences of values, norms, meanings and perceptions in understanding dementia in ethnic minorities, </w:t>
      </w:r>
      <w:r w:rsidRPr="005252DA">
        <w:rPr>
          <w:rFonts w:cs="Arial"/>
          <w:bCs/>
          <w:i/>
          <w:lang w:eastAsia="en-GB"/>
        </w:rPr>
        <w:t>Alzheimer Disease and Associated Disorders</w:t>
      </w:r>
      <w:r w:rsidRPr="005252DA">
        <w:rPr>
          <w:rFonts w:cs="Arial"/>
          <w:bCs/>
          <w:lang w:eastAsia="en-GB"/>
        </w:rPr>
        <w:t>, 16, s52, s56-63.</w:t>
      </w:r>
    </w:p>
    <w:p w14:paraId="04D57AF8" w14:textId="77777777" w:rsidR="009431DD" w:rsidRPr="005252DA" w:rsidRDefault="009431DD" w:rsidP="00097178">
      <w:pPr>
        <w:suppressAutoHyphens/>
        <w:autoSpaceDE w:val="0"/>
        <w:spacing w:before="288" w:after="288" w:line="480" w:lineRule="auto"/>
        <w:rPr>
          <w:lang w:eastAsia="zh-CN"/>
        </w:rPr>
      </w:pPr>
      <w:proofErr w:type="spellStart"/>
      <w:r w:rsidRPr="005252DA">
        <w:rPr>
          <w:rFonts w:cs="Palatino Linotype"/>
          <w:color w:val="000000"/>
          <w:lang w:eastAsia="en-GB"/>
        </w:rPr>
        <w:lastRenderedPageBreak/>
        <w:t>Featherstonhaugh</w:t>
      </w:r>
      <w:proofErr w:type="spellEnd"/>
      <w:r w:rsidRPr="005252DA">
        <w:rPr>
          <w:rFonts w:cs="Palatino Linotype"/>
          <w:color w:val="000000"/>
          <w:lang w:eastAsia="en-GB"/>
        </w:rPr>
        <w:t xml:space="preserve">, D., </w:t>
      </w:r>
      <w:proofErr w:type="spellStart"/>
      <w:r w:rsidRPr="005252DA">
        <w:rPr>
          <w:rFonts w:cs="Palatino Linotype"/>
          <w:color w:val="000000"/>
          <w:lang w:eastAsia="en-GB"/>
        </w:rPr>
        <w:t>Tarzia</w:t>
      </w:r>
      <w:proofErr w:type="spellEnd"/>
      <w:r w:rsidRPr="005252DA">
        <w:rPr>
          <w:rFonts w:cs="Palatino Linotype"/>
          <w:color w:val="000000"/>
          <w:lang w:eastAsia="en-GB"/>
        </w:rPr>
        <w:t>, L. and Nay, R. (2013) ‘Being central to decision making means I am still here!</w:t>
      </w:r>
      <w:proofErr w:type="gramStart"/>
      <w:r w:rsidRPr="005252DA">
        <w:rPr>
          <w:rFonts w:cs="Palatino Linotype"/>
          <w:color w:val="000000"/>
          <w:lang w:eastAsia="en-GB"/>
        </w:rPr>
        <w:t>’:</w:t>
      </w:r>
      <w:proofErr w:type="gramEnd"/>
      <w:r w:rsidRPr="005252DA">
        <w:rPr>
          <w:rFonts w:cs="Palatino Linotype"/>
          <w:color w:val="000000"/>
          <w:lang w:eastAsia="en-GB"/>
        </w:rPr>
        <w:t xml:space="preserve"> the essence of decision making for people with dementia, </w:t>
      </w:r>
      <w:r w:rsidRPr="005252DA">
        <w:rPr>
          <w:rFonts w:cs="Palatino Linotype"/>
          <w:i/>
          <w:color w:val="000000"/>
          <w:lang w:eastAsia="en-GB"/>
        </w:rPr>
        <w:t>Journal of Aging Studies</w:t>
      </w:r>
      <w:r w:rsidRPr="005252DA">
        <w:rPr>
          <w:rFonts w:cs="Palatino Linotype"/>
          <w:color w:val="000000"/>
          <w:lang w:eastAsia="en-GB"/>
        </w:rPr>
        <w:t xml:space="preserve">, 27, 143-50. </w:t>
      </w:r>
      <w:proofErr w:type="spellStart"/>
      <w:proofErr w:type="gramStart"/>
      <w:r w:rsidRPr="005252DA">
        <w:rPr>
          <w:rFonts w:cs="Palatino Linotype"/>
          <w:color w:val="000000"/>
          <w:lang w:eastAsia="en-GB"/>
        </w:rPr>
        <w:t>doi</w:t>
      </w:r>
      <w:proofErr w:type="spellEnd"/>
      <w:proofErr w:type="gramEnd"/>
      <w:r w:rsidRPr="005252DA">
        <w:rPr>
          <w:rFonts w:cs="Palatino Linotype"/>
          <w:color w:val="000000"/>
          <w:lang w:eastAsia="en-GB"/>
        </w:rPr>
        <w:t xml:space="preserve">: </w:t>
      </w:r>
      <w:r w:rsidRPr="005252DA">
        <w:rPr>
          <w:lang w:eastAsia="zh-CN"/>
        </w:rPr>
        <w:t>10.1016/j.jaging.2012.12.007</w:t>
      </w:r>
    </w:p>
    <w:p w14:paraId="0CDB374A" w14:textId="77777777" w:rsidR="009431DD" w:rsidRPr="005252DA" w:rsidRDefault="009431DD" w:rsidP="00097178">
      <w:pPr>
        <w:suppressAutoHyphens/>
        <w:autoSpaceDE w:val="0"/>
        <w:spacing w:before="288" w:after="288" w:line="480" w:lineRule="auto"/>
        <w:rPr>
          <w:lang w:eastAsia="zh-CN"/>
        </w:rPr>
      </w:pPr>
      <w:proofErr w:type="spellStart"/>
      <w:r w:rsidRPr="005252DA">
        <w:rPr>
          <w:rFonts w:cs="Arial"/>
          <w:bCs/>
          <w:lang w:eastAsia="en-GB"/>
        </w:rPr>
        <w:t>Gernier</w:t>
      </w:r>
      <w:proofErr w:type="spellEnd"/>
      <w:r w:rsidRPr="005252DA">
        <w:rPr>
          <w:rFonts w:cs="Arial"/>
          <w:bCs/>
          <w:lang w:eastAsia="en-GB"/>
        </w:rPr>
        <w:t xml:space="preserve">, A. (2006) </w:t>
      </w:r>
      <w:proofErr w:type="gramStart"/>
      <w:r w:rsidRPr="005252DA">
        <w:rPr>
          <w:rFonts w:cs="Arial"/>
          <w:bCs/>
          <w:lang w:eastAsia="en-GB"/>
        </w:rPr>
        <w:t>The</w:t>
      </w:r>
      <w:proofErr w:type="gramEnd"/>
      <w:r w:rsidRPr="005252DA">
        <w:rPr>
          <w:rFonts w:cs="Arial"/>
          <w:bCs/>
          <w:lang w:eastAsia="en-GB"/>
        </w:rPr>
        <w:t xml:space="preserve"> distinction between being and feeling frail: exploring emotional experiences in health and social care, </w:t>
      </w:r>
      <w:r w:rsidRPr="005252DA">
        <w:rPr>
          <w:rFonts w:cs="Arial"/>
          <w:bCs/>
          <w:i/>
          <w:lang w:eastAsia="en-GB"/>
        </w:rPr>
        <w:t>Journal of Social Work Practice</w:t>
      </w:r>
      <w:r w:rsidRPr="005252DA">
        <w:rPr>
          <w:rFonts w:cs="Arial"/>
          <w:bCs/>
          <w:lang w:eastAsia="en-GB"/>
        </w:rPr>
        <w:t xml:space="preserve">, 20, 3,299-313 </w:t>
      </w:r>
      <w:proofErr w:type="spellStart"/>
      <w:r w:rsidRPr="005252DA">
        <w:rPr>
          <w:rFonts w:cs="Arial"/>
          <w:bCs/>
          <w:lang w:eastAsia="en-GB"/>
        </w:rPr>
        <w:t>doi</w:t>
      </w:r>
      <w:proofErr w:type="spellEnd"/>
      <w:r w:rsidRPr="005252DA">
        <w:rPr>
          <w:rFonts w:cs="Arial"/>
          <w:bCs/>
          <w:lang w:eastAsia="en-GB"/>
        </w:rPr>
        <w:t xml:space="preserve">: 10.1080/02650530600931849. </w:t>
      </w:r>
    </w:p>
    <w:p w14:paraId="50E4D864" w14:textId="77777777" w:rsidR="009431DD" w:rsidRPr="005252DA" w:rsidRDefault="009431DD" w:rsidP="00097178">
      <w:pPr>
        <w:suppressAutoHyphens/>
        <w:autoSpaceDE w:val="0"/>
        <w:spacing w:before="288" w:after="288" w:line="480" w:lineRule="auto"/>
        <w:rPr>
          <w:lang w:eastAsia="zh-CN"/>
        </w:rPr>
      </w:pPr>
      <w:r w:rsidRPr="005252DA">
        <w:rPr>
          <w:rFonts w:cs="Arial"/>
          <w:bCs/>
          <w:lang w:eastAsia="en-GB"/>
        </w:rPr>
        <w:t xml:space="preserve">Gibbons, S.W., Ross, A. and Bevans, M. (2014) Liminality as a conceptual frame for understanding the family caregiving rite of passage: an integrative review, </w:t>
      </w:r>
      <w:r w:rsidRPr="005252DA">
        <w:rPr>
          <w:rFonts w:cs="Arial"/>
          <w:bCs/>
          <w:i/>
          <w:lang w:eastAsia="en-GB"/>
        </w:rPr>
        <w:t>Research in Nursing and Health</w:t>
      </w:r>
      <w:r w:rsidRPr="005252DA">
        <w:rPr>
          <w:rFonts w:cs="Arial"/>
          <w:bCs/>
          <w:lang w:eastAsia="en-GB"/>
        </w:rPr>
        <w:t xml:space="preserve">, 37, 423-36. </w:t>
      </w:r>
      <w:proofErr w:type="spellStart"/>
      <w:proofErr w:type="gramStart"/>
      <w:r w:rsidRPr="005252DA">
        <w:rPr>
          <w:rFonts w:cs="Arial"/>
          <w:bCs/>
          <w:lang w:eastAsia="en-GB"/>
        </w:rPr>
        <w:t>doi</w:t>
      </w:r>
      <w:proofErr w:type="spellEnd"/>
      <w:proofErr w:type="gramEnd"/>
      <w:r w:rsidRPr="005252DA">
        <w:rPr>
          <w:rFonts w:cs="Arial"/>
          <w:bCs/>
          <w:lang w:eastAsia="en-GB"/>
        </w:rPr>
        <w:t xml:space="preserve">: </w:t>
      </w:r>
      <w:r w:rsidRPr="005252DA">
        <w:rPr>
          <w:lang w:eastAsia="zh-CN"/>
        </w:rPr>
        <w:t>10.1002/nur.21622</w:t>
      </w:r>
    </w:p>
    <w:p w14:paraId="764E4B3E" w14:textId="77777777" w:rsidR="009431DD" w:rsidRPr="005252DA" w:rsidRDefault="009431DD" w:rsidP="00097178">
      <w:pPr>
        <w:suppressAutoHyphens/>
        <w:autoSpaceDE w:val="0"/>
        <w:spacing w:before="288" w:after="288" w:line="480" w:lineRule="auto"/>
        <w:rPr>
          <w:lang w:eastAsia="zh-CN"/>
        </w:rPr>
      </w:pPr>
      <w:proofErr w:type="spellStart"/>
      <w:r w:rsidRPr="005252DA">
        <w:rPr>
          <w:rFonts w:cs="AdvPA"/>
          <w:color w:val="000000"/>
          <w:lang w:eastAsia="en-GB"/>
        </w:rPr>
        <w:t>Gilleard</w:t>
      </w:r>
      <w:proofErr w:type="spellEnd"/>
      <w:r w:rsidRPr="005252DA">
        <w:rPr>
          <w:rFonts w:cs="AdvPA"/>
          <w:color w:val="000000"/>
          <w:lang w:eastAsia="en-GB"/>
        </w:rPr>
        <w:t xml:space="preserve">, C. and Higgs, P. (2010) Aging without agency: theorizing the fourth age, Aging and Mental Health, 14, 2, 121-128.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10.1080/13607860903228762</w:t>
      </w:r>
    </w:p>
    <w:p w14:paraId="34A97E56" w14:textId="77777777" w:rsidR="009431DD" w:rsidRPr="005252DA" w:rsidRDefault="009431DD" w:rsidP="00097178">
      <w:pPr>
        <w:suppressAutoHyphens/>
        <w:spacing w:before="288" w:after="288" w:line="480" w:lineRule="auto"/>
        <w:rPr>
          <w:rFonts w:cs="TimesNewRomanPS"/>
          <w:color w:val="231F20"/>
          <w:lang w:eastAsia="en-GB"/>
        </w:rPr>
      </w:pPr>
      <w:proofErr w:type="spellStart"/>
      <w:r w:rsidRPr="005252DA">
        <w:rPr>
          <w:rFonts w:cs="TimesNewRomanPS"/>
          <w:color w:val="231F20"/>
          <w:lang w:eastAsia="en-GB"/>
        </w:rPr>
        <w:t>Gilleard</w:t>
      </w:r>
      <w:proofErr w:type="spellEnd"/>
      <w:r w:rsidRPr="005252DA">
        <w:rPr>
          <w:rFonts w:cs="TimesNewRomanPS"/>
          <w:color w:val="231F20"/>
          <w:lang w:eastAsia="en-GB"/>
        </w:rPr>
        <w:t xml:space="preserve">, C. and Higgs, P. (2014) Studying dementia: the relevance of the fourth age. </w:t>
      </w:r>
      <w:r w:rsidRPr="005252DA">
        <w:rPr>
          <w:rFonts w:cs="TimesNewRomanPS"/>
          <w:i/>
          <w:color w:val="231F20"/>
          <w:lang w:eastAsia="en-GB"/>
        </w:rPr>
        <w:t>Quality in Ageing and Older Adults</w:t>
      </w:r>
      <w:r w:rsidRPr="005252DA">
        <w:rPr>
          <w:rFonts w:cs="TimesNewRomanPS"/>
          <w:color w:val="231F20"/>
          <w:lang w:eastAsia="en-GB"/>
        </w:rPr>
        <w:t xml:space="preserve">, 15, 4, 241-43. </w:t>
      </w:r>
      <w:proofErr w:type="spellStart"/>
      <w:proofErr w:type="gramStart"/>
      <w:r w:rsidRPr="005252DA">
        <w:rPr>
          <w:rFonts w:cs="TimesNewRomanPS"/>
          <w:color w:val="231F20"/>
          <w:lang w:eastAsia="en-GB"/>
        </w:rPr>
        <w:t>doi</w:t>
      </w:r>
      <w:proofErr w:type="spellEnd"/>
      <w:proofErr w:type="gramEnd"/>
      <w:r w:rsidRPr="005252DA">
        <w:rPr>
          <w:rFonts w:cs="TimesNewRomanPS"/>
          <w:color w:val="231F20"/>
          <w:lang w:eastAsia="en-GB"/>
        </w:rPr>
        <w:t xml:space="preserve">: 10.1108/QAOA-10-2014-0027 </w:t>
      </w:r>
    </w:p>
    <w:p w14:paraId="656089F9" w14:textId="77777777" w:rsidR="009431DD" w:rsidRPr="005252DA" w:rsidRDefault="009431DD" w:rsidP="00097178">
      <w:pPr>
        <w:suppressAutoHyphens/>
        <w:spacing w:before="288" w:after="288" w:line="480" w:lineRule="auto"/>
        <w:rPr>
          <w:lang w:eastAsia="zh-CN"/>
        </w:rPr>
      </w:pPr>
      <w:r w:rsidRPr="005252DA">
        <w:rPr>
          <w:rFonts w:eastAsia="Times New Roman"/>
          <w:lang w:eastAsia="en-GB"/>
        </w:rPr>
        <w:t xml:space="preserve">Gilmour, J.A. and </w:t>
      </w:r>
      <w:proofErr w:type="spellStart"/>
      <w:r w:rsidRPr="005252DA">
        <w:rPr>
          <w:rFonts w:eastAsia="Times New Roman"/>
          <w:lang w:eastAsia="en-GB"/>
        </w:rPr>
        <w:t>Brannelly</w:t>
      </w:r>
      <w:proofErr w:type="spellEnd"/>
      <w:r w:rsidRPr="005252DA">
        <w:rPr>
          <w:rFonts w:eastAsia="Times New Roman"/>
          <w:lang w:eastAsia="en-GB"/>
        </w:rPr>
        <w:t xml:space="preserve">, T. (2010) Representations of people with dementia – subaltern, person, citizen, </w:t>
      </w:r>
      <w:r w:rsidRPr="005252DA">
        <w:rPr>
          <w:rFonts w:eastAsia="Times New Roman"/>
          <w:i/>
          <w:lang w:eastAsia="en-GB"/>
        </w:rPr>
        <w:t>Nursing Inquiry</w:t>
      </w:r>
      <w:r w:rsidRPr="005252DA">
        <w:rPr>
          <w:rFonts w:eastAsia="Times New Roman"/>
          <w:lang w:eastAsia="en-GB"/>
        </w:rPr>
        <w:t xml:space="preserve">, 17, 3, 240-47. </w:t>
      </w:r>
      <w:proofErr w:type="spellStart"/>
      <w:proofErr w:type="gramStart"/>
      <w:r w:rsidRPr="005252DA">
        <w:rPr>
          <w:rFonts w:eastAsia="Times New Roman"/>
          <w:lang w:eastAsia="en-GB"/>
        </w:rPr>
        <w:t>doi</w:t>
      </w:r>
      <w:proofErr w:type="spellEnd"/>
      <w:proofErr w:type="gramEnd"/>
      <w:r w:rsidRPr="005252DA">
        <w:rPr>
          <w:rFonts w:eastAsia="Times New Roman"/>
          <w:lang w:eastAsia="en-GB"/>
        </w:rPr>
        <w:t xml:space="preserve">: </w:t>
      </w:r>
      <w:r w:rsidRPr="005252DA">
        <w:rPr>
          <w:lang w:eastAsia="zh-CN"/>
        </w:rPr>
        <w:t>10.1111/j.1440-1800.2009.00475.x</w:t>
      </w:r>
    </w:p>
    <w:p w14:paraId="439A0267"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t xml:space="preserve">Godwin, B., and Poland, F. (2015) Bedlam or bliss? Recognising the emotional self-experience of people with moderate to advanced dementia in residential and nursing care, </w:t>
      </w:r>
      <w:r w:rsidRPr="005252DA">
        <w:rPr>
          <w:rFonts w:cs="AdvPA"/>
          <w:i/>
          <w:color w:val="000000"/>
          <w:lang w:eastAsia="en-GB"/>
        </w:rPr>
        <w:t>Quality in Ageing and Older Adults</w:t>
      </w:r>
      <w:r w:rsidRPr="005252DA">
        <w:rPr>
          <w:rFonts w:cs="AdvPA"/>
          <w:color w:val="000000"/>
          <w:lang w:eastAsia="en-GB"/>
        </w:rPr>
        <w:t xml:space="preserve">, 16, 4, 235-248.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xml:space="preserve">: </w:t>
      </w:r>
      <w:r w:rsidRPr="005252DA">
        <w:rPr>
          <w:lang w:eastAsia="zh-CN"/>
        </w:rPr>
        <w:t xml:space="preserve">10.1108/QAOA-08-2015-0038. </w:t>
      </w:r>
      <w:r w:rsidRPr="005252DA">
        <w:rPr>
          <w:rFonts w:cs="AdvPA"/>
          <w:color w:val="000000"/>
          <w:lang w:eastAsia="en-GB"/>
        </w:rPr>
        <w:t xml:space="preserve"> </w:t>
      </w:r>
    </w:p>
    <w:p w14:paraId="065B074F"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t xml:space="preserve">Harding, N., and </w:t>
      </w:r>
      <w:proofErr w:type="spellStart"/>
      <w:r w:rsidRPr="005252DA">
        <w:rPr>
          <w:rFonts w:cs="AdvPA"/>
          <w:color w:val="000000"/>
          <w:lang w:eastAsia="en-GB"/>
        </w:rPr>
        <w:t>Palfry</w:t>
      </w:r>
      <w:proofErr w:type="spellEnd"/>
      <w:r w:rsidRPr="005252DA">
        <w:rPr>
          <w:rFonts w:cs="AdvPA"/>
          <w:color w:val="000000"/>
          <w:lang w:eastAsia="en-GB"/>
        </w:rPr>
        <w:t xml:space="preserve">, C. (1997) </w:t>
      </w:r>
      <w:proofErr w:type="gramStart"/>
      <w:r w:rsidRPr="005252DA">
        <w:rPr>
          <w:rFonts w:cs="AdvPA"/>
          <w:i/>
          <w:iCs/>
          <w:color w:val="000000"/>
          <w:lang w:eastAsia="en-GB"/>
        </w:rPr>
        <w:t>The</w:t>
      </w:r>
      <w:proofErr w:type="gramEnd"/>
      <w:r w:rsidRPr="005252DA">
        <w:rPr>
          <w:rFonts w:cs="AdvPA"/>
          <w:i/>
          <w:iCs/>
          <w:color w:val="000000"/>
          <w:lang w:eastAsia="en-GB"/>
        </w:rPr>
        <w:t xml:space="preserve"> social construction of dementia: confused professionals?</w:t>
      </w:r>
      <w:r w:rsidRPr="005252DA">
        <w:rPr>
          <w:rFonts w:cs="AdvPA"/>
          <w:color w:val="000000"/>
          <w:lang w:eastAsia="en-GB"/>
        </w:rPr>
        <w:t xml:space="preserve">  London: Jessica Kingsley Publishers.</w:t>
      </w:r>
    </w:p>
    <w:p w14:paraId="7FCA2BC9"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lastRenderedPageBreak/>
        <w:t xml:space="preserve">Hurt, C.S., Burns, A., Brown, R.G., and Barrowclough, C. (2011) </w:t>
      </w:r>
      <w:proofErr w:type="gramStart"/>
      <w:r w:rsidRPr="005252DA">
        <w:rPr>
          <w:rFonts w:cs="AdvPA"/>
          <w:color w:val="000000"/>
          <w:lang w:eastAsia="en-GB"/>
        </w:rPr>
        <w:t>Why</w:t>
      </w:r>
      <w:proofErr w:type="gramEnd"/>
      <w:r w:rsidRPr="005252DA">
        <w:rPr>
          <w:rFonts w:cs="AdvPA"/>
          <w:color w:val="000000"/>
          <w:lang w:eastAsia="en-GB"/>
        </w:rPr>
        <w:t xml:space="preserve"> don’t older adults with subjective memory complaints seek help?</w:t>
      </w:r>
      <w:r w:rsidRPr="005252DA">
        <w:rPr>
          <w:rFonts w:cs="AdvPA"/>
          <w:i/>
          <w:iCs/>
          <w:color w:val="000000"/>
          <w:lang w:eastAsia="en-GB"/>
        </w:rPr>
        <w:t xml:space="preserve"> International Journal of Geriatric Psychiatry</w:t>
      </w:r>
      <w:r w:rsidRPr="005252DA">
        <w:rPr>
          <w:rFonts w:cs="AdvPA"/>
          <w:color w:val="000000"/>
          <w:lang w:eastAsia="en-GB"/>
        </w:rPr>
        <w:t xml:space="preserve">, 27, 394-400.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xml:space="preserve">: </w:t>
      </w:r>
      <w:r w:rsidRPr="005252DA">
        <w:rPr>
          <w:lang w:eastAsia="zh-CN"/>
        </w:rPr>
        <w:t>10.1002/gps.2731</w:t>
      </w:r>
    </w:p>
    <w:p w14:paraId="09FEC6EB" w14:textId="77777777" w:rsidR="009431DD" w:rsidRPr="005252DA" w:rsidRDefault="009431DD" w:rsidP="00097178">
      <w:pPr>
        <w:suppressAutoHyphens/>
        <w:spacing w:before="288" w:after="288" w:line="480" w:lineRule="auto"/>
        <w:rPr>
          <w:lang w:eastAsia="zh-CN"/>
        </w:rPr>
      </w:pPr>
      <w:proofErr w:type="spellStart"/>
      <w:r w:rsidRPr="005252DA">
        <w:rPr>
          <w:rFonts w:cs="Arial"/>
          <w:lang w:eastAsia="zh-CN"/>
        </w:rPr>
        <w:t>Jutel</w:t>
      </w:r>
      <w:proofErr w:type="spellEnd"/>
      <w:r w:rsidRPr="005252DA">
        <w:rPr>
          <w:rFonts w:cs="Arial"/>
          <w:lang w:eastAsia="zh-CN"/>
        </w:rPr>
        <w:t xml:space="preserve">, A. (2009) Sociology of diagnosis a preliminary review, </w:t>
      </w:r>
      <w:r w:rsidRPr="005252DA">
        <w:rPr>
          <w:rFonts w:cs="Arial"/>
          <w:i/>
          <w:lang w:eastAsia="zh-CN"/>
        </w:rPr>
        <w:t xml:space="preserve">Sociology of Health and Illness, </w:t>
      </w:r>
      <w:r w:rsidRPr="005252DA">
        <w:rPr>
          <w:rFonts w:cs="Arial"/>
          <w:lang w:eastAsia="zh-CN"/>
        </w:rPr>
        <w:t xml:space="preserve">31, 2, 278-99. </w:t>
      </w:r>
      <w:proofErr w:type="spellStart"/>
      <w:proofErr w:type="gramStart"/>
      <w:r w:rsidRPr="005252DA">
        <w:rPr>
          <w:rFonts w:cs="Arial"/>
          <w:lang w:eastAsia="zh-CN"/>
        </w:rPr>
        <w:t>doi</w:t>
      </w:r>
      <w:proofErr w:type="spellEnd"/>
      <w:proofErr w:type="gramEnd"/>
      <w:r w:rsidRPr="005252DA">
        <w:rPr>
          <w:rFonts w:cs="Arial"/>
          <w:lang w:eastAsia="zh-CN"/>
        </w:rPr>
        <w:t xml:space="preserve">: </w:t>
      </w:r>
      <w:r w:rsidRPr="005252DA">
        <w:rPr>
          <w:lang w:eastAsia="zh-CN"/>
        </w:rPr>
        <w:t>10.1111/j.1467-9566.2008.01152.x</w:t>
      </w:r>
    </w:p>
    <w:p w14:paraId="42B9D7D1"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t xml:space="preserve">Katz, S. (2013) Dementia, personhood and embodiment: what can we learn from medieval history of memory?  </w:t>
      </w:r>
      <w:r w:rsidRPr="005252DA">
        <w:rPr>
          <w:rFonts w:cs="AdvPA"/>
          <w:i/>
          <w:iCs/>
          <w:color w:val="000000"/>
          <w:lang w:eastAsia="en-GB"/>
        </w:rPr>
        <w:t>Dementia</w:t>
      </w:r>
      <w:r w:rsidRPr="005252DA">
        <w:rPr>
          <w:rFonts w:cs="AdvPA"/>
          <w:color w:val="000000"/>
          <w:lang w:eastAsia="en-GB"/>
        </w:rPr>
        <w:t xml:space="preserve">, 12, 3,303-314.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10.1177/1471301213476505</w:t>
      </w:r>
    </w:p>
    <w:p w14:paraId="6E993C1F"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t xml:space="preserve">Kelly, A. (2008) Living loss: an exploration of the internal space of liminality, </w:t>
      </w:r>
      <w:r w:rsidRPr="005252DA">
        <w:rPr>
          <w:i/>
          <w:iCs/>
          <w:lang w:eastAsia="zh-CN"/>
        </w:rPr>
        <w:t xml:space="preserve">Mortality: Promoting the interdisciplinary study of death and dying, </w:t>
      </w:r>
      <w:r w:rsidRPr="005252DA">
        <w:rPr>
          <w:lang w:eastAsia="zh-CN"/>
        </w:rPr>
        <w:t xml:space="preserve">13, 4, 335-350. </w:t>
      </w:r>
      <w:proofErr w:type="spellStart"/>
      <w:proofErr w:type="gramStart"/>
      <w:r w:rsidRPr="005252DA">
        <w:rPr>
          <w:lang w:eastAsia="zh-CN"/>
        </w:rPr>
        <w:t>doi</w:t>
      </w:r>
      <w:proofErr w:type="spellEnd"/>
      <w:proofErr w:type="gramEnd"/>
      <w:r w:rsidRPr="005252DA">
        <w:rPr>
          <w:i/>
          <w:iCs/>
          <w:lang w:eastAsia="zh-CN"/>
        </w:rPr>
        <w:t xml:space="preserve">: </w:t>
      </w:r>
      <w:r w:rsidRPr="005252DA">
        <w:rPr>
          <w:lang w:eastAsia="zh-CN"/>
        </w:rPr>
        <w:t xml:space="preserve">10.1080/13576270802383915 </w:t>
      </w:r>
    </w:p>
    <w:p w14:paraId="07A4713E"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t xml:space="preserve">Kelly, A. (2010) </w:t>
      </w:r>
      <w:r w:rsidRPr="005252DA">
        <w:rPr>
          <w:lang w:eastAsia="zh-CN"/>
        </w:rPr>
        <w:t xml:space="preserve">Lost the feel for the game: meanings of onset and diagnosis of AIDS dementia for significant others, </w:t>
      </w:r>
      <w:r w:rsidRPr="005252DA">
        <w:rPr>
          <w:i/>
          <w:iCs/>
          <w:lang w:eastAsia="zh-CN"/>
        </w:rPr>
        <w:t>Qualitative Health Research</w:t>
      </w:r>
      <w:r w:rsidRPr="005252DA">
        <w:rPr>
          <w:lang w:eastAsia="zh-CN"/>
        </w:rPr>
        <w:t xml:space="preserve">, 20, 4, 531-540. </w:t>
      </w:r>
      <w:proofErr w:type="spellStart"/>
      <w:proofErr w:type="gramStart"/>
      <w:r w:rsidRPr="005252DA">
        <w:rPr>
          <w:lang w:eastAsia="zh-CN"/>
        </w:rPr>
        <w:t>doi</w:t>
      </w:r>
      <w:proofErr w:type="spellEnd"/>
      <w:proofErr w:type="gramEnd"/>
      <w:r w:rsidRPr="005252DA">
        <w:rPr>
          <w:lang w:eastAsia="zh-CN"/>
        </w:rPr>
        <w:t xml:space="preserve">: 10.1177/1049732309360537 </w:t>
      </w:r>
    </w:p>
    <w:p w14:paraId="4A99144A" w14:textId="77777777" w:rsidR="009431DD" w:rsidRPr="005252DA" w:rsidRDefault="009431DD" w:rsidP="00097178">
      <w:pPr>
        <w:suppressAutoHyphens/>
        <w:spacing w:before="288" w:after="288" w:line="480" w:lineRule="auto"/>
        <w:rPr>
          <w:lang w:eastAsia="zh-CN"/>
        </w:rPr>
      </w:pPr>
      <w:proofErr w:type="spellStart"/>
      <w:r w:rsidRPr="005252DA">
        <w:rPr>
          <w:rFonts w:cs="TimesNewRomanPS"/>
          <w:color w:val="231F20"/>
          <w:lang w:eastAsia="en-GB"/>
        </w:rPr>
        <w:t>Kertzer</w:t>
      </w:r>
      <w:proofErr w:type="spellEnd"/>
      <w:r w:rsidRPr="005252DA">
        <w:rPr>
          <w:rFonts w:cs="TimesNewRomanPS"/>
          <w:color w:val="231F20"/>
          <w:lang w:eastAsia="en-GB"/>
        </w:rPr>
        <w:t xml:space="preserve">, D.I. and </w:t>
      </w:r>
      <w:proofErr w:type="spellStart"/>
      <w:r w:rsidRPr="005252DA">
        <w:rPr>
          <w:rFonts w:cs="TimesNewRomanPS"/>
          <w:color w:val="231F20"/>
          <w:lang w:eastAsia="en-GB"/>
        </w:rPr>
        <w:t>Laslett</w:t>
      </w:r>
      <w:proofErr w:type="spellEnd"/>
      <w:r w:rsidRPr="005252DA">
        <w:rPr>
          <w:rFonts w:cs="TimesNewRomanPS"/>
          <w:color w:val="231F20"/>
          <w:lang w:eastAsia="en-GB"/>
        </w:rPr>
        <w:t>, P. (</w:t>
      </w:r>
      <w:proofErr w:type="spellStart"/>
      <w:proofErr w:type="gramStart"/>
      <w:r w:rsidRPr="005252DA">
        <w:rPr>
          <w:rFonts w:cs="TimesNewRomanPS"/>
          <w:color w:val="231F20"/>
          <w:lang w:eastAsia="en-GB"/>
        </w:rPr>
        <w:t>eds</w:t>
      </w:r>
      <w:proofErr w:type="spellEnd"/>
      <w:proofErr w:type="gramEnd"/>
      <w:r w:rsidRPr="005252DA">
        <w:rPr>
          <w:rFonts w:cs="TimesNewRomanPS"/>
          <w:color w:val="231F20"/>
          <w:lang w:eastAsia="en-GB"/>
        </w:rPr>
        <w:t xml:space="preserve">) (1995) </w:t>
      </w:r>
      <w:r w:rsidRPr="005252DA">
        <w:rPr>
          <w:rFonts w:cs="TimesNewRomanPS"/>
          <w:i/>
          <w:color w:val="231F20"/>
          <w:lang w:eastAsia="en-GB"/>
        </w:rPr>
        <w:t>Aging in the past: demography, society, and old age</w:t>
      </w:r>
      <w:r w:rsidRPr="005252DA">
        <w:rPr>
          <w:rFonts w:cs="TimesNewRomanPS"/>
          <w:color w:val="231F20"/>
          <w:lang w:eastAsia="en-GB"/>
        </w:rPr>
        <w:t>. California: University of California Press.</w:t>
      </w:r>
    </w:p>
    <w:p w14:paraId="6DAC40A2" w14:textId="77777777" w:rsidR="009431DD" w:rsidRPr="005252DA" w:rsidRDefault="009431DD" w:rsidP="00097178">
      <w:pPr>
        <w:suppressAutoHyphens/>
        <w:autoSpaceDE w:val="0"/>
        <w:spacing w:before="288" w:after="288" w:line="480" w:lineRule="auto"/>
        <w:rPr>
          <w:lang w:eastAsia="zh-CN"/>
        </w:rPr>
      </w:pPr>
      <w:proofErr w:type="spellStart"/>
      <w:r w:rsidRPr="005252DA">
        <w:rPr>
          <w:rFonts w:cs="AdvPSSAB-R"/>
          <w:lang w:eastAsia="en-GB"/>
        </w:rPr>
        <w:t>Kitwood</w:t>
      </w:r>
      <w:proofErr w:type="spellEnd"/>
      <w:r w:rsidRPr="005252DA">
        <w:rPr>
          <w:rFonts w:cs="AdvPSSAB-R"/>
          <w:lang w:eastAsia="en-GB"/>
        </w:rPr>
        <w:t xml:space="preserve">, T. (1997) </w:t>
      </w:r>
      <w:r w:rsidRPr="005252DA">
        <w:rPr>
          <w:rFonts w:cs="AdvPSSAB-I"/>
          <w:i/>
          <w:lang w:eastAsia="en-GB"/>
        </w:rPr>
        <w:t>Dementia Reconsidered: The Person Comes First</w:t>
      </w:r>
      <w:r w:rsidRPr="005252DA">
        <w:rPr>
          <w:rFonts w:cs="AdvPSSAB-R"/>
          <w:i/>
          <w:lang w:eastAsia="en-GB"/>
        </w:rPr>
        <w:t>.</w:t>
      </w:r>
      <w:r w:rsidRPr="005252DA">
        <w:rPr>
          <w:rFonts w:cs="AdvPSSAB-R"/>
          <w:lang w:eastAsia="en-GB"/>
        </w:rPr>
        <w:t xml:space="preserve"> Buckingham: Open University Press.</w:t>
      </w:r>
    </w:p>
    <w:p w14:paraId="04387A52" w14:textId="77777777" w:rsidR="009431DD" w:rsidRPr="005252DA" w:rsidRDefault="009431DD" w:rsidP="00097178">
      <w:pPr>
        <w:suppressAutoHyphens/>
        <w:autoSpaceDE w:val="0"/>
        <w:spacing w:before="288" w:after="288" w:line="480" w:lineRule="auto"/>
        <w:rPr>
          <w:lang w:eastAsia="zh-CN"/>
        </w:rPr>
      </w:pPr>
      <w:r w:rsidRPr="005252DA">
        <w:rPr>
          <w:rFonts w:cs="AdvPSSAB-R"/>
          <w:lang w:eastAsia="en-GB"/>
        </w:rPr>
        <w:t xml:space="preserve">La Fontaine, J., Ahuja, J., Bradbury, N.M., Phillips, S. and </w:t>
      </w:r>
      <w:proofErr w:type="spellStart"/>
      <w:r w:rsidRPr="005252DA">
        <w:rPr>
          <w:rFonts w:cs="AdvPSSAB-R"/>
          <w:lang w:eastAsia="en-GB"/>
        </w:rPr>
        <w:t>Oyebode</w:t>
      </w:r>
      <w:proofErr w:type="spellEnd"/>
      <w:r w:rsidRPr="005252DA">
        <w:rPr>
          <w:rFonts w:cs="AdvPSSAB-R"/>
          <w:lang w:eastAsia="en-GB"/>
        </w:rPr>
        <w:t xml:space="preserve">, J.R. (2007) Understanding dementia amongst people in minority ethnic and cultural groups, </w:t>
      </w:r>
      <w:r w:rsidRPr="005252DA">
        <w:rPr>
          <w:rFonts w:cs="AdvPSSAB-R"/>
          <w:i/>
          <w:lang w:eastAsia="en-GB"/>
        </w:rPr>
        <w:t>Journal of Advanced Nursing,</w:t>
      </w:r>
      <w:r w:rsidRPr="005252DA">
        <w:rPr>
          <w:rFonts w:cs="AdvPSSAB-R"/>
          <w:lang w:eastAsia="en-GB"/>
        </w:rPr>
        <w:t xml:space="preserve"> 60, 6, 605-14. </w:t>
      </w:r>
      <w:proofErr w:type="spellStart"/>
      <w:proofErr w:type="gramStart"/>
      <w:r w:rsidRPr="005252DA">
        <w:rPr>
          <w:rFonts w:cs="AdvPSSAB-R"/>
          <w:lang w:eastAsia="en-GB"/>
        </w:rPr>
        <w:t>doi</w:t>
      </w:r>
      <w:proofErr w:type="spellEnd"/>
      <w:proofErr w:type="gramEnd"/>
      <w:r w:rsidRPr="005252DA">
        <w:rPr>
          <w:rFonts w:cs="AdvPSSAB-R"/>
          <w:lang w:eastAsia="en-GB"/>
        </w:rPr>
        <w:t xml:space="preserve">: </w:t>
      </w:r>
      <w:r w:rsidRPr="005252DA">
        <w:rPr>
          <w:lang w:eastAsia="zh-CN"/>
        </w:rPr>
        <w:t>10.1111/</w:t>
      </w:r>
      <w:r w:rsidRPr="005252DA">
        <w:rPr>
          <w:i/>
          <w:iCs/>
          <w:lang w:eastAsia="zh-CN"/>
        </w:rPr>
        <w:t>j</w:t>
      </w:r>
      <w:r w:rsidRPr="005252DA">
        <w:rPr>
          <w:lang w:eastAsia="zh-CN"/>
        </w:rPr>
        <w:t>.1365-2648.2007.04444.x</w:t>
      </w:r>
    </w:p>
    <w:p w14:paraId="05B94BD2" w14:textId="77777777" w:rsidR="009431DD" w:rsidRPr="005252DA" w:rsidRDefault="009431DD" w:rsidP="00097178">
      <w:pPr>
        <w:suppressAutoHyphens/>
        <w:spacing w:before="288" w:after="288" w:line="480" w:lineRule="auto"/>
        <w:rPr>
          <w:lang w:eastAsia="zh-CN"/>
        </w:rPr>
      </w:pPr>
      <w:r w:rsidRPr="005252DA">
        <w:rPr>
          <w:rFonts w:eastAsia="Times New Roman"/>
          <w:lang w:eastAsia="en-GB"/>
        </w:rPr>
        <w:t xml:space="preserve">Langdon, S.A., Eagle, A. and Warner, J. (2007) Making sense of dementia in the social world, a qualitative study, </w:t>
      </w:r>
      <w:r w:rsidRPr="005252DA">
        <w:rPr>
          <w:rFonts w:eastAsia="Times New Roman"/>
          <w:i/>
          <w:lang w:eastAsia="en-GB"/>
        </w:rPr>
        <w:t>Social Science and Medicine</w:t>
      </w:r>
      <w:r w:rsidRPr="005252DA">
        <w:rPr>
          <w:rFonts w:eastAsia="Times New Roman"/>
          <w:lang w:eastAsia="en-GB"/>
        </w:rPr>
        <w:t xml:space="preserve">, 64, 989-1000. </w:t>
      </w:r>
      <w:proofErr w:type="spellStart"/>
      <w:proofErr w:type="gramStart"/>
      <w:r w:rsidRPr="005252DA">
        <w:rPr>
          <w:rFonts w:eastAsia="Times New Roman"/>
          <w:lang w:eastAsia="en-GB"/>
        </w:rPr>
        <w:t>doi</w:t>
      </w:r>
      <w:proofErr w:type="spellEnd"/>
      <w:proofErr w:type="gramEnd"/>
      <w:r w:rsidRPr="005252DA">
        <w:rPr>
          <w:rFonts w:eastAsia="Times New Roman"/>
          <w:lang w:eastAsia="en-GB"/>
        </w:rPr>
        <w:t xml:space="preserve">: 10.1016/j.socscimed.2006.10.029 </w:t>
      </w:r>
    </w:p>
    <w:p w14:paraId="11669EDF" w14:textId="383437C5" w:rsidR="0010112A" w:rsidRPr="005252DA" w:rsidRDefault="0010112A" w:rsidP="00097178">
      <w:pPr>
        <w:suppressAutoHyphens/>
        <w:spacing w:before="288" w:after="288" w:line="480" w:lineRule="auto"/>
        <w:rPr>
          <w:lang w:eastAsia="zh-CN"/>
        </w:rPr>
      </w:pPr>
      <w:r w:rsidRPr="005252DA">
        <w:rPr>
          <w:rFonts w:eastAsia="Times New Roman"/>
          <w:lang w:eastAsia="en-GB"/>
        </w:rPr>
        <w:lastRenderedPageBreak/>
        <w:t>Little</w:t>
      </w:r>
      <w:r w:rsidR="004016CD" w:rsidRPr="005252DA">
        <w:rPr>
          <w:rFonts w:eastAsia="Times New Roman"/>
          <w:lang w:eastAsia="en-GB"/>
        </w:rPr>
        <w:t>, M.,</w:t>
      </w:r>
      <w:r w:rsidR="00C67861" w:rsidRPr="005252DA">
        <w:rPr>
          <w:rFonts w:eastAsia="Times New Roman"/>
          <w:lang w:eastAsia="en-GB"/>
        </w:rPr>
        <w:t xml:space="preserve"> </w:t>
      </w:r>
      <w:proofErr w:type="spellStart"/>
      <w:r w:rsidR="00C67861" w:rsidRPr="005252DA">
        <w:rPr>
          <w:rFonts w:eastAsia="Times New Roman"/>
          <w:lang w:eastAsia="en-GB"/>
        </w:rPr>
        <w:t>Jordens</w:t>
      </w:r>
      <w:proofErr w:type="spellEnd"/>
      <w:r w:rsidR="00C67861" w:rsidRPr="005252DA">
        <w:rPr>
          <w:rFonts w:eastAsia="Times New Roman"/>
          <w:lang w:eastAsia="en-GB"/>
        </w:rPr>
        <w:t>, C.F.C., Paul, K., Montgomery, K. and Philipson, B. (1998)</w:t>
      </w:r>
      <w:r w:rsidR="00AD4C2F" w:rsidRPr="005252DA">
        <w:rPr>
          <w:rFonts w:eastAsia="Times New Roman"/>
          <w:lang w:eastAsia="en-GB"/>
        </w:rPr>
        <w:t xml:space="preserve"> </w:t>
      </w:r>
      <w:r w:rsidR="00C67861" w:rsidRPr="005252DA">
        <w:rPr>
          <w:rFonts w:eastAsia="Times New Roman"/>
          <w:lang w:eastAsia="en-GB"/>
        </w:rPr>
        <w:t xml:space="preserve">Liminality: a major category of the experience of cancer illness, Social Science and medicine, 47, 10, 1485-1494. </w:t>
      </w:r>
    </w:p>
    <w:p w14:paraId="4AEDF64B"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t xml:space="preserve">Lloyd, L., </w:t>
      </w:r>
      <w:proofErr w:type="spellStart"/>
      <w:r w:rsidRPr="005252DA">
        <w:rPr>
          <w:rFonts w:cs="AdvPA"/>
          <w:color w:val="000000"/>
          <w:lang w:eastAsia="en-GB"/>
        </w:rPr>
        <w:t>Calnan</w:t>
      </w:r>
      <w:proofErr w:type="spellEnd"/>
      <w:r w:rsidRPr="005252DA">
        <w:rPr>
          <w:rFonts w:cs="AdvPA"/>
          <w:color w:val="000000"/>
          <w:lang w:eastAsia="en-GB"/>
        </w:rPr>
        <w:t xml:space="preserve">, M., </w:t>
      </w:r>
      <w:proofErr w:type="spellStart"/>
      <w:r w:rsidRPr="005252DA">
        <w:rPr>
          <w:rFonts w:cs="AdvPA"/>
          <w:color w:val="000000"/>
          <w:lang w:eastAsia="en-GB"/>
        </w:rPr>
        <w:t>Camerson</w:t>
      </w:r>
      <w:proofErr w:type="spellEnd"/>
      <w:r w:rsidRPr="005252DA">
        <w:rPr>
          <w:rFonts w:cs="AdvPA"/>
          <w:color w:val="000000"/>
          <w:lang w:eastAsia="en-GB"/>
        </w:rPr>
        <w:t xml:space="preserve">, A., Seymour J. and Smith, R. (2014) Identify in the fourth age: perseverance, adaptation and maintaining dignity, </w:t>
      </w:r>
      <w:r w:rsidRPr="005252DA">
        <w:rPr>
          <w:rFonts w:cs="AdvPA"/>
          <w:i/>
          <w:iCs/>
          <w:color w:val="000000"/>
          <w:lang w:eastAsia="en-GB"/>
        </w:rPr>
        <w:t>Ageing and Society</w:t>
      </w:r>
      <w:r w:rsidRPr="005252DA">
        <w:rPr>
          <w:rFonts w:cs="AdvPA"/>
          <w:color w:val="000000"/>
          <w:lang w:eastAsia="en-GB"/>
        </w:rPr>
        <w:t xml:space="preserve">, 34, 1, 1-19.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10.1017/S0144686X12000761</w:t>
      </w:r>
    </w:p>
    <w:p w14:paraId="260E7E9A" w14:textId="77777777" w:rsidR="009431DD" w:rsidRPr="005252DA" w:rsidRDefault="009431DD" w:rsidP="00097178">
      <w:pPr>
        <w:suppressAutoHyphens/>
        <w:spacing w:before="288" w:after="288" w:line="480" w:lineRule="auto"/>
        <w:jc w:val="both"/>
        <w:rPr>
          <w:lang w:eastAsia="zh-CN"/>
        </w:rPr>
      </w:pPr>
      <w:proofErr w:type="spellStart"/>
      <w:r w:rsidRPr="005252DA">
        <w:rPr>
          <w:rFonts w:eastAsia="Times New Roman"/>
          <w:lang w:val="en-AU" w:eastAsia="zh-CN"/>
        </w:rPr>
        <w:t>MacQuarrie</w:t>
      </w:r>
      <w:proofErr w:type="spellEnd"/>
      <w:r w:rsidRPr="005252DA">
        <w:rPr>
          <w:rFonts w:eastAsia="Times New Roman"/>
          <w:lang w:val="en-AU" w:eastAsia="zh-CN"/>
        </w:rPr>
        <w:t>, C.R. (2005) Experiences in early stage Alzheimer’s disease: understanding the paradox of acceptance and denial</w:t>
      </w:r>
      <w:r w:rsidRPr="005252DA">
        <w:rPr>
          <w:rFonts w:eastAsia="Times New Roman"/>
          <w:i/>
          <w:lang w:val="en-AU" w:eastAsia="zh-CN"/>
        </w:rPr>
        <w:t>, Aging and Mental Health,</w:t>
      </w:r>
      <w:r w:rsidRPr="005252DA">
        <w:rPr>
          <w:rFonts w:eastAsia="Times New Roman"/>
          <w:lang w:val="en-AU" w:eastAsia="zh-CN"/>
        </w:rPr>
        <w:t xml:space="preserve"> 9, 5, 430-41. </w:t>
      </w:r>
      <w:proofErr w:type="spellStart"/>
      <w:proofErr w:type="gramStart"/>
      <w:r w:rsidRPr="005252DA">
        <w:rPr>
          <w:rFonts w:eastAsia="Times New Roman"/>
          <w:lang w:val="en-AU" w:eastAsia="zh-CN"/>
        </w:rPr>
        <w:t>doi</w:t>
      </w:r>
      <w:proofErr w:type="spellEnd"/>
      <w:proofErr w:type="gramEnd"/>
      <w:r w:rsidRPr="005252DA">
        <w:rPr>
          <w:rFonts w:eastAsia="Times New Roman"/>
          <w:lang w:val="en-AU" w:eastAsia="zh-CN"/>
        </w:rPr>
        <w:t xml:space="preserve">: </w:t>
      </w:r>
      <w:r w:rsidRPr="005252DA">
        <w:rPr>
          <w:lang w:eastAsia="zh-CN"/>
        </w:rPr>
        <w:t>10.1177/1471301208093285</w:t>
      </w:r>
    </w:p>
    <w:p w14:paraId="151BAE3E" w14:textId="77777777" w:rsidR="009431DD" w:rsidRPr="005252DA" w:rsidRDefault="009431DD" w:rsidP="00097178">
      <w:pPr>
        <w:suppressAutoHyphens/>
        <w:spacing w:before="288" w:after="288" w:line="480" w:lineRule="auto"/>
        <w:jc w:val="both"/>
        <w:rPr>
          <w:lang w:eastAsia="zh-CN"/>
        </w:rPr>
      </w:pPr>
      <w:proofErr w:type="spellStart"/>
      <w:r w:rsidRPr="005252DA">
        <w:rPr>
          <w:rFonts w:eastAsia="Times New Roman"/>
          <w:lang w:val="en-AU" w:eastAsia="zh-CN"/>
        </w:rPr>
        <w:t>MacRae</w:t>
      </w:r>
      <w:proofErr w:type="spellEnd"/>
      <w:r w:rsidRPr="005252DA">
        <w:rPr>
          <w:rFonts w:eastAsia="Times New Roman"/>
          <w:lang w:val="en-AU" w:eastAsia="zh-CN"/>
        </w:rPr>
        <w:t xml:space="preserve">, H. (2010) Managing identity while living with Alzheimer’s disease, </w:t>
      </w:r>
      <w:r w:rsidRPr="005252DA">
        <w:rPr>
          <w:rFonts w:eastAsia="Times New Roman"/>
          <w:i/>
          <w:lang w:val="en-AU" w:eastAsia="zh-CN"/>
        </w:rPr>
        <w:t>Qualitative Health Research,</w:t>
      </w:r>
      <w:r w:rsidRPr="005252DA">
        <w:rPr>
          <w:rFonts w:eastAsia="Times New Roman"/>
          <w:lang w:val="en-AU" w:eastAsia="zh-CN"/>
        </w:rPr>
        <w:t xml:space="preserve"> 20, 3, 293-305. </w:t>
      </w:r>
      <w:proofErr w:type="spellStart"/>
      <w:proofErr w:type="gramStart"/>
      <w:r w:rsidRPr="005252DA">
        <w:rPr>
          <w:rFonts w:eastAsia="Times New Roman"/>
          <w:lang w:val="en-AU" w:eastAsia="zh-CN"/>
        </w:rPr>
        <w:t>doi</w:t>
      </w:r>
      <w:proofErr w:type="spellEnd"/>
      <w:proofErr w:type="gramEnd"/>
      <w:r w:rsidRPr="005252DA">
        <w:rPr>
          <w:rFonts w:eastAsia="Times New Roman"/>
          <w:lang w:val="en-AU" w:eastAsia="zh-CN"/>
        </w:rPr>
        <w:t xml:space="preserve">: </w:t>
      </w:r>
      <w:r w:rsidRPr="005252DA">
        <w:rPr>
          <w:lang w:eastAsia="zh-CN"/>
        </w:rPr>
        <w:t>10.1177/1049732309354280</w:t>
      </w:r>
    </w:p>
    <w:p w14:paraId="61F84142" w14:textId="77777777" w:rsidR="009431DD" w:rsidRPr="005252DA" w:rsidRDefault="009431DD" w:rsidP="00097178">
      <w:pPr>
        <w:suppressAutoHyphens/>
        <w:spacing w:before="288" w:after="288" w:line="480" w:lineRule="auto"/>
        <w:jc w:val="both"/>
        <w:rPr>
          <w:lang w:eastAsia="zh-CN"/>
        </w:rPr>
      </w:pPr>
      <w:r w:rsidRPr="005252DA">
        <w:rPr>
          <w:rFonts w:eastAsia="Times New Roman"/>
          <w:lang w:val="en-AU" w:eastAsia="zh-CN"/>
        </w:rPr>
        <w:t xml:space="preserve">Marshall, T.H. (1950) </w:t>
      </w:r>
      <w:r w:rsidRPr="005252DA">
        <w:rPr>
          <w:rFonts w:eastAsia="Times New Roman"/>
          <w:i/>
          <w:lang w:val="en-AU" w:eastAsia="zh-CN"/>
        </w:rPr>
        <w:t>Citizenship and social class</w:t>
      </w:r>
      <w:r w:rsidRPr="005252DA">
        <w:rPr>
          <w:rFonts w:eastAsia="Times New Roman"/>
          <w:lang w:val="en-AU" w:eastAsia="zh-CN"/>
        </w:rPr>
        <w:t>. Cambridge: Cambridge University Press.</w:t>
      </w:r>
    </w:p>
    <w:p w14:paraId="0BEC7EC9" w14:textId="77777777" w:rsidR="009431DD" w:rsidRPr="005252DA" w:rsidRDefault="009431DD" w:rsidP="00097178">
      <w:pPr>
        <w:suppressAutoHyphens/>
        <w:spacing w:before="288" w:after="288" w:line="480" w:lineRule="auto"/>
        <w:rPr>
          <w:lang w:eastAsia="zh-CN"/>
        </w:rPr>
      </w:pPr>
      <w:r w:rsidRPr="005252DA">
        <w:rPr>
          <w:lang w:eastAsia="zh-CN"/>
        </w:rPr>
        <w:t xml:space="preserve">Martineau, W.H. (1972) A model of the social functions of </w:t>
      </w:r>
      <w:proofErr w:type="spellStart"/>
      <w:r w:rsidRPr="005252DA">
        <w:rPr>
          <w:lang w:eastAsia="zh-CN"/>
        </w:rPr>
        <w:t>humor</w:t>
      </w:r>
      <w:proofErr w:type="spellEnd"/>
      <w:r w:rsidRPr="005252DA">
        <w:rPr>
          <w:lang w:eastAsia="zh-CN"/>
        </w:rPr>
        <w:t>. In Goldstein, J.H. and McGhee, P.E.</w:t>
      </w:r>
      <w:proofErr w:type="gramStart"/>
      <w:r w:rsidRPr="005252DA">
        <w:rPr>
          <w:lang w:eastAsia="zh-CN"/>
        </w:rPr>
        <w:t>,(</w:t>
      </w:r>
      <w:proofErr w:type="spellStart"/>
      <w:proofErr w:type="gramEnd"/>
      <w:r w:rsidRPr="005252DA">
        <w:rPr>
          <w:lang w:eastAsia="zh-CN"/>
        </w:rPr>
        <w:t>eds</w:t>
      </w:r>
      <w:proofErr w:type="spellEnd"/>
      <w:r w:rsidRPr="005252DA">
        <w:rPr>
          <w:lang w:eastAsia="zh-CN"/>
        </w:rPr>
        <w:t xml:space="preserve">) </w:t>
      </w:r>
      <w:r w:rsidRPr="005252DA">
        <w:rPr>
          <w:i/>
          <w:lang w:eastAsia="zh-CN"/>
        </w:rPr>
        <w:t xml:space="preserve">The psychology of </w:t>
      </w:r>
      <w:proofErr w:type="spellStart"/>
      <w:r w:rsidRPr="005252DA">
        <w:rPr>
          <w:i/>
          <w:lang w:eastAsia="zh-CN"/>
        </w:rPr>
        <w:t>humor</w:t>
      </w:r>
      <w:proofErr w:type="spellEnd"/>
      <w:r w:rsidRPr="005252DA">
        <w:rPr>
          <w:i/>
          <w:lang w:eastAsia="zh-CN"/>
        </w:rPr>
        <w:t>: theoretical perspectives and empirical issues</w:t>
      </w:r>
      <w:r w:rsidRPr="005252DA">
        <w:rPr>
          <w:lang w:eastAsia="zh-CN"/>
        </w:rPr>
        <w:t xml:space="preserve">. New York: Academic Press. </w:t>
      </w:r>
    </w:p>
    <w:p w14:paraId="0AC89786" w14:textId="77777777" w:rsidR="009431DD" w:rsidRPr="005252DA" w:rsidRDefault="009431DD" w:rsidP="00097178">
      <w:pPr>
        <w:suppressAutoHyphens/>
        <w:spacing w:before="288" w:after="288" w:line="480" w:lineRule="auto"/>
        <w:rPr>
          <w:lang w:eastAsia="zh-CN"/>
        </w:rPr>
      </w:pPr>
      <w:r w:rsidRPr="005252DA">
        <w:rPr>
          <w:rFonts w:cs="TimesNewRomanPS"/>
          <w:color w:val="231F20"/>
          <w:lang w:eastAsia="en-GB"/>
        </w:rPr>
        <w:t xml:space="preserve">McManus, M. and Devine, P. (2011) </w:t>
      </w:r>
      <w:r w:rsidRPr="005252DA">
        <w:rPr>
          <w:rFonts w:cs="TimesNewRomanPS"/>
          <w:i/>
          <w:color w:val="231F20"/>
          <w:lang w:eastAsia="en-GB"/>
        </w:rPr>
        <w:t>Dementia: public knowledge and attitudes</w:t>
      </w:r>
      <w:r w:rsidRPr="005252DA">
        <w:rPr>
          <w:rFonts w:cs="TimesNewRomanPS"/>
          <w:color w:val="231F20"/>
          <w:lang w:eastAsia="en-GB"/>
        </w:rPr>
        <w:t>, Research update, 77, Access Research Knowledge. http://www.ark.ac.uk/publications/updates/update77.pdf.</w:t>
      </w:r>
    </w:p>
    <w:p w14:paraId="4C69B37D"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t xml:space="preserve">Milne, A. (2010). The D word: Reflections on the Relationship between Stigma and Dementia. </w:t>
      </w:r>
      <w:r w:rsidRPr="005252DA">
        <w:rPr>
          <w:rFonts w:cs="AdvPA"/>
          <w:i/>
          <w:color w:val="000000"/>
          <w:lang w:eastAsia="en-GB"/>
        </w:rPr>
        <w:t>Journal of Mental Health,</w:t>
      </w:r>
      <w:r w:rsidRPr="005252DA">
        <w:rPr>
          <w:rFonts w:cs="AdvPA"/>
          <w:color w:val="000000"/>
          <w:lang w:eastAsia="en-GB"/>
        </w:rPr>
        <w:t xml:space="preserve"> 19, 227-233.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xml:space="preserve">: 10.3109/09638231003728166 </w:t>
      </w:r>
    </w:p>
    <w:p w14:paraId="0E17AB03" w14:textId="77777777" w:rsidR="009431DD" w:rsidRPr="005252DA" w:rsidRDefault="009431DD" w:rsidP="00097178">
      <w:pPr>
        <w:suppressAutoHyphens/>
        <w:autoSpaceDE w:val="0"/>
        <w:spacing w:before="288" w:after="288" w:line="480" w:lineRule="auto"/>
        <w:rPr>
          <w:rFonts w:cs="AdvPA"/>
          <w:color w:val="000000"/>
          <w:lang w:eastAsia="en-GB"/>
        </w:rPr>
      </w:pPr>
      <w:r w:rsidRPr="005252DA">
        <w:rPr>
          <w:rFonts w:cs="AdvPA"/>
          <w:color w:val="000000"/>
          <w:lang w:eastAsia="en-GB"/>
        </w:rPr>
        <w:t xml:space="preserve">O’Conner, D. and </w:t>
      </w:r>
      <w:proofErr w:type="spellStart"/>
      <w:r w:rsidRPr="005252DA">
        <w:rPr>
          <w:rFonts w:cs="AdvPA"/>
          <w:color w:val="000000"/>
          <w:lang w:eastAsia="en-GB"/>
        </w:rPr>
        <w:t>Nedlund</w:t>
      </w:r>
      <w:proofErr w:type="spellEnd"/>
      <w:r w:rsidRPr="005252DA">
        <w:rPr>
          <w:rFonts w:cs="AdvPA"/>
          <w:color w:val="000000"/>
          <w:lang w:eastAsia="en-GB"/>
        </w:rPr>
        <w:t xml:space="preserve">, A. (2016) Editorial introduction: special edition on citizenship and dementia, </w:t>
      </w:r>
      <w:r w:rsidRPr="005252DA">
        <w:rPr>
          <w:rFonts w:cs="AdvPA"/>
          <w:i/>
          <w:iCs/>
          <w:color w:val="000000"/>
          <w:lang w:eastAsia="en-GB"/>
        </w:rPr>
        <w:t>Dementia</w:t>
      </w:r>
      <w:r w:rsidRPr="005252DA">
        <w:rPr>
          <w:rFonts w:cs="AdvPA"/>
          <w:color w:val="000000"/>
          <w:lang w:eastAsia="en-GB"/>
        </w:rPr>
        <w:t xml:space="preserve">, 15, 3, 285-288.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10.1177/1471301216647150.</w:t>
      </w:r>
    </w:p>
    <w:p w14:paraId="3D085B72" w14:textId="77777777" w:rsidR="009431DD" w:rsidRPr="005252DA" w:rsidRDefault="009431DD" w:rsidP="00097178">
      <w:pPr>
        <w:suppressAutoHyphens/>
        <w:autoSpaceDE w:val="0"/>
        <w:spacing w:before="288" w:after="288" w:line="480" w:lineRule="auto"/>
        <w:rPr>
          <w:rFonts w:cs="AdvPA"/>
          <w:color w:val="000000"/>
          <w:lang w:eastAsia="en-GB"/>
        </w:rPr>
      </w:pPr>
      <w:proofErr w:type="spellStart"/>
      <w:proofErr w:type="gramStart"/>
      <w:r w:rsidRPr="005252DA">
        <w:rPr>
          <w:rFonts w:cs="AdvPA"/>
          <w:color w:val="000000"/>
          <w:sz w:val="24"/>
          <w:lang w:eastAsia="en-GB"/>
        </w:rPr>
        <w:lastRenderedPageBreak/>
        <w:t>ö</w:t>
      </w:r>
      <w:r w:rsidRPr="005252DA">
        <w:rPr>
          <w:rFonts w:cs="AdvPA"/>
          <w:color w:val="000000"/>
          <w:lang w:eastAsia="en-GB"/>
        </w:rPr>
        <w:t>sterholm</w:t>
      </w:r>
      <w:proofErr w:type="spellEnd"/>
      <w:proofErr w:type="gramEnd"/>
      <w:r w:rsidRPr="005252DA">
        <w:rPr>
          <w:rFonts w:cs="AdvPA"/>
          <w:color w:val="000000"/>
          <w:lang w:eastAsia="en-GB"/>
        </w:rPr>
        <w:t xml:space="preserve">, J.H., Larsson, A.T. and </w:t>
      </w:r>
      <w:proofErr w:type="spellStart"/>
      <w:r w:rsidRPr="005252DA">
        <w:rPr>
          <w:rFonts w:cs="AdvPA"/>
          <w:color w:val="000000"/>
          <w:lang w:eastAsia="en-GB"/>
        </w:rPr>
        <w:t>Olaison</w:t>
      </w:r>
      <w:proofErr w:type="spellEnd"/>
      <w:r w:rsidRPr="005252DA">
        <w:rPr>
          <w:rFonts w:cs="AdvPA"/>
          <w:color w:val="000000"/>
          <w:lang w:eastAsia="en-GB"/>
        </w:rPr>
        <w:t xml:space="preserve">, A. (2015) Handling the dilemma of self-determination and dementia: a study of case managers’ discursive strategies in assessment meetings, </w:t>
      </w:r>
      <w:r w:rsidRPr="005252DA">
        <w:rPr>
          <w:rFonts w:cs="AdvPA"/>
          <w:i/>
          <w:color w:val="000000"/>
          <w:lang w:eastAsia="en-GB"/>
        </w:rPr>
        <w:t xml:space="preserve">Journal of </w:t>
      </w:r>
      <w:proofErr w:type="spellStart"/>
      <w:r w:rsidRPr="005252DA">
        <w:rPr>
          <w:rFonts w:cs="AdvPA"/>
          <w:i/>
          <w:color w:val="000000"/>
          <w:lang w:eastAsia="en-GB"/>
        </w:rPr>
        <w:t>Gerontological</w:t>
      </w:r>
      <w:proofErr w:type="spellEnd"/>
      <w:r w:rsidRPr="005252DA">
        <w:rPr>
          <w:rFonts w:cs="AdvPA"/>
          <w:i/>
          <w:color w:val="000000"/>
          <w:lang w:eastAsia="en-GB"/>
        </w:rPr>
        <w:t xml:space="preserve"> Social Work,</w:t>
      </w:r>
      <w:r w:rsidRPr="005252DA">
        <w:rPr>
          <w:rFonts w:cs="AdvPA"/>
          <w:color w:val="000000"/>
          <w:lang w:eastAsia="en-GB"/>
        </w:rPr>
        <w:t xml:space="preserve"> 58, 613-636.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10.1080/01634372.2015.1067851</w:t>
      </w:r>
    </w:p>
    <w:p w14:paraId="04A8F797"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t xml:space="preserve">Phillips, J., Pond, C.D., Paterson, N.E., Howell, C., Shell, A., Stocks, N.P., Goode, S.M., and Marley, J.E. (2012) </w:t>
      </w:r>
      <w:r w:rsidRPr="005252DA">
        <w:rPr>
          <w:lang w:eastAsia="zh-CN"/>
        </w:rPr>
        <w:t xml:space="preserve">Difficulties in disclosing the diagnosis of dementia: a qualitative study in general practice, </w:t>
      </w:r>
      <w:r w:rsidRPr="005252DA">
        <w:rPr>
          <w:i/>
          <w:iCs/>
          <w:lang w:eastAsia="zh-CN"/>
        </w:rPr>
        <w:t>British Journal of General Practice</w:t>
      </w:r>
      <w:r w:rsidRPr="005252DA">
        <w:rPr>
          <w:lang w:eastAsia="zh-CN"/>
        </w:rPr>
        <w:t xml:space="preserve">, 62, 601, e546-53. </w:t>
      </w:r>
      <w:proofErr w:type="spellStart"/>
      <w:proofErr w:type="gramStart"/>
      <w:r w:rsidRPr="005252DA">
        <w:rPr>
          <w:lang w:eastAsia="zh-CN"/>
        </w:rPr>
        <w:t>doi</w:t>
      </w:r>
      <w:proofErr w:type="spellEnd"/>
      <w:proofErr w:type="gramEnd"/>
      <w:r w:rsidRPr="005252DA">
        <w:rPr>
          <w:lang w:eastAsia="zh-CN"/>
        </w:rPr>
        <w:t xml:space="preserve">: 10.3399/bjgp12X653598. </w:t>
      </w:r>
    </w:p>
    <w:p w14:paraId="612F00CB" w14:textId="77777777" w:rsidR="009431DD" w:rsidRPr="005252DA" w:rsidRDefault="009431DD" w:rsidP="00097178">
      <w:pPr>
        <w:suppressAutoHyphens/>
        <w:spacing w:line="480" w:lineRule="auto"/>
        <w:rPr>
          <w:rFonts w:ascii="Times New Roman" w:eastAsia="Times New Roman" w:hAnsi="Times New Roman"/>
          <w:sz w:val="24"/>
          <w:szCs w:val="24"/>
          <w:lang w:eastAsia="en-GB"/>
        </w:rPr>
      </w:pPr>
      <w:proofErr w:type="spellStart"/>
      <w:r w:rsidRPr="005252DA">
        <w:rPr>
          <w:rFonts w:cs="AdvTT2cba4af3.B"/>
          <w:lang w:eastAsia="en-GB"/>
        </w:rPr>
        <w:t>Phinney</w:t>
      </w:r>
      <w:proofErr w:type="spellEnd"/>
      <w:r w:rsidRPr="005252DA">
        <w:rPr>
          <w:rFonts w:cs="AdvTT2cba4af3.B"/>
          <w:lang w:eastAsia="en-GB"/>
        </w:rPr>
        <w:t xml:space="preserve">, A., </w:t>
      </w:r>
      <w:proofErr w:type="spellStart"/>
      <w:r w:rsidRPr="005252DA">
        <w:rPr>
          <w:rFonts w:cs="AdvTT2cba4af3.B"/>
          <w:lang w:eastAsia="en-GB"/>
        </w:rPr>
        <w:t>Chaudhury</w:t>
      </w:r>
      <w:proofErr w:type="spellEnd"/>
      <w:r w:rsidRPr="005252DA">
        <w:rPr>
          <w:rFonts w:cs="AdvTT2cba4af3.B"/>
          <w:lang w:eastAsia="en-GB"/>
        </w:rPr>
        <w:t xml:space="preserve">, H. and O’Conner, D.L. (2007) ‘Doing as much as I can do’: the meaning of activity for people, </w:t>
      </w:r>
      <w:r w:rsidRPr="005252DA">
        <w:rPr>
          <w:rFonts w:cs="AdvTT2cba4af3.B"/>
          <w:i/>
          <w:lang w:eastAsia="en-GB"/>
        </w:rPr>
        <w:t>Aging and Mental Health</w:t>
      </w:r>
      <w:r w:rsidRPr="005252DA">
        <w:rPr>
          <w:rFonts w:cs="AdvTT2cba4af3.B"/>
          <w:lang w:eastAsia="en-GB"/>
        </w:rPr>
        <w:t xml:space="preserve">, 11, 4, 384-93. </w:t>
      </w:r>
      <w:proofErr w:type="spellStart"/>
      <w:proofErr w:type="gramStart"/>
      <w:r w:rsidRPr="005252DA">
        <w:rPr>
          <w:rFonts w:cs="AdvTT2cba4af3.B"/>
          <w:lang w:eastAsia="en-GB"/>
        </w:rPr>
        <w:t>doi</w:t>
      </w:r>
      <w:proofErr w:type="spellEnd"/>
      <w:proofErr w:type="gramEnd"/>
      <w:r w:rsidRPr="005252DA">
        <w:rPr>
          <w:rFonts w:cs="AdvTT2cba4af3.B"/>
          <w:lang w:eastAsia="en-GB"/>
        </w:rPr>
        <w:t xml:space="preserve">: 10.1080/13607860601086470 </w:t>
      </w:r>
    </w:p>
    <w:p w14:paraId="633E5AA3" w14:textId="77777777" w:rsidR="009431DD" w:rsidRPr="005252DA" w:rsidRDefault="009431DD" w:rsidP="00097178">
      <w:pPr>
        <w:suppressAutoHyphens/>
        <w:spacing w:before="288" w:after="288" w:line="480" w:lineRule="auto"/>
        <w:rPr>
          <w:lang w:eastAsia="zh-CN"/>
        </w:rPr>
      </w:pPr>
      <w:r w:rsidRPr="005252DA">
        <w:rPr>
          <w:rFonts w:cs="TimesNewRomanPS"/>
          <w:color w:val="231F20"/>
          <w:lang w:eastAsia="en-GB"/>
        </w:rPr>
        <w:t xml:space="preserve">Preston, L., Marshall, A. and Bucks, R.S. (2007) Investigating the ways that older people cope with dementia: a qualitative study, </w:t>
      </w:r>
      <w:r w:rsidRPr="005252DA">
        <w:rPr>
          <w:rFonts w:cs="TimesNewRomanPS"/>
          <w:i/>
          <w:color w:val="231F20"/>
          <w:lang w:eastAsia="en-GB"/>
        </w:rPr>
        <w:t>Aging and Mental Health</w:t>
      </w:r>
      <w:r w:rsidRPr="005252DA">
        <w:rPr>
          <w:rFonts w:cs="TimesNewRomanPS"/>
          <w:color w:val="231F20"/>
          <w:lang w:eastAsia="en-GB"/>
        </w:rPr>
        <w:t xml:space="preserve">, 11, 2, 131-43. </w:t>
      </w:r>
      <w:proofErr w:type="spellStart"/>
      <w:proofErr w:type="gramStart"/>
      <w:r w:rsidRPr="005252DA">
        <w:rPr>
          <w:rFonts w:cs="TimesNewRomanPS"/>
          <w:color w:val="231F20"/>
          <w:lang w:eastAsia="en-GB"/>
        </w:rPr>
        <w:t>doi</w:t>
      </w:r>
      <w:proofErr w:type="spellEnd"/>
      <w:proofErr w:type="gramEnd"/>
      <w:r w:rsidRPr="005252DA">
        <w:rPr>
          <w:rFonts w:cs="TimesNewRomanPS"/>
          <w:color w:val="231F20"/>
          <w:lang w:eastAsia="en-GB"/>
        </w:rPr>
        <w:t xml:space="preserve">: </w:t>
      </w:r>
      <w:r w:rsidRPr="005252DA">
        <w:rPr>
          <w:lang w:eastAsia="zh-CN"/>
        </w:rPr>
        <w:t>10.1080/13607860600844572</w:t>
      </w:r>
    </w:p>
    <w:p w14:paraId="6A2818D2" w14:textId="6C5EA1BA" w:rsidR="009431DD" w:rsidRPr="005252DA" w:rsidRDefault="005252DA" w:rsidP="00097178">
      <w:pPr>
        <w:suppressAutoHyphens/>
        <w:spacing w:before="288" w:after="288" w:line="480" w:lineRule="auto"/>
        <w:rPr>
          <w:lang w:eastAsia="zh-CN"/>
        </w:rPr>
      </w:pPr>
      <w:r w:rsidRPr="005252DA">
        <w:rPr>
          <w:rFonts w:cs="TimesNewRomanPS"/>
          <w:color w:val="231F20"/>
          <w:lang w:eastAsia="en-GB"/>
        </w:rPr>
        <w:t>Prince, M., Bryce, R. and</w:t>
      </w:r>
      <w:r w:rsidR="009431DD" w:rsidRPr="005252DA">
        <w:rPr>
          <w:rFonts w:cs="TimesNewRomanPS"/>
          <w:color w:val="231F20"/>
          <w:lang w:eastAsia="en-GB"/>
        </w:rPr>
        <w:t xml:space="preserve"> </w:t>
      </w:r>
      <w:proofErr w:type="spellStart"/>
      <w:r w:rsidR="009431DD" w:rsidRPr="005252DA">
        <w:rPr>
          <w:rFonts w:cs="TimesNewRomanPS"/>
          <w:color w:val="231F20"/>
          <w:lang w:eastAsia="en-GB"/>
        </w:rPr>
        <w:t>Ferri</w:t>
      </w:r>
      <w:proofErr w:type="spellEnd"/>
      <w:r w:rsidR="009431DD" w:rsidRPr="005252DA">
        <w:rPr>
          <w:rFonts w:cs="TimesNewRomanPS"/>
          <w:color w:val="231F20"/>
          <w:lang w:eastAsia="en-GB"/>
        </w:rPr>
        <w:t xml:space="preserve">, C. (2011) </w:t>
      </w:r>
      <w:r w:rsidR="009431DD" w:rsidRPr="005252DA">
        <w:rPr>
          <w:rFonts w:cs="TimesNewRomanPS"/>
          <w:i/>
          <w:color w:val="231F20"/>
          <w:lang w:eastAsia="en-GB"/>
        </w:rPr>
        <w:t>World Alzheimer’s Report 2011: The benefit of early diagnosis and intervention</w:t>
      </w:r>
      <w:r w:rsidR="009431DD" w:rsidRPr="005252DA">
        <w:rPr>
          <w:rFonts w:cs="TimesNewRomanPS"/>
          <w:color w:val="231F20"/>
          <w:lang w:eastAsia="en-GB"/>
        </w:rPr>
        <w:t xml:space="preserve">. London: </w:t>
      </w:r>
      <w:proofErr w:type="gramStart"/>
      <w:r w:rsidR="009431DD" w:rsidRPr="005252DA">
        <w:rPr>
          <w:rFonts w:cs="TimesNewRomanPS"/>
          <w:color w:val="231F20"/>
          <w:lang w:eastAsia="en-GB"/>
        </w:rPr>
        <w:t>Alzheimer’s Disease</w:t>
      </w:r>
      <w:proofErr w:type="gramEnd"/>
      <w:r w:rsidR="009431DD" w:rsidRPr="005252DA">
        <w:rPr>
          <w:rFonts w:cs="TimesNewRomanPS"/>
          <w:color w:val="231F20"/>
          <w:lang w:eastAsia="en-GB"/>
        </w:rPr>
        <w:t xml:space="preserve"> International. </w:t>
      </w:r>
    </w:p>
    <w:p w14:paraId="1F4D28ED" w14:textId="77777777" w:rsidR="009431DD" w:rsidRPr="005252DA" w:rsidRDefault="009431DD" w:rsidP="00097178">
      <w:pPr>
        <w:suppressAutoHyphens/>
        <w:autoSpaceDE w:val="0"/>
        <w:spacing w:before="288" w:after="288" w:line="480" w:lineRule="auto"/>
        <w:rPr>
          <w:rFonts w:cs="AdvPA"/>
          <w:color w:val="000000"/>
          <w:lang w:eastAsia="en-GB"/>
        </w:rPr>
      </w:pPr>
      <w:r w:rsidRPr="005252DA">
        <w:rPr>
          <w:rFonts w:cs="AdvPA"/>
          <w:color w:val="000000"/>
          <w:lang w:eastAsia="en-GB"/>
        </w:rPr>
        <w:t xml:space="preserve">Robinson, L., Clare, L. and Evans, K. (2005) Making sense of dementia and adjusting to loss: psychological reactions to a diagnosis of dementia in couples, </w:t>
      </w:r>
      <w:r w:rsidRPr="005252DA">
        <w:rPr>
          <w:rFonts w:cs="AdvPA"/>
          <w:i/>
          <w:color w:val="000000"/>
          <w:lang w:eastAsia="en-GB"/>
        </w:rPr>
        <w:t>Aging and Mental Health</w:t>
      </w:r>
      <w:r w:rsidRPr="005252DA">
        <w:rPr>
          <w:rFonts w:cs="AdvPA"/>
          <w:color w:val="000000"/>
          <w:lang w:eastAsia="en-GB"/>
        </w:rPr>
        <w:t xml:space="preserve">, 9, 4, 337-347.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10.1080/13607860500114555</w:t>
      </w:r>
    </w:p>
    <w:p w14:paraId="6E27D081" w14:textId="77777777" w:rsidR="009431DD" w:rsidRPr="005252DA" w:rsidRDefault="009431DD" w:rsidP="00097178">
      <w:pPr>
        <w:suppressAutoHyphens/>
        <w:autoSpaceDE w:val="0"/>
        <w:spacing w:before="288" w:after="288" w:line="480" w:lineRule="auto"/>
        <w:rPr>
          <w:rFonts w:cs="AdvPA"/>
          <w:color w:val="000000"/>
          <w:lang w:eastAsia="en-GB"/>
        </w:rPr>
      </w:pPr>
      <w:r w:rsidRPr="005252DA">
        <w:rPr>
          <w:rFonts w:cs="AdvPA"/>
          <w:color w:val="000000"/>
          <w:lang w:eastAsia="en-GB"/>
        </w:rPr>
        <w:t xml:space="preserve">Rolland, J.S. (1987) </w:t>
      </w:r>
      <w:proofErr w:type="gramStart"/>
      <w:r w:rsidRPr="005252DA">
        <w:rPr>
          <w:rFonts w:cs="AdvPA"/>
          <w:color w:val="000000"/>
          <w:lang w:eastAsia="en-GB"/>
        </w:rPr>
        <w:t>Chronic</w:t>
      </w:r>
      <w:proofErr w:type="gramEnd"/>
      <w:r w:rsidRPr="005252DA">
        <w:rPr>
          <w:rFonts w:cs="AdvPA"/>
          <w:color w:val="000000"/>
          <w:lang w:eastAsia="en-GB"/>
        </w:rPr>
        <w:t xml:space="preserve"> illness and the life cycle: a conceptual framework, </w:t>
      </w:r>
      <w:r w:rsidRPr="005252DA">
        <w:rPr>
          <w:rFonts w:cs="AdvPA"/>
          <w:i/>
          <w:color w:val="000000"/>
          <w:lang w:eastAsia="en-GB"/>
        </w:rPr>
        <w:t>Family Process</w:t>
      </w:r>
      <w:r w:rsidRPr="005252DA">
        <w:rPr>
          <w:rFonts w:cs="AdvPA"/>
          <w:color w:val="000000"/>
          <w:lang w:eastAsia="en-GB"/>
        </w:rPr>
        <w:t xml:space="preserve">, 26, 2, 203-221.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xml:space="preserve">: </w:t>
      </w:r>
      <w:r w:rsidRPr="005252DA">
        <w:rPr>
          <w:lang w:eastAsia="zh-CN"/>
        </w:rPr>
        <w:t>10.1111/j.1545-5300.1987.00203.x</w:t>
      </w:r>
    </w:p>
    <w:p w14:paraId="35D67D77" w14:textId="4E55A6B2" w:rsidR="00B55E78" w:rsidRPr="005252DA" w:rsidRDefault="00B55E78" w:rsidP="00097178">
      <w:pPr>
        <w:autoSpaceDE w:val="0"/>
        <w:spacing w:before="288" w:after="288" w:line="480" w:lineRule="auto"/>
      </w:pPr>
      <w:proofErr w:type="spellStart"/>
      <w:r w:rsidRPr="005252DA">
        <w:rPr>
          <w:rFonts w:cs="AdvPA"/>
          <w:color w:val="000000"/>
          <w:lang w:eastAsia="en-GB"/>
        </w:rPr>
        <w:t>Sabat</w:t>
      </w:r>
      <w:proofErr w:type="spellEnd"/>
      <w:r w:rsidRPr="005252DA">
        <w:rPr>
          <w:rFonts w:cs="AdvPA"/>
          <w:color w:val="000000"/>
          <w:lang w:eastAsia="en-GB"/>
        </w:rPr>
        <w:t xml:space="preserve">, S.R.  (2002) Surviving manifestations of selfhood in Alzheimer’s disease: a case study. </w:t>
      </w:r>
      <w:r w:rsidRPr="005252DA">
        <w:rPr>
          <w:rFonts w:cs="AdvPA"/>
          <w:i/>
          <w:iCs/>
          <w:color w:val="000000"/>
          <w:lang w:eastAsia="en-GB"/>
        </w:rPr>
        <w:t>Dementia</w:t>
      </w:r>
      <w:r w:rsidRPr="005252DA">
        <w:rPr>
          <w:rFonts w:cs="AdvPA"/>
          <w:color w:val="000000"/>
          <w:lang w:eastAsia="en-GB"/>
        </w:rPr>
        <w:t xml:space="preserve">, 14, 1, 11-19.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xml:space="preserve">: </w:t>
      </w:r>
      <w:r w:rsidRPr="005252DA">
        <w:rPr>
          <w:rStyle w:val="slug-doi"/>
        </w:rPr>
        <w:t>10.1177/147130120200100101</w:t>
      </w:r>
    </w:p>
    <w:p w14:paraId="0876DEDA"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lastRenderedPageBreak/>
        <w:t>Samsi, K. and Manthorpe, J. (2013) Everyday decision-making in dementia: findings from a longitudinal interview study of people with dementia and family carers</w:t>
      </w:r>
      <w:r w:rsidRPr="005252DA">
        <w:rPr>
          <w:rFonts w:cs="AdvPA"/>
          <w:i/>
          <w:color w:val="000000"/>
          <w:lang w:eastAsia="en-GB"/>
        </w:rPr>
        <w:t xml:space="preserve">, International </w:t>
      </w:r>
      <w:proofErr w:type="spellStart"/>
      <w:r w:rsidRPr="005252DA">
        <w:rPr>
          <w:rFonts w:cs="AdvPA"/>
          <w:i/>
          <w:color w:val="000000"/>
          <w:lang w:eastAsia="en-GB"/>
        </w:rPr>
        <w:t>Psychogeriatrics</w:t>
      </w:r>
      <w:proofErr w:type="spellEnd"/>
      <w:r w:rsidRPr="005252DA">
        <w:rPr>
          <w:rFonts w:cs="AdvPA"/>
          <w:color w:val="000000"/>
          <w:lang w:eastAsia="en-GB"/>
        </w:rPr>
        <w:t xml:space="preserve">, 25, 5, </w:t>
      </w:r>
      <w:proofErr w:type="gramStart"/>
      <w:r w:rsidRPr="005252DA">
        <w:rPr>
          <w:rFonts w:cs="AdvPA"/>
          <w:color w:val="000000"/>
          <w:lang w:eastAsia="en-GB"/>
        </w:rPr>
        <w:t>949</w:t>
      </w:r>
      <w:proofErr w:type="gramEnd"/>
      <w:r w:rsidRPr="005252DA">
        <w:rPr>
          <w:rFonts w:cs="AdvPA"/>
          <w:color w:val="000000"/>
          <w:lang w:eastAsia="en-GB"/>
        </w:rPr>
        <w:t xml:space="preserve">-61.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xml:space="preserve">: </w:t>
      </w:r>
      <w:r w:rsidRPr="005252DA">
        <w:rPr>
          <w:lang w:eastAsia="zh-CN"/>
        </w:rPr>
        <w:t>10.1017/S1041610213000306</w:t>
      </w:r>
    </w:p>
    <w:p w14:paraId="534FF995" w14:textId="77777777" w:rsidR="009431DD" w:rsidRPr="005252DA" w:rsidRDefault="009431DD" w:rsidP="00097178">
      <w:pPr>
        <w:suppressAutoHyphens/>
        <w:autoSpaceDE w:val="0"/>
        <w:spacing w:before="288" w:after="288" w:line="480" w:lineRule="auto"/>
        <w:rPr>
          <w:rFonts w:cs="AdvPA"/>
          <w:color w:val="000000"/>
          <w:lang w:eastAsia="en-GB"/>
        </w:rPr>
      </w:pPr>
      <w:r w:rsidRPr="005252DA">
        <w:rPr>
          <w:rFonts w:cs="AdvPA"/>
          <w:color w:val="000000"/>
          <w:lang w:eastAsia="en-GB"/>
        </w:rPr>
        <w:t xml:space="preserve">Samsi, K., </w:t>
      </w:r>
      <w:proofErr w:type="spellStart"/>
      <w:r w:rsidRPr="005252DA">
        <w:rPr>
          <w:rFonts w:cs="AdvPA"/>
          <w:color w:val="000000"/>
          <w:lang w:eastAsia="en-GB"/>
        </w:rPr>
        <w:t>Abley</w:t>
      </w:r>
      <w:proofErr w:type="spellEnd"/>
      <w:r w:rsidRPr="005252DA">
        <w:rPr>
          <w:rFonts w:cs="AdvPA"/>
          <w:color w:val="000000"/>
          <w:lang w:eastAsia="en-GB"/>
        </w:rPr>
        <w:t xml:space="preserve">, C., Campbell, S., Keady, J., Manthorpe, J., Robinson, L., Watts, S. and Bond, J. (2014) Negotiating a Labyrinth: experiences of assessment and diagnostic journey in cognitive impairment and dementia, </w:t>
      </w:r>
      <w:r w:rsidRPr="005252DA">
        <w:rPr>
          <w:rFonts w:cs="AdvPA"/>
          <w:i/>
          <w:color w:val="000000"/>
          <w:lang w:eastAsia="en-GB"/>
        </w:rPr>
        <w:t>International Journal of Geriatric Psychiatry</w:t>
      </w:r>
      <w:r w:rsidRPr="005252DA">
        <w:rPr>
          <w:rFonts w:cs="AdvPA"/>
          <w:color w:val="000000"/>
          <w:lang w:eastAsia="en-GB"/>
        </w:rPr>
        <w:t xml:space="preserve">, 29, 58-67.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10.1002/gps.3969</w:t>
      </w:r>
    </w:p>
    <w:p w14:paraId="1B362374" w14:textId="056F5908" w:rsidR="00064F8A" w:rsidRPr="005252DA" w:rsidRDefault="00064F8A" w:rsidP="00097178">
      <w:pPr>
        <w:suppressAutoHyphens/>
        <w:autoSpaceDE w:val="0"/>
        <w:spacing w:before="288" w:after="288" w:line="480" w:lineRule="auto"/>
      </w:pPr>
      <w:proofErr w:type="spellStart"/>
      <w:r w:rsidRPr="005252DA">
        <w:rPr>
          <w:rFonts w:cs="AdvPA"/>
          <w:color w:val="000000"/>
          <w:lang w:eastAsia="en-GB"/>
        </w:rPr>
        <w:t>S</w:t>
      </w:r>
      <w:r w:rsidR="005252DA" w:rsidRPr="005252DA">
        <w:rPr>
          <w:rFonts w:cs="AdvPA"/>
          <w:color w:val="000000"/>
          <w:lang w:eastAsia="en-GB"/>
        </w:rPr>
        <w:t>c</w:t>
      </w:r>
      <w:r w:rsidRPr="005252DA">
        <w:rPr>
          <w:rFonts w:cs="AdvPA"/>
          <w:color w:val="000000"/>
          <w:lang w:eastAsia="en-GB"/>
        </w:rPr>
        <w:t>heer</w:t>
      </w:r>
      <w:proofErr w:type="spellEnd"/>
      <w:r w:rsidRPr="005252DA">
        <w:rPr>
          <w:rFonts w:cs="AdvPA"/>
          <w:color w:val="000000"/>
          <w:lang w:eastAsia="en-GB"/>
        </w:rPr>
        <w:t xml:space="preserve">, S.D., Gavazzi, S.M. and </w:t>
      </w:r>
      <w:proofErr w:type="spellStart"/>
      <w:r w:rsidRPr="005252DA">
        <w:rPr>
          <w:rFonts w:cs="AdvPA"/>
          <w:color w:val="000000"/>
          <w:lang w:eastAsia="en-GB"/>
        </w:rPr>
        <w:t>Blumenkrantz</w:t>
      </w:r>
      <w:proofErr w:type="spellEnd"/>
      <w:r w:rsidRPr="005252DA">
        <w:rPr>
          <w:rFonts w:cs="AdvPA"/>
          <w:color w:val="000000"/>
          <w:lang w:eastAsia="en-GB"/>
        </w:rPr>
        <w:t xml:space="preserve">, D.G. (2007) Rites of passage during adolescence, </w:t>
      </w:r>
      <w:r w:rsidRPr="005252DA">
        <w:rPr>
          <w:rFonts w:cs="AdvPA"/>
          <w:i/>
          <w:color w:val="000000"/>
          <w:lang w:eastAsia="en-GB"/>
        </w:rPr>
        <w:t>The Forum for Family and Consumer Issues</w:t>
      </w:r>
      <w:r w:rsidRPr="005252DA">
        <w:rPr>
          <w:rFonts w:cs="AdvPA"/>
          <w:color w:val="000000"/>
          <w:lang w:eastAsia="en-GB"/>
        </w:rPr>
        <w:t xml:space="preserve">, 12, 2 online </w:t>
      </w:r>
      <w:r w:rsidRPr="005252DA">
        <w:t xml:space="preserve">http://ncsu.edu/ffci/publications/2007/v12n2-2007-fall/index-v12n2-nov-2007.php </w:t>
      </w:r>
    </w:p>
    <w:p w14:paraId="5536C0D8" w14:textId="19B49863" w:rsidR="004016CD" w:rsidRPr="005252DA" w:rsidRDefault="004016CD" w:rsidP="00097178">
      <w:pPr>
        <w:suppressAutoHyphens/>
        <w:autoSpaceDE w:val="0"/>
        <w:spacing w:before="288" w:after="288" w:line="480" w:lineRule="auto"/>
        <w:rPr>
          <w:rFonts w:cs="AdvPA"/>
          <w:color w:val="000000"/>
          <w:lang w:eastAsia="en-GB"/>
        </w:rPr>
      </w:pPr>
      <w:r w:rsidRPr="005252DA">
        <w:rPr>
          <w:rFonts w:cs="AdvPA"/>
          <w:color w:val="000000"/>
          <w:lang w:eastAsia="en-GB"/>
        </w:rPr>
        <w:t>Sh</w:t>
      </w:r>
      <w:r w:rsidR="005252DA" w:rsidRPr="005252DA">
        <w:rPr>
          <w:rFonts w:cs="AdvPA"/>
          <w:color w:val="000000"/>
          <w:lang w:eastAsia="en-GB"/>
        </w:rPr>
        <w:t>ie</w:t>
      </w:r>
      <w:r w:rsidRPr="005252DA">
        <w:rPr>
          <w:rFonts w:cs="AdvPA"/>
          <w:color w:val="000000"/>
          <w:lang w:eastAsia="en-GB"/>
        </w:rPr>
        <w:t xml:space="preserve">lds, l., </w:t>
      </w:r>
      <w:proofErr w:type="spellStart"/>
      <w:r w:rsidRPr="005252DA">
        <w:rPr>
          <w:rFonts w:cs="AdvPA"/>
          <w:color w:val="000000"/>
          <w:lang w:eastAsia="en-GB"/>
        </w:rPr>
        <w:t>Molzahn</w:t>
      </w:r>
      <w:proofErr w:type="spellEnd"/>
      <w:r w:rsidRPr="005252DA">
        <w:rPr>
          <w:rFonts w:cs="AdvPA"/>
          <w:color w:val="000000"/>
          <w:lang w:eastAsia="en-GB"/>
        </w:rPr>
        <w:t xml:space="preserve">, A., Bruce, A., Schick </w:t>
      </w:r>
      <w:proofErr w:type="spellStart"/>
      <w:r w:rsidRPr="005252DA">
        <w:rPr>
          <w:rFonts w:cs="AdvPA"/>
          <w:color w:val="000000"/>
          <w:lang w:eastAsia="en-GB"/>
        </w:rPr>
        <w:t>Makaroff</w:t>
      </w:r>
      <w:proofErr w:type="spellEnd"/>
      <w:r w:rsidRPr="005252DA">
        <w:rPr>
          <w:rFonts w:cs="AdvPA"/>
          <w:color w:val="000000"/>
          <w:lang w:eastAsia="en-GB"/>
        </w:rPr>
        <w:t xml:space="preserve">, K., </w:t>
      </w:r>
      <w:proofErr w:type="spellStart"/>
      <w:r w:rsidRPr="005252DA">
        <w:rPr>
          <w:rFonts w:cs="AdvPA"/>
          <w:color w:val="000000"/>
          <w:lang w:eastAsia="en-GB"/>
        </w:rPr>
        <w:t>Stajduhar</w:t>
      </w:r>
      <w:proofErr w:type="spellEnd"/>
      <w:r w:rsidRPr="005252DA">
        <w:rPr>
          <w:rFonts w:cs="AdvPA"/>
          <w:color w:val="000000"/>
          <w:lang w:eastAsia="en-GB"/>
        </w:rPr>
        <w:t xml:space="preserve">, k., </w:t>
      </w:r>
      <w:proofErr w:type="spellStart"/>
      <w:r w:rsidRPr="005252DA">
        <w:rPr>
          <w:rFonts w:cs="AdvPA"/>
          <w:color w:val="000000"/>
          <w:lang w:eastAsia="en-GB"/>
        </w:rPr>
        <w:t>Beuthin</w:t>
      </w:r>
      <w:proofErr w:type="spellEnd"/>
      <w:r w:rsidRPr="005252DA">
        <w:rPr>
          <w:rFonts w:cs="AdvPA"/>
          <w:color w:val="000000"/>
          <w:lang w:eastAsia="en-GB"/>
        </w:rPr>
        <w:t xml:space="preserve">, R. and </w:t>
      </w:r>
      <w:proofErr w:type="spellStart"/>
      <w:r w:rsidRPr="005252DA">
        <w:rPr>
          <w:rFonts w:cs="AdvPA"/>
          <w:color w:val="000000"/>
          <w:lang w:eastAsia="en-GB"/>
        </w:rPr>
        <w:t>Shermak</w:t>
      </w:r>
      <w:proofErr w:type="spellEnd"/>
      <w:r w:rsidRPr="005252DA">
        <w:rPr>
          <w:rFonts w:cs="AdvPA"/>
          <w:color w:val="000000"/>
          <w:lang w:eastAsia="en-GB"/>
        </w:rPr>
        <w:t xml:space="preserve">, S. (2015) Contrasting stories of life threatening illness: a narrative inquiry, </w:t>
      </w:r>
      <w:r w:rsidRPr="005252DA">
        <w:rPr>
          <w:rFonts w:cs="AdvPA"/>
          <w:i/>
          <w:color w:val="000000"/>
          <w:lang w:eastAsia="en-GB"/>
        </w:rPr>
        <w:t>International Journal of Nursing Studies</w:t>
      </w:r>
      <w:r w:rsidRPr="005252DA">
        <w:rPr>
          <w:rFonts w:cs="AdvPA"/>
          <w:color w:val="000000"/>
          <w:lang w:eastAsia="en-GB"/>
        </w:rPr>
        <w:t xml:space="preserve">, 52, 207-215. </w:t>
      </w:r>
      <w:proofErr w:type="spellStart"/>
      <w:proofErr w:type="gramStart"/>
      <w:r w:rsidRPr="005252DA">
        <w:rPr>
          <w:rFonts w:cs="AdvPA"/>
          <w:color w:val="000000"/>
          <w:lang w:eastAsia="en-GB"/>
        </w:rPr>
        <w:t>doi</w:t>
      </w:r>
      <w:proofErr w:type="spellEnd"/>
      <w:proofErr w:type="gramEnd"/>
      <w:r w:rsidRPr="005252DA">
        <w:rPr>
          <w:rFonts w:cs="AdvPA"/>
          <w:color w:val="000000"/>
          <w:lang w:eastAsia="en-GB"/>
        </w:rPr>
        <w:t>: 10.1016/j.ijnurstu.2014.10.008</w:t>
      </w:r>
    </w:p>
    <w:p w14:paraId="3D9BC56C" w14:textId="35F7C4BE" w:rsidR="00BB261E" w:rsidRPr="005252DA" w:rsidRDefault="00BB261E" w:rsidP="00097178">
      <w:pPr>
        <w:suppressAutoHyphens/>
        <w:autoSpaceDE w:val="0"/>
        <w:spacing w:before="288" w:after="288" w:line="480" w:lineRule="auto"/>
        <w:rPr>
          <w:rFonts w:cs="AdvPA"/>
          <w:color w:val="000000"/>
          <w:lang w:eastAsia="en-GB"/>
        </w:rPr>
      </w:pPr>
      <w:proofErr w:type="spellStart"/>
      <w:r w:rsidRPr="005252DA">
        <w:rPr>
          <w:rFonts w:cs="AdvPA"/>
          <w:color w:val="000000"/>
          <w:lang w:eastAsia="en-GB"/>
        </w:rPr>
        <w:t>Steeman</w:t>
      </w:r>
      <w:proofErr w:type="spellEnd"/>
      <w:r w:rsidR="009E232D" w:rsidRPr="005252DA">
        <w:rPr>
          <w:rFonts w:cs="AdvPA"/>
          <w:color w:val="000000"/>
          <w:lang w:eastAsia="en-GB"/>
        </w:rPr>
        <w:t xml:space="preserve">, E., </w:t>
      </w:r>
      <w:proofErr w:type="spellStart"/>
      <w:r w:rsidR="009E232D" w:rsidRPr="005252DA">
        <w:rPr>
          <w:rFonts w:cs="AdvPA"/>
          <w:color w:val="000000"/>
          <w:lang w:eastAsia="en-GB"/>
        </w:rPr>
        <w:t>Godderis</w:t>
      </w:r>
      <w:proofErr w:type="spellEnd"/>
      <w:r w:rsidR="009E232D" w:rsidRPr="005252DA">
        <w:rPr>
          <w:rFonts w:cs="AdvPA"/>
          <w:color w:val="000000"/>
          <w:lang w:eastAsia="en-GB"/>
        </w:rPr>
        <w:t xml:space="preserve">, J., </w:t>
      </w:r>
      <w:proofErr w:type="spellStart"/>
      <w:r w:rsidR="009E232D" w:rsidRPr="005252DA">
        <w:rPr>
          <w:rFonts w:cs="AdvPA"/>
          <w:color w:val="000000"/>
          <w:lang w:eastAsia="en-GB"/>
        </w:rPr>
        <w:t>Grypdonck</w:t>
      </w:r>
      <w:proofErr w:type="spellEnd"/>
      <w:r w:rsidR="009E232D" w:rsidRPr="005252DA">
        <w:rPr>
          <w:rFonts w:cs="AdvPA"/>
          <w:color w:val="000000"/>
          <w:lang w:eastAsia="en-GB"/>
        </w:rPr>
        <w:t xml:space="preserve">, M., De Bal, </w:t>
      </w:r>
      <w:r w:rsidR="005252DA" w:rsidRPr="005252DA">
        <w:rPr>
          <w:rFonts w:cs="AdvPA"/>
          <w:color w:val="000000"/>
          <w:lang w:eastAsia="en-GB"/>
        </w:rPr>
        <w:t xml:space="preserve">N. and </w:t>
      </w:r>
      <w:proofErr w:type="spellStart"/>
      <w:r w:rsidR="005252DA" w:rsidRPr="005252DA">
        <w:rPr>
          <w:rFonts w:cs="AdvPA"/>
          <w:color w:val="000000"/>
          <w:lang w:eastAsia="en-GB"/>
        </w:rPr>
        <w:t>Dierckx</w:t>
      </w:r>
      <w:proofErr w:type="spellEnd"/>
      <w:r w:rsidR="005252DA" w:rsidRPr="005252DA">
        <w:rPr>
          <w:rFonts w:cs="AdvPA"/>
          <w:color w:val="000000"/>
          <w:lang w:eastAsia="en-GB"/>
        </w:rPr>
        <w:t xml:space="preserve"> de </w:t>
      </w:r>
      <w:proofErr w:type="spellStart"/>
      <w:r w:rsidR="005252DA" w:rsidRPr="005252DA">
        <w:rPr>
          <w:rFonts w:cs="AdvPA"/>
          <w:color w:val="000000"/>
          <w:lang w:eastAsia="en-GB"/>
        </w:rPr>
        <w:t>Casterle</w:t>
      </w:r>
      <w:proofErr w:type="spellEnd"/>
      <w:r w:rsidR="005252DA" w:rsidRPr="005252DA">
        <w:rPr>
          <w:rFonts w:cs="AdvPA"/>
          <w:color w:val="000000"/>
          <w:lang w:eastAsia="en-GB"/>
        </w:rPr>
        <w:t>, B. (</w:t>
      </w:r>
      <w:r w:rsidR="009E232D" w:rsidRPr="005252DA">
        <w:rPr>
          <w:rFonts w:cs="AdvPA"/>
          <w:color w:val="000000"/>
          <w:lang w:eastAsia="en-GB"/>
        </w:rPr>
        <w:t>2007) Living with dementia f</w:t>
      </w:r>
      <w:r w:rsidR="005252DA" w:rsidRPr="005252DA">
        <w:rPr>
          <w:rFonts w:cs="AdvPA"/>
          <w:color w:val="000000"/>
          <w:lang w:eastAsia="en-GB"/>
        </w:rPr>
        <w:t>ro</w:t>
      </w:r>
      <w:r w:rsidR="009E232D" w:rsidRPr="005252DA">
        <w:rPr>
          <w:rFonts w:cs="AdvPA"/>
          <w:color w:val="000000"/>
          <w:lang w:eastAsia="en-GB"/>
        </w:rPr>
        <w:t>m the perspective of older people: is it a positive story</w:t>
      </w:r>
      <w:proofErr w:type="gramStart"/>
      <w:r w:rsidR="009E232D" w:rsidRPr="005252DA">
        <w:rPr>
          <w:rFonts w:cs="AdvPA"/>
          <w:color w:val="000000"/>
          <w:lang w:eastAsia="en-GB"/>
        </w:rPr>
        <w:t>?,</w:t>
      </w:r>
      <w:proofErr w:type="gramEnd"/>
      <w:r w:rsidR="009E232D" w:rsidRPr="005252DA">
        <w:rPr>
          <w:rFonts w:cs="AdvPA"/>
          <w:color w:val="000000"/>
          <w:lang w:eastAsia="en-GB"/>
        </w:rPr>
        <w:t xml:space="preserve"> </w:t>
      </w:r>
      <w:r w:rsidR="009E232D" w:rsidRPr="005252DA">
        <w:rPr>
          <w:rFonts w:cs="AdvPA"/>
          <w:i/>
          <w:color w:val="000000"/>
          <w:lang w:eastAsia="en-GB"/>
        </w:rPr>
        <w:t>Aging and Mental Health,</w:t>
      </w:r>
      <w:r w:rsidR="009E232D" w:rsidRPr="005252DA">
        <w:rPr>
          <w:rFonts w:cs="AdvPA"/>
          <w:color w:val="000000"/>
          <w:lang w:eastAsia="en-GB"/>
        </w:rPr>
        <w:t xml:space="preserve"> 11, 2,2 119-130. </w:t>
      </w:r>
      <w:proofErr w:type="spellStart"/>
      <w:proofErr w:type="gramStart"/>
      <w:r w:rsidR="009E232D" w:rsidRPr="005252DA">
        <w:rPr>
          <w:rFonts w:cs="AdvPA"/>
          <w:color w:val="000000"/>
          <w:lang w:eastAsia="en-GB"/>
        </w:rPr>
        <w:t>doi</w:t>
      </w:r>
      <w:proofErr w:type="spellEnd"/>
      <w:proofErr w:type="gramEnd"/>
      <w:r w:rsidR="009E232D" w:rsidRPr="005252DA">
        <w:rPr>
          <w:rFonts w:cs="AdvPA"/>
          <w:color w:val="000000"/>
          <w:lang w:eastAsia="en-GB"/>
        </w:rPr>
        <w:t>: 10.1080/13607860600963364</w:t>
      </w:r>
    </w:p>
    <w:p w14:paraId="3E269F4C" w14:textId="77777777" w:rsidR="009431DD" w:rsidRPr="005252DA" w:rsidRDefault="009431DD" w:rsidP="00097178">
      <w:pPr>
        <w:suppressAutoHyphens/>
        <w:spacing w:before="288" w:after="288" w:line="480" w:lineRule="auto"/>
        <w:rPr>
          <w:lang w:eastAsia="zh-CN"/>
        </w:rPr>
      </w:pPr>
      <w:r w:rsidRPr="005252DA">
        <w:rPr>
          <w:rFonts w:eastAsia="Times New Roman" w:cs="AdvP7B6C"/>
          <w:lang w:eastAsia="en-GB"/>
        </w:rPr>
        <w:t xml:space="preserve">Sweeting, H. and Gilhooly, M. (1997) Dementia and the phenomenon of social death, </w:t>
      </w:r>
      <w:r w:rsidRPr="005252DA">
        <w:rPr>
          <w:rFonts w:eastAsia="Times New Roman" w:cs="AdvP7B6C"/>
          <w:i/>
          <w:lang w:eastAsia="en-GB"/>
        </w:rPr>
        <w:t>Sociology of Health and Illness</w:t>
      </w:r>
      <w:r w:rsidRPr="005252DA">
        <w:rPr>
          <w:rFonts w:eastAsia="Times New Roman" w:cs="AdvP7B6C"/>
          <w:lang w:eastAsia="en-GB"/>
        </w:rPr>
        <w:t xml:space="preserve">, 19, 1, 93-117. </w:t>
      </w:r>
      <w:proofErr w:type="spellStart"/>
      <w:proofErr w:type="gramStart"/>
      <w:r w:rsidRPr="005252DA">
        <w:rPr>
          <w:rFonts w:eastAsia="Times New Roman" w:cs="AdvP7B6C"/>
          <w:lang w:eastAsia="en-GB"/>
        </w:rPr>
        <w:t>doi</w:t>
      </w:r>
      <w:proofErr w:type="spellEnd"/>
      <w:proofErr w:type="gramEnd"/>
      <w:r w:rsidRPr="005252DA">
        <w:rPr>
          <w:rFonts w:eastAsia="Times New Roman" w:cs="AdvP7B6C"/>
          <w:lang w:eastAsia="en-GB"/>
        </w:rPr>
        <w:t xml:space="preserve">: </w:t>
      </w:r>
      <w:r w:rsidRPr="005252DA">
        <w:rPr>
          <w:lang w:eastAsia="zh-CN"/>
        </w:rPr>
        <w:t>10.1111/j.1467-9566.1997.tb00017.x</w:t>
      </w:r>
    </w:p>
    <w:p w14:paraId="6AB9FC1A" w14:textId="77777777" w:rsidR="009431DD" w:rsidRPr="005252DA" w:rsidRDefault="009431DD" w:rsidP="00097178">
      <w:pPr>
        <w:suppressAutoHyphens/>
        <w:autoSpaceDE w:val="0"/>
        <w:spacing w:before="288" w:after="288" w:line="480" w:lineRule="auto"/>
        <w:rPr>
          <w:lang w:eastAsia="zh-CN"/>
        </w:rPr>
      </w:pPr>
      <w:r w:rsidRPr="005252DA">
        <w:rPr>
          <w:rFonts w:cs="AdvPA"/>
          <w:color w:val="000000"/>
          <w:lang w:eastAsia="en-GB"/>
        </w:rPr>
        <w:t>Turner, B.S. (1993) Contemporary problems in the theory of citizenship. In Turner, B.S. (Ed) C</w:t>
      </w:r>
      <w:r w:rsidRPr="005252DA">
        <w:rPr>
          <w:rFonts w:cs="AdvPA"/>
          <w:i/>
          <w:iCs/>
          <w:color w:val="000000"/>
          <w:lang w:eastAsia="en-GB"/>
        </w:rPr>
        <w:t>itizenship and social theory</w:t>
      </w:r>
      <w:r w:rsidRPr="005252DA">
        <w:rPr>
          <w:rFonts w:cs="AdvPA"/>
          <w:color w:val="000000"/>
          <w:lang w:eastAsia="en-GB"/>
        </w:rPr>
        <w:t xml:space="preserve">. London: Sage Publications. </w:t>
      </w:r>
    </w:p>
    <w:p w14:paraId="698F3CD2" w14:textId="1F8EA102" w:rsidR="00C7185F" w:rsidRPr="005252DA" w:rsidRDefault="00C7185F" w:rsidP="00097178">
      <w:pPr>
        <w:suppressAutoHyphens/>
        <w:spacing w:before="288" w:after="288" w:line="480" w:lineRule="auto"/>
        <w:rPr>
          <w:rFonts w:eastAsia="Times New Roman" w:cs="AdvP7B6C"/>
          <w:lang w:eastAsia="en-GB"/>
        </w:rPr>
      </w:pPr>
      <w:r w:rsidRPr="005252DA">
        <w:rPr>
          <w:rFonts w:eastAsia="Times New Roman" w:cs="AdvP7B6C"/>
          <w:lang w:eastAsia="en-GB"/>
        </w:rPr>
        <w:t>Turner, V. (196</w:t>
      </w:r>
      <w:r w:rsidR="005252DA" w:rsidRPr="005252DA">
        <w:rPr>
          <w:rFonts w:eastAsia="Times New Roman" w:cs="AdvP7B6C"/>
          <w:lang w:eastAsia="en-GB"/>
        </w:rPr>
        <w:t>7</w:t>
      </w:r>
      <w:r w:rsidRPr="005252DA">
        <w:rPr>
          <w:rFonts w:eastAsia="Times New Roman" w:cs="AdvP7B6C"/>
          <w:lang w:eastAsia="en-GB"/>
        </w:rPr>
        <w:t xml:space="preserve">) </w:t>
      </w:r>
      <w:r w:rsidRPr="005252DA">
        <w:rPr>
          <w:rFonts w:eastAsia="Times New Roman" w:cs="AdvP7B6C"/>
          <w:i/>
          <w:lang w:eastAsia="en-GB"/>
        </w:rPr>
        <w:t xml:space="preserve">The forest of </w:t>
      </w:r>
      <w:proofErr w:type="gramStart"/>
      <w:r w:rsidRPr="005252DA">
        <w:rPr>
          <w:rFonts w:eastAsia="Times New Roman" w:cs="AdvP7B6C"/>
          <w:i/>
          <w:lang w:eastAsia="en-GB"/>
        </w:rPr>
        <w:t>symbols</w:t>
      </w:r>
      <w:r w:rsidR="00F11B92" w:rsidRPr="005252DA">
        <w:rPr>
          <w:rFonts w:eastAsia="Times New Roman" w:cs="AdvP7B6C"/>
          <w:i/>
          <w:lang w:eastAsia="en-GB"/>
        </w:rPr>
        <w:t xml:space="preserve"> </w:t>
      </w:r>
      <w:r w:rsidRPr="005252DA">
        <w:rPr>
          <w:rFonts w:eastAsia="Times New Roman" w:cs="AdvP7B6C"/>
          <w:i/>
          <w:lang w:eastAsia="en-GB"/>
        </w:rPr>
        <w:t xml:space="preserve"> aspects</w:t>
      </w:r>
      <w:proofErr w:type="gramEnd"/>
      <w:r w:rsidRPr="005252DA">
        <w:rPr>
          <w:rFonts w:eastAsia="Times New Roman" w:cs="AdvP7B6C"/>
          <w:i/>
          <w:lang w:eastAsia="en-GB"/>
        </w:rPr>
        <w:t xml:space="preserve"> of </w:t>
      </w:r>
      <w:proofErr w:type="spellStart"/>
      <w:r w:rsidRPr="005252DA">
        <w:rPr>
          <w:rFonts w:eastAsia="Times New Roman" w:cs="AdvP7B6C"/>
          <w:i/>
          <w:lang w:eastAsia="en-GB"/>
        </w:rPr>
        <w:t>Ndembu</w:t>
      </w:r>
      <w:proofErr w:type="spellEnd"/>
      <w:r w:rsidRPr="005252DA">
        <w:rPr>
          <w:rFonts w:eastAsia="Times New Roman" w:cs="AdvP7B6C"/>
          <w:i/>
          <w:lang w:eastAsia="en-GB"/>
        </w:rPr>
        <w:t xml:space="preserve"> ritual</w:t>
      </w:r>
      <w:r w:rsidRPr="005252DA">
        <w:rPr>
          <w:rFonts w:eastAsia="Times New Roman" w:cs="AdvP7B6C"/>
          <w:lang w:eastAsia="en-GB"/>
        </w:rPr>
        <w:t>. London: Cornell University Press.</w:t>
      </w:r>
    </w:p>
    <w:p w14:paraId="7C0954F2" w14:textId="371D3D86" w:rsidR="009431DD" w:rsidRPr="005252DA" w:rsidRDefault="009431DD" w:rsidP="00097178">
      <w:pPr>
        <w:suppressAutoHyphens/>
        <w:spacing w:before="288" w:after="288" w:line="480" w:lineRule="auto"/>
        <w:rPr>
          <w:lang w:eastAsia="zh-CN"/>
        </w:rPr>
      </w:pPr>
      <w:r w:rsidRPr="005252DA">
        <w:rPr>
          <w:rFonts w:eastAsia="Times New Roman" w:cs="AdvP7B6C"/>
          <w:lang w:eastAsia="en-GB"/>
        </w:rPr>
        <w:lastRenderedPageBreak/>
        <w:t xml:space="preserve">Turner, V. (1974) </w:t>
      </w:r>
      <w:r w:rsidRPr="005252DA">
        <w:rPr>
          <w:rFonts w:eastAsia="Times New Roman" w:cs="AdvP7B6C"/>
          <w:i/>
          <w:lang w:eastAsia="en-GB"/>
        </w:rPr>
        <w:t>Dramas, fields and metaphors: symbolic action in human societies</w:t>
      </w:r>
      <w:r w:rsidRPr="005252DA">
        <w:rPr>
          <w:rFonts w:eastAsia="Times New Roman"/>
          <w:i/>
          <w:lang w:eastAsia="en-GB"/>
        </w:rPr>
        <w:t xml:space="preserve">. </w:t>
      </w:r>
      <w:r w:rsidRPr="005252DA">
        <w:rPr>
          <w:rFonts w:eastAsia="Times New Roman"/>
          <w:lang w:eastAsia="en-GB"/>
        </w:rPr>
        <w:t xml:space="preserve"> New York: Cornell University Press.</w:t>
      </w:r>
    </w:p>
    <w:p w14:paraId="0D0CD083" w14:textId="77777777" w:rsidR="009431DD" w:rsidRPr="005252DA" w:rsidRDefault="009431DD" w:rsidP="00097178">
      <w:pPr>
        <w:suppressAutoHyphens/>
        <w:autoSpaceDE w:val="0"/>
        <w:spacing w:before="288" w:after="288" w:line="480" w:lineRule="auto"/>
        <w:rPr>
          <w:lang w:eastAsia="zh-CN"/>
        </w:rPr>
      </w:pPr>
      <w:r w:rsidRPr="005252DA">
        <w:rPr>
          <w:rFonts w:cs="AdvOT863180fb"/>
          <w:lang w:eastAsia="en-GB"/>
        </w:rPr>
        <w:t xml:space="preserve">Van </w:t>
      </w:r>
      <w:proofErr w:type="spellStart"/>
      <w:r w:rsidRPr="005252DA">
        <w:rPr>
          <w:rFonts w:cs="AdvOT863180fb"/>
          <w:lang w:eastAsia="en-GB"/>
        </w:rPr>
        <w:t>Gennep</w:t>
      </w:r>
      <w:proofErr w:type="spellEnd"/>
      <w:r w:rsidRPr="005252DA">
        <w:rPr>
          <w:rFonts w:cs="AdvOT863180fb"/>
          <w:lang w:eastAsia="en-GB"/>
        </w:rPr>
        <w:t xml:space="preserve">, A. (1960) </w:t>
      </w:r>
      <w:proofErr w:type="gramStart"/>
      <w:r w:rsidRPr="005252DA">
        <w:rPr>
          <w:rFonts w:cs="AdvOT863180fb"/>
          <w:i/>
          <w:lang w:eastAsia="en-GB"/>
        </w:rPr>
        <w:t>The</w:t>
      </w:r>
      <w:proofErr w:type="gramEnd"/>
      <w:r w:rsidRPr="005252DA">
        <w:rPr>
          <w:rFonts w:cs="AdvOT863180fb"/>
          <w:i/>
          <w:lang w:eastAsia="en-GB"/>
        </w:rPr>
        <w:t xml:space="preserve"> rites of passage</w:t>
      </w:r>
      <w:r w:rsidRPr="005252DA">
        <w:rPr>
          <w:rFonts w:cs="AdvOT863180fb"/>
          <w:lang w:eastAsia="en-GB"/>
        </w:rPr>
        <w:t>. Chicago: University of Chicago Press.</w:t>
      </w:r>
    </w:p>
    <w:p w14:paraId="3FA7EA29" w14:textId="77777777" w:rsidR="009431DD" w:rsidRPr="005252DA" w:rsidRDefault="009431DD" w:rsidP="00097178">
      <w:pPr>
        <w:suppressAutoHyphens/>
        <w:spacing w:before="288" w:after="288" w:line="480" w:lineRule="auto"/>
        <w:rPr>
          <w:lang w:eastAsia="zh-CN"/>
        </w:rPr>
      </w:pPr>
      <w:proofErr w:type="spellStart"/>
      <w:r w:rsidRPr="005252DA">
        <w:rPr>
          <w:lang w:eastAsia="zh-CN"/>
        </w:rPr>
        <w:t>Vernooij-Dassen</w:t>
      </w:r>
      <w:proofErr w:type="spellEnd"/>
      <w:r w:rsidRPr="005252DA">
        <w:rPr>
          <w:lang w:eastAsia="zh-CN"/>
        </w:rPr>
        <w:t xml:space="preserve">, M., </w:t>
      </w:r>
      <w:proofErr w:type="spellStart"/>
      <w:r w:rsidRPr="005252DA">
        <w:rPr>
          <w:lang w:eastAsia="zh-CN"/>
        </w:rPr>
        <w:t>Derksen</w:t>
      </w:r>
      <w:proofErr w:type="spellEnd"/>
      <w:r w:rsidRPr="005252DA">
        <w:rPr>
          <w:lang w:eastAsia="zh-CN"/>
        </w:rPr>
        <w:t xml:space="preserve">, E., </w:t>
      </w:r>
      <w:proofErr w:type="spellStart"/>
      <w:r w:rsidRPr="005252DA">
        <w:rPr>
          <w:lang w:eastAsia="zh-CN"/>
        </w:rPr>
        <w:t>Scheltens</w:t>
      </w:r>
      <w:proofErr w:type="spellEnd"/>
      <w:r w:rsidRPr="005252DA">
        <w:rPr>
          <w:lang w:eastAsia="zh-CN"/>
        </w:rPr>
        <w:t xml:space="preserve">, P. and Moniz-Cook, E. (2006) Receiving a diagnosis of dementia: the experience over time, </w:t>
      </w:r>
      <w:r w:rsidRPr="005252DA">
        <w:rPr>
          <w:i/>
          <w:lang w:eastAsia="zh-CN"/>
        </w:rPr>
        <w:t>Dementia</w:t>
      </w:r>
      <w:r w:rsidRPr="005252DA">
        <w:rPr>
          <w:lang w:eastAsia="zh-CN"/>
        </w:rPr>
        <w:t xml:space="preserve">, 5, 3, 397-410. </w:t>
      </w:r>
      <w:proofErr w:type="spellStart"/>
      <w:proofErr w:type="gramStart"/>
      <w:r w:rsidRPr="005252DA">
        <w:rPr>
          <w:lang w:eastAsia="zh-CN"/>
        </w:rPr>
        <w:t>doi</w:t>
      </w:r>
      <w:proofErr w:type="spellEnd"/>
      <w:proofErr w:type="gramEnd"/>
      <w:r w:rsidRPr="005252DA">
        <w:rPr>
          <w:lang w:eastAsia="zh-CN"/>
        </w:rPr>
        <w:t>: 10.1177/1471301206067114</w:t>
      </w:r>
    </w:p>
    <w:p w14:paraId="27CF060E" w14:textId="77777777" w:rsidR="009431DD" w:rsidRPr="005252DA" w:rsidRDefault="009431DD" w:rsidP="00097178">
      <w:pPr>
        <w:suppressAutoHyphens/>
        <w:spacing w:before="288" w:after="288" w:line="480" w:lineRule="auto"/>
        <w:rPr>
          <w:lang w:eastAsia="zh-CN"/>
        </w:rPr>
      </w:pPr>
      <w:proofErr w:type="spellStart"/>
      <w:r w:rsidRPr="005252DA">
        <w:rPr>
          <w:rFonts w:cs="TimesNewRomanPS"/>
          <w:color w:val="231F20"/>
          <w:lang w:eastAsia="en-GB"/>
        </w:rPr>
        <w:t>Wolverson</w:t>
      </w:r>
      <w:proofErr w:type="spellEnd"/>
      <w:r w:rsidRPr="005252DA">
        <w:rPr>
          <w:rFonts w:cs="TimesNewRomanPS"/>
          <w:color w:val="231F20"/>
          <w:lang w:eastAsia="en-GB"/>
        </w:rPr>
        <w:t xml:space="preserve">, E.L., Clarke, C. and Moniz-Cook, E.D. (2015) Living positively with dementia: a systematic review and synthesis of the qualitative literature, </w:t>
      </w:r>
      <w:r w:rsidRPr="005252DA">
        <w:rPr>
          <w:rFonts w:cs="TimesNewRomanPS"/>
          <w:i/>
          <w:color w:val="231F20"/>
          <w:lang w:eastAsia="en-GB"/>
        </w:rPr>
        <w:t>Aging and Mental Health</w:t>
      </w:r>
      <w:r w:rsidRPr="005252DA">
        <w:rPr>
          <w:rFonts w:cs="TimesNewRomanPS"/>
          <w:color w:val="231F20"/>
          <w:lang w:eastAsia="en-GB"/>
        </w:rPr>
        <w:t xml:space="preserve">, </w:t>
      </w:r>
      <w:proofErr w:type="spellStart"/>
      <w:r w:rsidRPr="005252DA">
        <w:rPr>
          <w:rFonts w:cs="TimesNewRomanPS"/>
          <w:color w:val="231F20"/>
          <w:lang w:eastAsia="en-GB"/>
        </w:rPr>
        <w:t>eprint</w:t>
      </w:r>
      <w:proofErr w:type="spellEnd"/>
      <w:r w:rsidRPr="005252DA">
        <w:rPr>
          <w:rFonts w:cs="TimesNewRomanPS"/>
          <w:color w:val="231F20"/>
          <w:lang w:eastAsia="en-GB"/>
        </w:rPr>
        <w:t xml:space="preserve">: </w:t>
      </w:r>
      <w:proofErr w:type="spellStart"/>
      <w:r w:rsidRPr="005252DA">
        <w:rPr>
          <w:rFonts w:cs="TimesNewRomanPS"/>
          <w:color w:val="231F20"/>
          <w:lang w:eastAsia="en-GB"/>
        </w:rPr>
        <w:t>doi</w:t>
      </w:r>
      <w:proofErr w:type="spellEnd"/>
      <w:r w:rsidRPr="005252DA">
        <w:rPr>
          <w:rFonts w:cs="TimesNewRomanPS"/>
          <w:color w:val="231F20"/>
          <w:lang w:eastAsia="en-GB"/>
        </w:rPr>
        <w:t>: 10.1080/13607863.2015.1052777</w:t>
      </w:r>
    </w:p>
    <w:p w14:paraId="4C2814C9" w14:textId="77777777" w:rsidR="009431DD" w:rsidRPr="005252DA" w:rsidRDefault="009431DD" w:rsidP="00097178">
      <w:pPr>
        <w:suppressAutoHyphens/>
        <w:spacing w:before="288" w:after="288" w:line="480" w:lineRule="auto"/>
        <w:rPr>
          <w:lang w:eastAsia="zh-CN"/>
        </w:rPr>
      </w:pPr>
      <w:r w:rsidRPr="005252DA">
        <w:rPr>
          <w:lang w:val="en" w:eastAsia="zh-CN"/>
        </w:rPr>
        <w:t xml:space="preserve">World Health Organization. (2002) </w:t>
      </w:r>
      <w:r w:rsidRPr="005252DA">
        <w:rPr>
          <w:i/>
          <w:lang w:val="en" w:eastAsia="zh-CN"/>
        </w:rPr>
        <w:t xml:space="preserve">Reducing stigma and discrimination against older people with mental disorders. </w:t>
      </w:r>
      <w:r w:rsidRPr="005252DA">
        <w:rPr>
          <w:lang w:val="en" w:eastAsia="zh-CN"/>
        </w:rPr>
        <w:t xml:space="preserve">Geneva: WHO </w:t>
      </w:r>
      <w:r w:rsidRPr="005252DA">
        <w:rPr>
          <w:rFonts w:cs="Arial"/>
          <w:lang w:eastAsia="en-GB"/>
        </w:rPr>
        <w:t>WHO/MSD/MBD/02.3.</w:t>
      </w:r>
    </w:p>
    <w:p w14:paraId="38B24AB9" w14:textId="77777777" w:rsidR="009431DD" w:rsidRPr="005252DA" w:rsidRDefault="009431DD" w:rsidP="00097178">
      <w:pPr>
        <w:suppressAutoHyphens/>
        <w:spacing w:before="288" w:after="288" w:line="480" w:lineRule="auto"/>
        <w:rPr>
          <w:lang w:eastAsia="zh-CN"/>
        </w:rPr>
      </w:pPr>
      <w:proofErr w:type="spellStart"/>
      <w:r w:rsidRPr="005252DA">
        <w:rPr>
          <w:rFonts w:eastAsia="Times New Roman"/>
          <w:lang w:eastAsia="en-GB"/>
        </w:rPr>
        <w:t>Zeilig</w:t>
      </w:r>
      <w:proofErr w:type="spellEnd"/>
      <w:r w:rsidRPr="005252DA">
        <w:rPr>
          <w:rFonts w:eastAsia="Times New Roman"/>
          <w:lang w:eastAsia="en-GB"/>
        </w:rPr>
        <w:t xml:space="preserve">, H. (2013) Dementia as a cultural metaphor, </w:t>
      </w:r>
      <w:r w:rsidRPr="005252DA">
        <w:rPr>
          <w:rFonts w:eastAsia="Times New Roman"/>
          <w:i/>
          <w:lang w:eastAsia="en-GB"/>
        </w:rPr>
        <w:t>The Gerontologist</w:t>
      </w:r>
      <w:r w:rsidRPr="005252DA">
        <w:rPr>
          <w:rFonts w:eastAsia="Times New Roman"/>
          <w:lang w:eastAsia="en-GB"/>
        </w:rPr>
        <w:t xml:space="preserve">, 54, 2, 258-67. </w:t>
      </w:r>
      <w:proofErr w:type="spellStart"/>
      <w:proofErr w:type="gramStart"/>
      <w:r w:rsidRPr="005252DA">
        <w:rPr>
          <w:rFonts w:eastAsia="Times New Roman"/>
          <w:lang w:eastAsia="en-GB"/>
        </w:rPr>
        <w:t>doi</w:t>
      </w:r>
      <w:proofErr w:type="spellEnd"/>
      <w:proofErr w:type="gramEnd"/>
      <w:r w:rsidRPr="005252DA">
        <w:rPr>
          <w:rFonts w:eastAsia="Times New Roman"/>
          <w:lang w:eastAsia="en-GB"/>
        </w:rPr>
        <w:t xml:space="preserve">: </w:t>
      </w:r>
      <w:r w:rsidRPr="005252DA">
        <w:rPr>
          <w:lang w:eastAsia="zh-CN"/>
        </w:rPr>
        <w:t>10.1093/</w:t>
      </w:r>
      <w:proofErr w:type="spellStart"/>
      <w:r w:rsidRPr="005252DA">
        <w:rPr>
          <w:lang w:eastAsia="zh-CN"/>
        </w:rPr>
        <w:t>geront</w:t>
      </w:r>
      <w:proofErr w:type="spellEnd"/>
      <w:r w:rsidRPr="005252DA">
        <w:rPr>
          <w:lang w:eastAsia="zh-CN"/>
        </w:rPr>
        <w:t>/gns203</w:t>
      </w:r>
    </w:p>
    <w:p w14:paraId="3D3AA390" w14:textId="77777777" w:rsidR="00103B10" w:rsidRDefault="009431DD" w:rsidP="00097178">
      <w:pPr>
        <w:suppressAutoHyphens/>
        <w:spacing w:before="288" w:after="288" w:line="480" w:lineRule="auto"/>
        <w:rPr>
          <w:lang w:eastAsia="zh-CN"/>
        </w:rPr>
      </w:pPr>
      <w:proofErr w:type="spellStart"/>
      <w:r w:rsidRPr="005252DA">
        <w:rPr>
          <w:lang w:eastAsia="zh-CN"/>
        </w:rPr>
        <w:t>Ziv</w:t>
      </w:r>
      <w:proofErr w:type="spellEnd"/>
      <w:r w:rsidRPr="005252DA">
        <w:rPr>
          <w:lang w:eastAsia="zh-CN"/>
        </w:rPr>
        <w:t xml:space="preserve">, A. (2010) </w:t>
      </w:r>
      <w:proofErr w:type="gramStart"/>
      <w:r w:rsidRPr="005252DA">
        <w:rPr>
          <w:lang w:eastAsia="zh-CN"/>
        </w:rPr>
        <w:t>The</w:t>
      </w:r>
      <w:proofErr w:type="gramEnd"/>
      <w:r w:rsidRPr="005252DA">
        <w:rPr>
          <w:lang w:eastAsia="zh-CN"/>
        </w:rPr>
        <w:t xml:space="preserve"> social function of </w:t>
      </w:r>
      <w:proofErr w:type="spellStart"/>
      <w:r w:rsidRPr="005252DA">
        <w:rPr>
          <w:lang w:eastAsia="zh-CN"/>
        </w:rPr>
        <w:t>humor</w:t>
      </w:r>
      <w:proofErr w:type="spellEnd"/>
      <w:r w:rsidRPr="005252DA">
        <w:rPr>
          <w:lang w:eastAsia="zh-CN"/>
        </w:rPr>
        <w:t xml:space="preserve"> in interpersonal relationships, </w:t>
      </w:r>
      <w:r w:rsidRPr="005252DA">
        <w:rPr>
          <w:i/>
          <w:lang w:eastAsia="zh-CN"/>
        </w:rPr>
        <w:t>Society,</w:t>
      </w:r>
      <w:r w:rsidRPr="005252DA">
        <w:rPr>
          <w:lang w:eastAsia="zh-CN"/>
        </w:rPr>
        <w:t xml:space="preserve"> 47, 11-8. </w:t>
      </w:r>
      <w:proofErr w:type="spellStart"/>
      <w:proofErr w:type="gramStart"/>
      <w:r w:rsidRPr="005252DA">
        <w:rPr>
          <w:lang w:eastAsia="zh-CN"/>
        </w:rPr>
        <w:t>doi</w:t>
      </w:r>
      <w:proofErr w:type="spellEnd"/>
      <w:proofErr w:type="gramEnd"/>
      <w:r w:rsidRPr="005252DA">
        <w:rPr>
          <w:lang w:eastAsia="zh-CN"/>
        </w:rPr>
        <w:t>: 10.1007/s12115-009-9283-9</w:t>
      </w:r>
    </w:p>
    <w:p w14:paraId="40800241" w14:textId="77777777" w:rsidR="00103B10" w:rsidRDefault="00103B10" w:rsidP="00097178">
      <w:pPr>
        <w:suppressAutoHyphens/>
        <w:spacing w:before="288" w:after="288" w:line="480" w:lineRule="auto"/>
        <w:rPr>
          <w:lang w:eastAsia="zh-CN"/>
        </w:rPr>
        <w:sectPr w:rsidR="00103B10">
          <w:footerReference w:type="default" r:id="rId9"/>
          <w:pgSz w:w="11906" w:h="16838"/>
          <w:pgMar w:top="1440" w:right="1440" w:bottom="1440" w:left="1440" w:header="708" w:footer="708" w:gutter="0"/>
          <w:cols w:space="708"/>
          <w:docGrid w:linePitch="360"/>
        </w:sectPr>
      </w:pPr>
    </w:p>
    <w:p w14:paraId="545F44E5" w14:textId="77777777" w:rsidR="00103B10" w:rsidRPr="00103B10" w:rsidRDefault="00103B10" w:rsidP="00103B10">
      <w:pPr>
        <w:rPr>
          <w:b/>
          <w:sz w:val="28"/>
          <w:szCs w:val="28"/>
        </w:rPr>
      </w:pPr>
      <w:r w:rsidRPr="00103B10">
        <w:rPr>
          <w:b/>
          <w:sz w:val="28"/>
          <w:szCs w:val="28"/>
        </w:rPr>
        <w:lastRenderedPageBreak/>
        <w:t>Figure 1: Liminal States in Dementia</w:t>
      </w:r>
    </w:p>
    <w:p w14:paraId="65E2DAFB" w14:textId="77777777" w:rsidR="00103B10" w:rsidRDefault="00103B10" w:rsidP="00103B10"/>
    <w:tbl>
      <w:tblPr>
        <w:tblW w:w="0" w:type="auto"/>
        <w:tblInd w:w="55" w:type="dxa"/>
        <w:tblBorders>
          <w:top w:val="nil"/>
          <w:left w:val="nil"/>
          <w:bottom w:val="nil"/>
          <w:right w:val="nil"/>
          <w:insideH w:val="nil"/>
          <w:insideV w:val="nil"/>
        </w:tblBorders>
        <w:tblCellMar>
          <w:top w:w="55" w:type="dxa"/>
          <w:left w:w="55" w:type="dxa"/>
          <w:bottom w:w="55" w:type="dxa"/>
          <w:right w:w="55" w:type="dxa"/>
        </w:tblCellMar>
        <w:tblLook w:val="04A0" w:firstRow="1" w:lastRow="0" w:firstColumn="1" w:lastColumn="0" w:noHBand="0" w:noVBand="1"/>
      </w:tblPr>
      <w:tblGrid>
        <w:gridCol w:w="3402"/>
        <w:gridCol w:w="3969"/>
        <w:gridCol w:w="2667"/>
        <w:gridCol w:w="3402"/>
      </w:tblGrid>
      <w:tr w:rsidR="00103B10" w14:paraId="260C3277" w14:textId="77777777" w:rsidTr="006D44EF">
        <w:tc>
          <w:tcPr>
            <w:tcW w:w="3402" w:type="dxa"/>
            <w:tcBorders>
              <w:top w:val="nil"/>
              <w:left w:val="nil"/>
              <w:bottom w:val="nil"/>
              <w:right w:val="nil"/>
            </w:tcBorders>
            <w:shd w:val="clear" w:color="auto" w:fill="auto"/>
            <w:vAlign w:val="bottom"/>
          </w:tcPr>
          <w:p w14:paraId="4AF7CE90" w14:textId="77777777" w:rsidR="00103B10" w:rsidRDefault="00103B10" w:rsidP="006D44EF">
            <w:pPr>
              <w:pStyle w:val="TableContents"/>
              <w:rPr>
                <w:b/>
                <w:bCs/>
              </w:rPr>
            </w:pPr>
            <w:r>
              <w:rPr>
                <w:b/>
                <w:bCs/>
              </w:rPr>
              <w:t>Rituals of becoming a person with dementia</w:t>
            </w:r>
            <w:r>
              <w:rPr>
                <w:b/>
                <w:bCs/>
              </w:rPr>
              <w:br/>
            </w:r>
          </w:p>
        </w:tc>
        <w:tc>
          <w:tcPr>
            <w:tcW w:w="3969" w:type="dxa"/>
            <w:tcBorders>
              <w:top w:val="nil"/>
              <w:left w:val="nil"/>
              <w:bottom w:val="nil"/>
              <w:right w:val="nil"/>
            </w:tcBorders>
            <w:shd w:val="clear" w:color="auto" w:fill="auto"/>
            <w:vAlign w:val="bottom"/>
          </w:tcPr>
          <w:p w14:paraId="1FBC3C10" w14:textId="77777777" w:rsidR="00103B10" w:rsidRDefault="00103B10" w:rsidP="006D44EF">
            <w:pPr>
              <w:pStyle w:val="TableContents"/>
              <w:jc w:val="center"/>
              <w:rPr>
                <w:b/>
                <w:bCs/>
              </w:rPr>
            </w:pPr>
            <w:r>
              <w:rPr>
                <w:b/>
                <w:bCs/>
              </w:rPr>
              <w:t>Liminal state</w:t>
            </w:r>
            <w:r>
              <w:rPr>
                <w:b/>
                <w:bCs/>
              </w:rPr>
              <w:br/>
              <w:t>(uncertainty and ambiguity)</w:t>
            </w:r>
            <w:r>
              <w:rPr>
                <w:b/>
                <w:bCs/>
              </w:rPr>
              <w:br/>
            </w:r>
          </w:p>
        </w:tc>
        <w:tc>
          <w:tcPr>
            <w:tcW w:w="2667" w:type="dxa"/>
            <w:tcBorders>
              <w:top w:val="nil"/>
              <w:left w:val="nil"/>
              <w:bottom w:val="nil"/>
              <w:right w:val="nil"/>
            </w:tcBorders>
            <w:shd w:val="clear" w:color="auto" w:fill="auto"/>
            <w:vAlign w:val="bottom"/>
          </w:tcPr>
          <w:p w14:paraId="1358EBCF" w14:textId="77777777" w:rsidR="00103B10" w:rsidRDefault="00103B10" w:rsidP="006D44EF">
            <w:pPr>
              <w:pStyle w:val="TableContents"/>
              <w:jc w:val="center"/>
              <w:rPr>
                <w:b/>
                <w:bCs/>
              </w:rPr>
            </w:pPr>
            <w:r>
              <w:rPr>
                <w:b/>
                <w:bCs/>
              </w:rPr>
              <w:t>Post-liminal state</w:t>
            </w:r>
            <w:r>
              <w:rPr>
                <w:b/>
                <w:bCs/>
              </w:rPr>
              <w:br/>
            </w:r>
          </w:p>
        </w:tc>
        <w:tc>
          <w:tcPr>
            <w:tcW w:w="3402" w:type="dxa"/>
            <w:tcBorders>
              <w:top w:val="nil"/>
              <w:left w:val="nil"/>
              <w:bottom w:val="nil"/>
              <w:right w:val="nil"/>
            </w:tcBorders>
            <w:shd w:val="clear" w:color="auto" w:fill="auto"/>
            <w:vAlign w:val="bottom"/>
          </w:tcPr>
          <w:p w14:paraId="555B2E4D" w14:textId="77777777" w:rsidR="00103B10" w:rsidRDefault="00103B10" w:rsidP="006D44EF">
            <w:pPr>
              <w:pStyle w:val="TableContents"/>
              <w:jc w:val="center"/>
              <w:rPr>
                <w:b/>
                <w:bCs/>
              </w:rPr>
            </w:pPr>
            <w:r>
              <w:rPr>
                <w:b/>
                <w:bCs/>
              </w:rPr>
              <w:t>Characteristics of</w:t>
            </w:r>
            <w:r>
              <w:rPr>
                <w:b/>
                <w:bCs/>
              </w:rPr>
              <w:br/>
              <w:t>post-liminal state</w:t>
            </w:r>
            <w:r>
              <w:rPr>
                <w:b/>
                <w:bCs/>
              </w:rPr>
              <w:br/>
            </w:r>
          </w:p>
        </w:tc>
      </w:tr>
      <w:tr w:rsidR="00103B10" w14:paraId="5706251B" w14:textId="77777777" w:rsidTr="006D44EF">
        <w:tc>
          <w:tcPr>
            <w:tcW w:w="3402" w:type="dxa"/>
            <w:vMerge w:val="restart"/>
            <w:tcBorders>
              <w:top w:val="nil"/>
              <w:left w:val="nil"/>
              <w:bottom w:val="nil"/>
              <w:right w:val="nil"/>
            </w:tcBorders>
            <w:shd w:val="clear" w:color="auto" w:fill="auto"/>
          </w:tcPr>
          <w:p w14:paraId="3CF8C7B0" w14:textId="77777777" w:rsidR="00103B10" w:rsidRDefault="00103B10" w:rsidP="00103B10">
            <w:pPr>
              <w:pStyle w:val="TableContents"/>
              <w:numPr>
                <w:ilvl w:val="0"/>
                <w:numId w:val="5"/>
              </w:numPr>
              <w:spacing w:before="57" w:after="57"/>
            </w:pPr>
            <w:r>
              <w:t>Discussions acknowledging possible memory lapses</w:t>
            </w:r>
          </w:p>
          <w:p w14:paraId="2F117737" w14:textId="77777777" w:rsidR="00103B10" w:rsidRDefault="00103B10" w:rsidP="00103B10">
            <w:pPr>
              <w:pStyle w:val="TableContents"/>
              <w:numPr>
                <w:ilvl w:val="0"/>
                <w:numId w:val="5"/>
              </w:numPr>
              <w:spacing w:before="57" w:after="57"/>
            </w:pPr>
            <w:r>
              <w:t>Standardised memory tests</w:t>
            </w:r>
          </w:p>
          <w:p w14:paraId="4C174F5F" w14:textId="77777777" w:rsidR="00103B10" w:rsidRDefault="00103B10" w:rsidP="00103B10">
            <w:pPr>
              <w:pStyle w:val="TableContents"/>
              <w:numPr>
                <w:ilvl w:val="0"/>
                <w:numId w:val="5"/>
              </w:numPr>
              <w:spacing w:before="57" w:after="57"/>
            </w:pPr>
            <w:r>
              <w:t>Brain scans</w:t>
            </w:r>
          </w:p>
          <w:p w14:paraId="354CD9E9" w14:textId="77777777" w:rsidR="00103B10" w:rsidRDefault="00103B10" w:rsidP="00103B10">
            <w:pPr>
              <w:pStyle w:val="TableContents"/>
              <w:numPr>
                <w:ilvl w:val="0"/>
                <w:numId w:val="5"/>
              </w:numPr>
              <w:spacing w:before="57" w:after="57"/>
            </w:pPr>
            <w:r>
              <w:t>Formal confirmation of diagnosis or non-diagnosis</w:t>
            </w:r>
          </w:p>
          <w:p w14:paraId="605096C9" w14:textId="77777777" w:rsidR="00103B10" w:rsidRDefault="00103B10" w:rsidP="00103B10">
            <w:pPr>
              <w:pStyle w:val="TableContents"/>
              <w:numPr>
                <w:ilvl w:val="0"/>
                <w:numId w:val="5"/>
              </w:numPr>
              <w:spacing w:before="57" w:after="57"/>
            </w:pPr>
            <w:r>
              <w:t>Status as mental health patient</w:t>
            </w:r>
          </w:p>
        </w:tc>
        <w:tc>
          <w:tcPr>
            <w:tcW w:w="3969" w:type="dxa"/>
            <w:vMerge w:val="restart"/>
            <w:tcBorders>
              <w:top w:val="nil"/>
              <w:left w:val="nil"/>
              <w:bottom w:val="nil"/>
              <w:right w:val="nil"/>
            </w:tcBorders>
            <w:shd w:val="clear" w:color="auto" w:fill="auto"/>
          </w:tcPr>
          <w:p w14:paraId="0EB58061" w14:textId="77777777" w:rsidR="00103B10" w:rsidRDefault="00103B10" w:rsidP="006D44EF">
            <w:pPr>
              <w:pStyle w:val="TableContents"/>
            </w:pPr>
          </w:p>
          <w:p w14:paraId="640AB72B" w14:textId="77777777" w:rsidR="00103B10" w:rsidRDefault="00103B10" w:rsidP="006D44EF">
            <w:pPr>
              <w:pStyle w:val="TableContents"/>
              <w:spacing w:before="1134" w:after="1134"/>
            </w:pPr>
            <w:bookmarkStart w:id="1" w:name="__UnoMark__42_674149022"/>
            <w:bookmarkStart w:id="2" w:name="__UnoMark__40_674149022"/>
            <w:bookmarkStart w:id="3" w:name="__UnoMark__38_674149022"/>
            <w:bookmarkEnd w:id="1"/>
            <w:bookmarkEnd w:id="2"/>
            <w:bookmarkEnd w:id="3"/>
            <w:r>
              <w:rPr>
                <w:noProof/>
                <w:lang w:eastAsia="en-GB" w:bidi="ar-SA"/>
              </w:rPr>
              <mc:AlternateContent>
                <mc:Choice Requires="wpg">
                  <w:drawing>
                    <wp:anchor distT="0" distB="0" distL="114300" distR="114300" simplePos="0" relativeHeight="251662336" behindDoc="0" locked="0" layoutInCell="1" allowOverlap="1" wp14:anchorId="40679475" wp14:editId="60B71974">
                      <wp:simplePos x="0" y="0"/>
                      <wp:positionH relativeFrom="column">
                        <wp:posOffset>648970</wp:posOffset>
                      </wp:positionH>
                      <wp:positionV relativeFrom="paragraph">
                        <wp:posOffset>633095</wp:posOffset>
                      </wp:positionV>
                      <wp:extent cx="1257300" cy="1257300"/>
                      <wp:effectExtent l="0" t="0" r="19050" b="19050"/>
                      <wp:wrapNone/>
                      <wp:docPr id="13" name="Group 13"/>
                      <wp:cNvGraphicFramePr/>
                      <a:graphic xmlns:a="http://schemas.openxmlformats.org/drawingml/2006/main">
                        <a:graphicData uri="http://schemas.microsoft.com/office/word/2010/wordprocessingGroup">
                          <wpg:wgp>
                            <wpg:cNvGrpSpPr/>
                            <wpg:grpSpPr>
                              <a:xfrm>
                                <a:off x="0" y="0"/>
                                <a:ext cx="1257300" cy="1257300"/>
                                <a:chOff x="0" y="0"/>
                                <a:chExt cx="1257300" cy="1257300"/>
                              </a:xfrm>
                            </wpg:grpSpPr>
                            <wps:wsp>
                              <wps:cNvPr id="6" name="shape_0"/>
                              <wps:cNvSpPr>
                                <a:spLocks noChangeArrowheads="1"/>
                              </wps:cNvSpPr>
                              <wps:spPr bwMode="auto">
                                <a:xfrm>
                                  <a:off x="0" y="0"/>
                                  <a:ext cx="1257300" cy="1257300"/>
                                </a:xfrm>
                                <a:custGeom>
                                  <a:avLst/>
                                  <a:gdLst>
                                    <a:gd name="G0" fmla="+- 5400 0 0"/>
                                    <a:gd name="G1" fmla="+- 10800 0 G0"/>
                                    <a:gd name="T0" fmla="*/ 45 256 1"/>
                                    <a:gd name="T1" fmla="*/ 0 256 1"/>
                                    <a:gd name="G2" fmla="+- 0 T0 T1"/>
                                    <a:gd name="G3" fmla="cos 10800 G2"/>
                                    <a:gd name="G4" fmla="sin 10800 G2"/>
                                    <a:gd name="G5" fmla="+- 10800 0 G3"/>
                                    <a:gd name="G6" fmla="+- 10800 G3 0"/>
                                    <a:gd name="G7" fmla="+- 10800 0 G4"/>
                                    <a:gd name="G8" fmla="+- 10800 G4 0"/>
                                    <a:gd name="G9" fmla="+- 10800 0 0"/>
                                    <a:gd name="G10" fmla="+- 0 10800 10800"/>
                                    <a:gd name="G11" fmla="+- 10800 G9 0"/>
                                    <a:gd name="G12" fmla="+- 10800 G10 0"/>
                                    <a:gd name="G13" fmla="+- 0 G11 10800"/>
                                    <a:gd name="G14" fmla="+- 10800 G12 0"/>
                                    <a:gd name="G15" fmla="+- 0 G13 10800"/>
                                    <a:gd name="G16" fmla="+- 0 G14 10800"/>
                                    <a:gd name="G17" fmla="+- G1 G0 0"/>
                                    <a:gd name="G18" fmla="+- G1 10800 0"/>
                                    <a:gd name="G19" fmla="+- G1 G17 0"/>
                                    <a:gd name="G20" fmla="+- 0 G18 G1"/>
                                    <a:gd name="G21" fmla="+- 0 G19 G1"/>
                                    <a:gd name="G22" fmla="+- 0 G20 G1"/>
                                    <a:gd name="G23" fmla="+- 0 G21 G1"/>
                                    <a:gd name="G24" fmla="+- G1 G22 0"/>
                                    <a:gd name="T2" fmla="*/ G5 w 21600"/>
                                    <a:gd name="T3" fmla="*/ G7 h 21600"/>
                                    <a:gd name="T4" fmla="*/ G6 w 21600"/>
                                    <a:gd name="T5" fmla="*/ G8 h 21600"/>
                                  </a:gdLst>
                                  <a:ahLst/>
                                  <a:cxnLst>
                                    <a:cxn ang="0">
                                      <a:pos x="r" y="vc"/>
                                    </a:cxn>
                                    <a:cxn ang="5400000">
                                      <a:pos x="hc" y="b"/>
                                    </a:cxn>
                                    <a:cxn ang="10800000">
                                      <a:pos x="l" y="vc"/>
                                    </a:cxn>
                                    <a:cxn ang="16200000">
                                      <a:pos x="hc" y="t"/>
                                    </a:cxn>
                                  </a:cxnLst>
                                  <a:rect l="T2" t="T3" r="T4" b="T5"/>
                                  <a:pathLst>
                                    <a:path w="21600" h="21600">
                                      <a:moveTo>
                                        <a:pt x="0" y="10800"/>
                                      </a:moveTo>
                                      <a:cubicBezTo>
                                        <a:pt x="0" y="4835"/>
                                        <a:pt x="4835" y="0"/>
                                        <a:pt x="10800" y="0"/>
                                      </a:cubicBezTo>
                                      <a:cubicBezTo>
                                        <a:pt x="16765" y="0"/>
                                        <a:pt x="21600" y="4835"/>
                                        <a:pt x="21600" y="10800"/>
                                      </a:cubicBezTo>
                                      <a:cubicBezTo>
                                        <a:pt x="21600" y="16765"/>
                                        <a:pt x="16765" y="21600"/>
                                        <a:pt x="10800" y="21600"/>
                                      </a:cubicBezTo>
                                      <a:cubicBezTo>
                                        <a:pt x="4835" y="21600"/>
                                        <a:pt x="0" y="16765"/>
                                        <a:pt x="0" y="10800"/>
                                      </a:cubicBezTo>
                                      <a:close/>
                                      <a:moveTo>
                                        <a:pt x="5400" y="10800"/>
                                      </a:moveTo>
                                      <a:cubicBezTo>
                                        <a:pt x="5400" y="13782"/>
                                        <a:pt x="7818" y="16200"/>
                                        <a:pt x="10800" y="16200"/>
                                      </a:cubicBezTo>
                                      <a:cubicBezTo>
                                        <a:pt x="13782" y="16200"/>
                                        <a:pt x="16200" y="13782"/>
                                        <a:pt x="16200" y="10800"/>
                                      </a:cubicBezTo>
                                      <a:cubicBezTo>
                                        <a:pt x="16200" y="7818"/>
                                        <a:pt x="13782" y="5400"/>
                                        <a:pt x="10800" y="5400"/>
                                      </a:cubicBezTo>
                                      <a:cubicBezTo>
                                        <a:pt x="7818" y="5400"/>
                                        <a:pt x="5400" y="7818"/>
                                        <a:pt x="5400" y="10800"/>
                                      </a:cubicBezTo>
                                      <a:close/>
                                    </a:path>
                                  </a:pathLst>
                                </a:custGeom>
                                <a:solidFill>
                                  <a:srgbClr val="729FCF"/>
                                </a:solidFill>
                                <a:ln w="9525" cap="flat">
                                  <a:solidFill>
                                    <a:srgbClr val="3465A4"/>
                                  </a:solidFill>
                                  <a:round/>
                                  <a:headEnd/>
                                  <a:tailEnd/>
                                </a:ln>
                              </wps:spPr>
                              <wps:bodyPr rot="0" vert="horz" wrap="square" lIns="91440" tIns="45720" rIns="91440" bIns="45720" anchor="t" anchorCtr="0" upright="1">
                                <a:noAutofit/>
                              </wps:bodyPr>
                            </wps:wsp>
                            <wps:wsp>
                              <wps:cNvPr id="3" name="shape_0"/>
                              <wps:cNvSpPr>
                                <a:spLocks noChangeArrowheads="1"/>
                              </wps:cNvSpPr>
                              <wps:spPr bwMode="auto">
                                <a:xfrm>
                                  <a:off x="365760" y="967740"/>
                                  <a:ext cx="462280" cy="243898"/>
                                </a:xfrm>
                                <a:custGeom>
                                  <a:avLst/>
                                  <a:gdLst>
                                    <a:gd name="G0" fmla="+- 21600 0 0"/>
                                    <a:gd name="G1" fmla="+- 10800 0 0"/>
                                    <a:gd name="G2" fmla="+- 10800 0 0"/>
                                    <a:gd name="G3" fmla="+- 0 G2 0"/>
                                    <a:gd name="G4" fmla="*/ 1 G1 2"/>
                                    <a:gd name="G5" fmla="+- 10800 0 G4"/>
                                    <a:gd name="G6" fmla="+- 10800 G4 0"/>
                                    <a:gd name="G7" fmla="*/ G5 G2 10800"/>
                                    <a:gd name="G8" fmla="+- G3 0 G7"/>
                                    <a:gd name="T0" fmla="*/ G8 w 21600"/>
                                    <a:gd name="T1" fmla="*/ G5 h 21600"/>
                                    <a:gd name="T2" fmla="*/ 21600 w 21600"/>
                                    <a:gd name="T3" fmla="*/ G6 h 21600"/>
                                  </a:gdLst>
                                  <a:ahLst/>
                                  <a:cxnLst>
                                    <a:cxn ang="0">
                                      <a:pos x="r" y="vc"/>
                                    </a:cxn>
                                    <a:cxn ang="5400000">
                                      <a:pos x="hc" y="b"/>
                                    </a:cxn>
                                    <a:cxn ang="10800000">
                                      <a:pos x="l" y="vc"/>
                                    </a:cxn>
                                    <a:cxn ang="16200000">
                                      <a:pos x="hc" y="t"/>
                                    </a:cxn>
                                  </a:cxnLst>
                                  <a:rect l="T0" t="T1" r="T2" b="T3"/>
                                  <a:pathLst>
                                    <a:path w="21600" h="21600">
                                      <a:moveTo>
                                        <a:pt x="0" y="10800"/>
                                      </a:moveTo>
                                      <a:lnTo>
                                        <a:pt x="10800" y="0"/>
                                      </a:lnTo>
                                      <a:lnTo>
                                        <a:pt x="10800" y="5400"/>
                                      </a:lnTo>
                                      <a:lnTo>
                                        <a:pt x="21600" y="5400"/>
                                      </a:lnTo>
                                      <a:lnTo>
                                        <a:pt x="21600" y="16200"/>
                                      </a:lnTo>
                                      <a:lnTo>
                                        <a:pt x="10800" y="16200"/>
                                      </a:lnTo>
                                      <a:lnTo>
                                        <a:pt x="10800" y="21600"/>
                                      </a:lnTo>
                                      <a:close/>
                                    </a:path>
                                  </a:pathLst>
                                </a:custGeom>
                                <a:solidFill>
                                  <a:schemeClr val="accent5">
                                    <a:lumMod val="20000"/>
                                    <a:lumOff val="80000"/>
                                  </a:schemeClr>
                                </a:solidFill>
                                <a:ln w="9525" cap="flat">
                                  <a:solidFill>
                                    <a:srgbClr val="3465A4"/>
                                  </a:solidFill>
                                  <a:round/>
                                  <a:headEnd/>
                                  <a:tailEnd/>
                                </a:ln>
                              </wps:spPr>
                              <wps:bodyPr rot="0" vert="horz" wrap="square" lIns="91440" tIns="45720" rIns="91440" bIns="45720" anchor="t" anchorCtr="0" upright="1">
                                <a:noAutofit/>
                              </wps:bodyPr>
                            </wps:wsp>
                            <wps:wsp>
                              <wps:cNvPr id="11" name="shape_0"/>
                              <wps:cNvSpPr>
                                <a:spLocks noChangeArrowheads="1"/>
                              </wps:cNvSpPr>
                              <wps:spPr bwMode="auto">
                                <a:xfrm rot="7191856">
                                  <a:off x="0" y="243840"/>
                                  <a:ext cx="462280" cy="269875"/>
                                </a:xfrm>
                                <a:custGeom>
                                  <a:avLst/>
                                  <a:gdLst>
                                    <a:gd name="G0" fmla="+- 21600 0 0"/>
                                    <a:gd name="G1" fmla="+- 10800 0 0"/>
                                    <a:gd name="G2" fmla="+- 10800 0 0"/>
                                    <a:gd name="G3" fmla="+- 0 G2 0"/>
                                    <a:gd name="G4" fmla="*/ 1 G1 2"/>
                                    <a:gd name="G5" fmla="+- 10800 0 G4"/>
                                    <a:gd name="G6" fmla="+- 10800 G4 0"/>
                                    <a:gd name="G7" fmla="*/ G5 G2 10800"/>
                                    <a:gd name="G8" fmla="+- G3 0 G7"/>
                                    <a:gd name="T0" fmla="*/ G8 w 21600"/>
                                    <a:gd name="T1" fmla="*/ G5 h 21600"/>
                                    <a:gd name="T2" fmla="*/ 21600 w 21600"/>
                                    <a:gd name="T3" fmla="*/ G6 h 21600"/>
                                  </a:gdLst>
                                  <a:ahLst/>
                                  <a:cxnLst>
                                    <a:cxn ang="0">
                                      <a:pos x="r" y="vc"/>
                                    </a:cxn>
                                    <a:cxn ang="5400000">
                                      <a:pos x="hc" y="b"/>
                                    </a:cxn>
                                    <a:cxn ang="10800000">
                                      <a:pos x="l" y="vc"/>
                                    </a:cxn>
                                    <a:cxn ang="16200000">
                                      <a:pos x="hc" y="t"/>
                                    </a:cxn>
                                  </a:cxnLst>
                                  <a:rect l="T0" t="T1" r="T2" b="T3"/>
                                  <a:pathLst>
                                    <a:path w="21600" h="21600">
                                      <a:moveTo>
                                        <a:pt x="0" y="10800"/>
                                      </a:moveTo>
                                      <a:lnTo>
                                        <a:pt x="10800" y="0"/>
                                      </a:lnTo>
                                      <a:lnTo>
                                        <a:pt x="10800" y="5400"/>
                                      </a:lnTo>
                                      <a:lnTo>
                                        <a:pt x="21600" y="5400"/>
                                      </a:lnTo>
                                      <a:lnTo>
                                        <a:pt x="21600" y="16200"/>
                                      </a:lnTo>
                                      <a:lnTo>
                                        <a:pt x="10800" y="16200"/>
                                      </a:lnTo>
                                      <a:lnTo>
                                        <a:pt x="10800" y="21600"/>
                                      </a:lnTo>
                                      <a:close/>
                                    </a:path>
                                  </a:pathLst>
                                </a:custGeom>
                                <a:solidFill>
                                  <a:srgbClr val="4BACC6">
                                    <a:lumMod val="20000"/>
                                    <a:lumOff val="80000"/>
                                  </a:srgbClr>
                                </a:solidFill>
                                <a:ln w="9525" cap="flat">
                                  <a:solidFill>
                                    <a:srgbClr val="3465A4"/>
                                  </a:solidFill>
                                  <a:round/>
                                  <a:headEnd/>
                                  <a:tailEnd/>
                                </a:ln>
                              </wps:spPr>
                              <wps:bodyPr rot="0" vert="horz" wrap="square" lIns="91440" tIns="45720" rIns="91440" bIns="45720" anchor="t" anchorCtr="0" upright="1">
                                <a:noAutofit/>
                              </wps:bodyPr>
                            </wps:wsp>
                            <wps:wsp>
                              <wps:cNvPr id="12" name="shape_0"/>
                              <wps:cNvSpPr>
                                <a:spLocks noChangeArrowheads="1"/>
                              </wps:cNvSpPr>
                              <wps:spPr bwMode="auto">
                                <a:xfrm rot="14320315">
                                  <a:off x="811530" y="278130"/>
                                  <a:ext cx="462280" cy="269875"/>
                                </a:xfrm>
                                <a:custGeom>
                                  <a:avLst/>
                                  <a:gdLst>
                                    <a:gd name="G0" fmla="+- 21600 0 0"/>
                                    <a:gd name="G1" fmla="+- 10800 0 0"/>
                                    <a:gd name="G2" fmla="+- 10800 0 0"/>
                                    <a:gd name="G3" fmla="+- 0 G2 0"/>
                                    <a:gd name="G4" fmla="*/ 1 G1 2"/>
                                    <a:gd name="G5" fmla="+- 10800 0 G4"/>
                                    <a:gd name="G6" fmla="+- 10800 G4 0"/>
                                    <a:gd name="G7" fmla="*/ G5 G2 10800"/>
                                    <a:gd name="G8" fmla="+- G3 0 G7"/>
                                    <a:gd name="T0" fmla="*/ G8 w 21600"/>
                                    <a:gd name="T1" fmla="*/ G5 h 21600"/>
                                    <a:gd name="T2" fmla="*/ 21600 w 21600"/>
                                    <a:gd name="T3" fmla="*/ G6 h 21600"/>
                                  </a:gdLst>
                                  <a:ahLst/>
                                  <a:cxnLst>
                                    <a:cxn ang="0">
                                      <a:pos x="r" y="vc"/>
                                    </a:cxn>
                                    <a:cxn ang="5400000">
                                      <a:pos x="hc" y="b"/>
                                    </a:cxn>
                                    <a:cxn ang="10800000">
                                      <a:pos x="l" y="vc"/>
                                    </a:cxn>
                                    <a:cxn ang="16200000">
                                      <a:pos x="hc" y="t"/>
                                    </a:cxn>
                                  </a:cxnLst>
                                  <a:rect l="T0" t="T1" r="T2" b="T3"/>
                                  <a:pathLst>
                                    <a:path w="21600" h="21600">
                                      <a:moveTo>
                                        <a:pt x="0" y="10800"/>
                                      </a:moveTo>
                                      <a:lnTo>
                                        <a:pt x="10800" y="0"/>
                                      </a:lnTo>
                                      <a:lnTo>
                                        <a:pt x="10800" y="5400"/>
                                      </a:lnTo>
                                      <a:lnTo>
                                        <a:pt x="21600" y="5400"/>
                                      </a:lnTo>
                                      <a:lnTo>
                                        <a:pt x="21600" y="16200"/>
                                      </a:lnTo>
                                      <a:lnTo>
                                        <a:pt x="10800" y="16200"/>
                                      </a:lnTo>
                                      <a:lnTo>
                                        <a:pt x="10800" y="21600"/>
                                      </a:lnTo>
                                      <a:close/>
                                    </a:path>
                                  </a:pathLst>
                                </a:custGeom>
                                <a:solidFill>
                                  <a:schemeClr val="accent5">
                                    <a:lumMod val="20000"/>
                                    <a:lumOff val="80000"/>
                                  </a:schemeClr>
                                </a:solidFill>
                                <a:ln w="9525" cap="flat">
                                  <a:solidFill>
                                    <a:srgbClr val="3465A4"/>
                                  </a:solidFill>
                                  <a:round/>
                                  <a:headEnd/>
                                  <a:tailEnd/>
                                </a:ln>
                              </wps:spPr>
                              <wps:bodyPr rot="0" vert="horz" wrap="square" lIns="91440" tIns="45720" rIns="91440" bIns="45720" anchor="t" anchorCtr="0" upright="1">
                                <a:noAutofit/>
                              </wps:bodyPr>
                            </wps:wsp>
                          </wpg:wgp>
                        </a:graphicData>
                      </a:graphic>
                    </wp:anchor>
                  </w:drawing>
                </mc:Choice>
                <mc:Fallback>
                  <w:pict>
                    <v:group w14:anchorId="4A6FEFEF" id="Group 13" o:spid="_x0000_s1026" style="position:absolute;margin-left:51.1pt;margin-top:49.85pt;width:99pt;height:99pt;z-index:251662336" coordsize="12573,12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">
                      <v:shape id="shape_0" o:spid="_x0000_s1027" style="position:absolute;width:12573;height:12573;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88o8AA&#10;AADaAAAADwAAAGRycy9kb3ducmV2LnhtbESP0YrCMBRE3xf8h3AF39ZUQVmqUURcEKnIqh9waa5N&#10;tbkpTbatf28WFnwcZuYMs1z3thItNb50rGAyTkAQ506XXCi4Xr4/v0D4gKyxckwKnuRhvRp8LDHV&#10;ruMfas+hEBHCPkUFJoQ6ldLnhiz6sauJo3dzjcUQZVNI3WAX4baS0ySZS4slxwWDNW0N5Y/zr40U&#10;zMrTfXYkkx1b6uz0esjqnVKjYb9ZgAjUh3f4v73XCubwdyXeALl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v88o8AAAADaAAAADwAAAAAAAAAAAAAAAACYAgAAZHJzL2Rvd25y&#10;ZXYueG1sUEsFBgAAAAAEAAQA9QAAAIUDAAAAAA==&#10;" path="m,10800c,4835,4835,,10800,v5965,,10800,4835,10800,10800c21600,16765,16765,21600,10800,21600,4835,21600,,16765,,10800xm5400,10800v,2982,2418,5400,5400,5400c13782,16200,16200,13782,16200,10800v,-2982,-2418,-5400,-5400,-5400c7818,5400,5400,7818,5400,10800xe" fillcolor="#729fcf" strokecolor="#3465a4">
                        <v:path o:connecttype="custom" o:connectlocs="1257300,628650;628650,1257300;0,628650;628650,0" o:connectangles="0,90,180,270" textboxrect="0,10764,21600,10836"/>
                      </v:shape>
                      <v:shape id="shape_0" o:spid="_x0000_s1028" style="position:absolute;left:3657;top:9677;width:4623;height:2439;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GY58EA&#10;AADaAAAADwAAAGRycy9kb3ducmV2LnhtbESPQYvCMBSE74L/ITzBm6auIFKNooKsBxF0XfD4aJ5t&#10;bfNSkqj13xthYY/DzHzDzJetqcWDnC8tKxgNExDEmdUl5wrOP9vBFIQPyBpry6TgRR6Wi25njqm2&#10;Tz7S4xRyESHsU1RQhNCkUvqsIIN+aBvi6F2tMxiidLnUDp8Rbmr5lSQTabDkuFBgQ5uCsup0Nwp+&#10;b25clfJ8vEzXyYWqfF99H/ZK9XvtagYiUBv+w3/tnVYwhs+VeAPk4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thmOfBAAAA2gAAAA8AAAAAAAAAAAAAAAAAmAIAAGRycy9kb3du&#10;cmV2LnhtbFBLBQYAAAAABAAEAPUAAACGAwAAAAA=&#10;" path="m,10800l10800,r,5400l21600,5400r,10800l10800,16200r,5400l,10800xe" fillcolor="#d9e2f3 [664]" strokecolor="#3465a4">
                        <v:path o:connecttype="custom" o:connectlocs="462280,121949;231140,243898;0,121949;231140,0" o:connectangles="0,90,180,270" textboxrect="5400,5400,21600,16200"/>
                      </v:shape>
                      <v:shape id="shape_0" o:spid="_x0000_s1029" style="position:absolute;left:-1;top:2439;width:4623;height:2698;rotation:7855425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F4UcAA&#10;AADbAAAADwAAAGRycy9kb3ducmV2LnhtbERPTWsCMRC9F/wPYYTealbBUlajqKj00Eut0Ou4GTer&#10;m0lI4rr++6ZQ6G0e73Pmy962oqMQG8cKxqMCBHHldMO1guPX7uUNREzIGlvHpOBBEZaLwdMcS+3u&#10;/EndIdUih3AsUYFJyZdSxsqQxThynjhzZxcspgxDLXXAew63rZwUxau02HBuMOhpY6i6Hm5WgXf7&#10;7wdd5PTYmY3fri+nov0ISj0P+9UMRKI+/Yv/3O86zx/D7y/5ALn4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HF4UcAAAADbAAAADwAAAAAAAAAAAAAAAACYAgAAZHJzL2Rvd25y&#10;ZXYueG1sUEsFBgAAAAAEAAQA9QAAAIUDAAAAAA==&#10;" path="m,10800l10800,r,5400l21600,5400r,10800l10800,16200r,5400l,10800xe" fillcolor="#dbeef4" strokecolor="#3465a4">
                        <v:path o:connecttype="custom" o:connectlocs="462280,134938;231140,269875;0,134938;231140,0" o:connectangles="0,90,180,270" textboxrect="5400,5400,21600,16200"/>
                      </v:shape>
                      <v:shape id="shape_0" o:spid="_x0000_s1030" style="position:absolute;left:8115;top:2781;width:4623;height:2699;rotation:-7951357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" path="m,10800l10800,r,5400l21600,5400r,10800l10800,16200r,5400l,10800xe" fillcolor="#d9e2f3 [664]" strokecolor="#3465a4">
                        <v:path o:connecttype="custom" o:connectlocs="462280,134938;231140,269875;0,134938;231140,0" o:connectangles="0,90,180,270" textboxrect="5400,5400,21600,16200"/>
                      </v:shape>
                    </v:group>
                  </w:pict>
                </mc:Fallback>
              </mc:AlternateContent>
            </w:r>
            <w:r>
              <w:rPr>
                <w:noProof/>
                <w:lang w:eastAsia="en-GB" w:bidi="ar-SA"/>
              </w:rPr>
              <mc:AlternateContent>
                <mc:Choice Requires="wps">
                  <w:drawing>
                    <wp:anchor distT="0" distB="0" distL="114300" distR="114300" simplePos="0" relativeHeight="251661312" behindDoc="0" locked="0" layoutInCell="1" allowOverlap="1" wp14:anchorId="6B5865E2" wp14:editId="39497AC6">
                      <wp:simplePos x="0" y="0"/>
                      <wp:positionH relativeFrom="column">
                        <wp:posOffset>1919605</wp:posOffset>
                      </wp:positionH>
                      <wp:positionV relativeFrom="paragraph">
                        <wp:posOffset>1049020</wp:posOffset>
                      </wp:positionV>
                      <wp:extent cx="510540" cy="0"/>
                      <wp:effectExtent l="0" t="95250" r="0" b="95250"/>
                      <wp:wrapNone/>
                      <wp:docPr id="1" name="shape_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0540" cy="0"/>
                              </a:xfrm>
                              <a:prstGeom prst="line">
                                <a:avLst/>
                              </a:prstGeom>
                              <a:noFill/>
                              <a:ln w="36360" cap="flat">
                                <a:solidFill>
                                  <a:srgbClr val="3465A4"/>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D05F51" id="shape_0"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15pt,82.6pt" to="191.35pt,8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" strokecolor="#3465a4" strokeweight="1.01mm">
                      <v:stroke startarrow="block"/>
                    </v:line>
                  </w:pict>
                </mc:Fallback>
              </mc:AlternateContent>
            </w:r>
            <w:r>
              <w:rPr>
                <w:noProof/>
                <w:lang w:eastAsia="en-GB" w:bidi="ar-SA"/>
              </w:rPr>
              <mc:AlternateContent>
                <mc:Choice Requires="wps">
                  <w:drawing>
                    <wp:anchor distT="0" distB="0" distL="114300" distR="114300" simplePos="0" relativeHeight="251659264" behindDoc="0" locked="0" layoutInCell="1" allowOverlap="1" wp14:anchorId="52F7D884" wp14:editId="093A30F3">
                      <wp:simplePos x="0" y="0"/>
                      <wp:positionH relativeFrom="column">
                        <wp:posOffset>1566545</wp:posOffset>
                      </wp:positionH>
                      <wp:positionV relativeFrom="paragraph">
                        <wp:posOffset>165735</wp:posOffset>
                      </wp:positionV>
                      <wp:extent cx="862330" cy="499745"/>
                      <wp:effectExtent l="19050" t="38100" r="52070" b="33655"/>
                      <wp:wrapNone/>
                      <wp:docPr id="9" name="shape_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62330" cy="499745"/>
                              </a:xfrm>
                              <a:prstGeom prst="line">
                                <a:avLst/>
                              </a:prstGeom>
                              <a:noFill/>
                              <a:ln w="36360" cap="flat">
                                <a:solidFill>
                                  <a:srgbClr val="3465A4"/>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972098" id="shape_0"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3.35pt,13.05pt" to="191.25pt,5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" strokecolor="#3465a4" strokeweight="1.01mm">
                      <v:stroke startarrow="block"/>
                    </v:line>
                  </w:pict>
                </mc:Fallback>
              </mc:AlternateContent>
            </w:r>
            <w:r>
              <w:rPr>
                <w:noProof/>
                <w:lang w:eastAsia="en-GB" w:bidi="ar-SA"/>
              </w:rPr>
              <mc:AlternateContent>
                <mc:Choice Requires="wps">
                  <w:drawing>
                    <wp:anchor distT="0" distB="0" distL="114300" distR="114300" simplePos="0" relativeHeight="251660288" behindDoc="0" locked="0" layoutInCell="1" allowOverlap="1" wp14:anchorId="18748A75" wp14:editId="49F07C7A">
                      <wp:simplePos x="0" y="0"/>
                      <wp:positionH relativeFrom="column">
                        <wp:posOffset>1842193</wp:posOffset>
                      </wp:positionH>
                      <wp:positionV relativeFrom="paragraph">
                        <wp:posOffset>1579014</wp:posOffset>
                      </wp:positionV>
                      <wp:extent cx="589049" cy="227676"/>
                      <wp:effectExtent l="19050" t="19050" r="59055" b="58420"/>
                      <wp:wrapNone/>
                      <wp:docPr id="2" name="shape_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89049" cy="227676"/>
                              </a:xfrm>
                              <a:prstGeom prst="line">
                                <a:avLst/>
                              </a:prstGeom>
                              <a:noFill/>
                              <a:ln w="36360" cap="flat">
                                <a:solidFill>
                                  <a:srgbClr val="3465A4"/>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95F7DA" id="shape_0" o:spid="_x0000_s1026" style="position:absolute;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05pt,124.35pt" to="191.45pt,1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" strokecolor="#3465a4" strokeweight="1.01mm">
                      <v:stroke startarrow="block"/>
                    </v:line>
                  </w:pict>
                </mc:Fallback>
              </mc:AlternateContent>
            </w:r>
          </w:p>
          <w:p w14:paraId="0A21D3BA" w14:textId="77777777" w:rsidR="00103B10" w:rsidRDefault="00103B10" w:rsidP="006D44EF">
            <w:pPr>
              <w:pStyle w:val="TableContents"/>
            </w:pPr>
            <w:bookmarkStart w:id="4" w:name="__UnoMark__48_674149022"/>
            <w:bookmarkEnd w:id="4"/>
          </w:p>
          <w:p w14:paraId="4EC437A6" w14:textId="77777777" w:rsidR="00103B10" w:rsidRDefault="00103B10" w:rsidP="006D44EF">
            <w:pPr>
              <w:pStyle w:val="TableContents"/>
            </w:pPr>
          </w:p>
        </w:tc>
        <w:tc>
          <w:tcPr>
            <w:tcW w:w="2667" w:type="dxa"/>
            <w:tcBorders>
              <w:top w:val="single" w:sz="2" w:space="0" w:color="000000"/>
              <w:left w:val="single" w:sz="2" w:space="0" w:color="000000"/>
              <w:bottom w:val="single" w:sz="2" w:space="0" w:color="000000"/>
              <w:right w:val="nil"/>
            </w:tcBorders>
            <w:shd w:val="clear" w:color="auto" w:fill="auto"/>
            <w:tcMar>
              <w:left w:w="54" w:type="dxa"/>
            </w:tcMar>
            <w:vAlign w:val="center"/>
          </w:tcPr>
          <w:p w14:paraId="5897B42B" w14:textId="77777777" w:rsidR="00103B10" w:rsidRDefault="00103B10" w:rsidP="006D44EF">
            <w:pPr>
              <w:pStyle w:val="TableContents"/>
              <w:spacing w:before="57" w:after="57"/>
            </w:pPr>
            <w:r>
              <w:t>Living in the shadow of the fourth age</w:t>
            </w:r>
          </w:p>
        </w:tc>
        <w:tc>
          <w:tcPr>
            <w:tcW w:w="3402" w:type="dxa"/>
            <w:tcBorders>
              <w:top w:val="single" w:sz="2" w:space="0" w:color="000000"/>
              <w:left w:val="nil"/>
              <w:bottom w:val="single" w:sz="2" w:space="0" w:color="000000"/>
              <w:right w:val="single" w:sz="2" w:space="0" w:color="000000"/>
            </w:tcBorders>
            <w:shd w:val="clear" w:color="auto" w:fill="auto"/>
          </w:tcPr>
          <w:p w14:paraId="4EE7BFCB" w14:textId="77777777" w:rsidR="00103B10" w:rsidRDefault="00103B10" w:rsidP="006D44EF">
            <w:pPr>
              <w:pStyle w:val="TableContents"/>
              <w:spacing w:before="57" w:after="57"/>
            </w:pPr>
            <w:r>
              <w:t>Acknowledging frailty</w:t>
            </w:r>
          </w:p>
          <w:p w14:paraId="2BB5B759" w14:textId="77777777" w:rsidR="00103B10" w:rsidRDefault="00103B10" w:rsidP="006D44EF">
            <w:pPr>
              <w:pStyle w:val="TableContents"/>
              <w:spacing w:before="57" w:after="57"/>
            </w:pPr>
            <w:r>
              <w:t>Agentic interdependence</w:t>
            </w:r>
          </w:p>
          <w:p w14:paraId="75479AAF" w14:textId="77777777" w:rsidR="00103B10" w:rsidRDefault="00103B10" w:rsidP="006D44EF">
            <w:pPr>
              <w:pStyle w:val="TableContents"/>
              <w:spacing w:before="57" w:after="57"/>
            </w:pPr>
            <w:r>
              <w:t>Preparing for the future</w:t>
            </w:r>
          </w:p>
        </w:tc>
      </w:tr>
      <w:tr w:rsidR="00103B10" w14:paraId="56CBD1FD" w14:textId="77777777" w:rsidTr="006D44EF">
        <w:tc>
          <w:tcPr>
            <w:tcW w:w="3402" w:type="dxa"/>
            <w:vMerge/>
            <w:tcBorders>
              <w:top w:val="nil"/>
              <w:left w:val="nil"/>
              <w:bottom w:val="nil"/>
              <w:right w:val="nil"/>
            </w:tcBorders>
            <w:shd w:val="clear" w:color="auto" w:fill="auto"/>
          </w:tcPr>
          <w:p w14:paraId="21CA6EA0" w14:textId="77777777" w:rsidR="00103B10" w:rsidRDefault="00103B10" w:rsidP="006D44EF"/>
        </w:tc>
        <w:tc>
          <w:tcPr>
            <w:tcW w:w="3969" w:type="dxa"/>
            <w:vMerge/>
            <w:tcBorders>
              <w:top w:val="nil"/>
              <w:left w:val="nil"/>
              <w:bottom w:val="nil"/>
              <w:right w:val="nil"/>
            </w:tcBorders>
            <w:shd w:val="clear" w:color="auto" w:fill="auto"/>
          </w:tcPr>
          <w:p w14:paraId="6E02C697" w14:textId="77777777" w:rsidR="00103B10" w:rsidRDefault="00103B10" w:rsidP="006D44EF"/>
        </w:tc>
        <w:tc>
          <w:tcPr>
            <w:tcW w:w="2667" w:type="dxa"/>
            <w:tcBorders>
              <w:top w:val="nil"/>
              <w:left w:val="single" w:sz="2" w:space="0" w:color="000000"/>
              <w:bottom w:val="single" w:sz="2" w:space="0" w:color="000000"/>
              <w:right w:val="nil"/>
            </w:tcBorders>
            <w:shd w:val="clear" w:color="auto" w:fill="auto"/>
            <w:tcMar>
              <w:left w:w="54" w:type="dxa"/>
            </w:tcMar>
            <w:vAlign w:val="center"/>
          </w:tcPr>
          <w:p w14:paraId="7B898038" w14:textId="77777777" w:rsidR="00103B10" w:rsidRDefault="00103B10" w:rsidP="006D44EF">
            <w:pPr>
              <w:pStyle w:val="TableContents"/>
              <w:spacing w:before="57" w:after="57"/>
            </w:pPr>
            <w:r>
              <w:t>Living as an active citizen with dementia</w:t>
            </w:r>
          </w:p>
        </w:tc>
        <w:tc>
          <w:tcPr>
            <w:tcW w:w="3402" w:type="dxa"/>
            <w:tcBorders>
              <w:top w:val="nil"/>
              <w:left w:val="nil"/>
              <w:bottom w:val="single" w:sz="2" w:space="0" w:color="000000"/>
              <w:right w:val="single" w:sz="2" w:space="0" w:color="000000"/>
            </w:tcBorders>
            <w:shd w:val="clear" w:color="auto" w:fill="auto"/>
          </w:tcPr>
          <w:p w14:paraId="6508DDCD" w14:textId="77777777" w:rsidR="00103B10" w:rsidRDefault="00103B10" w:rsidP="006D44EF">
            <w:pPr>
              <w:pStyle w:val="TableContents"/>
              <w:spacing w:before="57" w:after="57"/>
            </w:pPr>
            <w:r>
              <w:t>Disclosure of diagnosis</w:t>
            </w:r>
          </w:p>
          <w:p w14:paraId="2031EC3F" w14:textId="77777777" w:rsidR="00103B10" w:rsidRDefault="00103B10" w:rsidP="006D44EF">
            <w:pPr>
              <w:pStyle w:val="TableContents"/>
              <w:spacing w:before="57" w:after="57"/>
            </w:pPr>
            <w:r>
              <w:t xml:space="preserve">Continuing social status </w:t>
            </w:r>
          </w:p>
          <w:p w14:paraId="36410082" w14:textId="77777777" w:rsidR="00103B10" w:rsidRDefault="00103B10" w:rsidP="006D44EF">
            <w:pPr>
              <w:pStyle w:val="TableContents"/>
              <w:spacing w:before="57" w:after="57"/>
            </w:pPr>
            <w:r>
              <w:t>Developing new networks</w:t>
            </w:r>
          </w:p>
          <w:p w14:paraId="76BD49F9" w14:textId="77777777" w:rsidR="00103B10" w:rsidRDefault="00103B10" w:rsidP="006D44EF">
            <w:pPr>
              <w:pStyle w:val="TableContents"/>
              <w:spacing w:before="57" w:after="57"/>
            </w:pPr>
            <w:r>
              <w:t>Being a social citizen</w:t>
            </w:r>
          </w:p>
        </w:tc>
      </w:tr>
      <w:tr w:rsidR="00103B10" w14:paraId="5D414258" w14:textId="77777777" w:rsidTr="006D44EF">
        <w:tc>
          <w:tcPr>
            <w:tcW w:w="3402" w:type="dxa"/>
            <w:vMerge/>
            <w:tcBorders>
              <w:top w:val="nil"/>
              <w:left w:val="nil"/>
              <w:bottom w:val="nil"/>
              <w:right w:val="nil"/>
            </w:tcBorders>
            <w:shd w:val="clear" w:color="auto" w:fill="auto"/>
          </w:tcPr>
          <w:p w14:paraId="6443AC8D" w14:textId="77777777" w:rsidR="00103B10" w:rsidRDefault="00103B10" w:rsidP="006D44EF"/>
        </w:tc>
        <w:tc>
          <w:tcPr>
            <w:tcW w:w="3969" w:type="dxa"/>
            <w:vMerge/>
            <w:tcBorders>
              <w:top w:val="nil"/>
              <w:left w:val="nil"/>
              <w:bottom w:val="nil"/>
              <w:right w:val="nil"/>
            </w:tcBorders>
            <w:shd w:val="clear" w:color="auto" w:fill="auto"/>
          </w:tcPr>
          <w:p w14:paraId="133F8EAB" w14:textId="77777777" w:rsidR="00103B10" w:rsidRDefault="00103B10" w:rsidP="006D44EF"/>
        </w:tc>
        <w:tc>
          <w:tcPr>
            <w:tcW w:w="2667" w:type="dxa"/>
            <w:tcBorders>
              <w:top w:val="nil"/>
              <w:left w:val="single" w:sz="2" w:space="0" w:color="000000"/>
              <w:bottom w:val="single" w:sz="2" w:space="0" w:color="000000"/>
              <w:right w:val="nil"/>
            </w:tcBorders>
            <w:shd w:val="clear" w:color="auto" w:fill="auto"/>
            <w:tcMar>
              <w:left w:w="54" w:type="dxa"/>
            </w:tcMar>
            <w:vAlign w:val="center"/>
          </w:tcPr>
          <w:p w14:paraId="0850E9C0" w14:textId="77777777" w:rsidR="00103B10" w:rsidRDefault="00103B10" w:rsidP="006D44EF">
            <w:pPr>
              <w:pStyle w:val="TableContents"/>
              <w:spacing w:before="57" w:after="57"/>
            </w:pPr>
            <w:r>
              <w:t>Living in extended liminality</w:t>
            </w:r>
          </w:p>
        </w:tc>
        <w:tc>
          <w:tcPr>
            <w:tcW w:w="3402" w:type="dxa"/>
            <w:tcBorders>
              <w:top w:val="nil"/>
              <w:left w:val="nil"/>
              <w:bottom w:val="single" w:sz="2" w:space="0" w:color="000000"/>
              <w:right w:val="single" w:sz="2" w:space="0" w:color="000000"/>
            </w:tcBorders>
            <w:shd w:val="clear" w:color="auto" w:fill="auto"/>
          </w:tcPr>
          <w:p w14:paraId="232423FF" w14:textId="77777777" w:rsidR="00103B10" w:rsidRDefault="00103B10" w:rsidP="006D44EF">
            <w:pPr>
              <w:pStyle w:val="TableContents"/>
              <w:spacing w:before="57" w:after="57"/>
            </w:pPr>
            <w:r>
              <w:t>Ambiguity of diagnosis</w:t>
            </w:r>
          </w:p>
          <w:p w14:paraId="3C85BEC9" w14:textId="77777777" w:rsidR="00103B10" w:rsidRDefault="00103B10" w:rsidP="006D44EF">
            <w:pPr>
              <w:pStyle w:val="TableContents"/>
              <w:spacing w:before="57" w:after="57"/>
            </w:pPr>
            <w:r>
              <w:t>Not able to develop new networks</w:t>
            </w:r>
          </w:p>
          <w:p w14:paraId="71F4F3FE" w14:textId="77777777" w:rsidR="00103B10" w:rsidRDefault="00103B10" w:rsidP="006D44EF">
            <w:pPr>
              <w:pStyle w:val="TableContents"/>
              <w:spacing w:before="57" w:after="57"/>
            </w:pPr>
            <w:r>
              <w:t>Becoming isolated</w:t>
            </w:r>
          </w:p>
        </w:tc>
      </w:tr>
      <w:tr w:rsidR="00103B10" w14:paraId="64018C92" w14:textId="77777777" w:rsidTr="006D44EF">
        <w:tc>
          <w:tcPr>
            <w:tcW w:w="3402" w:type="dxa"/>
            <w:tcBorders>
              <w:top w:val="nil"/>
              <w:left w:val="nil"/>
              <w:bottom w:val="nil"/>
              <w:right w:val="nil"/>
            </w:tcBorders>
            <w:shd w:val="clear" w:color="auto" w:fill="auto"/>
          </w:tcPr>
          <w:p w14:paraId="2B9B198A" w14:textId="77777777" w:rsidR="00103B10" w:rsidRDefault="00103B10" w:rsidP="006D44EF"/>
        </w:tc>
        <w:tc>
          <w:tcPr>
            <w:tcW w:w="10038" w:type="dxa"/>
            <w:gridSpan w:val="3"/>
            <w:tcBorders>
              <w:top w:val="nil"/>
              <w:left w:val="nil"/>
              <w:bottom w:val="nil"/>
              <w:right w:val="nil"/>
            </w:tcBorders>
            <w:shd w:val="clear" w:color="auto" w:fill="auto"/>
          </w:tcPr>
          <w:p w14:paraId="782F885D" w14:textId="77777777" w:rsidR="00103B10" w:rsidRDefault="00103B10" w:rsidP="006D44EF">
            <w:pPr>
              <w:pStyle w:val="TableContents"/>
            </w:pPr>
            <w:r>
              <w:t>Post-liminal state influenced by:</w:t>
            </w:r>
          </w:p>
          <w:p w14:paraId="528F51B1" w14:textId="77777777" w:rsidR="00103B10" w:rsidRDefault="00103B10" w:rsidP="006D44EF">
            <w:pPr>
              <w:pStyle w:val="TableContents"/>
              <w:spacing w:before="57" w:after="57"/>
            </w:pPr>
            <w:r>
              <w:t>Cultural beliefs, Reaction/expectation of others, Acceptance of diagnosis</w:t>
            </w:r>
          </w:p>
          <w:p w14:paraId="5F3DE185" w14:textId="77777777" w:rsidR="00103B10" w:rsidRDefault="00103B10" w:rsidP="006D44EF">
            <w:pPr>
              <w:pStyle w:val="TableContents"/>
              <w:spacing w:before="57" w:after="57"/>
            </w:pPr>
            <w:r>
              <w:t>Co-morbidities, Social capital reserves.</w:t>
            </w:r>
          </w:p>
        </w:tc>
      </w:tr>
    </w:tbl>
    <w:p w14:paraId="2A7AB467" w14:textId="77777777" w:rsidR="00103B10" w:rsidRDefault="00103B10" w:rsidP="00103B10">
      <w:pPr>
        <w:spacing w:line="57" w:lineRule="exact"/>
      </w:pPr>
    </w:p>
    <w:p w14:paraId="50F5752F" w14:textId="4F7E5974" w:rsidR="00900C64" w:rsidRPr="005252DA" w:rsidRDefault="00900C64" w:rsidP="00097178">
      <w:pPr>
        <w:suppressAutoHyphens/>
        <w:spacing w:before="288" w:after="288" w:line="480" w:lineRule="auto"/>
        <w:rPr>
          <w:lang w:eastAsia="zh-CN"/>
        </w:rPr>
      </w:pPr>
    </w:p>
    <w:sectPr w:rsidR="00900C64" w:rsidRPr="005252DA">
      <w:headerReference w:type="even" r:id="rId10"/>
      <w:headerReference w:type="default" r:id="rId11"/>
      <w:footerReference w:type="even" r:id="rId12"/>
      <w:footerReference w:type="default" r:id="rId13"/>
      <w:headerReference w:type="first" r:id="rId14"/>
      <w:footerReference w:type="first" r:id="rId15"/>
      <w:pgSz w:w="16838" w:h="11906" w:orient="landscape"/>
      <w:pgMar w:top="1701" w:right="1701" w:bottom="1701" w:left="1701" w:header="0" w:footer="0" w:gutter="0"/>
      <w:cols w:space="720"/>
      <w:formProt w:val="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16317C" w14:textId="77777777" w:rsidR="001C2CAE" w:rsidRDefault="001C2CAE" w:rsidP="008D06CE">
      <w:pPr>
        <w:spacing w:after="0" w:line="240" w:lineRule="auto"/>
      </w:pPr>
      <w:r>
        <w:separator/>
      </w:r>
    </w:p>
  </w:endnote>
  <w:endnote w:type="continuationSeparator" w:id="0">
    <w:p w14:paraId="27BAABDE" w14:textId="77777777" w:rsidR="001C2CAE" w:rsidRDefault="001C2CAE" w:rsidP="008D06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Liberation Serif">
    <w:altName w:val="Times New Roman"/>
    <w:charset w:val="00"/>
    <w:family w:val="roman"/>
    <w:pitch w:val="variable"/>
    <w:sig w:usb0="00000000" w:usb1="500078FF" w:usb2="00000021" w:usb3="00000000" w:csb0="000001BF" w:csb1="00000000"/>
  </w:font>
  <w:font w:name="Droid Sans Fallback">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 w:name="TimesNewRomanPS">
    <w:panose1 w:val="00000000000000000000"/>
    <w:charset w:val="00"/>
    <w:family w:val="roman"/>
    <w:notTrueType/>
    <w:pitch w:val="default"/>
  </w:font>
  <w:font w:name="AdvTimes">
    <w:charset w:val="00"/>
    <w:family w:val="auto"/>
    <w:pitch w:val="default"/>
    <w:sig w:usb0="00000003" w:usb1="00000000" w:usb2="00000000" w:usb3="00000000" w:csb0="00000001" w:csb1="00000000"/>
  </w:font>
  <w:font w:name="AdvP8585">
    <w:panose1 w:val="00000000000000000000"/>
    <w:charset w:val="00"/>
    <w:family w:val="roman"/>
    <w:notTrueType/>
    <w:pitch w:val="default"/>
    <w:sig w:usb0="00000003" w:usb1="00000000" w:usb2="00000000" w:usb3="00000000" w:csb0="00000001" w:csb1="00000000"/>
  </w:font>
  <w:font w:name="HelveticaNeue-Light">
    <w:charset w:val="00"/>
    <w:family w:val="auto"/>
    <w:pitch w:val="variable"/>
    <w:sig w:usb0="A00002FF" w:usb1="5000205B" w:usb2="00000002" w:usb3="00000000" w:csb0="00000007" w:csb1="00000000"/>
  </w:font>
  <w:font w:name="AdvTTec369687">
    <w:charset w:val="00"/>
    <w:family w:val="roman"/>
    <w:pitch w:val="default"/>
  </w:font>
  <w:font w:name="AdvTTec369687+fb">
    <w:charset w:val="00"/>
    <w:family w:val="auto"/>
    <w:pitch w:val="default"/>
  </w:font>
  <w:font w:name="AdvTTec369687+20">
    <w:charset w:val="00"/>
    <w:family w:val="swiss"/>
    <w:pitch w:val="default"/>
  </w:font>
  <w:font w:name="Arial">
    <w:panose1 w:val="020B0604020202020204"/>
    <w:charset w:val="00"/>
    <w:family w:val="swiss"/>
    <w:pitch w:val="variable"/>
    <w:sig w:usb0="E0002AFF" w:usb1="C0007843" w:usb2="00000009" w:usb3="00000000" w:csb0="000001FF" w:csb1="00000000"/>
  </w:font>
  <w:font w:name="BatangChe">
    <w:panose1 w:val="02030609000101010101"/>
    <w:charset w:val="81"/>
    <w:family w:val="modern"/>
    <w:pitch w:val="fixed"/>
    <w:sig w:usb0="B00002AF" w:usb1="69D77CFB" w:usb2="00000030" w:usb3="00000000" w:csb0="0008009F" w:csb1="00000000"/>
  </w:font>
  <w:font w:name="AdvPS7C81">
    <w:charset w:val="00"/>
    <w:family w:val="swiss"/>
    <w:pitch w:val="default"/>
  </w:font>
  <w:font w:name="AdvPA">
    <w:charset w:val="00"/>
    <w:family w:val="roman"/>
    <w:pitch w:val="default"/>
  </w:font>
  <w:font w:name="GillSansStd-Bold">
    <w:charset w:val="00"/>
    <w:family w:val="swiss"/>
    <w:pitch w:val="default"/>
  </w:font>
  <w:font w:name="Palatino Linotype">
    <w:panose1 w:val="02040502050505030304"/>
    <w:charset w:val="00"/>
    <w:family w:val="roman"/>
    <w:pitch w:val="variable"/>
    <w:sig w:usb0="E0000287" w:usb1="40000013" w:usb2="00000000" w:usb3="00000000" w:csb0="0000019F" w:csb1="00000000"/>
  </w:font>
  <w:font w:name="AdvPSSAB-R">
    <w:charset w:val="00"/>
    <w:family w:val="roman"/>
    <w:pitch w:val="default"/>
    <w:sig w:usb0="00000003" w:usb1="00000000" w:usb2="00000000" w:usb3="00000000" w:csb0="00000001" w:csb1="00000000"/>
  </w:font>
  <w:font w:name="AdvPSSAB-I">
    <w:charset w:val="00"/>
    <w:family w:val="swiss"/>
    <w:pitch w:val="default"/>
  </w:font>
  <w:font w:name="AdvTT2cba4af3.B">
    <w:charset w:val="00"/>
    <w:family w:val="roman"/>
    <w:pitch w:val="default"/>
  </w:font>
  <w:font w:name="AdvP7B6C">
    <w:charset w:val="00"/>
    <w:family w:val="roman"/>
    <w:pitch w:val="default"/>
  </w:font>
  <w:font w:name="AdvOT863180fb">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4972812"/>
      <w:docPartObj>
        <w:docPartGallery w:val="Page Numbers (Bottom of Page)"/>
        <w:docPartUnique/>
      </w:docPartObj>
    </w:sdtPr>
    <w:sdtEndPr>
      <w:rPr>
        <w:noProof/>
        <w:sz w:val="18"/>
        <w:szCs w:val="18"/>
      </w:rPr>
    </w:sdtEndPr>
    <w:sdtContent>
      <w:p w14:paraId="4E56A41E" w14:textId="07D3F104" w:rsidR="00AA2FA7" w:rsidRPr="00AA2FA7" w:rsidRDefault="00AA2FA7">
        <w:pPr>
          <w:pStyle w:val="Footer"/>
          <w:rPr>
            <w:sz w:val="18"/>
            <w:szCs w:val="18"/>
          </w:rPr>
        </w:pPr>
        <w:r w:rsidRPr="00AA2FA7">
          <w:rPr>
            <w:sz w:val="18"/>
            <w:szCs w:val="18"/>
          </w:rPr>
          <w:t xml:space="preserve">Post-print version    12.10.16                                                                                                                 </w:t>
        </w:r>
        <w:r w:rsidRPr="00AA2FA7">
          <w:rPr>
            <w:sz w:val="18"/>
            <w:szCs w:val="18"/>
          </w:rPr>
          <w:fldChar w:fldCharType="begin"/>
        </w:r>
        <w:r w:rsidRPr="00AA2FA7">
          <w:rPr>
            <w:sz w:val="18"/>
            <w:szCs w:val="18"/>
          </w:rPr>
          <w:instrText xml:space="preserve"> PAGE   \* MERGEFORMAT </w:instrText>
        </w:r>
        <w:r w:rsidRPr="00AA2FA7">
          <w:rPr>
            <w:sz w:val="18"/>
            <w:szCs w:val="18"/>
          </w:rPr>
          <w:fldChar w:fldCharType="separate"/>
        </w:r>
        <w:r w:rsidR="000378C3">
          <w:rPr>
            <w:noProof/>
            <w:sz w:val="18"/>
            <w:szCs w:val="18"/>
          </w:rPr>
          <w:t>26</w:t>
        </w:r>
        <w:r w:rsidRPr="00AA2FA7">
          <w:rPr>
            <w:noProof/>
            <w:sz w:val="18"/>
            <w:szCs w:val="18"/>
          </w:rPr>
          <w:fldChar w:fldCharType="end"/>
        </w:r>
      </w:p>
    </w:sdtContent>
  </w:sdt>
  <w:p w14:paraId="0D7A7189" w14:textId="77777777" w:rsidR="00AA2FA7" w:rsidRDefault="00AA2FA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15A94D" w14:textId="77777777" w:rsidR="00775AC5" w:rsidRDefault="000378C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145AB2" w14:textId="77777777" w:rsidR="00775AC5" w:rsidRDefault="000378C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EBEF0B" w14:textId="77777777" w:rsidR="00775AC5" w:rsidRDefault="000378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F977BC" w14:textId="77777777" w:rsidR="001C2CAE" w:rsidRDefault="001C2CAE" w:rsidP="008D06CE">
      <w:pPr>
        <w:spacing w:after="0" w:line="240" w:lineRule="auto"/>
      </w:pPr>
      <w:r>
        <w:separator/>
      </w:r>
    </w:p>
  </w:footnote>
  <w:footnote w:type="continuationSeparator" w:id="0">
    <w:p w14:paraId="63BA0562" w14:textId="77777777" w:rsidR="001C2CAE" w:rsidRDefault="001C2CAE" w:rsidP="008D06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E42339" w14:textId="77777777" w:rsidR="00775AC5" w:rsidRDefault="000378C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7FAC08" w14:textId="77777777" w:rsidR="00775AC5" w:rsidRDefault="000378C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6B70FA" w14:textId="77777777" w:rsidR="00775AC5" w:rsidRDefault="000378C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15EA7135"/>
    <w:multiLevelType w:val="hybridMultilevel"/>
    <w:tmpl w:val="B2FC1F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6224EF"/>
    <w:multiLevelType w:val="multilevel"/>
    <w:tmpl w:val="1B0C03CE"/>
    <w:lvl w:ilvl="0">
      <w:start w:val="1"/>
      <w:numFmt w:val="bullet"/>
      <w:lvlText w:val=""/>
      <w:lvlJc w:val="left"/>
      <w:pPr>
        <w:tabs>
          <w:tab w:val="num" w:pos="397"/>
        </w:tabs>
        <w:ind w:left="397" w:hanging="397"/>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15:restartNumberingAfterBreak="0">
    <w:nsid w:val="562D321A"/>
    <w:multiLevelType w:val="multilevel"/>
    <w:tmpl w:val="84344CF8"/>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79A509BB"/>
    <w:multiLevelType w:val="hybridMultilevel"/>
    <w:tmpl w:val="DC58D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2BC4"/>
    <w:rsid w:val="00000DD2"/>
    <w:rsid w:val="00005C37"/>
    <w:rsid w:val="0000680F"/>
    <w:rsid w:val="0001214A"/>
    <w:rsid w:val="000169CC"/>
    <w:rsid w:val="000209A3"/>
    <w:rsid w:val="00022832"/>
    <w:rsid w:val="00022CB1"/>
    <w:rsid w:val="0002513A"/>
    <w:rsid w:val="0002766F"/>
    <w:rsid w:val="00031A25"/>
    <w:rsid w:val="000378C3"/>
    <w:rsid w:val="000408D0"/>
    <w:rsid w:val="00045332"/>
    <w:rsid w:val="000510DB"/>
    <w:rsid w:val="00051DFE"/>
    <w:rsid w:val="0005286A"/>
    <w:rsid w:val="00054F55"/>
    <w:rsid w:val="00056FEE"/>
    <w:rsid w:val="00060000"/>
    <w:rsid w:val="00064F8A"/>
    <w:rsid w:val="00075942"/>
    <w:rsid w:val="00083009"/>
    <w:rsid w:val="00084308"/>
    <w:rsid w:val="00090519"/>
    <w:rsid w:val="00095D1D"/>
    <w:rsid w:val="00097178"/>
    <w:rsid w:val="000A0ACF"/>
    <w:rsid w:val="000A4425"/>
    <w:rsid w:val="000A49AB"/>
    <w:rsid w:val="000A653F"/>
    <w:rsid w:val="000B148E"/>
    <w:rsid w:val="000C351D"/>
    <w:rsid w:val="000D0B25"/>
    <w:rsid w:val="000D259B"/>
    <w:rsid w:val="000D2CBF"/>
    <w:rsid w:val="000D3328"/>
    <w:rsid w:val="000D6182"/>
    <w:rsid w:val="000D7FF2"/>
    <w:rsid w:val="000E1D5C"/>
    <w:rsid w:val="000E2295"/>
    <w:rsid w:val="000E5289"/>
    <w:rsid w:val="000E7726"/>
    <w:rsid w:val="000F6A57"/>
    <w:rsid w:val="000F7F9A"/>
    <w:rsid w:val="0010112A"/>
    <w:rsid w:val="00103574"/>
    <w:rsid w:val="00103B10"/>
    <w:rsid w:val="00104829"/>
    <w:rsid w:val="00104954"/>
    <w:rsid w:val="00105871"/>
    <w:rsid w:val="001069E9"/>
    <w:rsid w:val="00107729"/>
    <w:rsid w:val="00112128"/>
    <w:rsid w:val="00114C04"/>
    <w:rsid w:val="0011526B"/>
    <w:rsid w:val="00125E82"/>
    <w:rsid w:val="00134045"/>
    <w:rsid w:val="00143E98"/>
    <w:rsid w:val="00147E6F"/>
    <w:rsid w:val="00150B41"/>
    <w:rsid w:val="00160E23"/>
    <w:rsid w:val="00164076"/>
    <w:rsid w:val="00176ACD"/>
    <w:rsid w:val="0017701D"/>
    <w:rsid w:val="0017777F"/>
    <w:rsid w:val="001943B5"/>
    <w:rsid w:val="0019545E"/>
    <w:rsid w:val="001A1C6A"/>
    <w:rsid w:val="001A58D6"/>
    <w:rsid w:val="001B1591"/>
    <w:rsid w:val="001B3B2E"/>
    <w:rsid w:val="001B4452"/>
    <w:rsid w:val="001C2CAE"/>
    <w:rsid w:val="001D5804"/>
    <w:rsid w:val="001D590F"/>
    <w:rsid w:val="001F2626"/>
    <w:rsid w:val="001F29CD"/>
    <w:rsid w:val="00200D4C"/>
    <w:rsid w:val="00201BB9"/>
    <w:rsid w:val="00202B50"/>
    <w:rsid w:val="0021012D"/>
    <w:rsid w:val="00210F2C"/>
    <w:rsid w:val="00215475"/>
    <w:rsid w:val="00233665"/>
    <w:rsid w:val="00235C69"/>
    <w:rsid w:val="00240DBA"/>
    <w:rsid w:val="00241A63"/>
    <w:rsid w:val="0024204D"/>
    <w:rsid w:val="00242FE6"/>
    <w:rsid w:val="0024428E"/>
    <w:rsid w:val="00252FA6"/>
    <w:rsid w:val="00254A1F"/>
    <w:rsid w:val="002578FA"/>
    <w:rsid w:val="00262A04"/>
    <w:rsid w:val="00265209"/>
    <w:rsid w:val="00275674"/>
    <w:rsid w:val="002917B6"/>
    <w:rsid w:val="00294E99"/>
    <w:rsid w:val="002954FB"/>
    <w:rsid w:val="00296A7D"/>
    <w:rsid w:val="002A44B3"/>
    <w:rsid w:val="002A74AC"/>
    <w:rsid w:val="002B46BD"/>
    <w:rsid w:val="002B6F2C"/>
    <w:rsid w:val="002C32E0"/>
    <w:rsid w:val="002C3EA8"/>
    <w:rsid w:val="002C51FF"/>
    <w:rsid w:val="002C5603"/>
    <w:rsid w:val="002D3DEB"/>
    <w:rsid w:val="002D7F7B"/>
    <w:rsid w:val="002E38EE"/>
    <w:rsid w:val="002E46B9"/>
    <w:rsid w:val="00301688"/>
    <w:rsid w:val="00313740"/>
    <w:rsid w:val="00324A6B"/>
    <w:rsid w:val="003325BB"/>
    <w:rsid w:val="00336338"/>
    <w:rsid w:val="00342380"/>
    <w:rsid w:val="00351B5D"/>
    <w:rsid w:val="00352A40"/>
    <w:rsid w:val="00356A6E"/>
    <w:rsid w:val="00365AC7"/>
    <w:rsid w:val="00367861"/>
    <w:rsid w:val="00370EA3"/>
    <w:rsid w:val="003711A6"/>
    <w:rsid w:val="00371603"/>
    <w:rsid w:val="0037567E"/>
    <w:rsid w:val="00376990"/>
    <w:rsid w:val="00382052"/>
    <w:rsid w:val="0038336A"/>
    <w:rsid w:val="003848EE"/>
    <w:rsid w:val="003853B3"/>
    <w:rsid w:val="00387F93"/>
    <w:rsid w:val="00390B63"/>
    <w:rsid w:val="003911D1"/>
    <w:rsid w:val="00392C4B"/>
    <w:rsid w:val="003A1F56"/>
    <w:rsid w:val="003A5174"/>
    <w:rsid w:val="003A5D76"/>
    <w:rsid w:val="003B6A56"/>
    <w:rsid w:val="003C3DFD"/>
    <w:rsid w:val="003D5309"/>
    <w:rsid w:val="003E2314"/>
    <w:rsid w:val="003E28A5"/>
    <w:rsid w:val="003E365C"/>
    <w:rsid w:val="003E3BAF"/>
    <w:rsid w:val="003F1171"/>
    <w:rsid w:val="003F474F"/>
    <w:rsid w:val="003F70E4"/>
    <w:rsid w:val="0040034C"/>
    <w:rsid w:val="004016CD"/>
    <w:rsid w:val="00401DC4"/>
    <w:rsid w:val="00403A36"/>
    <w:rsid w:val="00404CF9"/>
    <w:rsid w:val="00412A99"/>
    <w:rsid w:val="004144AA"/>
    <w:rsid w:val="00415C56"/>
    <w:rsid w:val="00416953"/>
    <w:rsid w:val="004177B7"/>
    <w:rsid w:val="004217B1"/>
    <w:rsid w:val="00440F1A"/>
    <w:rsid w:val="00452FE1"/>
    <w:rsid w:val="004531A1"/>
    <w:rsid w:val="004568A1"/>
    <w:rsid w:val="00467C8A"/>
    <w:rsid w:val="00470531"/>
    <w:rsid w:val="0047206A"/>
    <w:rsid w:val="00472F5C"/>
    <w:rsid w:val="004763C0"/>
    <w:rsid w:val="0048224D"/>
    <w:rsid w:val="00492493"/>
    <w:rsid w:val="0049291E"/>
    <w:rsid w:val="004953FC"/>
    <w:rsid w:val="00496D37"/>
    <w:rsid w:val="004A040E"/>
    <w:rsid w:val="004B1097"/>
    <w:rsid w:val="004B5C58"/>
    <w:rsid w:val="004C118F"/>
    <w:rsid w:val="004C1C6E"/>
    <w:rsid w:val="004C2B00"/>
    <w:rsid w:val="004C60E1"/>
    <w:rsid w:val="004D3650"/>
    <w:rsid w:val="004D6406"/>
    <w:rsid w:val="004E15A5"/>
    <w:rsid w:val="004E44C6"/>
    <w:rsid w:val="004E5305"/>
    <w:rsid w:val="004E6897"/>
    <w:rsid w:val="004E7A46"/>
    <w:rsid w:val="004F348F"/>
    <w:rsid w:val="004F3726"/>
    <w:rsid w:val="004F3D1B"/>
    <w:rsid w:val="004F5C93"/>
    <w:rsid w:val="0050316E"/>
    <w:rsid w:val="00503355"/>
    <w:rsid w:val="00504651"/>
    <w:rsid w:val="00506BC2"/>
    <w:rsid w:val="00511B10"/>
    <w:rsid w:val="00514CBD"/>
    <w:rsid w:val="005171B5"/>
    <w:rsid w:val="005236FF"/>
    <w:rsid w:val="005252DA"/>
    <w:rsid w:val="0052785B"/>
    <w:rsid w:val="005307BA"/>
    <w:rsid w:val="0054377E"/>
    <w:rsid w:val="0055135E"/>
    <w:rsid w:val="00551472"/>
    <w:rsid w:val="0055459F"/>
    <w:rsid w:val="00556A67"/>
    <w:rsid w:val="0056652E"/>
    <w:rsid w:val="005700E1"/>
    <w:rsid w:val="00571611"/>
    <w:rsid w:val="00574EDC"/>
    <w:rsid w:val="005841E2"/>
    <w:rsid w:val="005907AF"/>
    <w:rsid w:val="0059111A"/>
    <w:rsid w:val="0059714C"/>
    <w:rsid w:val="005976B1"/>
    <w:rsid w:val="005A2310"/>
    <w:rsid w:val="005A2659"/>
    <w:rsid w:val="005A2986"/>
    <w:rsid w:val="005A411B"/>
    <w:rsid w:val="005A57AA"/>
    <w:rsid w:val="005A6B8D"/>
    <w:rsid w:val="005B2E06"/>
    <w:rsid w:val="005B6DB0"/>
    <w:rsid w:val="005C1EFE"/>
    <w:rsid w:val="005C61D8"/>
    <w:rsid w:val="005C7404"/>
    <w:rsid w:val="005C7805"/>
    <w:rsid w:val="005C78D4"/>
    <w:rsid w:val="005D0C5F"/>
    <w:rsid w:val="005D1713"/>
    <w:rsid w:val="005D26A3"/>
    <w:rsid w:val="005E3D7C"/>
    <w:rsid w:val="005E4344"/>
    <w:rsid w:val="005E48C1"/>
    <w:rsid w:val="005E69C0"/>
    <w:rsid w:val="005F3144"/>
    <w:rsid w:val="005F6EC0"/>
    <w:rsid w:val="005F7719"/>
    <w:rsid w:val="006005FA"/>
    <w:rsid w:val="00601037"/>
    <w:rsid w:val="00604A09"/>
    <w:rsid w:val="0060749B"/>
    <w:rsid w:val="0061170B"/>
    <w:rsid w:val="00612EFF"/>
    <w:rsid w:val="006137FD"/>
    <w:rsid w:val="0061424A"/>
    <w:rsid w:val="0062789F"/>
    <w:rsid w:val="0063690C"/>
    <w:rsid w:val="00645F42"/>
    <w:rsid w:val="00650671"/>
    <w:rsid w:val="0065382F"/>
    <w:rsid w:val="00655C6D"/>
    <w:rsid w:val="006615D8"/>
    <w:rsid w:val="00663496"/>
    <w:rsid w:val="00671459"/>
    <w:rsid w:val="00677DD3"/>
    <w:rsid w:val="00685E33"/>
    <w:rsid w:val="00687080"/>
    <w:rsid w:val="006904BD"/>
    <w:rsid w:val="00692EDF"/>
    <w:rsid w:val="00693B44"/>
    <w:rsid w:val="00696078"/>
    <w:rsid w:val="00697A62"/>
    <w:rsid w:val="006A4C40"/>
    <w:rsid w:val="006A5527"/>
    <w:rsid w:val="006B2B98"/>
    <w:rsid w:val="006C140B"/>
    <w:rsid w:val="006C1957"/>
    <w:rsid w:val="006C1DC6"/>
    <w:rsid w:val="006C3C0B"/>
    <w:rsid w:val="006C61D2"/>
    <w:rsid w:val="006C7336"/>
    <w:rsid w:val="006D1FD0"/>
    <w:rsid w:val="006D2C52"/>
    <w:rsid w:val="006D2C6B"/>
    <w:rsid w:val="006D4F09"/>
    <w:rsid w:val="006E07F1"/>
    <w:rsid w:val="006E0D34"/>
    <w:rsid w:val="006E10B8"/>
    <w:rsid w:val="006E6F1A"/>
    <w:rsid w:val="006F23F1"/>
    <w:rsid w:val="006F3673"/>
    <w:rsid w:val="007039E1"/>
    <w:rsid w:val="00706843"/>
    <w:rsid w:val="00710128"/>
    <w:rsid w:val="00716758"/>
    <w:rsid w:val="0071782C"/>
    <w:rsid w:val="00717C92"/>
    <w:rsid w:val="00720219"/>
    <w:rsid w:val="00722BAA"/>
    <w:rsid w:val="00725FD2"/>
    <w:rsid w:val="00726629"/>
    <w:rsid w:val="0073338F"/>
    <w:rsid w:val="007360B7"/>
    <w:rsid w:val="00740A43"/>
    <w:rsid w:val="0075004B"/>
    <w:rsid w:val="007515AC"/>
    <w:rsid w:val="00762C8D"/>
    <w:rsid w:val="00766350"/>
    <w:rsid w:val="007731BB"/>
    <w:rsid w:val="00777427"/>
    <w:rsid w:val="007821B5"/>
    <w:rsid w:val="00782D84"/>
    <w:rsid w:val="00782E4D"/>
    <w:rsid w:val="007838D9"/>
    <w:rsid w:val="00784A9C"/>
    <w:rsid w:val="007872AF"/>
    <w:rsid w:val="0079360E"/>
    <w:rsid w:val="00793C5B"/>
    <w:rsid w:val="00796860"/>
    <w:rsid w:val="00797AEF"/>
    <w:rsid w:val="007A3009"/>
    <w:rsid w:val="007A475B"/>
    <w:rsid w:val="007A70AF"/>
    <w:rsid w:val="007B2E3E"/>
    <w:rsid w:val="007B3E13"/>
    <w:rsid w:val="007B45E3"/>
    <w:rsid w:val="007B6ACC"/>
    <w:rsid w:val="007C1B25"/>
    <w:rsid w:val="007C746F"/>
    <w:rsid w:val="007D4538"/>
    <w:rsid w:val="007D4D39"/>
    <w:rsid w:val="007E1460"/>
    <w:rsid w:val="007E5045"/>
    <w:rsid w:val="007E5081"/>
    <w:rsid w:val="007F2E81"/>
    <w:rsid w:val="007F59B3"/>
    <w:rsid w:val="00802A19"/>
    <w:rsid w:val="00803A2B"/>
    <w:rsid w:val="008043DD"/>
    <w:rsid w:val="00804B73"/>
    <w:rsid w:val="00807AD4"/>
    <w:rsid w:val="00812E7A"/>
    <w:rsid w:val="00813FAB"/>
    <w:rsid w:val="00820C49"/>
    <w:rsid w:val="0082122B"/>
    <w:rsid w:val="00826EF4"/>
    <w:rsid w:val="008334D3"/>
    <w:rsid w:val="00834465"/>
    <w:rsid w:val="00834F59"/>
    <w:rsid w:val="008409A9"/>
    <w:rsid w:val="008413A8"/>
    <w:rsid w:val="0084146A"/>
    <w:rsid w:val="00844359"/>
    <w:rsid w:val="00844B5C"/>
    <w:rsid w:val="00847C2A"/>
    <w:rsid w:val="00847CE4"/>
    <w:rsid w:val="00853ACE"/>
    <w:rsid w:val="00854EEE"/>
    <w:rsid w:val="008608BB"/>
    <w:rsid w:val="0086550E"/>
    <w:rsid w:val="008659B7"/>
    <w:rsid w:val="008702C6"/>
    <w:rsid w:val="008710F8"/>
    <w:rsid w:val="00875337"/>
    <w:rsid w:val="00876DAB"/>
    <w:rsid w:val="0087740C"/>
    <w:rsid w:val="008809DC"/>
    <w:rsid w:val="00884EF4"/>
    <w:rsid w:val="00890C28"/>
    <w:rsid w:val="00891389"/>
    <w:rsid w:val="0089236B"/>
    <w:rsid w:val="00893C7D"/>
    <w:rsid w:val="008956E7"/>
    <w:rsid w:val="008A69DE"/>
    <w:rsid w:val="008A74B2"/>
    <w:rsid w:val="008A7A96"/>
    <w:rsid w:val="008C02B9"/>
    <w:rsid w:val="008C56AA"/>
    <w:rsid w:val="008C7759"/>
    <w:rsid w:val="008D06CE"/>
    <w:rsid w:val="008D24CE"/>
    <w:rsid w:val="008D2A8F"/>
    <w:rsid w:val="008D5AB2"/>
    <w:rsid w:val="008F1515"/>
    <w:rsid w:val="008F210D"/>
    <w:rsid w:val="00900C64"/>
    <w:rsid w:val="009027AE"/>
    <w:rsid w:val="0091332A"/>
    <w:rsid w:val="00922E23"/>
    <w:rsid w:val="009319AE"/>
    <w:rsid w:val="00931D98"/>
    <w:rsid w:val="009320C3"/>
    <w:rsid w:val="00935021"/>
    <w:rsid w:val="00941E19"/>
    <w:rsid w:val="009431DD"/>
    <w:rsid w:val="00945F04"/>
    <w:rsid w:val="009461B5"/>
    <w:rsid w:val="0095159F"/>
    <w:rsid w:val="009630C1"/>
    <w:rsid w:val="00967A4A"/>
    <w:rsid w:val="009760FA"/>
    <w:rsid w:val="00982F32"/>
    <w:rsid w:val="009857DA"/>
    <w:rsid w:val="00985998"/>
    <w:rsid w:val="00991C44"/>
    <w:rsid w:val="00996764"/>
    <w:rsid w:val="009A1B9C"/>
    <w:rsid w:val="009A22C8"/>
    <w:rsid w:val="009A6C0D"/>
    <w:rsid w:val="009A76A8"/>
    <w:rsid w:val="009B24C9"/>
    <w:rsid w:val="009B3287"/>
    <w:rsid w:val="009B3548"/>
    <w:rsid w:val="009B4A9A"/>
    <w:rsid w:val="009C1FD0"/>
    <w:rsid w:val="009C23CA"/>
    <w:rsid w:val="009C2E58"/>
    <w:rsid w:val="009C5C39"/>
    <w:rsid w:val="009C6E4E"/>
    <w:rsid w:val="009C703B"/>
    <w:rsid w:val="009D01B5"/>
    <w:rsid w:val="009D2EE9"/>
    <w:rsid w:val="009D605F"/>
    <w:rsid w:val="009D6976"/>
    <w:rsid w:val="009E0D24"/>
    <w:rsid w:val="009E232D"/>
    <w:rsid w:val="009E4FB2"/>
    <w:rsid w:val="009F47D2"/>
    <w:rsid w:val="009F6B85"/>
    <w:rsid w:val="00A11D6C"/>
    <w:rsid w:val="00A1545D"/>
    <w:rsid w:val="00A155B1"/>
    <w:rsid w:val="00A156E5"/>
    <w:rsid w:val="00A16747"/>
    <w:rsid w:val="00A20CED"/>
    <w:rsid w:val="00A23122"/>
    <w:rsid w:val="00A267AD"/>
    <w:rsid w:val="00A26AD3"/>
    <w:rsid w:val="00A31DB1"/>
    <w:rsid w:val="00A33F44"/>
    <w:rsid w:val="00A33F7C"/>
    <w:rsid w:val="00A36996"/>
    <w:rsid w:val="00A369F6"/>
    <w:rsid w:val="00A37567"/>
    <w:rsid w:val="00A3761E"/>
    <w:rsid w:val="00A42A8E"/>
    <w:rsid w:val="00A43C94"/>
    <w:rsid w:val="00A441AB"/>
    <w:rsid w:val="00A47AB7"/>
    <w:rsid w:val="00A47E2F"/>
    <w:rsid w:val="00A533D5"/>
    <w:rsid w:val="00A60485"/>
    <w:rsid w:val="00A6293E"/>
    <w:rsid w:val="00A6690C"/>
    <w:rsid w:val="00A7064B"/>
    <w:rsid w:val="00A72986"/>
    <w:rsid w:val="00A742DE"/>
    <w:rsid w:val="00A7549D"/>
    <w:rsid w:val="00A83B00"/>
    <w:rsid w:val="00A90EA8"/>
    <w:rsid w:val="00A92F15"/>
    <w:rsid w:val="00A937CB"/>
    <w:rsid w:val="00A952B3"/>
    <w:rsid w:val="00AA0CA4"/>
    <w:rsid w:val="00AA2FA7"/>
    <w:rsid w:val="00AB1F45"/>
    <w:rsid w:val="00AB7229"/>
    <w:rsid w:val="00AC3FBF"/>
    <w:rsid w:val="00AC7539"/>
    <w:rsid w:val="00AD36D4"/>
    <w:rsid w:val="00AD4C2F"/>
    <w:rsid w:val="00AD5CFD"/>
    <w:rsid w:val="00AD7255"/>
    <w:rsid w:val="00AD7964"/>
    <w:rsid w:val="00AE3C32"/>
    <w:rsid w:val="00B0124E"/>
    <w:rsid w:val="00B01AF8"/>
    <w:rsid w:val="00B05275"/>
    <w:rsid w:val="00B05DEB"/>
    <w:rsid w:val="00B06D4F"/>
    <w:rsid w:val="00B10A40"/>
    <w:rsid w:val="00B11385"/>
    <w:rsid w:val="00B122EA"/>
    <w:rsid w:val="00B12B26"/>
    <w:rsid w:val="00B2127D"/>
    <w:rsid w:val="00B2512A"/>
    <w:rsid w:val="00B26E39"/>
    <w:rsid w:val="00B3121E"/>
    <w:rsid w:val="00B3251C"/>
    <w:rsid w:val="00B332C7"/>
    <w:rsid w:val="00B34C44"/>
    <w:rsid w:val="00B41ED2"/>
    <w:rsid w:val="00B46688"/>
    <w:rsid w:val="00B47052"/>
    <w:rsid w:val="00B5344A"/>
    <w:rsid w:val="00B55E78"/>
    <w:rsid w:val="00B662F6"/>
    <w:rsid w:val="00B6672E"/>
    <w:rsid w:val="00B66EB5"/>
    <w:rsid w:val="00B724BC"/>
    <w:rsid w:val="00B8003D"/>
    <w:rsid w:val="00B84BDD"/>
    <w:rsid w:val="00BA3241"/>
    <w:rsid w:val="00BA4284"/>
    <w:rsid w:val="00BA5B6C"/>
    <w:rsid w:val="00BB261E"/>
    <w:rsid w:val="00BB6E82"/>
    <w:rsid w:val="00BC10D5"/>
    <w:rsid w:val="00BC1D52"/>
    <w:rsid w:val="00BD33DB"/>
    <w:rsid w:val="00BD4C44"/>
    <w:rsid w:val="00BD7517"/>
    <w:rsid w:val="00BE02B7"/>
    <w:rsid w:val="00BE14CD"/>
    <w:rsid w:val="00BE1B8D"/>
    <w:rsid w:val="00BF02BA"/>
    <w:rsid w:val="00BF11C0"/>
    <w:rsid w:val="00BF4203"/>
    <w:rsid w:val="00BF4C21"/>
    <w:rsid w:val="00BF5D6A"/>
    <w:rsid w:val="00C04494"/>
    <w:rsid w:val="00C146C0"/>
    <w:rsid w:val="00C16127"/>
    <w:rsid w:val="00C17F04"/>
    <w:rsid w:val="00C2751A"/>
    <w:rsid w:val="00C27E32"/>
    <w:rsid w:val="00C30969"/>
    <w:rsid w:val="00C32EC8"/>
    <w:rsid w:val="00C341A0"/>
    <w:rsid w:val="00C34704"/>
    <w:rsid w:val="00C37EC9"/>
    <w:rsid w:val="00C41C48"/>
    <w:rsid w:val="00C4266E"/>
    <w:rsid w:val="00C504DA"/>
    <w:rsid w:val="00C5307A"/>
    <w:rsid w:val="00C571B6"/>
    <w:rsid w:val="00C619E2"/>
    <w:rsid w:val="00C64152"/>
    <w:rsid w:val="00C67861"/>
    <w:rsid w:val="00C7185F"/>
    <w:rsid w:val="00C72137"/>
    <w:rsid w:val="00C767F6"/>
    <w:rsid w:val="00C82070"/>
    <w:rsid w:val="00C82939"/>
    <w:rsid w:val="00C82A78"/>
    <w:rsid w:val="00C85F16"/>
    <w:rsid w:val="00C8708B"/>
    <w:rsid w:val="00C92734"/>
    <w:rsid w:val="00C97613"/>
    <w:rsid w:val="00CA29A1"/>
    <w:rsid w:val="00CA4AFF"/>
    <w:rsid w:val="00CA77B4"/>
    <w:rsid w:val="00CA7D06"/>
    <w:rsid w:val="00CB569D"/>
    <w:rsid w:val="00CC4B29"/>
    <w:rsid w:val="00CE5C9B"/>
    <w:rsid w:val="00CE5F0A"/>
    <w:rsid w:val="00CF168A"/>
    <w:rsid w:val="00D02959"/>
    <w:rsid w:val="00D06E8C"/>
    <w:rsid w:val="00D1297A"/>
    <w:rsid w:val="00D13A3F"/>
    <w:rsid w:val="00D14C7E"/>
    <w:rsid w:val="00D16297"/>
    <w:rsid w:val="00D16D88"/>
    <w:rsid w:val="00D203E4"/>
    <w:rsid w:val="00D23C90"/>
    <w:rsid w:val="00D27769"/>
    <w:rsid w:val="00D30F1C"/>
    <w:rsid w:val="00D34677"/>
    <w:rsid w:val="00D5247E"/>
    <w:rsid w:val="00D5621F"/>
    <w:rsid w:val="00D619CD"/>
    <w:rsid w:val="00D84418"/>
    <w:rsid w:val="00D85D9E"/>
    <w:rsid w:val="00D92737"/>
    <w:rsid w:val="00D9278B"/>
    <w:rsid w:val="00D94EBB"/>
    <w:rsid w:val="00DA1253"/>
    <w:rsid w:val="00DA23CA"/>
    <w:rsid w:val="00DB0028"/>
    <w:rsid w:val="00DB2014"/>
    <w:rsid w:val="00DB7B8E"/>
    <w:rsid w:val="00DC037A"/>
    <w:rsid w:val="00DD0E70"/>
    <w:rsid w:val="00DD26F1"/>
    <w:rsid w:val="00DD4052"/>
    <w:rsid w:val="00DD59FA"/>
    <w:rsid w:val="00DD5A56"/>
    <w:rsid w:val="00DE5A26"/>
    <w:rsid w:val="00DE7BC1"/>
    <w:rsid w:val="00DF22FB"/>
    <w:rsid w:val="00DF33DE"/>
    <w:rsid w:val="00DF4737"/>
    <w:rsid w:val="00DF76D1"/>
    <w:rsid w:val="00E01695"/>
    <w:rsid w:val="00E050B7"/>
    <w:rsid w:val="00E12CAD"/>
    <w:rsid w:val="00E14B5C"/>
    <w:rsid w:val="00E20E94"/>
    <w:rsid w:val="00E22856"/>
    <w:rsid w:val="00E24A11"/>
    <w:rsid w:val="00E3282C"/>
    <w:rsid w:val="00E355B2"/>
    <w:rsid w:val="00E429F6"/>
    <w:rsid w:val="00E45DB1"/>
    <w:rsid w:val="00E51F8D"/>
    <w:rsid w:val="00E570F1"/>
    <w:rsid w:val="00E66BCF"/>
    <w:rsid w:val="00E7456D"/>
    <w:rsid w:val="00E90645"/>
    <w:rsid w:val="00E94167"/>
    <w:rsid w:val="00E96129"/>
    <w:rsid w:val="00EA60BF"/>
    <w:rsid w:val="00EB5320"/>
    <w:rsid w:val="00EB6BB0"/>
    <w:rsid w:val="00EB7D97"/>
    <w:rsid w:val="00EC207D"/>
    <w:rsid w:val="00ED4184"/>
    <w:rsid w:val="00ED77A4"/>
    <w:rsid w:val="00EE143D"/>
    <w:rsid w:val="00EE19D9"/>
    <w:rsid w:val="00EE4519"/>
    <w:rsid w:val="00EE4CD7"/>
    <w:rsid w:val="00EF60E7"/>
    <w:rsid w:val="00EF617D"/>
    <w:rsid w:val="00EF6BC0"/>
    <w:rsid w:val="00F01A8B"/>
    <w:rsid w:val="00F01E94"/>
    <w:rsid w:val="00F02BC4"/>
    <w:rsid w:val="00F057A6"/>
    <w:rsid w:val="00F10F48"/>
    <w:rsid w:val="00F11B92"/>
    <w:rsid w:val="00F1260A"/>
    <w:rsid w:val="00F160E2"/>
    <w:rsid w:val="00F24925"/>
    <w:rsid w:val="00F27D80"/>
    <w:rsid w:val="00F30671"/>
    <w:rsid w:val="00F30A69"/>
    <w:rsid w:val="00F31284"/>
    <w:rsid w:val="00F43641"/>
    <w:rsid w:val="00F460AB"/>
    <w:rsid w:val="00F4788D"/>
    <w:rsid w:val="00F66167"/>
    <w:rsid w:val="00F66466"/>
    <w:rsid w:val="00F70EDC"/>
    <w:rsid w:val="00F7105F"/>
    <w:rsid w:val="00F7580D"/>
    <w:rsid w:val="00F75834"/>
    <w:rsid w:val="00F83FA1"/>
    <w:rsid w:val="00F84DEB"/>
    <w:rsid w:val="00F87935"/>
    <w:rsid w:val="00F920E4"/>
    <w:rsid w:val="00FA3837"/>
    <w:rsid w:val="00FA4398"/>
    <w:rsid w:val="00FB03B1"/>
    <w:rsid w:val="00FB7E48"/>
    <w:rsid w:val="00FC0ABA"/>
    <w:rsid w:val="00FC79E6"/>
    <w:rsid w:val="00FD06F4"/>
    <w:rsid w:val="00FD23C2"/>
    <w:rsid w:val="00FE4DA6"/>
    <w:rsid w:val="00FE6001"/>
    <w:rsid w:val="00FE73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DEFC903"/>
  <w15:docId w15:val="{6ED56CB8-70ED-4511-8882-EE117F1AF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eastAsia="en-US"/>
    </w:rPr>
  </w:style>
  <w:style w:type="paragraph" w:styleId="Heading1">
    <w:name w:val="heading 1"/>
    <w:basedOn w:val="Normal"/>
    <w:next w:val="Normal"/>
    <w:link w:val="Heading1Char"/>
    <w:qFormat/>
    <w:rsid w:val="00693B44"/>
    <w:pPr>
      <w:keepNext/>
      <w:keepLines/>
      <w:numPr>
        <w:numId w:val="2"/>
      </w:numPr>
      <w:suppressAutoHyphens/>
      <w:spacing w:before="480" w:after="0" w:line="240" w:lineRule="auto"/>
      <w:outlineLvl w:val="0"/>
    </w:pPr>
    <w:rPr>
      <w:rFonts w:ascii="Cambria" w:eastAsia="MS Gothic" w:hAnsi="Cambria" w:cs="Cambria"/>
      <w:b/>
      <w:bCs/>
      <w:color w:val="365F91"/>
      <w:sz w:val="28"/>
      <w:szCs w:val="28"/>
      <w:lang w:eastAsia="zh-CN"/>
    </w:rPr>
  </w:style>
  <w:style w:type="paragraph" w:styleId="Heading2">
    <w:name w:val="heading 2"/>
    <w:basedOn w:val="Normal"/>
    <w:next w:val="Normal"/>
    <w:link w:val="Heading2Char"/>
    <w:uiPriority w:val="9"/>
    <w:unhideWhenUsed/>
    <w:qFormat/>
    <w:rsid w:val="00693B44"/>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unhideWhenUsed/>
    <w:qFormat/>
    <w:rsid w:val="00693B44"/>
    <w:pPr>
      <w:keepNext/>
      <w:spacing w:before="240" w:after="60"/>
      <w:outlineLvl w:val="2"/>
    </w:pPr>
    <w:rPr>
      <w:rFonts w:ascii="Calibri Light" w:eastAsia="Times New Roman" w:hAnsi="Calibri Light"/>
      <w:b/>
      <w:bCs/>
      <w:sz w:val="26"/>
      <w:szCs w:val="26"/>
    </w:rPr>
  </w:style>
  <w:style w:type="paragraph" w:styleId="Heading4">
    <w:name w:val="heading 4"/>
    <w:basedOn w:val="Normal"/>
    <w:next w:val="Normal"/>
    <w:link w:val="Heading4Char"/>
    <w:uiPriority w:val="9"/>
    <w:unhideWhenUsed/>
    <w:qFormat/>
    <w:rsid w:val="006C1957"/>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93B44"/>
    <w:rPr>
      <w:rFonts w:ascii="Cambria" w:eastAsia="MS Gothic" w:hAnsi="Cambria" w:cs="Cambria"/>
      <w:b/>
      <w:bCs/>
      <w:color w:val="365F91"/>
      <w:sz w:val="28"/>
      <w:szCs w:val="28"/>
      <w:lang w:eastAsia="zh-CN"/>
    </w:rPr>
  </w:style>
  <w:style w:type="character" w:customStyle="1" w:styleId="Heading3Char">
    <w:name w:val="Heading 3 Char"/>
    <w:link w:val="Heading3"/>
    <w:uiPriority w:val="9"/>
    <w:rsid w:val="00693B44"/>
    <w:rPr>
      <w:rFonts w:ascii="Calibri Light" w:eastAsia="Times New Roman" w:hAnsi="Calibri Light" w:cs="Times New Roman"/>
      <w:b/>
      <w:bCs/>
      <w:sz w:val="26"/>
      <w:szCs w:val="26"/>
      <w:lang w:eastAsia="en-US"/>
    </w:rPr>
  </w:style>
  <w:style w:type="character" w:customStyle="1" w:styleId="Heading2Char">
    <w:name w:val="Heading 2 Char"/>
    <w:link w:val="Heading2"/>
    <w:uiPriority w:val="9"/>
    <w:rsid w:val="00693B44"/>
    <w:rPr>
      <w:rFonts w:ascii="Calibri Light" w:eastAsia="Times New Roman" w:hAnsi="Calibri Light" w:cs="Times New Roman"/>
      <w:b/>
      <w:bCs/>
      <w:i/>
      <w:iCs/>
      <w:sz w:val="28"/>
      <w:szCs w:val="28"/>
      <w:lang w:eastAsia="en-US"/>
    </w:rPr>
  </w:style>
  <w:style w:type="character" w:styleId="CommentReference">
    <w:name w:val="annotation reference"/>
    <w:rsid w:val="0047206A"/>
    <w:rPr>
      <w:sz w:val="18"/>
      <w:szCs w:val="18"/>
    </w:rPr>
  </w:style>
  <w:style w:type="paragraph" w:styleId="BalloonText">
    <w:name w:val="Balloon Text"/>
    <w:basedOn w:val="Normal"/>
    <w:link w:val="BalloonTextChar"/>
    <w:uiPriority w:val="99"/>
    <w:semiHidden/>
    <w:unhideWhenUsed/>
    <w:rsid w:val="0047206A"/>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47206A"/>
    <w:rPr>
      <w:rFonts w:ascii="Segoe UI" w:hAnsi="Segoe UI" w:cs="Segoe UI"/>
      <w:sz w:val="18"/>
      <w:szCs w:val="18"/>
      <w:lang w:eastAsia="en-US"/>
    </w:rPr>
  </w:style>
  <w:style w:type="character" w:customStyle="1" w:styleId="Heading4Char">
    <w:name w:val="Heading 4 Char"/>
    <w:link w:val="Heading4"/>
    <w:uiPriority w:val="9"/>
    <w:rsid w:val="006C1957"/>
    <w:rPr>
      <w:rFonts w:ascii="Calibri" w:eastAsia="Times New Roman" w:hAnsi="Calibri" w:cs="Times New Roman"/>
      <w:b/>
      <w:bCs/>
      <w:sz w:val="28"/>
      <w:szCs w:val="28"/>
      <w:lang w:eastAsia="en-US"/>
    </w:rPr>
  </w:style>
  <w:style w:type="paragraph" w:styleId="Header">
    <w:name w:val="header"/>
    <w:basedOn w:val="Normal"/>
    <w:link w:val="HeaderChar"/>
    <w:uiPriority w:val="99"/>
    <w:unhideWhenUsed/>
    <w:rsid w:val="008D06CE"/>
    <w:pPr>
      <w:tabs>
        <w:tab w:val="center" w:pos="4513"/>
        <w:tab w:val="right" w:pos="9026"/>
      </w:tabs>
    </w:pPr>
  </w:style>
  <w:style w:type="character" w:customStyle="1" w:styleId="HeaderChar">
    <w:name w:val="Header Char"/>
    <w:link w:val="Header"/>
    <w:uiPriority w:val="99"/>
    <w:rsid w:val="008D06CE"/>
    <w:rPr>
      <w:sz w:val="22"/>
      <w:szCs w:val="22"/>
      <w:lang w:eastAsia="en-US"/>
    </w:rPr>
  </w:style>
  <w:style w:type="paragraph" w:styleId="Footer">
    <w:name w:val="footer"/>
    <w:basedOn w:val="Normal"/>
    <w:link w:val="FooterChar"/>
    <w:uiPriority w:val="99"/>
    <w:unhideWhenUsed/>
    <w:rsid w:val="008D06CE"/>
    <w:pPr>
      <w:tabs>
        <w:tab w:val="center" w:pos="4513"/>
        <w:tab w:val="right" w:pos="9026"/>
      </w:tabs>
    </w:pPr>
  </w:style>
  <w:style w:type="character" w:customStyle="1" w:styleId="FooterChar">
    <w:name w:val="Footer Char"/>
    <w:link w:val="Footer"/>
    <w:uiPriority w:val="99"/>
    <w:rsid w:val="008D06CE"/>
    <w:rPr>
      <w:sz w:val="22"/>
      <w:szCs w:val="22"/>
      <w:lang w:eastAsia="en-US"/>
    </w:rPr>
  </w:style>
  <w:style w:type="character" w:customStyle="1" w:styleId="st">
    <w:name w:val="st"/>
    <w:rsid w:val="000A4425"/>
  </w:style>
  <w:style w:type="character" w:styleId="Emphasis">
    <w:name w:val="Emphasis"/>
    <w:uiPriority w:val="20"/>
    <w:qFormat/>
    <w:rsid w:val="000A4425"/>
    <w:rPr>
      <w:i/>
      <w:iCs/>
    </w:rPr>
  </w:style>
  <w:style w:type="paragraph" w:styleId="CommentText">
    <w:name w:val="annotation text"/>
    <w:basedOn w:val="Normal"/>
    <w:link w:val="CommentTextChar"/>
    <w:uiPriority w:val="99"/>
    <w:semiHidden/>
    <w:unhideWhenUsed/>
    <w:rsid w:val="00A92F15"/>
    <w:pPr>
      <w:spacing w:line="240" w:lineRule="auto"/>
    </w:pPr>
    <w:rPr>
      <w:sz w:val="20"/>
      <w:szCs w:val="20"/>
    </w:rPr>
  </w:style>
  <w:style w:type="character" w:customStyle="1" w:styleId="CommentTextChar">
    <w:name w:val="Comment Text Char"/>
    <w:basedOn w:val="DefaultParagraphFont"/>
    <w:link w:val="CommentText"/>
    <w:uiPriority w:val="99"/>
    <w:semiHidden/>
    <w:rsid w:val="00A92F15"/>
    <w:rPr>
      <w:lang w:eastAsia="en-US"/>
    </w:rPr>
  </w:style>
  <w:style w:type="paragraph" w:styleId="CommentSubject">
    <w:name w:val="annotation subject"/>
    <w:basedOn w:val="CommentText"/>
    <w:next w:val="CommentText"/>
    <w:link w:val="CommentSubjectChar"/>
    <w:uiPriority w:val="99"/>
    <w:semiHidden/>
    <w:unhideWhenUsed/>
    <w:rsid w:val="00A92F15"/>
    <w:rPr>
      <w:b/>
      <w:bCs/>
    </w:rPr>
  </w:style>
  <w:style w:type="character" w:customStyle="1" w:styleId="CommentSubjectChar">
    <w:name w:val="Comment Subject Char"/>
    <w:basedOn w:val="CommentTextChar"/>
    <w:link w:val="CommentSubject"/>
    <w:uiPriority w:val="99"/>
    <w:semiHidden/>
    <w:rsid w:val="00A92F15"/>
    <w:rPr>
      <w:b/>
      <w:bCs/>
      <w:lang w:eastAsia="en-US"/>
    </w:rPr>
  </w:style>
  <w:style w:type="character" w:styleId="Hyperlink">
    <w:name w:val="Hyperlink"/>
    <w:basedOn w:val="DefaultParagraphFont"/>
    <w:uiPriority w:val="99"/>
    <w:semiHidden/>
    <w:unhideWhenUsed/>
    <w:rsid w:val="0075004B"/>
    <w:rPr>
      <w:color w:val="0000FF"/>
      <w:u w:val="single"/>
    </w:rPr>
  </w:style>
  <w:style w:type="paragraph" w:styleId="ListParagraph">
    <w:name w:val="List Paragraph"/>
    <w:basedOn w:val="Normal"/>
    <w:uiPriority w:val="34"/>
    <w:qFormat/>
    <w:rsid w:val="00884EF4"/>
    <w:pPr>
      <w:ind w:left="720"/>
      <w:contextualSpacing/>
    </w:pPr>
  </w:style>
  <w:style w:type="character" w:customStyle="1" w:styleId="slug-doi">
    <w:name w:val="slug-doi"/>
    <w:basedOn w:val="DefaultParagraphFont"/>
    <w:rsid w:val="00B55E78"/>
  </w:style>
  <w:style w:type="paragraph" w:customStyle="1" w:styleId="TableContents">
    <w:name w:val="Table Contents"/>
    <w:basedOn w:val="Normal"/>
    <w:rsid w:val="00103B10"/>
    <w:pPr>
      <w:widowControl w:val="0"/>
      <w:suppressLineNumbers/>
      <w:suppressAutoHyphens/>
      <w:spacing w:after="0" w:line="240" w:lineRule="auto"/>
    </w:pPr>
    <w:rPr>
      <w:rFonts w:ascii="Liberation Serif" w:eastAsia="Droid Sans Fallback" w:hAnsi="Liberation Serif" w:cs="FreeSans"/>
      <w:sz w:val="24"/>
      <w:szCs w:val="24"/>
      <w:lang w:eastAsia="zh-CN" w:bidi="hi-IN"/>
    </w:rPr>
  </w:style>
  <w:style w:type="character" w:styleId="Strong">
    <w:name w:val="Strong"/>
    <w:basedOn w:val="DefaultParagraphFont"/>
    <w:uiPriority w:val="22"/>
    <w:qFormat/>
    <w:rsid w:val="00722B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619732">
      <w:bodyDiv w:val="1"/>
      <w:marLeft w:val="0"/>
      <w:marRight w:val="0"/>
      <w:marTop w:val="0"/>
      <w:marBottom w:val="0"/>
      <w:divBdr>
        <w:top w:val="none" w:sz="0" w:space="0" w:color="auto"/>
        <w:left w:val="none" w:sz="0" w:space="0" w:color="auto"/>
        <w:bottom w:val="none" w:sz="0" w:space="0" w:color="auto"/>
        <w:right w:val="none" w:sz="0" w:space="0" w:color="auto"/>
      </w:divBdr>
      <w:divsChild>
        <w:div w:id="2056924101">
          <w:marLeft w:val="0"/>
          <w:marRight w:val="0"/>
          <w:marTop w:val="0"/>
          <w:marBottom w:val="0"/>
          <w:divBdr>
            <w:top w:val="none" w:sz="0" w:space="0" w:color="auto"/>
            <w:left w:val="none" w:sz="0" w:space="0" w:color="auto"/>
            <w:bottom w:val="none" w:sz="0" w:space="0" w:color="auto"/>
            <w:right w:val="none" w:sz="0" w:space="0" w:color="auto"/>
          </w:divBdr>
        </w:div>
        <w:div w:id="866413180">
          <w:marLeft w:val="0"/>
          <w:marRight w:val="0"/>
          <w:marTop w:val="0"/>
          <w:marBottom w:val="0"/>
          <w:divBdr>
            <w:top w:val="none" w:sz="0" w:space="0" w:color="auto"/>
            <w:left w:val="none" w:sz="0" w:space="0" w:color="auto"/>
            <w:bottom w:val="none" w:sz="0" w:space="0" w:color="auto"/>
            <w:right w:val="none" w:sz="0" w:space="0" w:color="auto"/>
          </w:divBdr>
        </w:div>
        <w:div w:id="928344166">
          <w:marLeft w:val="0"/>
          <w:marRight w:val="0"/>
          <w:marTop w:val="0"/>
          <w:marBottom w:val="0"/>
          <w:divBdr>
            <w:top w:val="none" w:sz="0" w:space="0" w:color="auto"/>
            <w:left w:val="none" w:sz="0" w:space="0" w:color="auto"/>
            <w:bottom w:val="none" w:sz="0" w:space="0" w:color="auto"/>
            <w:right w:val="none" w:sz="0" w:space="0" w:color="auto"/>
          </w:divBdr>
        </w:div>
        <w:div w:id="1102412820">
          <w:marLeft w:val="0"/>
          <w:marRight w:val="0"/>
          <w:marTop w:val="0"/>
          <w:marBottom w:val="0"/>
          <w:divBdr>
            <w:top w:val="none" w:sz="0" w:space="0" w:color="auto"/>
            <w:left w:val="none" w:sz="0" w:space="0" w:color="auto"/>
            <w:bottom w:val="none" w:sz="0" w:space="0" w:color="auto"/>
            <w:right w:val="none" w:sz="0" w:space="0" w:color="auto"/>
          </w:divBdr>
        </w:div>
        <w:div w:id="1110511370">
          <w:marLeft w:val="0"/>
          <w:marRight w:val="0"/>
          <w:marTop w:val="0"/>
          <w:marBottom w:val="0"/>
          <w:divBdr>
            <w:top w:val="none" w:sz="0" w:space="0" w:color="auto"/>
            <w:left w:val="none" w:sz="0" w:space="0" w:color="auto"/>
            <w:bottom w:val="none" w:sz="0" w:space="0" w:color="auto"/>
            <w:right w:val="none" w:sz="0" w:space="0" w:color="auto"/>
          </w:divBdr>
        </w:div>
        <w:div w:id="2134052072">
          <w:marLeft w:val="0"/>
          <w:marRight w:val="0"/>
          <w:marTop w:val="0"/>
          <w:marBottom w:val="0"/>
          <w:divBdr>
            <w:top w:val="none" w:sz="0" w:space="0" w:color="auto"/>
            <w:left w:val="none" w:sz="0" w:space="0" w:color="auto"/>
            <w:bottom w:val="none" w:sz="0" w:space="0" w:color="auto"/>
            <w:right w:val="none" w:sz="0" w:space="0" w:color="auto"/>
          </w:divBdr>
        </w:div>
        <w:div w:id="1043096380">
          <w:marLeft w:val="0"/>
          <w:marRight w:val="0"/>
          <w:marTop w:val="0"/>
          <w:marBottom w:val="0"/>
          <w:divBdr>
            <w:top w:val="none" w:sz="0" w:space="0" w:color="auto"/>
            <w:left w:val="none" w:sz="0" w:space="0" w:color="auto"/>
            <w:bottom w:val="none" w:sz="0" w:space="0" w:color="auto"/>
            <w:right w:val="none" w:sz="0" w:space="0" w:color="auto"/>
          </w:divBdr>
        </w:div>
      </w:divsChild>
    </w:div>
    <w:div w:id="1030380592">
      <w:bodyDiv w:val="1"/>
      <w:marLeft w:val="0"/>
      <w:marRight w:val="0"/>
      <w:marTop w:val="0"/>
      <w:marBottom w:val="0"/>
      <w:divBdr>
        <w:top w:val="none" w:sz="0" w:space="0" w:color="auto"/>
        <w:left w:val="none" w:sz="0" w:space="0" w:color="auto"/>
        <w:bottom w:val="none" w:sz="0" w:space="0" w:color="auto"/>
        <w:right w:val="none" w:sz="0" w:space="0" w:color="auto"/>
      </w:divBdr>
      <w:divsChild>
        <w:div w:id="814375641">
          <w:marLeft w:val="0"/>
          <w:marRight w:val="0"/>
          <w:marTop w:val="0"/>
          <w:marBottom w:val="0"/>
          <w:divBdr>
            <w:top w:val="none" w:sz="0" w:space="0" w:color="auto"/>
            <w:left w:val="none" w:sz="0" w:space="0" w:color="auto"/>
            <w:bottom w:val="none" w:sz="0" w:space="0" w:color="auto"/>
            <w:right w:val="none" w:sz="0" w:space="0" w:color="auto"/>
          </w:divBdr>
        </w:div>
        <w:div w:id="831337794">
          <w:marLeft w:val="0"/>
          <w:marRight w:val="0"/>
          <w:marTop w:val="0"/>
          <w:marBottom w:val="0"/>
          <w:divBdr>
            <w:top w:val="none" w:sz="0" w:space="0" w:color="auto"/>
            <w:left w:val="none" w:sz="0" w:space="0" w:color="auto"/>
            <w:bottom w:val="none" w:sz="0" w:space="0" w:color="auto"/>
            <w:right w:val="none" w:sz="0" w:space="0" w:color="auto"/>
          </w:divBdr>
        </w:div>
      </w:divsChild>
    </w:div>
    <w:div w:id="1329792527">
      <w:bodyDiv w:val="1"/>
      <w:marLeft w:val="0"/>
      <w:marRight w:val="0"/>
      <w:marTop w:val="0"/>
      <w:marBottom w:val="0"/>
      <w:divBdr>
        <w:top w:val="none" w:sz="0" w:space="0" w:color="auto"/>
        <w:left w:val="none" w:sz="0" w:space="0" w:color="auto"/>
        <w:bottom w:val="none" w:sz="0" w:space="0" w:color="auto"/>
        <w:right w:val="none" w:sz="0" w:space="0" w:color="auto"/>
      </w:divBdr>
      <w:divsChild>
        <w:div w:id="320082286">
          <w:marLeft w:val="0"/>
          <w:marRight w:val="0"/>
          <w:marTop w:val="0"/>
          <w:marBottom w:val="0"/>
          <w:divBdr>
            <w:top w:val="none" w:sz="0" w:space="0" w:color="auto"/>
            <w:left w:val="none" w:sz="0" w:space="0" w:color="auto"/>
            <w:bottom w:val="none" w:sz="0" w:space="0" w:color="auto"/>
            <w:right w:val="none" w:sz="0" w:space="0" w:color="auto"/>
          </w:divBdr>
        </w:div>
        <w:div w:id="437606861">
          <w:marLeft w:val="0"/>
          <w:marRight w:val="0"/>
          <w:marTop w:val="0"/>
          <w:marBottom w:val="0"/>
          <w:divBdr>
            <w:top w:val="none" w:sz="0" w:space="0" w:color="auto"/>
            <w:left w:val="none" w:sz="0" w:space="0" w:color="auto"/>
            <w:bottom w:val="none" w:sz="0" w:space="0" w:color="auto"/>
            <w:right w:val="none" w:sz="0" w:space="0" w:color="auto"/>
          </w:divBdr>
        </w:div>
        <w:div w:id="546994327">
          <w:marLeft w:val="0"/>
          <w:marRight w:val="0"/>
          <w:marTop w:val="0"/>
          <w:marBottom w:val="0"/>
          <w:divBdr>
            <w:top w:val="none" w:sz="0" w:space="0" w:color="auto"/>
            <w:left w:val="none" w:sz="0" w:space="0" w:color="auto"/>
            <w:bottom w:val="none" w:sz="0" w:space="0" w:color="auto"/>
            <w:right w:val="none" w:sz="0" w:space="0" w:color="auto"/>
          </w:divBdr>
        </w:div>
        <w:div w:id="852643300">
          <w:marLeft w:val="0"/>
          <w:marRight w:val="0"/>
          <w:marTop w:val="0"/>
          <w:marBottom w:val="0"/>
          <w:divBdr>
            <w:top w:val="none" w:sz="0" w:space="0" w:color="auto"/>
            <w:left w:val="none" w:sz="0" w:space="0" w:color="auto"/>
            <w:bottom w:val="none" w:sz="0" w:space="0" w:color="auto"/>
            <w:right w:val="none" w:sz="0" w:space="0" w:color="auto"/>
          </w:divBdr>
        </w:div>
        <w:div w:id="933632257">
          <w:marLeft w:val="0"/>
          <w:marRight w:val="0"/>
          <w:marTop w:val="0"/>
          <w:marBottom w:val="0"/>
          <w:divBdr>
            <w:top w:val="none" w:sz="0" w:space="0" w:color="auto"/>
            <w:left w:val="none" w:sz="0" w:space="0" w:color="auto"/>
            <w:bottom w:val="none" w:sz="0" w:space="0" w:color="auto"/>
            <w:right w:val="none" w:sz="0" w:space="0" w:color="auto"/>
          </w:divBdr>
        </w:div>
        <w:div w:id="1218928551">
          <w:marLeft w:val="0"/>
          <w:marRight w:val="0"/>
          <w:marTop w:val="0"/>
          <w:marBottom w:val="0"/>
          <w:divBdr>
            <w:top w:val="none" w:sz="0" w:space="0" w:color="auto"/>
            <w:left w:val="none" w:sz="0" w:space="0" w:color="auto"/>
            <w:bottom w:val="none" w:sz="0" w:space="0" w:color="auto"/>
            <w:right w:val="none" w:sz="0" w:space="0" w:color="auto"/>
          </w:divBdr>
        </w:div>
        <w:div w:id="1308819835">
          <w:marLeft w:val="0"/>
          <w:marRight w:val="0"/>
          <w:marTop w:val="0"/>
          <w:marBottom w:val="0"/>
          <w:divBdr>
            <w:top w:val="none" w:sz="0" w:space="0" w:color="auto"/>
            <w:left w:val="none" w:sz="0" w:space="0" w:color="auto"/>
            <w:bottom w:val="none" w:sz="0" w:space="0" w:color="auto"/>
            <w:right w:val="none" w:sz="0" w:space="0" w:color="auto"/>
          </w:divBdr>
        </w:div>
        <w:div w:id="1420253702">
          <w:marLeft w:val="0"/>
          <w:marRight w:val="0"/>
          <w:marTop w:val="0"/>
          <w:marBottom w:val="0"/>
          <w:divBdr>
            <w:top w:val="none" w:sz="0" w:space="0" w:color="auto"/>
            <w:left w:val="none" w:sz="0" w:space="0" w:color="auto"/>
            <w:bottom w:val="none" w:sz="0" w:space="0" w:color="auto"/>
            <w:right w:val="none" w:sz="0" w:space="0" w:color="auto"/>
          </w:divBdr>
        </w:div>
        <w:div w:id="1509103370">
          <w:marLeft w:val="0"/>
          <w:marRight w:val="0"/>
          <w:marTop w:val="0"/>
          <w:marBottom w:val="0"/>
          <w:divBdr>
            <w:top w:val="none" w:sz="0" w:space="0" w:color="auto"/>
            <w:left w:val="none" w:sz="0" w:space="0" w:color="auto"/>
            <w:bottom w:val="none" w:sz="0" w:space="0" w:color="auto"/>
            <w:right w:val="none" w:sz="0" w:space="0" w:color="auto"/>
          </w:divBdr>
        </w:div>
        <w:div w:id="1586458234">
          <w:marLeft w:val="0"/>
          <w:marRight w:val="0"/>
          <w:marTop w:val="0"/>
          <w:marBottom w:val="0"/>
          <w:divBdr>
            <w:top w:val="none" w:sz="0" w:space="0" w:color="auto"/>
            <w:left w:val="none" w:sz="0" w:space="0" w:color="auto"/>
            <w:bottom w:val="none" w:sz="0" w:space="0" w:color="auto"/>
            <w:right w:val="none" w:sz="0" w:space="0" w:color="auto"/>
          </w:divBdr>
        </w:div>
        <w:div w:id="1610773674">
          <w:marLeft w:val="0"/>
          <w:marRight w:val="0"/>
          <w:marTop w:val="0"/>
          <w:marBottom w:val="0"/>
          <w:divBdr>
            <w:top w:val="none" w:sz="0" w:space="0" w:color="auto"/>
            <w:left w:val="none" w:sz="0" w:space="0" w:color="auto"/>
            <w:bottom w:val="none" w:sz="0" w:space="0" w:color="auto"/>
            <w:right w:val="none" w:sz="0" w:space="0" w:color="auto"/>
          </w:divBdr>
        </w:div>
        <w:div w:id="1851523513">
          <w:marLeft w:val="0"/>
          <w:marRight w:val="0"/>
          <w:marTop w:val="0"/>
          <w:marBottom w:val="0"/>
          <w:divBdr>
            <w:top w:val="none" w:sz="0" w:space="0" w:color="auto"/>
            <w:left w:val="none" w:sz="0" w:space="0" w:color="auto"/>
            <w:bottom w:val="none" w:sz="0" w:space="0" w:color="auto"/>
            <w:right w:val="none" w:sz="0" w:space="0" w:color="auto"/>
          </w:divBdr>
        </w:div>
        <w:div w:id="2046715368">
          <w:marLeft w:val="0"/>
          <w:marRight w:val="0"/>
          <w:marTop w:val="0"/>
          <w:marBottom w:val="0"/>
          <w:divBdr>
            <w:top w:val="none" w:sz="0" w:space="0" w:color="auto"/>
            <w:left w:val="none" w:sz="0" w:space="0" w:color="auto"/>
            <w:bottom w:val="none" w:sz="0" w:space="0" w:color="auto"/>
            <w:right w:val="none" w:sz="0" w:space="0" w:color="auto"/>
          </w:divBdr>
        </w:div>
      </w:divsChild>
    </w:div>
    <w:div w:id="1537084441">
      <w:bodyDiv w:val="1"/>
      <w:marLeft w:val="0"/>
      <w:marRight w:val="0"/>
      <w:marTop w:val="0"/>
      <w:marBottom w:val="0"/>
      <w:divBdr>
        <w:top w:val="none" w:sz="0" w:space="0" w:color="auto"/>
        <w:left w:val="none" w:sz="0" w:space="0" w:color="auto"/>
        <w:bottom w:val="none" w:sz="0" w:space="0" w:color="auto"/>
        <w:right w:val="none" w:sz="0" w:space="0" w:color="auto"/>
      </w:divBdr>
      <w:divsChild>
        <w:div w:id="238517517">
          <w:marLeft w:val="0"/>
          <w:marRight w:val="0"/>
          <w:marTop w:val="0"/>
          <w:marBottom w:val="0"/>
          <w:divBdr>
            <w:top w:val="none" w:sz="0" w:space="0" w:color="auto"/>
            <w:left w:val="none" w:sz="0" w:space="0" w:color="auto"/>
            <w:bottom w:val="none" w:sz="0" w:space="0" w:color="auto"/>
            <w:right w:val="none" w:sz="0" w:space="0" w:color="auto"/>
          </w:divBdr>
        </w:div>
        <w:div w:id="288902871">
          <w:marLeft w:val="0"/>
          <w:marRight w:val="0"/>
          <w:marTop w:val="0"/>
          <w:marBottom w:val="0"/>
          <w:divBdr>
            <w:top w:val="none" w:sz="0" w:space="0" w:color="auto"/>
            <w:left w:val="none" w:sz="0" w:space="0" w:color="auto"/>
            <w:bottom w:val="none" w:sz="0" w:space="0" w:color="auto"/>
            <w:right w:val="none" w:sz="0" w:space="0" w:color="auto"/>
          </w:divBdr>
        </w:div>
        <w:div w:id="475874486">
          <w:marLeft w:val="0"/>
          <w:marRight w:val="0"/>
          <w:marTop w:val="0"/>
          <w:marBottom w:val="0"/>
          <w:divBdr>
            <w:top w:val="none" w:sz="0" w:space="0" w:color="auto"/>
            <w:left w:val="none" w:sz="0" w:space="0" w:color="auto"/>
            <w:bottom w:val="none" w:sz="0" w:space="0" w:color="auto"/>
            <w:right w:val="none" w:sz="0" w:space="0" w:color="auto"/>
          </w:divBdr>
        </w:div>
        <w:div w:id="514854653">
          <w:marLeft w:val="0"/>
          <w:marRight w:val="0"/>
          <w:marTop w:val="0"/>
          <w:marBottom w:val="0"/>
          <w:divBdr>
            <w:top w:val="none" w:sz="0" w:space="0" w:color="auto"/>
            <w:left w:val="none" w:sz="0" w:space="0" w:color="auto"/>
            <w:bottom w:val="none" w:sz="0" w:space="0" w:color="auto"/>
            <w:right w:val="none" w:sz="0" w:space="0" w:color="auto"/>
          </w:divBdr>
        </w:div>
        <w:div w:id="950746973">
          <w:marLeft w:val="0"/>
          <w:marRight w:val="0"/>
          <w:marTop w:val="0"/>
          <w:marBottom w:val="0"/>
          <w:divBdr>
            <w:top w:val="none" w:sz="0" w:space="0" w:color="auto"/>
            <w:left w:val="none" w:sz="0" w:space="0" w:color="auto"/>
            <w:bottom w:val="none" w:sz="0" w:space="0" w:color="auto"/>
            <w:right w:val="none" w:sz="0" w:space="0" w:color="auto"/>
          </w:divBdr>
        </w:div>
        <w:div w:id="201182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uk.dh"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FD25D1-8F4A-4D49-9F51-418EDEDD7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4058565.dotm</Template>
  <TotalTime>24</TotalTime>
  <Pages>27</Pages>
  <Words>7496</Words>
  <Characters>42730</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50126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Birt (HSC)</dc:creator>
  <cp:lastModifiedBy>Linda Birt (HSC)</cp:lastModifiedBy>
  <cp:revision>4</cp:revision>
  <cp:lastPrinted>2016-07-20T12:27:00Z</cp:lastPrinted>
  <dcterms:created xsi:type="dcterms:W3CDTF">2016-10-12T09:10:00Z</dcterms:created>
  <dcterms:modified xsi:type="dcterms:W3CDTF">2016-10-12T12:38:00Z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-968990183</vt:i4>
  </property>
  <property fmtid="{D5CDD505-2E9C-101B-9397-08002B2CF9AE}" pid="4" name="_EmailSubject">
    <vt:lpwstr>PRIDE WP2 manuscript for submission to sociology health and illness on 18th July</vt:lpwstr>
  </property>
  <property fmtid="{D5CDD505-2E9C-101B-9397-08002B2CF9AE}" pid="5" name="_AuthorEmail">
    <vt:lpwstr>Linda.Birt@uea.ac.uk</vt:lpwstr>
  </property>
  <property fmtid="{D5CDD505-2E9C-101B-9397-08002B2CF9AE}" pid="6" name="_AuthorEmailDisplayName">
    <vt:lpwstr>Linda Birt (HSC)</vt:lpwstr>
  </property>
  <property fmtid="{D5CDD505-2E9C-101B-9397-08002B2CF9AE}" pid="7" name="_PreviousAdHocReviewCycleID">
    <vt:i4>430900783</vt:i4>
  </property>
  <property fmtid="{D5CDD505-2E9C-101B-9397-08002B2CF9AE}" pid="8" name="_ReviewingToolsShownOnce">
    <vt:lpwstr/>
  </property>
</Properties>
</file>