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FB673" w14:textId="09C9669E" w:rsidR="00A06227" w:rsidRDefault="00062F72" w:rsidP="008C6253">
      <w:pPr>
        <w:spacing w:line="480" w:lineRule="auto"/>
        <w:ind w:firstLine="720"/>
        <w:rPr>
          <w:rFonts w:ascii="Times New Roman" w:hAnsi="Times New Roman" w:cs="Times New Roman"/>
          <w:color w:val="191919"/>
          <w:lang w:val="en-US"/>
        </w:rPr>
      </w:pPr>
      <w:r w:rsidRPr="00AD05DB">
        <w:rPr>
          <w:rFonts w:ascii="Times New Roman" w:hAnsi="Times New Roman" w:cs="Times New Roman"/>
          <w:color w:val="191919"/>
          <w:lang w:val="en-US"/>
        </w:rPr>
        <w:t xml:space="preserve">Like many other early modern religious movements, the Quakers have inspired a rich historiography examining their </w:t>
      </w:r>
      <w:r w:rsidR="005F7745">
        <w:rPr>
          <w:rFonts w:ascii="Times New Roman" w:hAnsi="Times New Roman" w:cs="Times New Roman"/>
          <w:color w:val="191919"/>
          <w:lang w:val="en-US"/>
        </w:rPr>
        <w:t xml:space="preserve">origins, </w:t>
      </w:r>
      <w:r w:rsidR="005F7745" w:rsidRPr="00AD05DB">
        <w:rPr>
          <w:rFonts w:ascii="Times New Roman" w:hAnsi="Times New Roman" w:cs="Times New Roman"/>
          <w:color w:val="191919"/>
          <w:lang w:val="en-US"/>
        </w:rPr>
        <w:t>be</w:t>
      </w:r>
      <w:r w:rsidR="005F7745">
        <w:rPr>
          <w:rFonts w:ascii="Times New Roman" w:hAnsi="Times New Roman" w:cs="Times New Roman"/>
          <w:color w:val="191919"/>
          <w:lang w:val="en-US"/>
        </w:rPr>
        <w:t>liefs, institutional structures and schisms</w:t>
      </w:r>
      <w:r w:rsidR="005F7745" w:rsidRPr="00AD05DB">
        <w:rPr>
          <w:rFonts w:ascii="Times New Roman" w:hAnsi="Times New Roman" w:cs="Times New Roman"/>
          <w:color w:val="191919"/>
          <w:lang w:val="en-US"/>
        </w:rPr>
        <w:t>.</w:t>
      </w:r>
      <w:r w:rsidR="00A06227">
        <w:rPr>
          <w:rStyle w:val="FootnoteReference"/>
          <w:rFonts w:ascii="Times New Roman" w:hAnsi="Times New Roman" w:cs="Times New Roman"/>
          <w:color w:val="191919"/>
          <w:lang w:val="en-US"/>
        </w:rPr>
        <w:footnoteReference w:id="1"/>
      </w:r>
      <w:r w:rsidR="00A06227">
        <w:rPr>
          <w:rFonts w:ascii="Times New Roman" w:hAnsi="Times New Roman" w:cs="Times New Roman"/>
          <w:color w:val="191919"/>
          <w:lang w:val="en-US"/>
        </w:rPr>
        <w:t xml:space="preserve"> Th</w:t>
      </w:r>
      <w:r w:rsidR="00A06227" w:rsidRPr="00AD05DB">
        <w:rPr>
          <w:rFonts w:ascii="Times New Roman" w:hAnsi="Times New Roman" w:cs="Times New Roman"/>
          <w:color w:val="191919"/>
          <w:lang w:val="en-US"/>
        </w:rPr>
        <w:t xml:space="preserve">ese </w:t>
      </w:r>
      <w:r w:rsidR="00A06227">
        <w:rPr>
          <w:rFonts w:ascii="Times New Roman" w:hAnsi="Times New Roman" w:cs="Times New Roman"/>
          <w:color w:val="191919"/>
          <w:lang w:val="en-US"/>
        </w:rPr>
        <w:t xml:space="preserve">are </w:t>
      </w:r>
      <w:r w:rsidR="00A06227" w:rsidRPr="00AD05DB">
        <w:rPr>
          <w:rFonts w:ascii="Times New Roman" w:hAnsi="Times New Roman" w:cs="Times New Roman"/>
          <w:color w:val="191919"/>
          <w:lang w:val="en-US"/>
        </w:rPr>
        <w:t xml:space="preserve">normal topics for denominational history, </w:t>
      </w:r>
      <w:r w:rsidR="00A06227">
        <w:rPr>
          <w:rFonts w:ascii="Times New Roman" w:hAnsi="Times New Roman" w:cs="Times New Roman"/>
          <w:color w:val="191919"/>
          <w:lang w:val="en-US"/>
        </w:rPr>
        <w:t xml:space="preserve">but </w:t>
      </w:r>
      <w:r w:rsidR="00A06227" w:rsidRPr="00AD05DB">
        <w:rPr>
          <w:rFonts w:ascii="Times New Roman" w:hAnsi="Times New Roman" w:cs="Times New Roman"/>
          <w:color w:val="191919"/>
          <w:lang w:val="en-US"/>
        </w:rPr>
        <w:t xml:space="preserve">the Quakers have attracted </w:t>
      </w:r>
      <w:r w:rsidR="00A06227">
        <w:rPr>
          <w:rFonts w:ascii="Times New Roman" w:hAnsi="Times New Roman" w:cs="Times New Roman"/>
          <w:color w:val="191919"/>
          <w:lang w:val="en-US"/>
        </w:rPr>
        <w:t>additional interest because of</w:t>
      </w:r>
      <w:r w:rsidR="00A06227" w:rsidRPr="00AD05DB">
        <w:rPr>
          <w:rFonts w:ascii="Times New Roman" w:hAnsi="Times New Roman" w:cs="Times New Roman"/>
          <w:color w:val="191919"/>
          <w:lang w:val="en-US"/>
        </w:rPr>
        <w:t xml:space="preserve"> the apparently precocious positions they have taken on an array of issues including the empowerment of women, the maintenance of just relations between colonists and Nat</w:t>
      </w:r>
      <w:r w:rsidR="00A06227">
        <w:rPr>
          <w:rFonts w:ascii="Times New Roman" w:hAnsi="Times New Roman" w:cs="Times New Roman"/>
          <w:color w:val="191919"/>
          <w:lang w:val="en-US"/>
        </w:rPr>
        <w:t>ive Americans, and the abolition of</w:t>
      </w:r>
      <w:r w:rsidR="00A06227" w:rsidRPr="00AD05DB">
        <w:rPr>
          <w:rFonts w:ascii="Times New Roman" w:hAnsi="Times New Roman" w:cs="Times New Roman"/>
          <w:color w:val="191919"/>
          <w:lang w:val="en-US"/>
        </w:rPr>
        <w:t xml:space="preserve"> slavery.</w:t>
      </w:r>
      <w:r w:rsidR="00A06227">
        <w:rPr>
          <w:rStyle w:val="FootnoteReference"/>
          <w:rFonts w:ascii="Times New Roman" w:hAnsi="Times New Roman" w:cs="Times New Roman"/>
          <w:color w:val="191919"/>
          <w:lang w:val="en-US"/>
        </w:rPr>
        <w:footnoteReference w:id="2"/>
      </w:r>
      <w:r w:rsidR="00A06227">
        <w:rPr>
          <w:rFonts w:ascii="Times New Roman" w:hAnsi="Times New Roman" w:cs="Times New Roman"/>
          <w:color w:val="191919"/>
          <w:lang w:val="en-US"/>
        </w:rPr>
        <w:t xml:space="preserve">  </w:t>
      </w:r>
      <w:r w:rsidR="00A06227" w:rsidRPr="00AD05DB">
        <w:rPr>
          <w:rFonts w:ascii="Times New Roman" w:hAnsi="Times New Roman" w:cs="Times New Roman"/>
          <w:color w:val="191919"/>
          <w:lang w:val="en-US"/>
        </w:rPr>
        <w:t xml:space="preserve">Quakers have </w:t>
      </w:r>
      <w:r w:rsidR="00A06227">
        <w:rPr>
          <w:rFonts w:ascii="Times New Roman" w:hAnsi="Times New Roman" w:cs="Times New Roman"/>
          <w:color w:val="191919"/>
          <w:lang w:val="en-US"/>
        </w:rPr>
        <w:t xml:space="preserve">grappled with issues that draw scholarship, and they are particularly good subjects for the study of the early modern era because they were </w:t>
      </w:r>
      <w:r w:rsidR="00A06227" w:rsidRPr="00AD05DB">
        <w:rPr>
          <w:rFonts w:ascii="Times New Roman" w:hAnsi="Times New Roman" w:cs="Times New Roman"/>
          <w:color w:val="191919"/>
          <w:lang w:val="en-US"/>
        </w:rPr>
        <w:t xml:space="preserve">articulate in expressing their disagreements, and generally good note-takers.  Many of the disputes that have made the Quakers </w:t>
      </w:r>
      <w:r w:rsidR="00970498">
        <w:rPr>
          <w:rFonts w:ascii="Times New Roman" w:hAnsi="Times New Roman" w:cs="Times New Roman"/>
          <w:color w:val="191919"/>
          <w:lang w:val="en-US"/>
        </w:rPr>
        <w:t>intriguing</w:t>
      </w:r>
      <w:r w:rsidR="00A06227" w:rsidRPr="00AD05DB">
        <w:rPr>
          <w:rFonts w:ascii="Times New Roman" w:hAnsi="Times New Roman" w:cs="Times New Roman"/>
          <w:color w:val="191919"/>
          <w:lang w:val="en-US"/>
        </w:rPr>
        <w:t xml:space="preserve"> for historians</w:t>
      </w:r>
      <w:r w:rsidR="00A06227">
        <w:rPr>
          <w:rFonts w:ascii="Times New Roman" w:hAnsi="Times New Roman" w:cs="Times New Roman"/>
          <w:color w:val="191919"/>
          <w:lang w:val="en-US"/>
        </w:rPr>
        <w:t xml:space="preserve"> </w:t>
      </w:r>
      <w:r w:rsidR="00A06227" w:rsidRPr="00AD05DB">
        <w:rPr>
          <w:rFonts w:ascii="Times New Roman" w:hAnsi="Times New Roman" w:cs="Times New Roman"/>
          <w:color w:val="191919"/>
          <w:lang w:val="en-US"/>
        </w:rPr>
        <w:t>started in the early years of Quakerism and continued for centuries</w:t>
      </w:r>
      <w:r w:rsidR="00A06227">
        <w:rPr>
          <w:rFonts w:ascii="Times New Roman" w:hAnsi="Times New Roman" w:cs="Times New Roman"/>
          <w:color w:val="191919"/>
          <w:lang w:val="en-US"/>
        </w:rPr>
        <w:t>.</w:t>
      </w:r>
      <w:r w:rsidR="00A06227">
        <w:rPr>
          <w:rStyle w:val="FootnoteReference"/>
          <w:rFonts w:ascii="Times New Roman" w:hAnsi="Times New Roman" w:cs="Times New Roman"/>
          <w:color w:val="191919"/>
          <w:lang w:val="en-US"/>
        </w:rPr>
        <w:footnoteReference w:id="3"/>
      </w:r>
      <w:r w:rsidR="00A06227">
        <w:rPr>
          <w:rFonts w:ascii="Times New Roman" w:hAnsi="Times New Roman" w:cs="Times New Roman"/>
          <w:color w:val="191919"/>
          <w:lang w:val="en-US"/>
        </w:rPr>
        <w:t xml:space="preserve"> </w:t>
      </w:r>
    </w:p>
    <w:p w14:paraId="316A629A" w14:textId="0CEBD775" w:rsidR="00076717" w:rsidRDefault="00076717" w:rsidP="00331AF6">
      <w:pPr>
        <w:spacing w:line="480" w:lineRule="auto"/>
        <w:ind w:firstLine="720"/>
        <w:rPr>
          <w:rFonts w:ascii="Times New Roman" w:hAnsi="Times New Roman" w:cs="Times New Roman"/>
          <w:color w:val="191919"/>
          <w:lang w:val="en-US"/>
        </w:rPr>
      </w:pPr>
      <w:r>
        <w:rPr>
          <w:rFonts w:ascii="Times New Roman" w:hAnsi="Times New Roman" w:cs="Times New Roman"/>
          <w:color w:val="191919"/>
          <w:lang w:val="en-US"/>
        </w:rPr>
        <w:t xml:space="preserve">From the 1650s forward, debates among the Quakers routinely engaged people on both sides of the Atlantic.  </w:t>
      </w:r>
      <w:r w:rsidR="008C6253" w:rsidRPr="00AD05DB">
        <w:rPr>
          <w:rFonts w:ascii="Times New Roman" w:hAnsi="Times New Roman" w:cs="Times New Roman"/>
          <w:color w:val="191919"/>
          <w:lang w:val="en-US"/>
        </w:rPr>
        <w:t>Some Protestant churches</w:t>
      </w:r>
      <w:r>
        <w:rPr>
          <w:rFonts w:ascii="Times New Roman" w:hAnsi="Times New Roman" w:cs="Times New Roman"/>
          <w:color w:val="191919"/>
          <w:lang w:val="en-US"/>
        </w:rPr>
        <w:t xml:space="preserve"> </w:t>
      </w:r>
      <w:r w:rsidR="008C6253" w:rsidRPr="00AD05DB">
        <w:rPr>
          <w:rFonts w:ascii="Times New Roman" w:hAnsi="Times New Roman" w:cs="Times New Roman"/>
          <w:color w:val="191919"/>
          <w:lang w:val="en-US"/>
        </w:rPr>
        <w:t xml:space="preserve">maintained a strong sense of imperial hierarchy and marginalized their colonial branches.  Other Protestant groups </w:t>
      </w:r>
      <w:r w:rsidR="008C6253" w:rsidRPr="00AD05DB">
        <w:rPr>
          <w:rFonts w:ascii="Times New Roman" w:hAnsi="Times New Roman" w:cs="Times New Roman"/>
          <w:color w:val="191919"/>
          <w:lang w:val="en-US"/>
        </w:rPr>
        <w:lastRenderedPageBreak/>
        <w:t xml:space="preserve">in America diverged from their European forebears and grew distinct.  The Quakers, by contrast, maintained respectful relations between meetings across different parts of the </w:t>
      </w:r>
      <w:r>
        <w:rPr>
          <w:rFonts w:ascii="Times New Roman" w:hAnsi="Times New Roman" w:cs="Times New Roman"/>
          <w:color w:val="191919"/>
          <w:lang w:val="en-US"/>
        </w:rPr>
        <w:t>English E</w:t>
      </w:r>
      <w:r w:rsidR="008C6253" w:rsidRPr="00AD05DB">
        <w:rPr>
          <w:rFonts w:ascii="Times New Roman" w:hAnsi="Times New Roman" w:cs="Times New Roman"/>
          <w:color w:val="191919"/>
          <w:lang w:val="en-US"/>
        </w:rPr>
        <w:t>mpire and formed a truly transatlantic community.</w:t>
      </w:r>
      <w:r w:rsidR="008C6253">
        <w:rPr>
          <w:rStyle w:val="FootnoteReference"/>
          <w:rFonts w:ascii="Times New Roman" w:hAnsi="Times New Roman" w:cs="Times New Roman"/>
          <w:color w:val="191919"/>
          <w:lang w:val="en-US"/>
        </w:rPr>
        <w:footnoteReference w:id="4"/>
      </w:r>
      <w:r w:rsidR="008C6253">
        <w:rPr>
          <w:rFonts w:ascii="Times New Roman" w:hAnsi="Times New Roman" w:cs="Times New Roman"/>
          <w:color w:val="191919"/>
          <w:lang w:val="en-US"/>
        </w:rPr>
        <w:t xml:space="preserve"> As a consequence, </w:t>
      </w:r>
      <w:r w:rsidR="008C6253" w:rsidRPr="00AD05DB">
        <w:rPr>
          <w:rFonts w:ascii="Times New Roman" w:hAnsi="Times New Roman" w:cs="Times New Roman"/>
          <w:color w:val="191919"/>
          <w:lang w:val="en-US"/>
        </w:rPr>
        <w:t>Q</w:t>
      </w:r>
      <w:r w:rsidR="008C6253">
        <w:rPr>
          <w:rFonts w:ascii="Times New Roman" w:hAnsi="Times New Roman" w:cs="Times New Roman"/>
          <w:color w:val="191919"/>
          <w:lang w:val="en-US"/>
        </w:rPr>
        <w:t>uakerism presents rich opportunities for study</w:t>
      </w:r>
      <w:r w:rsidR="008C6253" w:rsidRPr="00AD05DB">
        <w:rPr>
          <w:rFonts w:ascii="Times New Roman" w:hAnsi="Times New Roman" w:cs="Times New Roman"/>
          <w:color w:val="191919"/>
          <w:lang w:val="en-US"/>
        </w:rPr>
        <w:t>.  Unlike works that concentrate on one region, for example examining New England c</w:t>
      </w:r>
      <w:r w:rsidR="008C6253">
        <w:rPr>
          <w:rFonts w:ascii="Times New Roman" w:hAnsi="Times New Roman" w:cs="Times New Roman"/>
          <w:color w:val="191919"/>
          <w:lang w:val="en-US"/>
        </w:rPr>
        <w:t>hurches for their evolving opinions</w:t>
      </w:r>
      <w:r w:rsidR="008C6253" w:rsidRPr="00AD05DB">
        <w:rPr>
          <w:rFonts w:ascii="Times New Roman" w:hAnsi="Times New Roman" w:cs="Times New Roman"/>
          <w:color w:val="191919"/>
          <w:lang w:val="en-US"/>
        </w:rPr>
        <w:t xml:space="preserve"> on commerce, or Virginian churches for their views on race relations, studies of Quakeris</w:t>
      </w:r>
      <w:r w:rsidR="008C6253">
        <w:rPr>
          <w:rFonts w:ascii="Times New Roman" w:hAnsi="Times New Roman" w:cs="Times New Roman"/>
          <w:color w:val="191919"/>
          <w:lang w:val="en-US"/>
        </w:rPr>
        <w:t>m can be transatlantic and encompass</w:t>
      </w:r>
      <w:r w:rsidR="008C6253" w:rsidRPr="00AD05DB">
        <w:rPr>
          <w:rFonts w:ascii="Times New Roman" w:hAnsi="Times New Roman" w:cs="Times New Roman"/>
          <w:color w:val="191919"/>
          <w:lang w:val="en-US"/>
        </w:rPr>
        <w:t xml:space="preserve"> all of the colonies</w:t>
      </w:r>
      <w:r w:rsidR="008C6253">
        <w:rPr>
          <w:rFonts w:ascii="Times New Roman" w:hAnsi="Times New Roman" w:cs="Times New Roman"/>
          <w:color w:val="191919"/>
          <w:lang w:val="en-US"/>
        </w:rPr>
        <w:t>, Britain, and all of the United States</w:t>
      </w:r>
      <w:r w:rsidR="00BA660D">
        <w:rPr>
          <w:rFonts w:ascii="Times New Roman" w:hAnsi="Times New Roman" w:cs="Times New Roman"/>
          <w:color w:val="191919"/>
          <w:lang w:val="en-US"/>
        </w:rPr>
        <w:t>, at least through</w:t>
      </w:r>
      <w:r w:rsidR="008C6253">
        <w:rPr>
          <w:rFonts w:ascii="Times New Roman" w:hAnsi="Times New Roman" w:cs="Times New Roman"/>
          <w:color w:val="191919"/>
          <w:lang w:val="en-US"/>
        </w:rPr>
        <w:t xml:space="preserve"> the </w:t>
      </w:r>
      <w:r w:rsidR="00970498">
        <w:rPr>
          <w:rFonts w:ascii="Times New Roman" w:hAnsi="Times New Roman" w:cs="Times New Roman"/>
          <w:color w:val="191919"/>
          <w:lang w:val="en-US"/>
        </w:rPr>
        <w:t>first few decades</w:t>
      </w:r>
      <w:r w:rsidR="008C6253">
        <w:rPr>
          <w:rFonts w:ascii="Times New Roman" w:hAnsi="Times New Roman" w:cs="Times New Roman"/>
          <w:color w:val="191919"/>
          <w:lang w:val="en-US"/>
        </w:rPr>
        <w:t xml:space="preserve"> following the American Revolution</w:t>
      </w:r>
      <w:r w:rsidR="008C6253" w:rsidRPr="00AD05DB">
        <w:rPr>
          <w:rFonts w:ascii="Times New Roman" w:hAnsi="Times New Roman" w:cs="Times New Roman"/>
          <w:color w:val="191919"/>
          <w:lang w:val="en-US"/>
        </w:rPr>
        <w:t>.</w:t>
      </w:r>
      <w:r w:rsidR="008C6253">
        <w:rPr>
          <w:rStyle w:val="FootnoteReference"/>
          <w:rFonts w:ascii="Times New Roman" w:hAnsi="Times New Roman" w:cs="Times New Roman"/>
          <w:color w:val="191919"/>
          <w:lang w:val="en-US"/>
        </w:rPr>
        <w:footnoteReference w:id="5"/>
      </w:r>
      <w:r w:rsidR="00BA660D">
        <w:rPr>
          <w:rFonts w:ascii="Times New Roman" w:hAnsi="Times New Roman" w:cs="Times New Roman"/>
          <w:color w:val="191919"/>
          <w:lang w:val="en-US"/>
        </w:rPr>
        <w:t xml:space="preserve"> </w:t>
      </w:r>
      <w:r w:rsidR="00A06227">
        <w:rPr>
          <w:rFonts w:ascii="Times New Roman" w:hAnsi="Times New Roman" w:cs="Times New Roman"/>
          <w:color w:val="191919"/>
          <w:lang w:val="en-US"/>
        </w:rPr>
        <w:t xml:space="preserve"> </w:t>
      </w:r>
    </w:p>
    <w:p w14:paraId="1AC8C7D0" w14:textId="4EB55721" w:rsidR="00331AF6" w:rsidRDefault="00076717" w:rsidP="00331AF6">
      <w:pPr>
        <w:spacing w:line="480" w:lineRule="auto"/>
        <w:ind w:firstLine="720"/>
        <w:rPr>
          <w:rFonts w:ascii="Times New Roman" w:hAnsi="Times New Roman" w:cs="Times New Roman"/>
          <w:color w:val="191919"/>
          <w:lang w:val="en-US"/>
        </w:rPr>
      </w:pPr>
      <w:r>
        <w:rPr>
          <w:rFonts w:ascii="Times New Roman" w:hAnsi="Times New Roman" w:cs="Times New Roman"/>
          <w:color w:val="191919"/>
          <w:lang w:val="en-US"/>
        </w:rPr>
        <w:t>As a group, t</w:t>
      </w:r>
      <w:r w:rsidR="00331AF6">
        <w:rPr>
          <w:rFonts w:ascii="Times New Roman" w:hAnsi="Times New Roman" w:cs="Times New Roman"/>
          <w:color w:val="191919"/>
          <w:lang w:val="en-US"/>
        </w:rPr>
        <w:t xml:space="preserve">he Quakers were articulate witnesses to the broad sweep of history in the early modern era.  They were also </w:t>
      </w:r>
      <w:r>
        <w:rPr>
          <w:rFonts w:ascii="Times New Roman" w:hAnsi="Times New Roman" w:cs="Times New Roman"/>
          <w:color w:val="191919"/>
          <w:lang w:val="en-US"/>
        </w:rPr>
        <w:t xml:space="preserve">often </w:t>
      </w:r>
      <w:r w:rsidR="00331AF6">
        <w:rPr>
          <w:rFonts w:ascii="Times New Roman" w:hAnsi="Times New Roman" w:cs="Times New Roman"/>
          <w:color w:val="191919"/>
          <w:lang w:val="en-US"/>
        </w:rPr>
        <w:t>influential players in</w:t>
      </w:r>
      <w:r w:rsidR="00BA660D">
        <w:rPr>
          <w:rFonts w:ascii="Times New Roman" w:hAnsi="Times New Roman" w:cs="Times New Roman"/>
          <w:color w:val="191919"/>
          <w:lang w:val="en-US"/>
        </w:rPr>
        <w:t xml:space="preserve"> </w:t>
      </w:r>
      <w:r w:rsidR="00331AF6">
        <w:rPr>
          <w:rFonts w:ascii="Times New Roman" w:hAnsi="Times New Roman" w:cs="Times New Roman"/>
          <w:color w:val="191919"/>
          <w:lang w:val="en-US"/>
        </w:rPr>
        <w:t>politics, but</w:t>
      </w:r>
      <w:r w:rsidR="00BA660D">
        <w:rPr>
          <w:rFonts w:ascii="Times New Roman" w:hAnsi="Times New Roman" w:cs="Times New Roman"/>
          <w:color w:val="191919"/>
          <w:lang w:val="en-US"/>
        </w:rPr>
        <w:t xml:space="preserve"> they were seldom comfortable near</w:t>
      </w:r>
      <w:r w:rsidR="00331AF6">
        <w:rPr>
          <w:rFonts w:ascii="Times New Roman" w:hAnsi="Times New Roman" w:cs="Times New Roman"/>
          <w:color w:val="191919"/>
          <w:lang w:val="en-US"/>
        </w:rPr>
        <w:t xml:space="preserve"> the center of power.  From</w:t>
      </w:r>
      <w:r w:rsidR="00331AF6" w:rsidRPr="00AD05DB">
        <w:rPr>
          <w:rFonts w:ascii="Times New Roman" w:hAnsi="Times New Roman" w:cs="Times New Roman"/>
          <w:color w:val="191919"/>
          <w:lang w:val="en-US"/>
        </w:rPr>
        <w:t xml:space="preserve"> </w:t>
      </w:r>
      <w:r w:rsidR="00331AF6">
        <w:rPr>
          <w:rFonts w:ascii="Times New Roman" w:hAnsi="Times New Roman" w:cs="Times New Roman"/>
          <w:color w:val="191919"/>
          <w:lang w:val="en-US"/>
        </w:rPr>
        <w:t xml:space="preserve">the courts of the Stuart kings to the merchants’ coffeehouses of colonial </w:t>
      </w:r>
      <w:r w:rsidR="00331AF6" w:rsidRPr="00AD05DB">
        <w:rPr>
          <w:rFonts w:ascii="Times New Roman" w:hAnsi="Times New Roman" w:cs="Times New Roman"/>
          <w:color w:val="191919"/>
          <w:lang w:val="en-US"/>
        </w:rPr>
        <w:t>Cha</w:t>
      </w:r>
      <w:r w:rsidR="00331AF6">
        <w:rPr>
          <w:rFonts w:ascii="Times New Roman" w:hAnsi="Times New Roman" w:cs="Times New Roman"/>
          <w:color w:val="191919"/>
          <w:lang w:val="en-US"/>
        </w:rPr>
        <w:t>rleston and the lobbies of</w:t>
      </w:r>
      <w:r w:rsidR="00331AF6" w:rsidRPr="00AD05DB">
        <w:rPr>
          <w:rFonts w:ascii="Times New Roman" w:hAnsi="Times New Roman" w:cs="Times New Roman"/>
          <w:color w:val="191919"/>
          <w:lang w:val="en-US"/>
        </w:rPr>
        <w:t xml:space="preserve"> the U.S. Congress</w:t>
      </w:r>
      <w:r w:rsidR="00331AF6">
        <w:rPr>
          <w:rFonts w:ascii="Times New Roman" w:hAnsi="Times New Roman" w:cs="Times New Roman"/>
          <w:color w:val="191919"/>
          <w:lang w:val="en-US"/>
        </w:rPr>
        <w:t>, Quakers mingled with the privileged, but a</w:t>
      </w:r>
      <w:r w:rsidR="00331AF6" w:rsidRPr="00AD05DB">
        <w:rPr>
          <w:rFonts w:ascii="Times New Roman" w:hAnsi="Times New Roman" w:cs="Times New Roman"/>
          <w:color w:val="191919"/>
          <w:lang w:val="en-US"/>
        </w:rPr>
        <w:t>s a group they remained anxious about the compromises and contradicti</w:t>
      </w:r>
      <w:r w:rsidR="00331AF6">
        <w:rPr>
          <w:rFonts w:ascii="Times New Roman" w:hAnsi="Times New Roman" w:cs="Times New Roman"/>
          <w:color w:val="191919"/>
          <w:lang w:val="en-US"/>
        </w:rPr>
        <w:t>ons inherent in their acquisition</w:t>
      </w:r>
      <w:r w:rsidR="00331AF6" w:rsidRPr="00AD05DB">
        <w:rPr>
          <w:rFonts w:ascii="Times New Roman" w:hAnsi="Times New Roman" w:cs="Times New Roman"/>
          <w:color w:val="191919"/>
          <w:lang w:val="en-US"/>
        </w:rPr>
        <w:t xml:space="preserve"> of power</w:t>
      </w:r>
      <w:r w:rsidR="00331AF6">
        <w:rPr>
          <w:rFonts w:ascii="Times New Roman" w:hAnsi="Times New Roman" w:cs="Times New Roman"/>
          <w:color w:val="191919"/>
          <w:lang w:val="en-US"/>
        </w:rPr>
        <w:t xml:space="preserve">, money and social status.  Their </w:t>
      </w:r>
      <w:r w:rsidR="00331AF6" w:rsidRPr="00AD05DB">
        <w:rPr>
          <w:rFonts w:ascii="Times New Roman" w:hAnsi="Times New Roman" w:cs="Times New Roman"/>
          <w:color w:val="191919"/>
          <w:lang w:val="en-US"/>
        </w:rPr>
        <w:t>anxie</w:t>
      </w:r>
      <w:r w:rsidR="00331AF6">
        <w:rPr>
          <w:rFonts w:ascii="Times New Roman" w:hAnsi="Times New Roman" w:cs="Times New Roman"/>
          <w:color w:val="191919"/>
          <w:lang w:val="en-US"/>
        </w:rPr>
        <w:t>ty gave them a peculiarly informative perspective on</w:t>
      </w:r>
      <w:r w:rsidR="00331AF6" w:rsidRPr="00AD05DB">
        <w:rPr>
          <w:rFonts w:ascii="Times New Roman" w:hAnsi="Times New Roman" w:cs="Times New Roman"/>
          <w:color w:val="191919"/>
          <w:lang w:val="en-US"/>
        </w:rPr>
        <w:t xml:space="preserve"> their times.</w:t>
      </w:r>
      <w:r w:rsidR="00331AF6">
        <w:rPr>
          <w:rFonts w:ascii="Times New Roman" w:hAnsi="Times New Roman" w:cs="Times New Roman"/>
          <w:color w:val="191919"/>
          <w:lang w:val="en-US"/>
        </w:rPr>
        <w:t xml:space="preserve"> </w:t>
      </w:r>
    </w:p>
    <w:p w14:paraId="7A3E1638" w14:textId="01CA4C75" w:rsidR="006C5A7F" w:rsidRPr="00AD05DB" w:rsidRDefault="00331AF6">
      <w:pPr>
        <w:spacing w:line="480" w:lineRule="auto"/>
        <w:ind w:firstLine="720"/>
        <w:rPr>
          <w:rFonts w:ascii="Times New Roman" w:hAnsi="Times New Roman" w:cs="Times New Roman"/>
          <w:color w:val="191919"/>
          <w:lang w:val="en-US"/>
        </w:rPr>
      </w:pPr>
      <w:r>
        <w:rPr>
          <w:rFonts w:ascii="Times New Roman" w:hAnsi="Times New Roman" w:cs="Times New Roman"/>
          <w:color w:val="191919"/>
          <w:lang w:val="en-US"/>
        </w:rPr>
        <w:t>The three articles in this forum exemplify what we can learn by studying Quakers</w:t>
      </w:r>
      <w:r w:rsidR="00BA660D">
        <w:rPr>
          <w:rFonts w:ascii="Times New Roman" w:hAnsi="Times New Roman" w:cs="Times New Roman"/>
          <w:color w:val="191919"/>
          <w:lang w:val="en-US"/>
        </w:rPr>
        <w:t>.  Quakers</w:t>
      </w:r>
      <w:r>
        <w:rPr>
          <w:rFonts w:ascii="Times New Roman" w:hAnsi="Times New Roman" w:cs="Times New Roman"/>
          <w:color w:val="191919"/>
          <w:lang w:val="en-US"/>
        </w:rPr>
        <w:t xml:space="preserve"> were often incisive commentators on the world around them.  </w:t>
      </w:r>
      <w:r w:rsidR="00076717">
        <w:rPr>
          <w:rFonts w:ascii="Times New Roman" w:hAnsi="Times New Roman" w:cs="Times New Roman"/>
          <w:color w:val="191919"/>
          <w:lang w:val="en-US"/>
        </w:rPr>
        <w:t>O</w:t>
      </w:r>
      <w:r>
        <w:rPr>
          <w:rFonts w:ascii="Times New Roman" w:hAnsi="Times New Roman" w:cs="Times New Roman"/>
          <w:color w:val="191919"/>
          <w:lang w:val="en-US"/>
        </w:rPr>
        <w:t xml:space="preserve">n occasion, they were </w:t>
      </w:r>
      <w:r w:rsidR="00076717">
        <w:rPr>
          <w:rFonts w:ascii="Times New Roman" w:hAnsi="Times New Roman" w:cs="Times New Roman"/>
          <w:color w:val="191919"/>
          <w:lang w:val="en-US"/>
        </w:rPr>
        <w:t xml:space="preserve">also </w:t>
      </w:r>
      <w:r>
        <w:rPr>
          <w:rFonts w:ascii="Times New Roman" w:hAnsi="Times New Roman" w:cs="Times New Roman"/>
          <w:color w:val="191919"/>
          <w:lang w:val="en-US"/>
        </w:rPr>
        <w:t>deft political actors who formed brittle, difficult alliances</w:t>
      </w:r>
      <w:r w:rsidR="00BA660D">
        <w:rPr>
          <w:rFonts w:ascii="Times New Roman" w:hAnsi="Times New Roman" w:cs="Times New Roman"/>
          <w:color w:val="191919"/>
          <w:lang w:val="en-US"/>
        </w:rPr>
        <w:t xml:space="preserve"> with others</w:t>
      </w:r>
      <w:r>
        <w:rPr>
          <w:rFonts w:ascii="Times New Roman" w:hAnsi="Times New Roman" w:cs="Times New Roman"/>
          <w:color w:val="191919"/>
          <w:lang w:val="en-US"/>
        </w:rPr>
        <w:t>.  Many of their most celebrated accomplishments</w:t>
      </w:r>
      <w:r w:rsidR="008E193A">
        <w:rPr>
          <w:rFonts w:ascii="Times New Roman" w:hAnsi="Times New Roman" w:cs="Times New Roman"/>
          <w:color w:val="191919"/>
          <w:lang w:val="en-US"/>
        </w:rPr>
        <w:t xml:space="preserve"> </w:t>
      </w:r>
      <w:r>
        <w:rPr>
          <w:rFonts w:ascii="Times New Roman" w:hAnsi="Times New Roman" w:cs="Times New Roman"/>
          <w:color w:val="191919"/>
          <w:lang w:val="en-US"/>
        </w:rPr>
        <w:t>were team effor</w:t>
      </w:r>
      <w:r w:rsidR="00BA660D">
        <w:rPr>
          <w:rFonts w:ascii="Times New Roman" w:hAnsi="Times New Roman" w:cs="Times New Roman"/>
          <w:color w:val="191919"/>
          <w:lang w:val="en-US"/>
        </w:rPr>
        <w:t xml:space="preserve">ts in </w:t>
      </w:r>
      <w:r w:rsidR="00BA660D">
        <w:rPr>
          <w:rFonts w:ascii="Times New Roman" w:hAnsi="Times New Roman" w:cs="Times New Roman"/>
          <w:color w:val="191919"/>
          <w:lang w:val="en-US"/>
        </w:rPr>
        <w:lastRenderedPageBreak/>
        <w:t>which the Quakers worked within a wide network of alliances</w:t>
      </w:r>
      <w:r>
        <w:rPr>
          <w:rFonts w:ascii="Times New Roman" w:hAnsi="Times New Roman" w:cs="Times New Roman"/>
          <w:color w:val="191919"/>
          <w:lang w:val="en-US"/>
        </w:rPr>
        <w:t>.</w:t>
      </w:r>
      <w:r w:rsidR="00817FEC">
        <w:rPr>
          <w:rStyle w:val="FootnoteReference"/>
          <w:rFonts w:ascii="Times New Roman" w:hAnsi="Times New Roman" w:cs="Times New Roman"/>
          <w:color w:val="191919"/>
          <w:lang w:val="en-US"/>
        </w:rPr>
        <w:footnoteReference w:id="6"/>
      </w:r>
      <w:r>
        <w:rPr>
          <w:rFonts w:ascii="Times New Roman" w:hAnsi="Times New Roman" w:cs="Times New Roman"/>
          <w:color w:val="191919"/>
          <w:lang w:val="en-US"/>
        </w:rPr>
        <w:t xml:space="preserve"> </w:t>
      </w:r>
      <w:r w:rsidR="00817FEC">
        <w:rPr>
          <w:rFonts w:ascii="Times New Roman" w:hAnsi="Times New Roman" w:cs="Times New Roman"/>
          <w:color w:val="191919"/>
          <w:lang w:val="en-US"/>
        </w:rPr>
        <w:t xml:space="preserve"> </w:t>
      </w:r>
      <w:r w:rsidR="006C5A7F">
        <w:rPr>
          <w:rFonts w:ascii="Times New Roman" w:hAnsi="Times New Roman" w:cs="Times New Roman"/>
          <w:color w:val="191919"/>
          <w:lang w:val="en-US"/>
        </w:rPr>
        <w:t>Political negotiation required compromise</w:t>
      </w:r>
      <w:r w:rsidR="0001615E">
        <w:rPr>
          <w:rFonts w:ascii="Times New Roman" w:hAnsi="Times New Roman" w:cs="Times New Roman"/>
          <w:color w:val="191919"/>
          <w:lang w:val="en-US"/>
        </w:rPr>
        <w:t>, and</w:t>
      </w:r>
      <w:r w:rsidR="007127A6">
        <w:rPr>
          <w:rFonts w:ascii="Times New Roman" w:hAnsi="Times New Roman" w:cs="Times New Roman"/>
          <w:color w:val="191919"/>
          <w:lang w:val="en-US"/>
        </w:rPr>
        <w:t xml:space="preserve"> </w:t>
      </w:r>
      <w:r w:rsidR="00817FEC">
        <w:rPr>
          <w:rFonts w:ascii="Times New Roman" w:hAnsi="Times New Roman" w:cs="Times New Roman"/>
          <w:color w:val="191919"/>
          <w:lang w:val="en-US"/>
        </w:rPr>
        <w:t xml:space="preserve">throughout the early modern period </w:t>
      </w:r>
      <w:r w:rsidR="007127A6">
        <w:rPr>
          <w:rFonts w:ascii="Times New Roman" w:hAnsi="Times New Roman" w:cs="Times New Roman"/>
          <w:color w:val="191919"/>
          <w:lang w:val="en-US"/>
        </w:rPr>
        <w:t xml:space="preserve">there were always some </w:t>
      </w:r>
      <w:r w:rsidR="00817FEC">
        <w:rPr>
          <w:rFonts w:ascii="Times New Roman" w:hAnsi="Times New Roman" w:cs="Times New Roman"/>
          <w:color w:val="191919"/>
          <w:lang w:val="en-US"/>
        </w:rPr>
        <w:t xml:space="preserve">Quakers </w:t>
      </w:r>
      <w:r w:rsidR="0001615E">
        <w:rPr>
          <w:rFonts w:ascii="Times New Roman" w:hAnsi="Times New Roman" w:cs="Times New Roman"/>
          <w:color w:val="191919"/>
          <w:lang w:val="en-US"/>
        </w:rPr>
        <w:t>who</w:t>
      </w:r>
      <w:r w:rsidR="007127A6">
        <w:rPr>
          <w:rFonts w:ascii="Times New Roman" w:hAnsi="Times New Roman" w:cs="Times New Roman"/>
          <w:color w:val="191919"/>
          <w:lang w:val="en-US"/>
        </w:rPr>
        <w:t xml:space="preserve"> avoided politics for that </w:t>
      </w:r>
      <w:r w:rsidR="0001615E">
        <w:rPr>
          <w:rFonts w:ascii="Times New Roman" w:hAnsi="Times New Roman" w:cs="Times New Roman"/>
          <w:color w:val="191919"/>
          <w:lang w:val="en-US"/>
        </w:rPr>
        <w:t>reason.  But</w:t>
      </w:r>
      <w:r w:rsidR="001D7C6A">
        <w:rPr>
          <w:rFonts w:ascii="Times New Roman" w:hAnsi="Times New Roman" w:cs="Times New Roman"/>
          <w:color w:val="191919"/>
          <w:lang w:val="en-US"/>
        </w:rPr>
        <w:t xml:space="preserve"> others,</w:t>
      </w:r>
      <w:r w:rsidR="0001615E">
        <w:rPr>
          <w:rFonts w:ascii="Times New Roman" w:hAnsi="Times New Roman" w:cs="Times New Roman"/>
          <w:color w:val="191919"/>
          <w:lang w:val="en-US"/>
        </w:rPr>
        <w:t xml:space="preserve"> </w:t>
      </w:r>
      <w:r w:rsidR="001D7C6A">
        <w:rPr>
          <w:rFonts w:ascii="Times New Roman" w:hAnsi="Times New Roman" w:cs="Times New Roman"/>
          <w:color w:val="191919"/>
          <w:lang w:val="en-US"/>
        </w:rPr>
        <w:t>m</w:t>
      </w:r>
      <w:r w:rsidR="0001615E">
        <w:rPr>
          <w:rFonts w:ascii="Times New Roman" w:hAnsi="Times New Roman" w:cs="Times New Roman"/>
          <w:color w:val="191919"/>
          <w:lang w:val="en-US"/>
        </w:rPr>
        <w:t>ixing with outsiders</w:t>
      </w:r>
      <w:r w:rsidR="007127A6">
        <w:rPr>
          <w:rFonts w:ascii="Times New Roman" w:hAnsi="Times New Roman" w:cs="Times New Roman"/>
          <w:color w:val="191919"/>
          <w:lang w:val="en-US"/>
        </w:rPr>
        <w:t>,</w:t>
      </w:r>
      <w:r w:rsidR="0001615E">
        <w:rPr>
          <w:rFonts w:ascii="Times New Roman" w:hAnsi="Times New Roman" w:cs="Times New Roman"/>
          <w:color w:val="191919"/>
          <w:lang w:val="en-US"/>
        </w:rPr>
        <w:t xml:space="preserve"> </w:t>
      </w:r>
      <w:r w:rsidR="006C5A7F">
        <w:rPr>
          <w:rFonts w:ascii="Times New Roman" w:hAnsi="Times New Roman" w:cs="Times New Roman"/>
          <w:color w:val="191919"/>
          <w:lang w:val="en-US"/>
        </w:rPr>
        <w:t xml:space="preserve">some </w:t>
      </w:r>
      <w:r w:rsidR="0001615E">
        <w:rPr>
          <w:rFonts w:ascii="Times New Roman" w:hAnsi="Times New Roman" w:cs="Times New Roman"/>
          <w:color w:val="191919"/>
          <w:lang w:val="en-US"/>
        </w:rPr>
        <w:t xml:space="preserve">were </w:t>
      </w:r>
      <w:r w:rsidR="007127A6">
        <w:rPr>
          <w:rFonts w:ascii="Times New Roman" w:hAnsi="Times New Roman" w:cs="Times New Roman"/>
          <w:color w:val="191919"/>
          <w:lang w:val="en-US"/>
        </w:rPr>
        <w:t xml:space="preserve">ready to give a little, and </w:t>
      </w:r>
      <w:r w:rsidR="001D7C6A">
        <w:rPr>
          <w:rFonts w:ascii="Times New Roman" w:hAnsi="Times New Roman" w:cs="Times New Roman"/>
          <w:color w:val="191919"/>
          <w:lang w:val="en-US"/>
        </w:rPr>
        <w:t>some</w:t>
      </w:r>
      <w:r w:rsidR="00076717">
        <w:rPr>
          <w:rFonts w:ascii="Times New Roman" w:hAnsi="Times New Roman" w:cs="Times New Roman"/>
          <w:color w:val="191919"/>
          <w:lang w:val="en-US"/>
        </w:rPr>
        <w:t xml:space="preserve"> compromised so thoroughly that they </w:t>
      </w:r>
      <w:r w:rsidR="0001615E">
        <w:rPr>
          <w:rFonts w:ascii="Times New Roman" w:hAnsi="Times New Roman" w:cs="Times New Roman"/>
          <w:color w:val="191919"/>
          <w:lang w:val="en-US"/>
        </w:rPr>
        <w:t>eventually</w:t>
      </w:r>
      <w:r w:rsidR="007127A6">
        <w:rPr>
          <w:rFonts w:ascii="Times New Roman" w:hAnsi="Times New Roman" w:cs="Times New Roman"/>
          <w:color w:val="191919"/>
          <w:lang w:val="en-US"/>
        </w:rPr>
        <w:t xml:space="preserve"> abandon</w:t>
      </w:r>
      <w:r w:rsidR="001D7C6A">
        <w:rPr>
          <w:rFonts w:ascii="Times New Roman" w:hAnsi="Times New Roman" w:cs="Times New Roman"/>
          <w:color w:val="191919"/>
          <w:lang w:val="en-US"/>
        </w:rPr>
        <w:t>ed</w:t>
      </w:r>
      <w:r w:rsidR="0001615E">
        <w:rPr>
          <w:rFonts w:ascii="Times New Roman" w:hAnsi="Times New Roman" w:cs="Times New Roman"/>
          <w:color w:val="191919"/>
          <w:lang w:val="en-US"/>
        </w:rPr>
        <w:t xml:space="preserve"> everything that </w:t>
      </w:r>
      <w:r w:rsidR="00817FEC">
        <w:rPr>
          <w:rFonts w:ascii="Times New Roman" w:hAnsi="Times New Roman" w:cs="Times New Roman"/>
          <w:color w:val="191919"/>
          <w:lang w:val="en-US"/>
        </w:rPr>
        <w:t xml:space="preserve">had </w:t>
      </w:r>
      <w:r w:rsidR="0001615E">
        <w:rPr>
          <w:rFonts w:ascii="Times New Roman" w:hAnsi="Times New Roman" w:cs="Times New Roman"/>
          <w:color w:val="191919"/>
          <w:lang w:val="en-US"/>
        </w:rPr>
        <w:t xml:space="preserve">seemed to make </w:t>
      </w:r>
      <w:r w:rsidR="006C5A7F">
        <w:rPr>
          <w:rFonts w:ascii="Times New Roman" w:hAnsi="Times New Roman" w:cs="Times New Roman"/>
          <w:color w:val="191919"/>
          <w:lang w:val="en-US"/>
        </w:rPr>
        <w:t>their religious society</w:t>
      </w:r>
      <w:r w:rsidR="0001615E">
        <w:rPr>
          <w:rFonts w:ascii="Times New Roman" w:hAnsi="Times New Roman" w:cs="Times New Roman"/>
          <w:color w:val="191919"/>
          <w:lang w:val="en-US"/>
        </w:rPr>
        <w:t xml:space="preserve"> distinct.  </w:t>
      </w:r>
      <w:r w:rsidR="007127A6">
        <w:rPr>
          <w:rFonts w:ascii="Times New Roman" w:hAnsi="Times New Roman" w:cs="Times New Roman"/>
          <w:color w:val="191919"/>
          <w:lang w:val="en-US"/>
        </w:rPr>
        <w:t>E</w:t>
      </w:r>
      <w:r w:rsidR="006C5A7F">
        <w:rPr>
          <w:rFonts w:ascii="Times New Roman" w:hAnsi="Times New Roman" w:cs="Times New Roman"/>
          <w:color w:val="191919"/>
          <w:lang w:val="en-US"/>
        </w:rPr>
        <w:t xml:space="preserve">ven </w:t>
      </w:r>
      <w:r w:rsidR="00BA660D">
        <w:rPr>
          <w:rFonts w:ascii="Times New Roman" w:hAnsi="Times New Roman" w:cs="Times New Roman"/>
          <w:color w:val="191919"/>
          <w:lang w:val="en-US"/>
        </w:rPr>
        <w:t xml:space="preserve">among those who </w:t>
      </w:r>
      <w:r w:rsidR="00076717">
        <w:rPr>
          <w:rFonts w:ascii="Times New Roman" w:hAnsi="Times New Roman" w:cs="Times New Roman"/>
          <w:color w:val="191919"/>
          <w:lang w:val="en-US"/>
        </w:rPr>
        <w:t xml:space="preserve">in the end </w:t>
      </w:r>
      <w:r w:rsidR="00BA660D">
        <w:rPr>
          <w:rFonts w:ascii="Times New Roman" w:hAnsi="Times New Roman" w:cs="Times New Roman"/>
          <w:color w:val="191919"/>
          <w:lang w:val="en-US"/>
        </w:rPr>
        <w:t>left Quakerism behind,</w:t>
      </w:r>
      <w:r w:rsidR="006C5A7F">
        <w:rPr>
          <w:rFonts w:ascii="Times New Roman" w:hAnsi="Times New Roman" w:cs="Times New Roman"/>
          <w:color w:val="191919"/>
          <w:lang w:val="en-US"/>
        </w:rPr>
        <w:t xml:space="preserve"> the process </w:t>
      </w:r>
      <w:r w:rsidR="00BA660D">
        <w:rPr>
          <w:rFonts w:ascii="Times New Roman" w:hAnsi="Times New Roman" w:cs="Times New Roman"/>
          <w:color w:val="191919"/>
          <w:lang w:val="en-US"/>
        </w:rPr>
        <w:t xml:space="preserve">that brought them to that end </w:t>
      </w:r>
      <w:r w:rsidR="001D7C6A">
        <w:rPr>
          <w:rFonts w:ascii="Times New Roman" w:hAnsi="Times New Roman" w:cs="Times New Roman"/>
          <w:color w:val="191919"/>
          <w:lang w:val="en-US"/>
        </w:rPr>
        <w:t>was sometimes</w:t>
      </w:r>
      <w:r w:rsidR="00BA660D">
        <w:rPr>
          <w:rFonts w:ascii="Times New Roman" w:hAnsi="Times New Roman" w:cs="Times New Roman"/>
          <w:color w:val="191919"/>
          <w:lang w:val="en-US"/>
        </w:rPr>
        <w:t xml:space="preserve"> impressively creative,</w:t>
      </w:r>
      <w:r w:rsidR="006C5A7F">
        <w:rPr>
          <w:rFonts w:ascii="Times New Roman" w:hAnsi="Times New Roman" w:cs="Times New Roman"/>
          <w:color w:val="191919"/>
          <w:lang w:val="en-US"/>
        </w:rPr>
        <w:t xml:space="preserve"> formative and revealing.  </w:t>
      </w:r>
      <w:r w:rsidR="007127A6">
        <w:rPr>
          <w:rFonts w:ascii="Times New Roman" w:hAnsi="Times New Roman" w:cs="Times New Roman"/>
          <w:color w:val="191919"/>
          <w:lang w:val="en-US"/>
        </w:rPr>
        <w:t xml:space="preserve">The internal and external struggles of the </w:t>
      </w:r>
      <w:r w:rsidR="006C5A7F">
        <w:rPr>
          <w:rFonts w:ascii="Times New Roman" w:hAnsi="Times New Roman" w:cs="Times New Roman"/>
          <w:color w:val="191919"/>
          <w:lang w:val="en-US"/>
        </w:rPr>
        <w:t xml:space="preserve">Quakers </w:t>
      </w:r>
      <w:r w:rsidR="007127A6">
        <w:rPr>
          <w:rFonts w:ascii="Times New Roman" w:hAnsi="Times New Roman" w:cs="Times New Roman"/>
          <w:color w:val="191919"/>
          <w:lang w:val="en-US"/>
        </w:rPr>
        <w:t xml:space="preserve">can tell us much about </w:t>
      </w:r>
      <w:r w:rsidR="00BA660D">
        <w:rPr>
          <w:rFonts w:ascii="Times New Roman" w:hAnsi="Times New Roman" w:cs="Times New Roman"/>
          <w:color w:val="191919"/>
          <w:lang w:val="en-US"/>
        </w:rPr>
        <w:t xml:space="preserve">cultural and political power </w:t>
      </w:r>
      <w:r w:rsidR="006C5A7F">
        <w:rPr>
          <w:rFonts w:ascii="Times New Roman" w:hAnsi="Times New Roman" w:cs="Times New Roman"/>
          <w:color w:val="191919"/>
          <w:lang w:val="en-US"/>
        </w:rPr>
        <w:t xml:space="preserve">throughout the British Empire and the United States.  </w:t>
      </w:r>
    </w:p>
    <w:p w14:paraId="017E1435" w14:textId="3DE84C5A" w:rsidR="000D046B" w:rsidRDefault="007127A6" w:rsidP="001D7C6A">
      <w:pPr>
        <w:spacing w:line="480" w:lineRule="auto"/>
        <w:ind w:firstLine="720"/>
        <w:rPr>
          <w:rFonts w:ascii="Times New Roman" w:hAnsi="Times New Roman" w:cs="Times New Roman"/>
        </w:rPr>
      </w:pPr>
      <w:r>
        <w:rPr>
          <w:rFonts w:ascii="Times New Roman" w:hAnsi="Times New Roman" w:cs="Times New Roman"/>
          <w:color w:val="191919"/>
          <w:lang w:val="en-US"/>
        </w:rPr>
        <w:t>Few</w:t>
      </w:r>
      <w:r w:rsidR="006C5A7F" w:rsidRPr="00AD05DB">
        <w:rPr>
          <w:rFonts w:ascii="Times New Roman" w:hAnsi="Times New Roman" w:cs="Times New Roman"/>
          <w:color w:val="191919"/>
          <w:lang w:val="en-US"/>
        </w:rPr>
        <w:t xml:space="preserve"> hist</w:t>
      </w:r>
      <w:r w:rsidR="00BA660D">
        <w:rPr>
          <w:rFonts w:ascii="Times New Roman" w:hAnsi="Times New Roman" w:cs="Times New Roman"/>
          <w:color w:val="191919"/>
          <w:lang w:val="en-US"/>
        </w:rPr>
        <w:t>orians have ever argued that Quakers</w:t>
      </w:r>
      <w:r w:rsidR="006C5A7F" w:rsidRPr="00AD05DB">
        <w:rPr>
          <w:rFonts w:ascii="Times New Roman" w:hAnsi="Times New Roman" w:cs="Times New Roman"/>
          <w:color w:val="191919"/>
          <w:lang w:val="en-US"/>
        </w:rPr>
        <w:t xml:space="preserve"> were close to the levers of po</w:t>
      </w:r>
      <w:r w:rsidR="006C5A7F">
        <w:rPr>
          <w:rFonts w:ascii="Times New Roman" w:hAnsi="Times New Roman" w:cs="Times New Roman"/>
          <w:color w:val="191919"/>
          <w:lang w:val="en-US"/>
        </w:rPr>
        <w:t xml:space="preserve">wer </w:t>
      </w:r>
      <w:r w:rsidR="006C5A7F" w:rsidRPr="00AD05DB">
        <w:rPr>
          <w:rFonts w:ascii="Times New Roman" w:hAnsi="Times New Roman" w:cs="Times New Roman"/>
          <w:color w:val="191919"/>
          <w:lang w:val="en-US"/>
        </w:rPr>
        <w:t>in Massachusetts</w:t>
      </w:r>
      <w:r w:rsidR="006C5A7F">
        <w:rPr>
          <w:rFonts w:ascii="Times New Roman" w:hAnsi="Times New Roman" w:cs="Times New Roman"/>
          <w:color w:val="191919"/>
          <w:lang w:val="en-US"/>
        </w:rPr>
        <w:t xml:space="preserve"> in the early 1660s.  Most of the Quaker missionaries who </w:t>
      </w:r>
      <w:r w:rsidR="001D7C6A">
        <w:rPr>
          <w:rFonts w:ascii="Times New Roman" w:hAnsi="Times New Roman" w:cs="Times New Roman"/>
          <w:color w:val="191919"/>
          <w:lang w:val="en-US"/>
        </w:rPr>
        <w:t>came</w:t>
      </w:r>
      <w:r w:rsidR="006C5A7F">
        <w:rPr>
          <w:rFonts w:ascii="Times New Roman" w:hAnsi="Times New Roman" w:cs="Times New Roman"/>
          <w:color w:val="191919"/>
          <w:lang w:val="en-US"/>
        </w:rPr>
        <w:t xml:space="preserve"> there were whipped out of the colony</w:t>
      </w:r>
      <w:r w:rsidR="001D7C6A">
        <w:rPr>
          <w:rFonts w:ascii="Times New Roman" w:hAnsi="Times New Roman" w:cs="Times New Roman"/>
          <w:color w:val="191919"/>
          <w:lang w:val="en-US"/>
        </w:rPr>
        <w:t>.</w:t>
      </w:r>
      <w:r w:rsidR="006C5A7F" w:rsidRPr="00AD05DB">
        <w:rPr>
          <w:rFonts w:ascii="Times New Roman" w:hAnsi="Times New Roman" w:cs="Times New Roman"/>
          <w:color w:val="191919"/>
          <w:lang w:val="en-US"/>
        </w:rPr>
        <w:t xml:space="preserve"> </w:t>
      </w:r>
      <w:r w:rsidR="001D7C6A">
        <w:rPr>
          <w:rFonts w:ascii="Times New Roman" w:hAnsi="Times New Roman" w:cs="Times New Roman"/>
          <w:color w:val="191919"/>
          <w:lang w:val="en-US"/>
        </w:rPr>
        <w:t xml:space="preserve"> O</w:t>
      </w:r>
      <w:r w:rsidR="006C5A7F" w:rsidRPr="00AD05DB">
        <w:rPr>
          <w:rFonts w:ascii="Times New Roman" w:hAnsi="Times New Roman" w:cs="Times New Roman"/>
          <w:color w:val="191919"/>
          <w:lang w:val="en-US"/>
        </w:rPr>
        <w:t xml:space="preserve">ccasionally </w:t>
      </w:r>
      <w:r w:rsidR="006C5A7F">
        <w:rPr>
          <w:rFonts w:ascii="Times New Roman" w:hAnsi="Times New Roman" w:cs="Times New Roman"/>
          <w:color w:val="191919"/>
          <w:lang w:val="en-US"/>
        </w:rPr>
        <w:t xml:space="preserve">they were </w:t>
      </w:r>
      <w:r w:rsidR="006C5A7F" w:rsidRPr="00AD05DB">
        <w:rPr>
          <w:rFonts w:ascii="Times New Roman" w:hAnsi="Times New Roman" w:cs="Times New Roman"/>
          <w:color w:val="191919"/>
          <w:lang w:val="en-US"/>
        </w:rPr>
        <w:t>hanged.  But as Adrian Weimer demonstrates in her study of Eli</w:t>
      </w:r>
      <w:r w:rsidR="006C5A7F">
        <w:rPr>
          <w:rFonts w:ascii="Times New Roman" w:hAnsi="Times New Roman" w:cs="Times New Roman"/>
          <w:color w:val="191919"/>
          <w:lang w:val="en-US"/>
        </w:rPr>
        <w:t xml:space="preserve">zabeth Hooton’s missionary work, Hooton and other </w:t>
      </w:r>
      <w:r w:rsidR="006C5A7F" w:rsidRPr="00AD05DB">
        <w:rPr>
          <w:rFonts w:ascii="Times New Roman" w:hAnsi="Times New Roman" w:cs="Times New Roman"/>
          <w:color w:val="191919"/>
          <w:lang w:val="en-US"/>
        </w:rPr>
        <w:t>Quakers</w:t>
      </w:r>
      <w:r w:rsidR="006C5A7F">
        <w:rPr>
          <w:rFonts w:ascii="Times New Roman" w:hAnsi="Times New Roman" w:cs="Times New Roman"/>
          <w:color w:val="191919"/>
          <w:lang w:val="en-US"/>
        </w:rPr>
        <w:t xml:space="preserve"> in Massachusetts discovered</w:t>
      </w:r>
      <w:r w:rsidR="006C5A7F" w:rsidRPr="00AD05DB">
        <w:rPr>
          <w:rFonts w:ascii="Times New Roman" w:hAnsi="Times New Roman" w:cs="Times New Roman"/>
          <w:color w:val="191919"/>
          <w:lang w:val="en-US"/>
        </w:rPr>
        <w:t xml:space="preserve"> cleavages</w:t>
      </w:r>
      <w:r w:rsidR="006C5A7F">
        <w:rPr>
          <w:rFonts w:ascii="Times New Roman" w:hAnsi="Times New Roman" w:cs="Times New Roman"/>
          <w:color w:val="191919"/>
          <w:lang w:val="en-US"/>
        </w:rPr>
        <w:t xml:space="preserve"> within the structure of power in the colony and exploited them</w:t>
      </w:r>
      <w:r w:rsidR="006C5A7F" w:rsidRPr="00AD05DB">
        <w:rPr>
          <w:rFonts w:ascii="Times New Roman" w:hAnsi="Times New Roman" w:cs="Times New Roman"/>
          <w:color w:val="191919"/>
          <w:lang w:val="en-US"/>
        </w:rPr>
        <w:t xml:space="preserve">.  Hooton </w:t>
      </w:r>
      <w:r w:rsidR="00BA660D">
        <w:rPr>
          <w:rFonts w:ascii="Times New Roman" w:hAnsi="Times New Roman" w:cs="Times New Roman"/>
          <w:color w:val="191919"/>
          <w:lang w:val="en-US"/>
        </w:rPr>
        <w:t>arrived in the colony claiming</w:t>
      </w:r>
      <w:r w:rsidR="006C5A7F">
        <w:rPr>
          <w:rFonts w:ascii="Times New Roman" w:hAnsi="Times New Roman" w:cs="Times New Roman"/>
          <w:color w:val="191919"/>
          <w:lang w:val="en-US"/>
        </w:rPr>
        <w:t xml:space="preserve"> to have royal backing, and she </w:t>
      </w:r>
      <w:r w:rsidR="00BE5F3C">
        <w:rPr>
          <w:rFonts w:ascii="Times New Roman" w:hAnsi="Times New Roman" w:cs="Times New Roman"/>
          <w:color w:val="191919"/>
          <w:lang w:val="en-US"/>
        </w:rPr>
        <w:t>eventual</w:t>
      </w:r>
      <w:r w:rsidR="00BA660D">
        <w:rPr>
          <w:rFonts w:ascii="Times New Roman" w:hAnsi="Times New Roman" w:cs="Times New Roman"/>
          <w:color w:val="191919"/>
          <w:lang w:val="en-US"/>
        </w:rPr>
        <w:t xml:space="preserve">ly </w:t>
      </w:r>
      <w:r w:rsidR="006C5A7F" w:rsidRPr="00AD05DB">
        <w:rPr>
          <w:rFonts w:ascii="Times New Roman" w:hAnsi="Times New Roman" w:cs="Times New Roman"/>
          <w:color w:val="191919"/>
          <w:lang w:val="en-US"/>
        </w:rPr>
        <w:t>endeared herself to the commissioners Ch</w:t>
      </w:r>
      <w:r w:rsidR="006C5A7F">
        <w:rPr>
          <w:rFonts w:ascii="Times New Roman" w:hAnsi="Times New Roman" w:cs="Times New Roman"/>
          <w:color w:val="191919"/>
          <w:lang w:val="en-US"/>
        </w:rPr>
        <w:t xml:space="preserve">arles II </w:t>
      </w:r>
      <w:r w:rsidR="00BE5F3C">
        <w:rPr>
          <w:rFonts w:ascii="Times New Roman" w:hAnsi="Times New Roman" w:cs="Times New Roman"/>
          <w:color w:val="191919"/>
          <w:lang w:val="en-US"/>
        </w:rPr>
        <w:t xml:space="preserve">had </w:t>
      </w:r>
      <w:r w:rsidR="006C5A7F">
        <w:rPr>
          <w:rFonts w:ascii="Times New Roman" w:hAnsi="Times New Roman" w:cs="Times New Roman"/>
          <w:color w:val="191919"/>
          <w:lang w:val="en-US"/>
        </w:rPr>
        <w:t xml:space="preserve">sent to Massachusetts. </w:t>
      </w:r>
      <w:r w:rsidR="001D7C6A">
        <w:rPr>
          <w:rFonts w:ascii="Times New Roman" w:hAnsi="Times New Roman" w:cs="Times New Roman"/>
          <w:color w:val="191919"/>
          <w:lang w:val="en-US"/>
        </w:rPr>
        <w:t xml:space="preserve"> </w:t>
      </w:r>
      <w:r w:rsidR="006C5A7F">
        <w:rPr>
          <w:rFonts w:ascii="Times New Roman" w:hAnsi="Times New Roman" w:cs="Times New Roman"/>
          <w:color w:val="191919"/>
          <w:lang w:val="en-US"/>
        </w:rPr>
        <w:t>Her actions</w:t>
      </w:r>
      <w:r w:rsidR="006C5A7F" w:rsidRPr="00AD05DB">
        <w:rPr>
          <w:rFonts w:ascii="Times New Roman" w:hAnsi="Times New Roman" w:cs="Times New Roman"/>
          <w:color w:val="191919"/>
          <w:lang w:val="en-US"/>
        </w:rPr>
        <w:t xml:space="preserve"> expo</w:t>
      </w:r>
      <w:r w:rsidR="006C5A7F">
        <w:rPr>
          <w:rFonts w:ascii="Times New Roman" w:hAnsi="Times New Roman" w:cs="Times New Roman"/>
          <w:color w:val="191919"/>
          <w:lang w:val="en-US"/>
        </w:rPr>
        <w:t xml:space="preserve">sed divisions not only among </w:t>
      </w:r>
      <w:r w:rsidR="00BE5F3C">
        <w:rPr>
          <w:rFonts w:ascii="Times New Roman" w:hAnsi="Times New Roman" w:cs="Times New Roman"/>
          <w:color w:val="191919"/>
          <w:lang w:val="en-US"/>
        </w:rPr>
        <w:t xml:space="preserve">the </w:t>
      </w:r>
      <w:r w:rsidR="006C5A7F">
        <w:rPr>
          <w:rFonts w:ascii="Times New Roman" w:hAnsi="Times New Roman" w:cs="Times New Roman"/>
          <w:color w:val="191919"/>
          <w:lang w:val="en-US"/>
        </w:rPr>
        <w:t>magistrates</w:t>
      </w:r>
      <w:r w:rsidR="00BE5F3C">
        <w:rPr>
          <w:rFonts w:ascii="Times New Roman" w:hAnsi="Times New Roman" w:cs="Times New Roman"/>
          <w:color w:val="191919"/>
          <w:lang w:val="en-US"/>
        </w:rPr>
        <w:t>,</w:t>
      </w:r>
      <w:r w:rsidR="006C5A7F" w:rsidRPr="00AD05DB">
        <w:rPr>
          <w:rFonts w:ascii="Times New Roman" w:hAnsi="Times New Roman" w:cs="Times New Roman"/>
          <w:color w:val="191919"/>
          <w:lang w:val="en-US"/>
        </w:rPr>
        <w:t xml:space="preserve"> who differed in their response to Quaker provocations, but also among other colonists who waivered when asked to enforce the </w:t>
      </w:r>
      <w:r w:rsidR="006C5A7F">
        <w:rPr>
          <w:rFonts w:ascii="Times New Roman" w:hAnsi="Times New Roman" w:cs="Times New Roman"/>
          <w:color w:val="191919"/>
          <w:lang w:val="en-US"/>
        </w:rPr>
        <w:t xml:space="preserve">colonial </w:t>
      </w:r>
      <w:r w:rsidR="006C5A7F" w:rsidRPr="00AD05DB">
        <w:rPr>
          <w:rFonts w:ascii="Times New Roman" w:hAnsi="Times New Roman" w:cs="Times New Roman"/>
          <w:color w:val="191919"/>
          <w:lang w:val="en-US"/>
        </w:rPr>
        <w:t>government’</w:t>
      </w:r>
      <w:r w:rsidR="006C5A7F">
        <w:rPr>
          <w:rFonts w:ascii="Times New Roman" w:hAnsi="Times New Roman" w:cs="Times New Roman"/>
          <w:color w:val="191919"/>
          <w:lang w:val="en-US"/>
        </w:rPr>
        <w:t xml:space="preserve">s measures. </w:t>
      </w:r>
      <w:r w:rsidR="001D7C6A">
        <w:rPr>
          <w:rFonts w:ascii="Times New Roman" w:hAnsi="Times New Roman" w:cs="Times New Roman"/>
          <w:color w:val="191919"/>
          <w:lang w:val="en-US"/>
        </w:rPr>
        <w:t xml:space="preserve"> </w:t>
      </w:r>
      <w:r w:rsidR="006C5A7F">
        <w:rPr>
          <w:rFonts w:ascii="Times New Roman" w:hAnsi="Times New Roman" w:cs="Times New Roman"/>
          <w:color w:val="191919"/>
          <w:lang w:val="en-US"/>
        </w:rPr>
        <w:t>The dynamics she</w:t>
      </w:r>
      <w:r w:rsidR="006C5A7F" w:rsidRPr="00AD05DB">
        <w:rPr>
          <w:rFonts w:ascii="Times New Roman" w:hAnsi="Times New Roman" w:cs="Times New Roman"/>
          <w:color w:val="191919"/>
          <w:lang w:val="en-US"/>
        </w:rPr>
        <w:t xml:space="preserve"> describes resemb</w:t>
      </w:r>
      <w:r w:rsidR="006C5A7F">
        <w:rPr>
          <w:rFonts w:ascii="Times New Roman" w:hAnsi="Times New Roman" w:cs="Times New Roman"/>
          <w:color w:val="191919"/>
          <w:lang w:val="en-US"/>
        </w:rPr>
        <w:t>le those Evan Haefeli has analyz</w:t>
      </w:r>
      <w:r w:rsidR="006C5A7F" w:rsidRPr="00AD05DB">
        <w:rPr>
          <w:rFonts w:ascii="Times New Roman" w:hAnsi="Times New Roman" w:cs="Times New Roman"/>
          <w:color w:val="191919"/>
          <w:lang w:val="en-US"/>
        </w:rPr>
        <w:t xml:space="preserve">ed in </w:t>
      </w:r>
      <w:r w:rsidR="006C5A7F" w:rsidRPr="00AD05DB">
        <w:rPr>
          <w:rFonts w:ascii="Times New Roman" w:hAnsi="Times New Roman" w:cs="Times New Roman"/>
          <w:color w:val="191919"/>
          <w:lang w:val="en-US"/>
        </w:rPr>
        <w:lastRenderedPageBreak/>
        <w:t>New Netherland, where toleration was situational and contingent, and</w:t>
      </w:r>
      <w:r w:rsidR="006C5A7F">
        <w:rPr>
          <w:rFonts w:ascii="Times New Roman" w:hAnsi="Times New Roman" w:cs="Times New Roman"/>
          <w:color w:val="191919"/>
          <w:lang w:val="en-US"/>
        </w:rPr>
        <w:t xml:space="preserve"> defining</w:t>
      </w:r>
      <w:r w:rsidR="006C5A7F" w:rsidRPr="00AD05DB">
        <w:rPr>
          <w:rFonts w:ascii="Times New Roman" w:hAnsi="Times New Roman" w:cs="Times New Roman"/>
        </w:rPr>
        <w:t xml:space="preserve"> the limits of religious liberty entailed an element of struggle, a test of wills that reflected the distribution of power in any given moment.</w:t>
      </w:r>
      <w:r w:rsidR="006C5A7F">
        <w:rPr>
          <w:rStyle w:val="FootnoteReference"/>
          <w:rFonts w:ascii="Times New Roman" w:hAnsi="Times New Roman" w:cs="Times New Roman"/>
          <w:color w:val="191919"/>
          <w:lang w:val="en-US"/>
        </w:rPr>
        <w:footnoteReference w:id="7"/>
      </w:r>
      <w:r w:rsidR="00BE5F3C">
        <w:rPr>
          <w:rFonts w:ascii="Times New Roman" w:hAnsi="Times New Roman" w:cs="Times New Roman"/>
        </w:rPr>
        <w:t xml:space="preserve"> </w:t>
      </w:r>
      <w:r w:rsidR="00A06227">
        <w:rPr>
          <w:rFonts w:ascii="Times New Roman" w:hAnsi="Times New Roman" w:cs="Times New Roman"/>
          <w:color w:val="191919"/>
          <w:lang w:val="en-US"/>
        </w:rPr>
        <w:t xml:space="preserve"> </w:t>
      </w:r>
      <w:r w:rsidR="000D046B" w:rsidRPr="00AD05DB">
        <w:rPr>
          <w:rFonts w:ascii="Times New Roman" w:hAnsi="Times New Roman" w:cs="Times New Roman"/>
        </w:rPr>
        <w:t xml:space="preserve">In </w:t>
      </w:r>
      <w:r w:rsidR="000D046B">
        <w:rPr>
          <w:rFonts w:ascii="Times New Roman" w:hAnsi="Times New Roman" w:cs="Times New Roman"/>
        </w:rPr>
        <w:t xml:space="preserve">Massachusetts in the early 1660s </w:t>
      </w:r>
      <w:r w:rsidR="000D046B" w:rsidRPr="00AD05DB">
        <w:rPr>
          <w:rFonts w:ascii="Times New Roman" w:hAnsi="Times New Roman" w:cs="Times New Roman"/>
        </w:rPr>
        <w:t>legal, religiou</w:t>
      </w:r>
      <w:r w:rsidR="000D046B">
        <w:rPr>
          <w:rFonts w:ascii="Times New Roman" w:hAnsi="Times New Roman" w:cs="Times New Roman"/>
        </w:rPr>
        <w:t xml:space="preserve">s and moral authority were </w:t>
      </w:r>
      <w:r w:rsidR="000D046B" w:rsidRPr="00AD05DB">
        <w:rPr>
          <w:rFonts w:ascii="Times New Roman" w:hAnsi="Times New Roman" w:cs="Times New Roman"/>
        </w:rPr>
        <w:t>unstable and c</w:t>
      </w:r>
      <w:r w:rsidR="000D046B">
        <w:rPr>
          <w:rFonts w:ascii="Times New Roman" w:hAnsi="Times New Roman" w:cs="Times New Roman"/>
        </w:rPr>
        <w:t>o</w:t>
      </w:r>
      <w:r w:rsidR="00BE5F3C">
        <w:rPr>
          <w:rFonts w:ascii="Times New Roman" w:hAnsi="Times New Roman" w:cs="Times New Roman"/>
        </w:rPr>
        <w:t>ntested even more than</w:t>
      </w:r>
      <w:r w:rsidR="000D046B">
        <w:rPr>
          <w:rFonts w:ascii="Times New Roman" w:hAnsi="Times New Roman" w:cs="Times New Roman"/>
        </w:rPr>
        <w:t xml:space="preserve"> in England,</w:t>
      </w:r>
      <w:r w:rsidR="000D046B" w:rsidRPr="00AD05DB">
        <w:rPr>
          <w:rFonts w:ascii="Times New Roman" w:hAnsi="Times New Roman" w:cs="Times New Roman"/>
        </w:rPr>
        <w:t xml:space="preserve"> and as a result religious leaders like Hooton had to manoeuvre </w:t>
      </w:r>
      <w:r w:rsidR="000D046B">
        <w:rPr>
          <w:rFonts w:ascii="Times New Roman" w:hAnsi="Times New Roman" w:cs="Times New Roman"/>
        </w:rPr>
        <w:t xml:space="preserve">nimbly </w:t>
      </w:r>
      <w:r w:rsidR="000D046B" w:rsidRPr="00AD05DB">
        <w:rPr>
          <w:rFonts w:ascii="Times New Roman" w:hAnsi="Times New Roman" w:cs="Times New Roman"/>
        </w:rPr>
        <w:t xml:space="preserve">and negotiate constantly </w:t>
      </w:r>
      <w:r w:rsidR="000D046B">
        <w:rPr>
          <w:rFonts w:ascii="Times New Roman" w:hAnsi="Times New Roman" w:cs="Times New Roman"/>
        </w:rPr>
        <w:t xml:space="preserve">in order </w:t>
      </w:r>
      <w:r w:rsidR="000D046B" w:rsidRPr="00AD05DB">
        <w:rPr>
          <w:rFonts w:ascii="Times New Roman" w:hAnsi="Times New Roman" w:cs="Times New Roman"/>
        </w:rPr>
        <w:t>to survive.</w:t>
      </w:r>
    </w:p>
    <w:p w14:paraId="2CF3546E" w14:textId="77B42AE8" w:rsidR="000D046B" w:rsidRDefault="000D046B" w:rsidP="005E5769">
      <w:pPr>
        <w:spacing w:line="480" w:lineRule="auto"/>
        <w:ind w:firstLine="720"/>
        <w:rPr>
          <w:rFonts w:ascii="Times New Roman" w:hAnsi="Times New Roman" w:cs="Times New Roman"/>
        </w:rPr>
      </w:pPr>
      <w:r>
        <w:rPr>
          <w:rFonts w:ascii="Times New Roman" w:hAnsi="Times New Roman" w:cs="Times New Roman"/>
        </w:rPr>
        <w:t>The Quakers provide Weimer a way to examine toleration and politic</w:t>
      </w:r>
      <w:r w:rsidR="00BE5F3C">
        <w:rPr>
          <w:rFonts w:ascii="Times New Roman" w:hAnsi="Times New Roman" w:cs="Times New Roman"/>
        </w:rPr>
        <w:t>s across Massachusetts</w:t>
      </w:r>
      <w:r>
        <w:rPr>
          <w:rFonts w:ascii="Times New Roman" w:hAnsi="Times New Roman" w:cs="Times New Roman"/>
        </w:rPr>
        <w:t xml:space="preserve">.  </w:t>
      </w:r>
      <w:r w:rsidR="001D7C6A">
        <w:rPr>
          <w:rFonts w:ascii="Times New Roman" w:hAnsi="Times New Roman" w:cs="Times New Roman"/>
        </w:rPr>
        <w:t>T</w:t>
      </w:r>
      <w:r>
        <w:rPr>
          <w:rFonts w:ascii="Times New Roman" w:hAnsi="Times New Roman" w:cs="Times New Roman"/>
        </w:rPr>
        <w:t xml:space="preserve">he unusual pattern of persecution the Quakers faced in Massachusetts </w:t>
      </w:r>
      <w:r w:rsidR="001D7C6A">
        <w:rPr>
          <w:rFonts w:ascii="Times New Roman" w:hAnsi="Times New Roman" w:cs="Times New Roman"/>
        </w:rPr>
        <w:t xml:space="preserve">also </w:t>
      </w:r>
      <w:r w:rsidR="00BE5F3C">
        <w:rPr>
          <w:rFonts w:ascii="Times New Roman" w:hAnsi="Times New Roman" w:cs="Times New Roman"/>
        </w:rPr>
        <w:t xml:space="preserve">open up for Weimer </w:t>
      </w:r>
      <w:r>
        <w:rPr>
          <w:rFonts w:ascii="Times New Roman" w:hAnsi="Times New Roman" w:cs="Times New Roman"/>
        </w:rPr>
        <w:t xml:space="preserve">dynamics within the </w:t>
      </w:r>
      <w:r w:rsidR="00BE5F3C">
        <w:rPr>
          <w:rFonts w:ascii="Times New Roman" w:hAnsi="Times New Roman" w:cs="Times New Roman"/>
        </w:rPr>
        <w:t>Religious Society of Friends</w:t>
      </w:r>
      <w:r>
        <w:rPr>
          <w:rFonts w:ascii="Times New Roman" w:hAnsi="Times New Roman" w:cs="Times New Roman"/>
        </w:rPr>
        <w:t xml:space="preserve">.  </w:t>
      </w:r>
      <w:r w:rsidRPr="00AD05DB">
        <w:rPr>
          <w:rFonts w:ascii="Times New Roman" w:hAnsi="Times New Roman" w:cs="Times New Roman"/>
        </w:rPr>
        <w:t xml:space="preserve">For generations scholars have identified distinct periods in Quaker history, </w:t>
      </w:r>
      <w:r>
        <w:rPr>
          <w:rFonts w:ascii="Times New Roman" w:hAnsi="Times New Roman" w:cs="Times New Roman"/>
        </w:rPr>
        <w:t>with</w:t>
      </w:r>
      <w:r w:rsidRPr="00AD05DB">
        <w:rPr>
          <w:rFonts w:ascii="Times New Roman" w:hAnsi="Times New Roman" w:cs="Times New Roman"/>
        </w:rPr>
        <w:t xml:space="preserve"> </w:t>
      </w:r>
      <w:r w:rsidR="00BE5F3C">
        <w:rPr>
          <w:rFonts w:ascii="Times New Roman" w:hAnsi="Times New Roman" w:cs="Times New Roman"/>
        </w:rPr>
        <w:t xml:space="preserve">an </w:t>
      </w:r>
      <w:r>
        <w:rPr>
          <w:rFonts w:ascii="Times New Roman" w:hAnsi="Times New Roman" w:cs="Times New Roman"/>
        </w:rPr>
        <w:t xml:space="preserve">early </w:t>
      </w:r>
      <w:r w:rsidR="00BE5F3C">
        <w:rPr>
          <w:rFonts w:ascii="Times New Roman" w:hAnsi="Times New Roman" w:cs="Times New Roman"/>
        </w:rPr>
        <w:t>period</w:t>
      </w:r>
      <w:r w:rsidRPr="00AD05DB">
        <w:rPr>
          <w:rFonts w:ascii="Times New Roman" w:hAnsi="Times New Roman" w:cs="Times New Roman"/>
        </w:rPr>
        <w:t xml:space="preserve"> of prophetic witness </w:t>
      </w:r>
      <w:r w:rsidR="001D7C6A">
        <w:rPr>
          <w:rFonts w:ascii="Times New Roman" w:hAnsi="Times New Roman" w:cs="Times New Roman"/>
        </w:rPr>
        <w:t>giving way</w:t>
      </w:r>
      <w:r w:rsidRPr="00AD05DB">
        <w:rPr>
          <w:rFonts w:ascii="Times New Roman" w:hAnsi="Times New Roman" w:cs="Times New Roman"/>
        </w:rPr>
        <w:t xml:space="preserve"> </w:t>
      </w:r>
      <w:r w:rsidR="00BE5F3C">
        <w:rPr>
          <w:rFonts w:ascii="Times New Roman" w:hAnsi="Times New Roman" w:cs="Times New Roman"/>
        </w:rPr>
        <w:t>a time</w:t>
      </w:r>
      <w:r w:rsidRPr="00AD05DB">
        <w:rPr>
          <w:rFonts w:ascii="Times New Roman" w:hAnsi="Times New Roman" w:cs="Times New Roman"/>
        </w:rPr>
        <w:t xml:space="preserve"> of pra</w:t>
      </w:r>
      <w:r w:rsidR="00BE5F3C">
        <w:rPr>
          <w:rFonts w:ascii="Times New Roman" w:hAnsi="Times New Roman" w:cs="Times New Roman"/>
        </w:rPr>
        <w:t>gmatic political engagement, which</w:t>
      </w:r>
      <w:r w:rsidRPr="00AD05DB">
        <w:rPr>
          <w:rFonts w:ascii="Times New Roman" w:hAnsi="Times New Roman" w:cs="Times New Roman"/>
        </w:rPr>
        <w:t xml:space="preserve"> </w:t>
      </w:r>
      <w:r w:rsidR="00BE5F3C">
        <w:rPr>
          <w:rFonts w:ascii="Times New Roman" w:hAnsi="Times New Roman" w:cs="Times New Roman"/>
        </w:rPr>
        <w:t xml:space="preserve">then </w:t>
      </w:r>
      <w:r w:rsidR="001D7C6A">
        <w:rPr>
          <w:rFonts w:ascii="Times New Roman" w:hAnsi="Times New Roman" w:cs="Times New Roman"/>
        </w:rPr>
        <w:t>eclipsed by</w:t>
      </w:r>
      <w:r w:rsidR="00BE5F3C">
        <w:rPr>
          <w:rFonts w:ascii="Times New Roman" w:hAnsi="Times New Roman" w:cs="Times New Roman"/>
        </w:rPr>
        <w:t xml:space="preserve"> an era of</w:t>
      </w:r>
      <w:r>
        <w:rPr>
          <w:rFonts w:ascii="Times New Roman" w:hAnsi="Times New Roman" w:cs="Times New Roman"/>
        </w:rPr>
        <w:t xml:space="preserve"> </w:t>
      </w:r>
      <w:r w:rsidRPr="00AD05DB">
        <w:rPr>
          <w:rFonts w:ascii="Times New Roman" w:hAnsi="Times New Roman" w:cs="Times New Roman"/>
        </w:rPr>
        <w:t xml:space="preserve">an inward-looking </w:t>
      </w:r>
      <w:r>
        <w:rPr>
          <w:rFonts w:ascii="Times New Roman" w:hAnsi="Times New Roman" w:cs="Times New Roman"/>
        </w:rPr>
        <w:t>withdrawal</w:t>
      </w:r>
      <w:r w:rsidRPr="00AD05DB">
        <w:rPr>
          <w:rFonts w:ascii="Times New Roman" w:hAnsi="Times New Roman" w:cs="Times New Roman"/>
        </w:rPr>
        <w:t xml:space="preserve"> from polit</w:t>
      </w:r>
      <w:r>
        <w:rPr>
          <w:rFonts w:ascii="Times New Roman" w:hAnsi="Times New Roman" w:cs="Times New Roman"/>
        </w:rPr>
        <w:t xml:space="preserve">ics.  According to one scheme the Restoration </w:t>
      </w:r>
      <w:r w:rsidR="001D7C6A">
        <w:rPr>
          <w:rFonts w:ascii="Times New Roman" w:hAnsi="Times New Roman" w:cs="Times New Roman"/>
        </w:rPr>
        <w:t xml:space="preserve">of Charles II </w:t>
      </w:r>
      <w:r>
        <w:rPr>
          <w:rFonts w:ascii="Times New Roman" w:hAnsi="Times New Roman" w:cs="Times New Roman"/>
        </w:rPr>
        <w:t>of was a turning point</w:t>
      </w:r>
      <w:r w:rsidR="00BE5F3C">
        <w:rPr>
          <w:rFonts w:ascii="Times New Roman" w:hAnsi="Times New Roman" w:cs="Times New Roman"/>
        </w:rPr>
        <w:t xml:space="preserve">, when </w:t>
      </w:r>
      <w:r w:rsidRPr="00AD05DB">
        <w:rPr>
          <w:rFonts w:ascii="Times New Roman" w:hAnsi="Times New Roman" w:cs="Times New Roman"/>
        </w:rPr>
        <w:t>the Quakers commit</w:t>
      </w:r>
      <w:r w:rsidR="00BE5F3C">
        <w:rPr>
          <w:rFonts w:ascii="Times New Roman" w:hAnsi="Times New Roman" w:cs="Times New Roman"/>
        </w:rPr>
        <w:t>ted</w:t>
      </w:r>
      <w:r w:rsidRPr="00AD05DB">
        <w:rPr>
          <w:rFonts w:ascii="Times New Roman" w:hAnsi="Times New Roman" w:cs="Times New Roman"/>
        </w:rPr>
        <w:t xml:space="preserve"> themselves to t</w:t>
      </w:r>
      <w:r w:rsidR="00BE5F3C">
        <w:rPr>
          <w:rFonts w:ascii="Times New Roman" w:hAnsi="Times New Roman" w:cs="Times New Roman"/>
        </w:rPr>
        <w:t>he peace testimony and promised</w:t>
      </w:r>
      <w:r w:rsidRPr="00AD05DB">
        <w:rPr>
          <w:rFonts w:ascii="Times New Roman" w:hAnsi="Times New Roman" w:cs="Times New Roman"/>
        </w:rPr>
        <w:t xml:space="preserve"> to play a less disruptive role in politics.</w:t>
      </w:r>
      <w:r w:rsidR="00AD09B0">
        <w:rPr>
          <w:rStyle w:val="FootnoteReference"/>
          <w:rFonts w:ascii="Times New Roman" w:hAnsi="Times New Roman" w:cs="Times New Roman"/>
          <w:color w:val="191919"/>
          <w:lang w:val="en-US"/>
        </w:rPr>
        <w:footnoteReference w:id="8"/>
      </w:r>
      <w:r w:rsidRPr="00AD05DB">
        <w:rPr>
          <w:rFonts w:ascii="Times New Roman" w:hAnsi="Times New Roman" w:cs="Times New Roman"/>
        </w:rPr>
        <w:t xml:space="preserve">  More recently scholars have emphasised the 1670s as another critical transition, when the Quakers started to operate more effectively in English imperial politics.  Weimer’s analysis of Hoot</w:t>
      </w:r>
      <w:r>
        <w:rPr>
          <w:rFonts w:ascii="Times New Roman" w:hAnsi="Times New Roman" w:cs="Times New Roman"/>
        </w:rPr>
        <w:t xml:space="preserve">on suggests not only that </w:t>
      </w:r>
      <w:r w:rsidRPr="00AD05DB">
        <w:rPr>
          <w:rFonts w:ascii="Times New Roman" w:hAnsi="Times New Roman" w:cs="Times New Roman"/>
        </w:rPr>
        <w:t xml:space="preserve">periods </w:t>
      </w:r>
      <w:r>
        <w:rPr>
          <w:rFonts w:ascii="Times New Roman" w:hAnsi="Times New Roman" w:cs="Times New Roman"/>
        </w:rPr>
        <w:t xml:space="preserve">of prophesy and politics </w:t>
      </w:r>
      <w:r w:rsidRPr="00AD05DB">
        <w:rPr>
          <w:rFonts w:ascii="Times New Roman" w:hAnsi="Times New Roman" w:cs="Times New Roman"/>
        </w:rPr>
        <w:t xml:space="preserve">overlapped, but perhaps that they were never distinct at all.  Prophetic Quaker witnesses like Mary Dyer, who dared the New England Puritans to kill her, lived contemporaneously with Quakers like </w:t>
      </w:r>
      <w:r>
        <w:rPr>
          <w:rFonts w:ascii="Times New Roman" w:hAnsi="Times New Roman" w:cs="Times New Roman"/>
        </w:rPr>
        <w:t xml:space="preserve">the politically attuned </w:t>
      </w:r>
      <w:r w:rsidRPr="00AD05DB">
        <w:rPr>
          <w:rFonts w:ascii="Times New Roman" w:hAnsi="Times New Roman" w:cs="Times New Roman"/>
        </w:rPr>
        <w:t>Edward Burrough</w:t>
      </w:r>
      <w:r>
        <w:rPr>
          <w:rFonts w:ascii="Times New Roman" w:hAnsi="Times New Roman" w:cs="Times New Roman"/>
        </w:rPr>
        <w:t>,</w:t>
      </w:r>
      <w:r w:rsidRPr="00AD05DB">
        <w:rPr>
          <w:rFonts w:ascii="Times New Roman" w:hAnsi="Times New Roman" w:cs="Times New Roman"/>
        </w:rPr>
        <w:t xml:space="preserve"> who advanced rationalist arguments in favour of toleration and positioned himself more as a citizen than a prophet.  Hooton, intriguingly, had much in common with both Dyer and Burrough.  During her battles </w:t>
      </w:r>
      <w:r w:rsidRPr="00AD05DB">
        <w:rPr>
          <w:rFonts w:ascii="Times New Roman" w:hAnsi="Times New Roman" w:cs="Times New Roman"/>
        </w:rPr>
        <w:lastRenderedPageBreak/>
        <w:t xml:space="preserve">and negotiations with the Massachusetts magistrates she alternated between prophetic and lawyerly modes, sometimes literally changing her clothes from dresses to sackcloth and back, one day at a time.  The Quakers’ prophetic stance did not wither away with the </w:t>
      </w:r>
      <w:r w:rsidR="00AD09B0">
        <w:rPr>
          <w:rFonts w:ascii="Times New Roman" w:hAnsi="Times New Roman" w:cs="Times New Roman"/>
        </w:rPr>
        <w:t>R</w:t>
      </w:r>
      <w:r w:rsidRPr="00AD05DB">
        <w:rPr>
          <w:rFonts w:ascii="Times New Roman" w:hAnsi="Times New Roman" w:cs="Times New Roman"/>
        </w:rPr>
        <w:t>estoration, nor did it expire with Dyer and her fellow martyrs.  On the contrary, through the eighteenth century and beyond, Quaker meetings contained would-be prophets, pragmatists</w:t>
      </w:r>
      <w:r>
        <w:rPr>
          <w:rFonts w:ascii="Times New Roman" w:hAnsi="Times New Roman" w:cs="Times New Roman"/>
        </w:rPr>
        <w:t>,</w:t>
      </w:r>
      <w:r w:rsidRPr="00AD05DB">
        <w:rPr>
          <w:rFonts w:ascii="Times New Roman" w:hAnsi="Times New Roman" w:cs="Times New Roman"/>
        </w:rPr>
        <w:t xml:space="preserve"> and quietists together.  Indeed, the impulses that scholars have sometimes assigned to distinct periods could </w:t>
      </w:r>
      <w:r>
        <w:rPr>
          <w:rFonts w:ascii="Times New Roman" w:hAnsi="Times New Roman" w:cs="Times New Roman"/>
        </w:rPr>
        <w:t>inspir</w:t>
      </w:r>
      <w:r w:rsidRPr="00AD05DB">
        <w:rPr>
          <w:rFonts w:ascii="Times New Roman" w:hAnsi="Times New Roman" w:cs="Times New Roman"/>
        </w:rPr>
        <w:t>e individuals like Hooton all at once.</w:t>
      </w:r>
      <w:r w:rsidR="00AD09B0">
        <w:rPr>
          <w:rFonts w:ascii="Times New Roman" w:hAnsi="Times New Roman" w:cs="Times New Roman"/>
        </w:rPr>
        <w:t xml:space="preserve">  </w:t>
      </w:r>
      <w:r>
        <w:rPr>
          <w:rFonts w:ascii="Times New Roman" w:hAnsi="Times New Roman" w:cs="Times New Roman"/>
        </w:rPr>
        <w:t xml:space="preserve">Seventeenth-century Quaker ministers generally adopted a responsive, “experimental” approach to religious life.  They saw political persecution as a test of their convictions but also as an opportunity to learn.  </w:t>
      </w:r>
      <w:r w:rsidR="00AD09B0">
        <w:rPr>
          <w:rFonts w:ascii="Times New Roman" w:hAnsi="Times New Roman" w:cs="Times New Roman"/>
        </w:rPr>
        <w:t>When f</w:t>
      </w:r>
      <w:r>
        <w:rPr>
          <w:rFonts w:ascii="Times New Roman" w:hAnsi="Times New Roman" w:cs="Times New Roman"/>
        </w:rPr>
        <w:t xml:space="preserve">aced with a challenge they had to be alert to the dynamics of the moment.  In some settings accepting martyrdom was appropriate, while in others it was not.  Hooton </w:t>
      </w:r>
      <w:r w:rsidR="00AD09B0">
        <w:rPr>
          <w:rFonts w:ascii="Times New Roman" w:hAnsi="Times New Roman" w:cs="Times New Roman"/>
        </w:rPr>
        <w:t xml:space="preserve">settled </w:t>
      </w:r>
      <w:r>
        <w:rPr>
          <w:rFonts w:ascii="Times New Roman" w:hAnsi="Times New Roman" w:cs="Times New Roman"/>
        </w:rPr>
        <w:t>in the short run</w:t>
      </w:r>
      <w:r w:rsidR="00AD09B0">
        <w:rPr>
          <w:rFonts w:ascii="Times New Roman" w:hAnsi="Times New Roman" w:cs="Times New Roman"/>
        </w:rPr>
        <w:t xml:space="preserve"> </w:t>
      </w:r>
      <w:r w:rsidRPr="00AD05DB">
        <w:rPr>
          <w:rFonts w:ascii="Times New Roman" w:hAnsi="Times New Roman" w:cs="Times New Roman"/>
        </w:rPr>
        <w:t>for a measure of toleration that guaranteed neithe</w:t>
      </w:r>
      <w:r>
        <w:rPr>
          <w:rFonts w:ascii="Times New Roman" w:hAnsi="Times New Roman" w:cs="Times New Roman"/>
        </w:rPr>
        <w:t>r the triumph of Quaker princip</w:t>
      </w:r>
      <w:r w:rsidRPr="00AD05DB">
        <w:rPr>
          <w:rFonts w:ascii="Times New Roman" w:hAnsi="Times New Roman" w:cs="Times New Roman"/>
        </w:rPr>
        <w:t>l</w:t>
      </w:r>
      <w:r>
        <w:rPr>
          <w:rFonts w:ascii="Times New Roman" w:hAnsi="Times New Roman" w:cs="Times New Roman"/>
        </w:rPr>
        <w:t>e</w:t>
      </w:r>
      <w:r w:rsidRPr="00AD05DB">
        <w:rPr>
          <w:rFonts w:ascii="Times New Roman" w:hAnsi="Times New Roman" w:cs="Times New Roman"/>
        </w:rPr>
        <w:t xml:space="preserve">s nor liberty of conscience in any abstract, general, philosophically consistent sense.  </w:t>
      </w:r>
    </w:p>
    <w:p w14:paraId="271B660F" w14:textId="5DC2A8FF" w:rsidR="003875E5" w:rsidRDefault="003875E5" w:rsidP="005E5769">
      <w:pPr>
        <w:spacing w:line="480" w:lineRule="auto"/>
        <w:ind w:firstLine="720"/>
      </w:pPr>
      <w:r>
        <w:t xml:space="preserve">Benjamin Carp’s essay, like Weimer’s, studies Quakers in a trying environment, but the Quakers in colonial South Carolina faced a different kind of test.  He examines three Quaker merchants, Samuel Rowland Fisher, William Dillwyn, and Joseph Atkinson, each of whom came to South Carolina from afar.  Though they were all committed Quakers when they arrived, and they all tried to settle in South Carolina, two of them eventually left the colony, and the one who remained left Quakerism.  By considering the experiences and commentary of these men, Carp is able to examine South Carolina from the perspective of people who were initially, to paraphrase Atkinson, neither edified nor entertained by the purported the delights of the place.  Their comments and reactions tell us </w:t>
      </w:r>
      <w:r>
        <w:lastRenderedPageBreak/>
        <w:t xml:space="preserve">much about the limits of the white colonists’ social inclusiveness.  Charleston’s merchants and civic leaders generally prided themselves on their politeness, civility, and “gentle demeanour.”  This last attribute was particularly important to them in that it demonstrated that they were ready to exchange ideas and goods with strangers, and that they were active participants in an increasingly cosmopolitan commercial world.  Unwilling to suspend moral judgment, Quaker merchants like Fisher shunned “disagreeable company.”  They refused to dress or speak like their “polished” neighbours, and in short they seemed obstinate and rude.  Faced with such Quakers, the polite people of Charleston did not simply exclude them from their company.  On the contrary, they often charmed, or depending on your perspective, seduced them with hospitality.  As a result, many of the Quakers who came to Charleston slid away, as Dillwyn observed, “into conformity with their neighbours.”  Others responded more creatively, like the slave trader Zephania Kingsley Jr., who disregarded many of the Quakers’ moral strictures but retained a fondness for silent Quaker meetings.   Not coincidentally, in the nineteenth century Kingsley took an idiosyncratic stance in the debate over the morality of slaveholding.  His contribution to those discussions reflected a continuing openness in South Carolina society that was a legacy of its colonial-era cosmopolitanism.   </w:t>
      </w:r>
    </w:p>
    <w:p w14:paraId="74679936" w14:textId="220E64AD" w:rsidR="000D046B" w:rsidRDefault="000D046B" w:rsidP="003875E5">
      <w:pPr>
        <w:spacing w:line="480" w:lineRule="auto"/>
        <w:ind w:firstLine="720"/>
        <w:rPr>
          <w:rFonts w:ascii="SegoeUI" w:hAnsi="SegoeUI" w:cs="SegoeUI"/>
          <w:color w:val="191919"/>
          <w:sz w:val="26"/>
          <w:szCs w:val="26"/>
          <w:lang w:val="en-US"/>
        </w:rPr>
      </w:pPr>
      <w:r>
        <w:rPr>
          <w:rFonts w:ascii="SegoeUI" w:hAnsi="SegoeUI" w:cs="SegoeUI"/>
          <w:color w:val="191919"/>
          <w:sz w:val="26"/>
          <w:szCs w:val="26"/>
          <w:lang w:val="en-US"/>
        </w:rPr>
        <w:t xml:space="preserve">At the same time, however, the debate over slavery debate revealed South Carolina’s </w:t>
      </w:r>
      <w:r w:rsidR="003875E5">
        <w:rPr>
          <w:rFonts w:ascii="SegoeUI" w:hAnsi="SegoeUI" w:cs="SegoeUI"/>
          <w:color w:val="191919"/>
          <w:sz w:val="26"/>
          <w:szCs w:val="26"/>
          <w:lang w:val="en-US"/>
        </w:rPr>
        <w:t>resistance to currents affecting other parts of the world</w:t>
      </w:r>
      <w:r>
        <w:rPr>
          <w:rFonts w:ascii="SegoeUI" w:hAnsi="SegoeUI" w:cs="SegoeUI"/>
          <w:color w:val="191919"/>
          <w:sz w:val="26"/>
          <w:szCs w:val="26"/>
          <w:lang w:val="en-US"/>
        </w:rPr>
        <w:t xml:space="preserve">.  Like many other outsiders, Quaker travelers to </w:t>
      </w:r>
      <w:r w:rsidR="003875E5">
        <w:rPr>
          <w:rFonts w:ascii="SegoeUI" w:hAnsi="SegoeUI" w:cs="SegoeUI"/>
          <w:color w:val="191919"/>
          <w:sz w:val="26"/>
          <w:szCs w:val="26"/>
          <w:lang w:val="en-US"/>
        </w:rPr>
        <w:t>the colony</w:t>
      </w:r>
      <w:r>
        <w:rPr>
          <w:rFonts w:ascii="SegoeUI" w:hAnsi="SegoeUI" w:cs="SegoeUI"/>
          <w:color w:val="191919"/>
          <w:sz w:val="26"/>
          <w:szCs w:val="26"/>
          <w:lang w:val="en-US"/>
        </w:rPr>
        <w:t xml:space="preserve"> were struck by </w:t>
      </w:r>
      <w:r w:rsidR="003875E5">
        <w:rPr>
          <w:rFonts w:ascii="SegoeUI" w:hAnsi="SegoeUI" w:cs="SegoeUI"/>
          <w:color w:val="191919"/>
          <w:sz w:val="26"/>
          <w:szCs w:val="26"/>
          <w:lang w:val="en-US"/>
        </w:rPr>
        <w:t>its</w:t>
      </w:r>
      <w:r>
        <w:rPr>
          <w:rFonts w:ascii="SegoeUI" w:hAnsi="SegoeUI" w:cs="SegoeUI"/>
          <w:color w:val="191919"/>
          <w:sz w:val="26"/>
          <w:szCs w:val="26"/>
          <w:lang w:val="en-US"/>
        </w:rPr>
        <w:t xml:space="preserve"> large black presence.  Many were dismayed by what they saw, and </w:t>
      </w:r>
      <w:r w:rsidR="003875E5">
        <w:rPr>
          <w:rFonts w:ascii="SegoeUI" w:hAnsi="SegoeUI" w:cs="SegoeUI"/>
          <w:color w:val="191919"/>
          <w:sz w:val="26"/>
          <w:szCs w:val="26"/>
          <w:lang w:val="en-US"/>
        </w:rPr>
        <w:t xml:space="preserve">they </w:t>
      </w:r>
      <w:r>
        <w:rPr>
          <w:rFonts w:ascii="SegoeUI" w:hAnsi="SegoeUI" w:cs="SegoeUI"/>
          <w:color w:val="191919"/>
          <w:sz w:val="26"/>
          <w:szCs w:val="26"/>
          <w:lang w:val="en-US"/>
        </w:rPr>
        <w:t xml:space="preserve">privately expressed concern that slavery had corrupted South Carolina’s </w:t>
      </w:r>
      <w:r>
        <w:rPr>
          <w:rFonts w:ascii="SegoeUI" w:hAnsi="SegoeUI" w:cs="SegoeUI"/>
          <w:color w:val="191919"/>
          <w:sz w:val="26"/>
          <w:szCs w:val="26"/>
          <w:lang w:val="en-US"/>
        </w:rPr>
        <w:lastRenderedPageBreak/>
        <w:t xml:space="preserve">white society.  This sentiment was shared by Quakers like Dillwyn who maintained an egalitarian outlook and others like Fisher who had at best an ambivalent reaction when he found himself in the presence of large numbers of blacks.   Regardless of their ultimate views on race, Quaker observers recognized slavery’s formative role in shaping South Carolina’s white culture, and they knew that if they were to join the colony’s elite they would have to accommodate themselves to a social structure and value system made possible by slaveholding.  </w:t>
      </w:r>
    </w:p>
    <w:p w14:paraId="456D9119" w14:textId="6F3F8C56" w:rsidR="000D046B" w:rsidRDefault="000D046B" w:rsidP="000D046B">
      <w:pPr>
        <w:spacing w:line="480" w:lineRule="auto"/>
        <w:ind w:firstLine="720"/>
      </w:pPr>
      <w:r>
        <w:rPr>
          <w:rFonts w:ascii="SegoeUI" w:hAnsi="SegoeUI" w:cs="SegoeUI"/>
          <w:color w:val="191919"/>
          <w:sz w:val="26"/>
          <w:szCs w:val="26"/>
          <w:lang w:val="en-US"/>
        </w:rPr>
        <w:t xml:space="preserve">Sophia Hume </w:t>
      </w:r>
      <w:r>
        <w:t xml:space="preserve">was one of the most celebrated moral reformers among the Quakers in the eighteenth century, but her South Carolina upbringing and her fear of slave rebellion led her to argue against the distribution of abolitionist literature in the colony.  The great Quaker abolitionist Anthony Benezet respected Hume, and in an unusual concession to her South Carolina sensibility, when he sent her reform literature for distribution in the colony he censored himself and omitted any reference to the immorality of the slave trade or slaveholding.   </w:t>
      </w:r>
      <w:r>
        <w:rPr>
          <w:rFonts w:ascii="SegoeUI" w:hAnsi="SegoeUI" w:cs="SegoeUI"/>
          <w:color w:val="191919"/>
          <w:sz w:val="26"/>
          <w:szCs w:val="26"/>
          <w:lang w:val="en-US"/>
        </w:rPr>
        <w:t xml:space="preserve">Since the 1750s, Quakers elsewhere in the British Empire had defined themselves as vocal opponents of </w:t>
      </w:r>
      <w:r w:rsidR="003875E5">
        <w:rPr>
          <w:rFonts w:ascii="SegoeUI" w:hAnsi="SegoeUI" w:cs="SegoeUI"/>
          <w:color w:val="191919"/>
          <w:sz w:val="26"/>
          <w:szCs w:val="26"/>
          <w:lang w:val="en-US"/>
        </w:rPr>
        <w:t xml:space="preserve">the </w:t>
      </w:r>
      <w:r>
        <w:rPr>
          <w:rFonts w:ascii="SegoeUI" w:hAnsi="SegoeUI" w:cs="SegoeUI"/>
          <w:color w:val="191919"/>
          <w:sz w:val="26"/>
          <w:szCs w:val="26"/>
          <w:lang w:val="en-US"/>
        </w:rPr>
        <w:t>slave</w:t>
      </w:r>
      <w:r w:rsidR="003875E5">
        <w:rPr>
          <w:rFonts w:ascii="SegoeUI" w:hAnsi="SegoeUI" w:cs="SegoeUI"/>
          <w:color w:val="191919"/>
          <w:sz w:val="26"/>
          <w:szCs w:val="26"/>
          <w:lang w:val="en-US"/>
        </w:rPr>
        <w:t xml:space="preserve"> trade</w:t>
      </w:r>
      <w:r>
        <w:rPr>
          <w:rFonts w:ascii="SegoeUI" w:hAnsi="SegoeUI" w:cs="SegoeUI"/>
          <w:color w:val="191919"/>
          <w:sz w:val="26"/>
          <w:szCs w:val="26"/>
          <w:lang w:val="en-US"/>
        </w:rPr>
        <w:t xml:space="preserve">, but at least through the 1760s they made an exception for South Carolina.  </w:t>
      </w:r>
      <w:r w:rsidR="003F6597">
        <w:rPr>
          <w:rFonts w:ascii="SegoeUI" w:hAnsi="SegoeUI" w:cs="SegoeUI"/>
          <w:color w:val="191919"/>
          <w:sz w:val="26"/>
          <w:szCs w:val="26"/>
          <w:lang w:val="en-US"/>
        </w:rPr>
        <w:t xml:space="preserve">William Dillwyn, one of the </w:t>
      </w:r>
      <w:r>
        <w:t xml:space="preserve">merchants Carp studies, became an abolitionist, but he took a public stand only after leaving South Carolina </w:t>
      </w:r>
      <w:r w:rsidR="003F6597">
        <w:t xml:space="preserve">permanently </w:t>
      </w:r>
      <w:r>
        <w:t xml:space="preserve">for England.  </w:t>
      </w:r>
    </w:p>
    <w:p w14:paraId="176435E4" w14:textId="7E259C06" w:rsidR="000D046B" w:rsidRDefault="000D046B" w:rsidP="000D046B">
      <w:pPr>
        <w:spacing w:line="480" w:lineRule="auto"/>
        <w:ind w:firstLine="720"/>
      </w:pPr>
      <w:r>
        <w:t xml:space="preserve">Benezet and Dillwyn recognized the limits of their freedom of action when they refrained from engaging in antislavery activism in South Carolina.  Neither man was silenced, but they chose to speak in places where they were likely to be heard.  Like Hooton in Massachusetts, they worked within </w:t>
      </w:r>
      <w:r>
        <w:lastRenderedPageBreak/>
        <w:t>constraints imposed upon them by their political circumstances, and also like Hooton, they took advantage of their transatlantic connections to mobilize influence from a</w:t>
      </w:r>
      <w:r w:rsidR="003F6597">
        <w:t xml:space="preserve"> distance</w:t>
      </w:r>
      <w:r>
        <w:t xml:space="preserve">.   This pattern of behaviour continued among antislavery Quakers through the Revolutionary era.  In </w:t>
      </w:r>
      <w:r w:rsidR="003F6597">
        <w:t>the last of the essays in this forum,</w:t>
      </w:r>
      <w:r>
        <w:t xml:space="preserve">, Nicholas P. Wood shows how the Quakers’ opposition to slavery was modulated in response to changes in the political climate in different jurisdictions.  Antislavery Quakers were both principled and pragmatic.  With an eye toward positive outcomes, they were sometimes ready to defy authority, but more often they exploited legal opportunities to exert influence.  </w:t>
      </w:r>
    </w:p>
    <w:p w14:paraId="7A741C14" w14:textId="227834FB" w:rsidR="000D046B" w:rsidRPr="00DD2E33" w:rsidRDefault="000D046B" w:rsidP="000D046B">
      <w:pPr>
        <w:spacing w:line="480" w:lineRule="auto"/>
        <w:ind w:firstLine="720"/>
        <w:rPr>
          <w:rFonts w:ascii="Times New Roman" w:hAnsi="Times New Roman" w:cs="Times New Roman"/>
        </w:rPr>
      </w:pPr>
      <w:r w:rsidRPr="00DD2E33">
        <w:rPr>
          <w:rFonts w:ascii="Times New Roman" w:hAnsi="Times New Roman" w:cs="Times New Roman"/>
        </w:rPr>
        <w:t xml:space="preserve">Before the American Revolution most of North Carolina’s Quaker slaveholders refused to free their slaves because colonial statutes forbade them from doing so, and so the slaves they tried to manumit could be re-enslaved under worse circumstances.  Eventually, however, some Quakers chose to break the law, not only by freeing their slaves but also by physically helping them escape North Carolina.  In 1782, for example, Caleb Trueblood helped transport a man and a woman out of the state.  Trueblood was a lawbreaker, but like Hooton more than a century earlier, he was also ready to operate through formal political channels.   He and other members of the Quakers’ “North Carolina Standing Committee” hired expensive lawyers to argue for the rights of fugitives </w:t>
      </w:r>
      <w:r>
        <w:rPr>
          <w:rFonts w:ascii="Times New Roman" w:hAnsi="Times New Roman" w:cs="Times New Roman"/>
        </w:rPr>
        <w:t xml:space="preserve">from slavery </w:t>
      </w:r>
      <w:r w:rsidRPr="00DD2E33">
        <w:rPr>
          <w:rFonts w:ascii="Times New Roman" w:hAnsi="Times New Roman" w:cs="Times New Roman"/>
        </w:rPr>
        <w:t xml:space="preserve">and “dark-complexioned citizens” in general.  </w:t>
      </w:r>
      <w:r>
        <w:rPr>
          <w:rFonts w:ascii="Times New Roman" w:hAnsi="Times New Roman" w:cs="Times New Roman"/>
        </w:rPr>
        <w:t>They</w:t>
      </w:r>
      <w:r w:rsidRPr="00DD2E33">
        <w:rPr>
          <w:rFonts w:ascii="Times New Roman" w:hAnsi="Times New Roman" w:cs="Times New Roman"/>
        </w:rPr>
        <w:t xml:space="preserve"> corresponded with their counterparts in Philadelphia</w:t>
      </w:r>
      <w:r w:rsidR="003F6597">
        <w:rPr>
          <w:rFonts w:ascii="Times New Roman" w:hAnsi="Times New Roman" w:cs="Times New Roman"/>
        </w:rPr>
        <w:t>, and t</w:t>
      </w:r>
      <w:r w:rsidRPr="00DD2E33">
        <w:rPr>
          <w:rFonts w:ascii="Times New Roman" w:hAnsi="Times New Roman" w:cs="Times New Roman"/>
        </w:rPr>
        <w:t>he P</w:t>
      </w:r>
      <w:r w:rsidR="003F6597">
        <w:rPr>
          <w:rFonts w:ascii="Times New Roman" w:hAnsi="Times New Roman" w:cs="Times New Roman"/>
        </w:rPr>
        <w:t>hiladelph</w:t>
      </w:r>
      <w:r w:rsidRPr="00DD2E33">
        <w:rPr>
          <w:rFonts w:ascii="Times New Roman" w:hAnsi="Times New Roman" w:cs="Times New Roman"/>
        </w:rPr>
        <w:t>ia Quakers sen</w:t>
      </w:r>
      <w:r>
        <w:rPr>
          <w:rFonts w:ascii="Times New Roman" w:hAnsi="Times New Roman" w:cs="Times New Roman"/>
        </w:rPr>
        <w:t>t them</w:t>
      </w:r>
      <w:r w:rsidRPr="00DD2E33">
        <w:rPr>
          <w:rFonts w:ascii="Times New Roman" w:hAnsi="Times New Roman" w:cs="Times New Roman"/>
        </w:rPr>
        <w:t xml:space="preserve"> antislavery tracts</w:t>
      </w:r>
      <w:r w:rsidR="003F6597">
        <w:rPr>
          <w:rFonts w:ascii="Times New Roman" w:hAnsi="Times New Roman" w:cs="Times New Roman"/>
        </w:rPr>
        <w:t>.  T</w:t>
      </w:r>
      <w:r w:rsidRPr="00DD2E33">
        <w:rPr>
          <w:rFonts w:ascii="Times New Roman" w:hAnsi="Times New Roman" w:cs="Times New Roman"/>
        </w:rPr>
        <w:t>he North Carolina Quakers</w:t>
      </w:r>
      <w:r>
        <w:rPr>
          <w:rFonts w:ascii="Times New Roman" w:hAnsi="Times New Roman" w:cs="Times New Roman"/>
        </w:rPr>
        <w:t xml:space="preserve"> eventually</w:t>
      </w:r>
      <w:r w:rsidRPr="00DD2E33">
        <w:rPr>
          <w:rFonts w:ascii="Times New Roman" w:hAnsi="Times New Roman" w:cs="Times New Roman"/>
        </w:rPr>
        <w:t xml:space="preserve"> reciprocating with legal arguments against the recapture of fugitive and former slaves.  The northward migration of manumitted and escaped slaves made</w:t>
      </w:r>
      <w:r>
        <w:rPr>
          <w:rFonts w:ascii="Times New Roman" w:hAnsi="Times New Roman" w:cs="Times New Roman"/>
        </w:rPr>
        <w:t xml:space="preserve"> this</w:t>
      </w:r>
      <w:r w:rsidRPr="00DD2E33">
        <w:rPr>
          <w:rFonts w:ascii="Times New Roman" w:hAnsi="Times New Roman" w:cs="Times New Roman"/>
        </w:rPr>
        <w:t xml:space="preserve"> consultation urgent.   Job</w:t>
      </w:r>
      <w:r w:rsidR="00D6619B">
        <w:rPr>
          <w:rFonts w:ascii="Times New Roman" w:hAnsi="Times New Roman" w:cs="Times New Roman"/>
        </w:rPr>
        <w:t xml:space="preserve"> Albert</w:t>
      </w:r>
      <w:r w:rsidRPr="00DD2E33">
        <w:rPr>
          <w:rFonts w:ascii="Times New Roman" w:hAnsi="Times New Roman" w:cs="Times New Roman"/>
        </w:rPr>
        <w:t xml:space="preserve">, Jacob Nicholson, Jupiter Nicholson and Thomas Pritchet, were part of the </w:t>
      </w:r>
      <w:r w:rsidR="003F6597">
        <w:rPr>
          <w:rFonts w:ascii="Times New Roman" w:hAnsi="Times New Roman" w:cs="Times New Roman"/>
        </w:rPr>
        <w:t xml:space="preserve">revolutionary-era </w:t>
      </w:r>
      <w:r w:rsidRPr="00DD2E33">
        <w:rPr>
          <w:rFonts w:ascii="Times New Roman" w:hAnsi="Times New Roman" w:cs="Times New Roman"/>
        </w:rPr>
        <w:t xml:space="preserve">migrant flow from North Carolina to </w:t>
      </w:r>
      <w:r w:rsidRPr="00DD2E33">
        <w:rPr>
          <w:rFonts w:ascii="Times New Roman" w:hAnsi="Times New Roman" w:cs="Times New Roman"/>
        </w:rPr>
        <w:lastRenderedPageBreak/>
        <w:t xml:space="preserve">Pennsylvania.  In 1797, in consultation with Quakers, </w:t>
      </w:r>
      <w:r w:rsidR="00D6619B">
        <w:rPr>
          <w:rFonts w:ascii="Times New Roman" w:hAnsi="Times New Roman" w:cs="Times New Roman"/>
        </w:rPr>
        <w:t>Albert</w:t>
      </w:r>
      <w:r w:rsidRPr="00DD2E33">
        <w:rPr>
          <w:rFonts w:ascii="Times New Roman" w:hAnsi="Times New Roman" w:cs="Times New Roman"/>
        </w:rPr>
        <w:t xml:space="preserve">, Nicholson, Nicholson and Pritchet petitioned Congress to protect their freedom. </w:t>
      </w:r>
      <w:r>
        <w:rPr>
          <w:rFonts w:ascii="Times New Roman" w:hAnsi="Times New Roman" w:cs="Times New Roman"/>
        </w:rPr>
        <w:t xml:space="preserve"> Though they did not get the Fugitive Slave Act of 1793 repealed, they eventually received a hearing and congressional recognition that they were citizens of the United States.</w:t>
      </w:r>
    </w:p>
    <w:p w14:paraId="53662A91" w14:textId="7C0DC7C4" w:rsidR="000D046B" w:rsidRPr="00DD2E33" w:rsidRDefault="000D046B" w:rsidP="000D046B">
      <w:pPr>
        <w:spacing w:line="480" w:lineRule="auto"/>
        <w:ind w:firstLine="720"/>
        <w:rPr>
          <w:rFonts w:ascii="Times New Roman" w:hAnsi="Times New Roman" w:cs="Times New Roman"/>
        </w:rPr>
      </w:pPr>
      <w:r w:rsidRPr="00DD2E33">
        <w:rPr>
          <w:rFonts w:ascii="Times New Roman" w:hAnsi="Times New Roman" w:cs="Times New Roman"/>
        </w:rPr>
        <w:t>The</w:t>
      </w:r>
      <w:r>
        <w:rPr>
          <w:rFonts w:ascii="Times New Roman" w:hAnsi="Times New Roman" w:cs="Times New Roman"/>
        </w:rPr>
        <w:t>se</w:t>
      </w:r>
      <w:r w:rsidRPr="00DD2E33">
        <w:rPr>
          <w:rFonts w:ascii="Times New Roman" w:hAnsi="Times New Roman" w:cs="Times New Roman"/>
        </w:rPr>
        <w:t xml:space="preserve"> were the first black petitioners to Congress, and by tracing their lives and work Wood reveals how intimately they were connected to the Quakers.  When drafting and arranging delivery of their </w:t>
      </w:r>
      <w:r>
        <w:rPr>
          <w:rFonts w:ascii="Times New Roman" w:hAnsi="Times New Roman" w:cs="Times New Roman"/>
        </w:rPr>
        <w:t>petition</w:t>
      </w:r>
      <w:r w:rsidRPr="00DD2E33">
        <w:rPr>
          <w:rFonts w:ascii="Times New Roman" w:hAnsi="Times New Roman" w:cs="Times New Roman"/>
        </w:rPr>
        <w:t xml:space="preserve"> they called in assistance from a network of Quakers and lawyers who had previously sued the state of North Carolina over the application of its anti-manumission laws.  Through lawsuits and petitions, an interracial coalition of advocates for black freedom had developed, and together these men and women advanced some of the most sophisticated constitutional arguments available at the time.  They interrogated the legal impact of the Declaration of Independence, the meaning of citizenship, the retrospective application of laws, the relationship between state and federal government, and</w:t>
      </w:r>
      <w:r>
        <w:rPr>
          <w:rFonts w:ascii="Times New Roman" w:hAnsi="Times New Roman" w:cs="Times New Roman"/>
        </w:rPr>
        <w:t>—</w:t>
      </w:r>
      <w:r w:rsidRPr="00DD2E33">
        <w:rPr>
          <w:rFonts w:ascii="Times New Roman" w:hAnsi="Times New Roman" w:cs="Times New Roman"/>
        </w:rPr>
        <w:t>within both levels of government</w:t>
      </w:r>
      <w:r>
        <w:rPr>
          <w:rFonts w:ascii="Times New Roman" w:hAnsi="Times New Roman" w:cs="Times New Roman"/>
        </w:rPr>
        <w:t>—</w:t>
      </w:r>
      <w:r w:rsidRPr="00DD2E33">
        <w:rPr>
          <w:rFonts w:ascii="Times New Roman" w:hAnsi="Times New Roman" w:cs="Times New Roman"/>
        </w:rPr>
        <w:t xml:space="preserve">the deference </w:t>
      </w:r>
      <w:r>
        <w:rPr>
          <w:rFonts w:ascii="Times New Roman" w:hAnsi="Times New Roman" w:cs="Times New Roman"/>
        </w:rPr>
        <w:t>the legislature owed</w:t>
      </w:r>
      <w:r w:rsidRPr="00DD2E33">
        <w:rPr>
          <w:rFonts w:ascii="Times New Roman" w:hAnsi="Times New Roman" w:cs="Times New Roman"/>
        </w:rPr>
        <w:t xml:space="preserve"> the judiciary</w:t>
      </w:r>
      <w:r>
        <w:rPr>
          <w:rFonts w:ascii="Times New Roman" w:hAnsi="Times New Roman" w:cs="Times New Roman"/>
        </w:rPr>
        <w:t>, and vice versa</w:t>
      </w:r>
      <w:r w:rsidRPr="00DD2E33">
        <w:rPr>
          <w:rFonts w:ascii="Times New Roman" w:hAnsi="Times New Roman" w:cs="Times New Roman"/>
        </w:rPr>
        <w:t>.  Quakers played an indispensible role in these efforts, and so too did</w:t>
      </w:r>
      <w:r w:rsidR="00D6619B">
        <w:rPr>
          <w:rFonts w:ascii="Times New Roman" w:hAnsi="Times New Roman" w:cs="Times New Roman"/>
        </w:rPr>
        <w:t xml:space="preserve"> Albert</w:t>
      </w:r>
      <w:r w:rsidRPr="00DD2E33">
        <w:rPr>
          <w:rFonts w:ascii="Times New Roman" w:hAnsi="Times New Roman" w:cs="Times New Roman"/>
        </w:rPr>
        <w:t>, Nicholson, Nicholson, Pritchet and other black petitioners.</w:t>
      </w:r>
    </w:p>
    <w:p w14:paraId="117BEDE5" w14:textId="4CFB84B0" w:rsidR="000D046B" w:rsidRPr="00DD2E33" w:rsidRDefault="000D046B" w:rsidP="000D046B">
      <w:pPr>
        <w:spacing w:line="480" w:lineRule="auto"/>
        <w:ind w:firstLine="720"/>
        <w:rPr>
          <w:rFonts w:ascii="Times New Roman" w:hAnsi="Times New Roman" w:cs="Times New Roman"/>
        </w:rPr>
      </w:pPr>
      <w:r w:rsidRPr="00DD2E33">
        <w:rPr>
          <w:rFonts w:ascii="Times New Roman" w:hAnsi="Times New Roman" w:cs="Times New Roman"/>
        </w:rPr>
        <w:t>In addition to providing new insight into the mobilization of political influence on questions of race and slavery in the revolutionary era, Wood’s article also tells us much about emancipation as a lived experience in the days of gradual abolition.  Many, if not most, of the members of the North Carolina Standing Committee were slaveholders.  T</w:t>
      </w:r>
      <w:r w:rsidR="00D6619B">
        <w:rPr>
          <w:rFonts w:ascii="Times New Roman" w:hAnsi="Times New Roman" w:cs="Times New Roman"/>
        </w:rPr>
        <w:t>homas Nicholson, a prominent figure in the committee</w:t>
      </w:r>
      <w:r w:rsidRPr="00DD2E33">
        <w:rPr>
          <w:rFonts w:ascii="Times New Roman" w:hAnsi="Times New Roman" w:cs="Times New Roman"/>
        </w:rPr>
        <w:t xml:space="preserve"> died a slaveholder because he delayed emancipating his slaves until they had reached the age of 21.  While many Quakers may have felt remorse over their former behaviour as masters, after they embraced the project of emancipation they still thought that </w:t>
      </w:r>
      <w:r w:rsidRPr="00DD2E33">
        <w:rPr>
          <w:rFonts w:ascii="Times New Roman" w:hAnsi="Times New Roman" w:cs="Times New Roman"/>
        </w:rPr>
        <w:lastRenderedPageBreak/>
        <w:t xml:space="preserve">delaying manumission would benefit young slaves.  With what they believed were benevolent intentions, they also </w:t>
      </w:r>
      <w:r w:rsidR="0069242F">
        <w:rPr>
          <w:rFonts w:ascii="Times New Roman" w:hAnsi="Times New Roman" w:cs="Times New Roman"/>
        </w:rPr>
        <w:t>plann</w:t>
      </w:r>
      <w:r w:rsidRPr="00DD2E33">
        <w:rPr>
          <w:rFonts w:ascii="Times New Roman" w:hAnsi="Times New Roman" w:cs="Times New Roman"/>
        </w:rPr>
        <w:t xml:space="preserve">ed to maintain close relations with former slaves after they had been legally freed.  This impulse led some to hire runaways, open schools for former slaves, host weddings for them, worship with them, and assist them in petitioning congress.  </w:t>
      </w:r>
      <w:r>
        <w:rPr>
          <w:rFonts w:ascii="Times New Roman" w:hAnsi="Times New Roman" w:cs="Times New Roman"/>
        </w:rPr>
        <w:t xml:space="preserve">Wood has identified an important, underappreciated strand of interracial activism in the 1790s, but it is important to keep in mind that, at least when viewed from the perspective of Quakers, that activism did not stand in simple opposition to slavery.  On the contrary, most Quakers continued to advocate temporary, benevolent slaveholding. </w:t>
      </w:r>
    </w:p>
    <w:p w14:paraId="11A7B20A" w14:textId="32C936AC" w:rsidR="0043567F" w:rsidRPr="005E5769" w:rsidRDefault="0069242F">
      <w:pPr>
        <w:spacing w:line="480" w:lineRule="auto"/>
        <w:ind w:firstLine="720"/>
        <w:rPr>
          <w:rFonts w:ascii="Times New Roman" w:hAnsi="Times New Roman" w:cs="Times New Roman"/>
        </w:rPr>
      </w:pPr>
      <w:r>
        <w:rPr>
          <w:rFonts w:ascii="Times New Roman" w:hAnsi="Times New Roman" w:cs="Times New Roman"/>
        </w:rPr>
        <w:t xml:space="preserve">While elucidating the complex mix of voices that produced the 1797 petition to Congress, Wood argues strongly against earlier approaches that sought to attribute that document to one or another distinct set of authors. The petition was not simply the work of lawyers, African Americans, or repentant Quaker slaveholders.  People fitting those descriptions, along with others, participated in the exchanges of information and the debate that made the </w:t>
      </w:r>
      <w:r w:rsidR="00133C45">
        <w:rPr>
          <w:rFonts w:ascii="Times New Roman" w:hAnsi="Times New Roman" w:cs="Times New Roman"/>
        </w:rPr>
        <w:t>petition possible.  Likewise</w:t>
      </w:r>
      <w:r>
        <w:rPr>
          <w:rFonts w:ascii="Times New Roman" w:hAnsi="Times New Roman" w:cs="Times New Roman"/>
        </w:rPr>
        <w:t xml:space="preserve">, Quakers were intimately connected to the entire project of gradual emancipation, but they were not the sole authors of that program. </w:t>
      </w:r>
      <w:r w:rsidR="00133C45">
        <w:rPr>
          <w:rFonts w:ascii="Times New Roman" w:hAnsi="Times New Roman" w:cs="Times New Roman"/>
        </w:rPr>
        <w:t xml:space="preserve"> </w:t>
      </w:r>
      <w:r>
        <w:rPr>
          <w:rFonts w:ascii="Times New Roman" w:hAnsi="Times New Roman" w:cs="Times New Roman"/>
        </w:rPr>
        <w:t>Something similar might be said about religious tolerati</w:t>
      </w:r>
      <w:r w:rsidR="00D714ED">
        <w:rPr>
          <w:rFonts w:ascii="Times New Roman" w:hAnsi="Times New Roman" w:cs="Times New Roman"/>
        </w:rPr>
        <w:t xml:space="preserve">on in </w:t>
      </w:r>
      <w:r w:rsidR="00133C45">
        <w:rPr>
          <w:rFonts w:ascii="Times New Roman" w:hAnsi="Times New Roman" w:cs="Times New Roman"/>
        </w:rPr>
        <w:t xml:space="preserve">colonial </w:t>
      </w:r>
      <w:r w:rsidR="00D714ED">
        <w:rPr>
          <w:rFonts w:ascii="Times New Roman" w:hAnsi="Times New Roman" w:cs="Times New Roman"/>
        </w:rPr>
        <w:t>Massachusetts and</w:t>
      </w:r>
      <w:r>
        <w:rPr>
          <w:rFonts w:ascii="Times New Roman" w:hAnsi="Times New Roman" w:cs="Times New Roman"/>
        </w:rPr>
        <w:t xml:space="preserve"> the culture of cosmopolitanism in </w:t>
      </w:r>
      <w:r w:rsidR="00133C45">
        <w:rPr>
          <w:rFonts w:ascii="Times New Roman" w:hAnsi="Times New Roman" w:cs="Times New Roman"/>
        </w:rPr>
        <w:t xml:space="preserve">colonial </w:t>
      </w:r>
      <w:r>
        <w:rPr>
          <w:rFonts w:ascii="Times New Roman" w:hAnsi="Times New Roman" w:cs="Times New Roman"/>
        </w:rPr>
        <w:t xml:space="preserve">South Carolina.  To fully appreciate the value of studying Quakers, we need to move beyond any impulse to assign them unique credit or blame.  </w:t>
      </w:r>
      <w:r w:rsidR="000D046B" w:rsidRPr="00DD2E33">
        <w:rPr>
          <w:rFonts w:ascii="Times New Roman" w:hAnsi="Times New Roman" w:cs="Times New Roman"/>
        </w:rPr>
        <w:t>Among some historians and present-day members of the Society of Friends there is an impulse to sanctify the most prominent of the early Quakers, to suggest that these men and women stood apart from their neighbours and bore witness against the evils of their day.  In academic writing</w:t>
      </w:r>
      <w:r w:rsidR="000D046B">
        <w:rPr>
          <w:rFonts w:ascii="Times New Roman" w:hAnsi="Times New Roman" w:cs="Times New Roman"/>
        </w:rPr>
        <w:t>,</w:t>
      </w:r>
      <w:r w:rsidR="000D046B" w:rsidRPr="00DD2E33">
        <w:rPr>
          <w:rFonts w:ascii="Times New Roman" w:hAnsi="Times New Roman" w:cs="Times New Roman"/>
        </w:rPr>
        <w:t xml:space="preserve"> few historians assert openly that the best of the early Quakers</w:t>
      </w:r>
      <w:r w:rsidR="00B66227">
        <w:rPr>
          <w:rFonts w:ascii="Times New Roman" w:hAnsi="Times New Roman" w:cs="Times New Roman"/>
        </w:rPr>
        <w:t xml:space="preserve"> spoke timeless truths, but som</w:t>
      </w:r>
      <w:r w:rsidR="00D714ED">
        <w:rPr>
          <w:rFonts w:ascii="Times New Roman" w:hAnsi="Times New Roman" w:cs="Times New Roman"/>
        </w:rPr>
        <w:t>e</w:t>
      </w:r>
      <w:r w:rsidR="000D046B" w:rsidRPr="00DD2E33">
        <w:rPr>
          <w:rFonts w:ascii="Times New Roman" w:hAnsi="Times New Roman" w:cs="Times New Roman"/>
        </w:rPr>
        <w:t xml:space="preserve"> come close when they declare that </w:t>
      </w:r>
      <w:r w:rsidR="00B66227">
        <w:rPr>
          <w:rFonts w:ascii="Times New Roman" w:hAnsi="Times New Roman" w:cs="Times New Roman"/>
        </w:rPr>
        <w:t xml:space="preserve">Quakers </w:t>
      </w:r>
      <w:r w:rsidR="000D046B" w:rsidRPr="00DD2E33">
        <w:rPr>
          <w:rFonts w:ascii="Times New Roman" w:hAnsi="Times New Roman" w:cs="Times New Roman"/>
        </w:rPr>
        <w:t xml:space="preserve">were </w:t>
      </w:r>
      <w:r w:rsidR="000D046B" w:rsidRPr="00DD2E33">
        <w:rPr>
          <w:rFonts w:ascii="Times New Roman" w:hAnsi="Times New Roman" w:cs="Times New Roman"/>
        </w:rPr>
        <w:lastRenderedPageBreak/>
        <w:t>“ahead of their time.”</w:t>
      </w:r>
      <w:r w:rsidR="00940431">
        <w:rPr>
          <w:rStyle w:val="FootnoteReference"/>
          <w:rFonts w:ascii="Times New Roman" w:hAnsi="Times New Roman" w:cs="Times New Roman"/>
          <w:color w:val="191919"/>
          <w:lang w:val="en-US"/>
        </w:rPr>
        <w:footnoteReference w:id="9"/>
      </w:r>
      <w:r w:rsidR="006C5A7F">
        <w:rPr>
          <w:rFonts w:ascii="Times New Roman" w:hAnsi="Times New Roman" w:cs="Times New Roman"/>
          <w:color w:val="191919"/>
          <w:lang w:val="en-US"/>
        </w:rPr>
        <w:t xml:space="preserve"> </w:t>
      </w:r>
      <w:r w:rsidR="000D046B">
        <w:rPr>
          <w:rFonts w:ascii="Times New Roman" w:hAnsi="Times New Roman" w:cs="Times New Roman"/>
          <w:color w:val="191919"/>
          <w:lang w:val="en-US"/>
        </w:rPr>
        <w:t xml:space="preserve"> </w:t>
      </w:r>
      <w:r w:rsidR="0043567F" w:rsidRPr="005E5769">
        <w:rPr>
          <w:rFonts w:ascii="Times New Roman" w:hAnsi="Times New Roman" w:cs="Times New Roman"/>
        </w:rPr>
        <w:t>Weimer, Carp</w:t>
      </w:r>
      <w:r w:rsidR="00A12CDA">
        <w:rPr>
          <w:rFonts w:ascii="Times New Roman" w:hAnsi="Times New Roman" w:cs="Times New Roman"/>
        </w:rPr>
        <w:t>,</w:t>
      </w:r>
      <w:r w:rsidR="0043567F" w:rsidRPr="005E5769">
        <w:rPr>
          <w:rFonts w:ascii="Times New Roman" w:hAnsi="Times New Roman" w:cs="Times New Roman"/>
        </w:rPr>
        <w:t xml:space="preserve"> and Wood</w:t>
      </w:r>
      <w:r w:rsidR="000D046B">
        <w:rPr>
          <w:rFonts w:ascii="Times New Roman" w:hAnsi="Times New Roman" w:cs="Times New Roman"/>
        </w:rPr>
        <w:t>, by contrast,</w:t>
      </w:r>
      <w:r w:rsidR="0043567F" w:rsidRPr="005E5769">
        <w:rPr>
          <w:rFonts w:ascii="Times New Roman" w:hAnsi="Times New Roman" w:cs="Times New Roman"/>
        </w:rPr>
        <w:t xml:space="preserve"> </w:t>
      </w:r>
      <w:r w:rsidR="000D046B">
        <w:rPr>
          <w:rFonts w:ascii="Times New Roman" w:hAnsi="Times New Roman" w:cs="Times New Roman"/>
        </w:rPr>
        <w:t>situate</w:t>
      </w:r>
      <w:r w:rsidR="0043567F" w:rsidRPr="005E5769">
        <w:rPr>
          <w:rFonts w:ascii="Times New Roman" w:hAnsi="Times New Roman" w:cs="Times New Roman"/>
        </w:rPr>
        <w:t xml:space="preserve"> the </w:t>
      </w:r>
      <w:r w:rsidR="000D046B">
        <w:rPr>
          <w:rFonts w:ascii="Times New Roman" w:hAnsi="Times New Roman" w:cs="Times New Roman"/>
        </w:rPr>
        <w:t>Quakers they study close</w:t>
      </w:r>
      <w:r w:rsidR="00B66227">
        <w:rPr>
          <w:rFonts w:ascii="Times New Roman" w:hAnsi="Times New Roman" w:cs="Times New Roman"/>
        </w:rPr>
        <w:t>ly within their contemporary</w:t>
      </w:r>
      <w:r w:rsidR="000D046B">
        <w:rPr>
          <w:rFonts w:ascii="Times New Roman" w:hAnsi="Times New Roman" w:cs="Times New Roman"/>
        </w:rPr>
        <w:t xml:space="preserve"> social contexts.  </w:t>
      </w:r>
      <w:r w:rsidR="0043567F" w:rsidRPr="005E5769">
        <w:rPr>
          <w:rFonts w:ascii="Times New Roman" w:hAnsi="Times New Roman" w:cs="Times New Roman"/>
        </w:rPr>
        <w:t xml:space="preserve">By recognizing differences among the Quakers and by closely examining tacit alliances between Friends and royal commissioners, slaveholding merchants, </w:t>
      </w:r>
      <w:r w:rsidR="00D714ED">
        <w:rPr>
          <w:rFonts w:ascii="Times New Roman" w:hAnsi="Times New Roman" w:cs="Times New Roman"/>
        </w:rPr>
        <w:t xml:space="preserve">slaves and former slaves, </w:t>
      </w:r>
      <w:r w:rsidR="0043567F" w:rsidRPr="005E5769">
        <w:rPr>
          <w:rFonts w:ascii="Times New Roman" w:hAnsi="Times New Roman" w:cs="Times New Roman"/>
        </w:rPr>
        <w:t xml:space="preserve">lawyers and congressmen, these historians demonstrate how, for better or worse, </w:t>
      </w:r>
      <w:r w:rsidR="00B66227">
        <w:rPr>
          <w:rFonts w:ascii="Times New Roman" w:hAnsi="Times New Roman" w:cs="Times New Roman"/>
        </w:rPr>
        <w:t>Quakers</w:t>
      </w:r>
      <w:r w:rsidR="0043567F" w:rsidRPr="005E5769">
        <w:rPr>
          <w:rFonts w:ascii="Times New Roman" w:hAnsi="Times New Roman" w:cs="Times New Roman"/>
        </w:rPr>
        <w:t xml:space="preserve"> became complicit and powerful actors in several morally flawed societies. </w:t>
      </w:r>
      <w:r w:rsidR="000D046B">
        <w:rPr>
          <w:rFonts w:ascii="Times New Roman" w:hAnsi="Times New Roman" w:cs="Times New Roman"/>
        </w:rPr>
        <w:t xml:space="preserve"> We need this kind of study in order to </w:t>
      </w:r>
      <w:r>
        <w:rPr>
          <w:rFonts w:ascii="Times New Roman" w:hAnsi="Times New Roman" w:cs="Times New Roman"/>
        </w:rPr>
        <w:t xml:space="preserve">better </w:t>
      </w:r>
      <w:r w:rsidR="000D046B">
        <w:rPr>
          <w:rFonts w:ascii="Times New Roman" w:hAnsi="Times New Roman" w:cs="Times New Roman"/>
        </w:rPr>
        <w:t>understand the history of Quakerism, but more importantly</w:t>
      </w:r>
      <w:r w:rsidR="00B66227">
        <w:rPr>
          <w:rFonts w:ascii="Times New Roman" w:hAnsi="Times New Roman" w:cs="Times New Roman"/>
        </w:rPr>
        <w:t xml:space="preserve"> in order to appreciate what Quaker history</w:t>
      </w:r>
      <w:r w:rsidR="000D046B">
        <w:rPr>
          <w:rFonts w:ascii="Times New Roman" w:hAnsi="Times New Roman" w:cs="Times New Roman"/>
        </w:rPr>
        <w:t xml:space="preserve"> can tell us about </w:t>
      </w:r>
      <w:r w:rsidR="00B66227">
        <w:rPr>
          <w:rFonts w:ascii="Times New Roman" w:hAnsi="Times New Roman" w:cs="Times New Roman"/>
        </w:rPr>
        <w:t>the wider</w:t>
      </w:r>
      <w:r w:rsidR="000D046B">
        <w:rPr>
          <w:rFonts w:ascii="Times New Roman" w:hAnsi="Times New Roman" w:cs="Times New Roman"/>
        </w:rPr>
        <w:t xml:space="preserve"> world. </w:t>
      </w:r>
      <w:r w:rsidR="0023567B">
        <w:rPr>
          <w:rFonts w:ascii="Times New Roman" w:hAnsi="Times New Roman" w:cs="Times New Roman"/>
        </w:rPr>
        <w:t xml:space="preserve"> Quakers were political players</w:t>
      </w:r>
      <w:r w:rsidR="00B66227">
        <w:rPr>
          <w:rFonts w:ascii="Times New Roman" w:hAnsi="Times New Roman" w:cs="Times New Roman"/>
        </w:rPr>
        <w:t xml:space="preserve">.  They </w:t>
      </w:r>
      <w:r>
        <w:rPr>
          <w:rFonts w:ascii="Times New Roman" w:hAnsi="Times New Roman" w:cs="Times New Roman"/>
        </w:rPr>
        <w:t>could be opportunistic,</w:t>
      </w:r>
      <w:r w:rsidR="00B66227">
        <w:rPr>
          <w:rFonts w:ascii="Times New Roman" w:hAnsi="Times New Roman" w:cs="Times New Roman"/>
        </w:rPr>
        <w:t xml:space="preserve"> guilt-ridden</w:t>
      </w:r>
      <w:r>
        <w:rPr>
          <w:rFonts w:ascii="Times New Roman" w:hAnsi="Times New Roman" w:cs="Times New Roman"/>
        </w:rPr>
        <w:t>, manipulative</w:t>
      </w:r>
      <w:r w:rsidR="0023567B">
        <w:rPr>
          <w:rFonts w:ascii="Times New Roman" w:hAnsi="Times New Roman" w:cs="Times New Roman"/>
        </w:rPr>
        <w:t xml:space="preserve"> inquisitive</w:t>
      </w:r>
      <w:r>
        <w:rPr>
          <w:rFonts w:ascii="Times New Roman" w:hAnsi="Times New Roman" w:cs="Times New Roman"/>
        </w:rPr>
        <w:t>, and</w:t>
      </w:r>
      <w:r w:rsidR="0023567B">
        <w:rPr>
          <w:rFonts w:ascii="Times New Roman" w:hAnsi="Times New Roman" w:cs="Times New Roman"/>
        </w:rPr>
        <w:t xml:space="preserve"> judgmental</w:t>
      </w:r>
      <w:r>
        <w:rPr>
          <w:rFonts w:ascii="Times New Roman" w:hAnsi="Times New Roman" w:cs="Times New Roman"/>
        </w:rPr>
        <w:t>.</w:t>
      </w:r>
      <w:r w:rsidR="00B66227">
        <w:rPr>
          <w:rFonts w:ascii="Times New Roman" w:hAnsi="Times New Roman" w:cs="Times New Roman"/>
        </w:rPr>
        <w:t xml:space="preserve"> </w:t>
      </w:r>
      <w:r>
        <w:rPr>
          <w:rFonts w:ascii="Times New Roman" w:hAnsi="Times New Roman" w:cs="Times New Roman"/>
        </w:rPr>
        <w:t xml:space="preserve"> They were often</w:t>
      </w:r>
      <w:r w:rsidR="00B66227">
        <w:rPr>
          <w:rFonts w:ascii="Times New Roman" w:hAnsi="Times New Roman" w:cs="Times New Roman"/>
        </w:rPr>
        <w:t xml:space="preserve"> articulate.  B</w:t>
      </w:r>
      <w:r w:rsidR="0023567B">
        <w:rPr>
          <w:rFonts w:ascii="Times New Roman" w:hAnsi="Times New Roman" w:cs="Times New Roman"/>
        </w:rPr>
        <w:t xml:space="preserve">y studying them in context we can learn a great deal about the British Empire and the </w:t>
      </w:r>
      <w:r w:rsidR="00D714ED">
        <w:rPr>
          <w:rFonts w:ascii="Times New Roman" w:hAnsi="Times New Roman" w:cs="Times New Roman"/>
        </w:rPr>
        <w:t xml:space="preserve">early years of the </w:t>
      </w:r>
      <w:r w:rsidR="0023567B">
        <w:rPr>
          <w:rFonts w:ascii="Times New Roman" w:hAnsi="Times New Roman" w:cs="Times New Roman"/>
        </w:rPr>
        <w:t>United States.</w:t>
      </w:r>
    </w:p>
    <w:p w14:paraId="0532A133" w14:textId="1CD77B73" w:rsidR="00AD05DB" w:rsidRPr="00B35999" w:rsidRDefault="00AD05DB" w:rsidP="0043567F">
      <w:pPr>
        <w:spacing w:line="480" w:lineRule="auto"/>
        <w:ind w:firstLine="720"/>
        <w:rPr>
          <w:rFonts w:ascii="Times New Roman" w:hAnsi="Times New Roman" w:cs="Times New Roman"/>
        </w:rPr>
      </w:pPr>
    </w:p>
    <w:sectPr w:rsidR="00AD05DB" w:rsidRPr="00B35999" w:rsidSect="008144B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60C84" w14:textId="77777777" w:rsidR="00EB2ECC" w:rsidRDefault="00EB2ECC" w:rsidP="00062F72">
      <w:r>
        <w:separator/>
      </w:r>
    </w:p>
  </w:endnote>
  <w:endnote w:type="continuationSeparator" w:id="0">
    <w:p w14:paraId="3AF71BA1" w14:textId="77777777" w:rsidR="00EB2ECC" w:rsidRDefault="00EB2ECC" w:rsidP="0006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egoeUI">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7EC8" w14:textId="77777777" w:rsidR="00EB2ECC" w:rsidRDefault="00EB2ECC" w:rsidP="00062F72">
      <w:r>
        <w:separator/>
      </w:r>
    </w:p>
  </w:footnote>
  <w:footnote w:type="continuationSeparator" w:id="0">
    <w:p w14:paraId="063B3159" w14:textId="77777777" w:rsidR="00EB2ECC" w:rsidRDefault="00EB2ECC" w:rsidP="00062F72">
      <w:r>
        <w:continuationSeparator/>
      </w:r>
    </w:p>
  </w:footnote>
  <w:footnote w:id="1">
    <w:p w14:paraId="3AB91450" w14:textId="4E802F69" w:rsidR="00EB2ECC" w:rsidRPr="005E5769" w:rsidRDefault="00EB2ECC" w:rsidP="005E5769">
      <w:pPr>
        <w:pStyle w:val="EndnoteText"/>
        <w:rPr>
          <w:rFonts w:ascii="Times New Roman" w:hAnsi="Times New Roman" w:cs="Times New Roman"/>
          <w:lang w:val="en-US"/>
        </w:rPr>
      </w:pPr>
      <w:r>
        <w:rPr>
          <w:rStyle w:val="FootnoteReference"/>
        </w:rPr>
        <w:footnoteRef/>
      </w:r>
      <w:r>
        <w:t xml:space="preserve"> </w:t>
      </w:r>
      <w:r w:rsidRPr="00AD05DB">
        <w:rPr>
          <w:rFonts w:ascii="Times New Roman" w:hAnsi="Times New Roman" w:cs="Times New Roman"/>
          <w:lang w:val="en-US"/>
        </w:rPr>
        <w:t xml:space="preserve">For the origins of Quakerism in Britain see </w:t>
      </w:r>
      <w:r w:rsidRPr="00AD05DB">
        <w:rPr>
          <w:rFonts w:ascii="Times New Roman" w:hAnsi="Times New Roman" w:cs="Times New Roman"/>
          <w:color w:val="000000" w:themeColor="text1"/>
        </w:rPr>
        <w:t xml:space="preserve">Rosemary Moore, </w:t>
      </w:r>
      <w:r w:rsidRPr="00AD05DB">
        <w:rPr>
          <w:rFonts w:ascii="Times New Roman" w:hAnsi="Times New Roman" w:cs="Times New Roman"/>
          <w:i/>
          <w:color w:val="000000" w:themeColor="text1"/>
        </w:rPr>
        <w:t>A Light in their Consciences</w:t>
      </w:r>
      <w:r w:rsidRPr="00AD05DB">
        <w:rPr>
          <w:rFonts w:ascii="Times New Roman" w:hAnsi="Times New Roman" w:cs="Times New Roman"/>
          <w:color w:val="000000" w:themeColor="text1"/>
        </w:rPr>
        <w:t xml:space="preserve">: </w:t>
      </w:r>
      <w:r w:rsidRPr="00AD05DB">
        <w:rPr>
          <w:rFonts w:ascii="Times New Roman" w:hAnsi="Times New Roman" w:cs="Times New Roman"/>
          <w:i/>
          <w:color w:val="000000" w:themeColor="text1"/>
        </w:rPr>
        <w:t>Early Quakers in Britain, 1646-1666</w:t>
      </w:r>
      <w:r w:rsidRPr="00AD05DB">
        <w:rPr>
          <w:rFonts w:ascii="Times New Roman" w:hAnsi="Times New Roman" w:cs="Times New Roman"/>
          <w:color w:val="000000" w:themeColor="text1"/>
        </w:rPr>
        <w:t xml:space="preserve"> (University Park: Pennsylvania State University Press, 2000).  See also Stephen W. Angell and Pink Dandelion, eds., </w:t>
      </w:r>
      <w:r w:rsidRPr="00AD05DB">
        <w:rPr>
          <w:rFonts w:ascii="Times New Roman" w:hAnsi="Times New Roman" w:cs="Times New Roman"/>
          <w:i/>
          <w:color w:val="000000" w:themeColor="text1"/>
        </w:rPr>
        <w:t>Early Quakers and their Theological Thought, 1647-1723</w:t>
      </w:r>
      <w:r w:rsidRPr="00AD05DB">
        <w:rPr>
          <w:rFonts w:ascii="Times New Roman" w:hAnsi="Times New Roman" w:cs="Times New Roman"/>
          <w:color w:val="000000" w:themeColor="text1"/>
        </w:rPr>
        <w:t xml:space="preserve"> (Cambridge: Cambridge University Press, 2015).  For an overview of the history of Quakerism in America see Thomas D. Hamm, </w:t>
      </w:r>
      <w:r w:rsidRPr="00AD05DB">
        <w:rPr>
          <w:rFonts w:ascii="Times New Roman" w:hAnsi="Times New Roman" w:cs="Times New Roman"/>
          <w:i/>
          <w:color w:val="000000" w:themeColor="text1"/>
        </w:rPr>
        <w:t>The Quakers in America</w:t>
      </w:r>
      <w:r w:rsidRPr="00AD05DB">
        <w:rPr>
          <w:rFonts w:ascii="Times New Roman" w:hAnsi="Times New Roman" w:cs="Times New Roman"/>
          <w:color w:val="000000" w:themeColor="text1"/>
        </w:rPr>
        <w:t xml:space="preserve"> (New York: Columbia University Press, 2006).</w:t>
      </w:r>
    </w:p>
  </w:footnote>
  <w:footnote w:id="2">
    <w:p w14:paraId="2994251A" w14:textId="20E5D66E" w:rsidR="00EB2ECC" w:rsidRDefault="00EB2ECC">
      <w:pPr>
        <w:pStyle w:val="FootnoteText"/>
      </w:pPr>
      <w:r>
        <w:rPr>
          <w:rStyle w:val="FootnoteReference"/>
        </w:rPr>
        <w:footnoteRef/>
      </w:r>
      <w:r>
        <w:t xml:space="preserve"> </w:t>
      </w:r>
      <w:r w:rsidRPr="00AD05DB">
        <w:rPr>
          <w:rFonts w:ascii="Times New Roman" w:hAnsi="Times New Roman" w:cs="Times New Roman"/>
          <w:lang w:val="en-US"/>
        </w:rPr>
        <w:t xml:space="preserve">On women within Quaker meetings see </w:t>
      </w:r>
      <w:r w:rsidRPr="00AD05DB">
        <w:rPr>
          <w:rFonts w:ascii="Times New Roman" w:hAnsi="Times New Roman" w:cs="Times New Roman"/>
        </w:rPr>
        <w:t xml:space="preserve">Rebecca Larsen, </w:t>
      </w:r>
      <w:r w:rsidRPr="00AD05DB">
        <w:rPr>
          <w:rFonts w:ascii="Times New Roman" w:hAnsi="Times New Roman" w:cs="Times New Roman"/>
          <w:i/>
        </w:rPr>
        <w:t>Daughters of Light: Quaker Women Preaching and Prophesying in the Colonies and Abroad, 1700-1775</w:t>
      </w:r>
      <w:r w:rsidRPr="00AD05DB">
        <w:rPr>
          <w:rFonts w:ascii="Times New Roman" w:hAnsi="Times New Roman" w:cs="Times New Roman"/>
        </w:rPr>
        <w:t xml:space="preserve"> (New York: Knopf, 1999).  On Quakers and Native Americans see Daniel K. Richter, “Land and Words,” in Richter, </w:t>
      </w:r>
      <w:r w:rsidRPr="00AD05DB">
        <w:rPr>
          <w:rFonts w:ascii="Times New Roman" w:hAnsi="Times New Roman" w:cs="Times New Roman"/>
          <w:i/>
        </w:rPr>
        <w:t>Trade, Land, Power: The Struggle for Eastern North America</w:t>
      </w:r>
      <w:r w:rsidRPr="00AD05DB">
        <w:rPr>
          <w:rFonts w:ascii="Times New Roman" w:hAnsi="Times New Roman" w:cs="Times New Roman"/>
        </w:rPr>
        <w:t xml:space="preserve"> (Philadelphia: University of Pennsylvania Press, 2013), 135-54.</w:t>
      </w:r>
      <w:r w:rsidRPr="00AD05DB">
        <w:rPr>
          <w:rFonts w:ascii="Times New Roman" w:hAnsi="Times New Roman" w:cs="Times New Roman"/>
          <w:lang w:val="en-US"/>
        </w:rPr>
        <w:t xml:space="preserve">  But see also Dawn G. Marsh, </w:t>
      </w:r>
      <w:r w:rsidRPr="00AD05DB">
        <w:rPr>
          <w:rFonts w:ascii="Times New Roman" w:hAnsi="Times New Roman" w:cs="Times New Roman"/>
          <w:i/>
          <w:lang w:val="en-US"/>
        </w:rPr>
        <w:t>A Lenape Among the Quakers: The Life of Hannah Freeman</w:t>
      </w:r>
      <w:r w:rsidRPr="00AD05DB">
        <w:rPr>
          <w:rFonts w:ascii="Times New Roman" w:hAnsi="Times New Roman" w:cs="Times New Roman"/>
          <w:lang w:val="en-US"/>
        </w:rPr>
        <w:t xml:space="preserve"> (Lincoln: University of Nebraska Press, 2014). On Quakers and slavery see Brycchan Carey, </w:t>
      </w:r>
      <w:r w:rsidRPr="00AD05DB">
        <w:rPr>
          <w:rFonts w:ascii="Times New Roman" w:hAnsi="Times New Roman" w:cs="Times New Roman"/>
          <w:i/>
          <w:lang w:val="en-US"/>
        </w:rPr>
        <w:t>From Peace to Freedom: Quaker Rhetoric and the Birth of American Antislavery</w:t>
      </w:r>
      <w:r w:rsidRPr="00AD05DB">
        <w:rPr>
          <w:rFonts w:ascii="Times New Roman" w:hAnsi="Times New Roman" w:cs="Times New Roman"/>
          <w:lang w:val="en-US"/>
        </w:rPr>
        <w:t xml:space="preserve"> (New Haven, Conn.: Yale University Press, 2012); Brycchan Carey and Geoffrey Plank, eds., </w:t>
      </w:r>
      <w:r w:rsidRPr="00AD05DB">
        <w:rPr>
          <w:rFonts w:ascii="Times New Roman" w:hAnsi="Times New Roman" w:cs="Times New Roman"/>
          <w:i/>
          <w:lang w:val="en-US"/>
        </w:rPr>
        <w:t>Quakers and Abolition</w:t>
      </w:r>
      <w:r w:rsidRPr="00AD05DB">
        <w:rPr>
          <w:rFonts w:ascii="Times New Roman" w:hAnsi="Times New Roman" w:cs="Times New Roman"/>
          <w:lang w:val="en-US"/>
        </w:rPr>
        <w:t xml:space="preserve"> (Urbana: University of Illinois Press, 2014).</w:t>
      </w:r>
    </w:p>
  </w:footnote>
  <w:footnote w:id="3">
    <w:p w14:paraId="3075EDAC" w14:textId="6C432BF7" w:rsidR="00EB2ECC" w:rsidRDefault="00EB2ECC">
      <w:pPr>
        <w:pStyle w:val="FootnoteText"/>
      </w:pPr>
      <w:r>
        <w:rPr>
          <w:rStyle w:val="FootnoteReference"/>
        </w:rPr>
        <w:footnoteRef/>
      </w:r>
      <w:r>
        <w:t xml:space="preserve"> </w:t>
      </w:r>
      <w:r w:rsidRPr="00AD05DB">
        <w:rPr>
          <w:rFonts w:ascii="Times New Roman" w:hAnsi="Times New Roman" w:cs="Times New Roman"/>
          <w:lang w:val="en-US"/>
        </w:rPr>
        <w:t>For early wide-ranging controversy see Geoffrey Plank, “</w:t>
      </w:r>
      <w:r w:rsidRPr="00AD05DB">
        <w:rPr>
          <w:rFonts w:ascii="Times New Roman" w:eastAsiaTheme="minorHAnsi" w:hAnsi="Times New Roman" w:cs="Times New Roman"/>
        </w:rPr>
        <w:t xml:space="preserve">Discipline and Divinity: Colonial Quakerism, Christianity, and ‘Heathenism’ in the Seventeenth Century,” </w:t>
      </w:r>
      <w:r w:rsidRPr="00AD05DB">
        <w:rPr>
          <w:rFonts w:ascii="Times New Roman" w:eastAsiaTheme="minorHAnsi" w:hAnsi="Times New Roman" w:cs="Times New Roman"/>
          <w:i/>
        </w:rPr>
        <w:t>Church History</w:t>
      </w:r>
      <w:r w:rsidRPr="00AD05DB">
        <w:rPr>
          <w:rFonts w:ascii="Times New Roman" w:eastAsiaTheme="minorHAnsi" w:hAnsi="Times New Roman" w:cs="Times New Roman"/>
        </w:rPr>
        <w:t xml:space="preserve"> 85</w:t>
      </w:r>
      <w:r>
        <w:rPr>
          <w:rFonts w:ascii="Times New Roman" w:eastAsiaTheme="minorHAnsi" w:hAnsi="Times New Roman" w:cs="Times New Roman"/>
        </w:rPr>
        <w:t>:3</w:t>
      </w:r>
      <w:r w:rsidRPr="00AD05DB">
        <w:rPr>
          <w:rFonts w:ascii="Times New Roman" w:eastAsiaTheme="minorHAnsi" w:hAnsi="Times New Roman" w:cs="Times New Roman"/>
        </w:rPr>
        <w:t xml:space="preserve"> (September 2016) </w:t>
      </w:r>
      <w:r>
        <w:rPr>
          <w:rFonts w:ascii="Times New Roman" w:eastAsiaTheme="minorHAnsi" w:hAnsi="Times New Roman" w:cs="Times New Roman"/>
        </w:rPr>
        <w:t>1-27</w:t>
      </w:r>
      <w:r w:rsidRPr="00AD05DB">
        <w:rPr>
          <w:rFonts w:ascii="Times New Roman" w:eastAsiaTheme="minorHAnsi" w:hAnsi="Times New Roman" w:cs="Times New Roman"/>
        </w:rPr>
        <w:t>.</w:t>
      </w:r>
    </w:p>
  </w:footnote>
  <w:footnote w:id="4">
    <w:p w14:paraId="7A8E5D40" w14:textId="047B39ED" w:rsidR="00EB2ECC" w:rsidRPr="005E5769" w:rsidRDefault="00EB2ECC" w:rsidP="005E5769">
      <w:pPr>
        <w:rPr>
          <w:rFonts w:ascii="Times New Roman" w:hAnsi="Times New Roman" w:cs="Times New Roman"/>
        </w:rPr>
      </w:pPr>
      <w:r>
        <w:rPr>
          <w:rStyle w:val="FootnoteReference"/>
        </w:rPr>
        <w:footnoteRef/>
      </w:r>
      <w:r>
        <w:t xml:space="preserve"> </w:t>
      </w:r>
      <w:r w:rsidRPr="00AD05DB">
        <w:rPr>
          <w:rFonts w:ascii="Times New Roman" w:hAnsi="Times New Roman" w:cs="Times New Roman"/>
        </w:rPr>
        <w:t xml:space="preserve">See Jordan Landes, </w:t>
      </w:r>
      <w:r w:rsidRPr="00AD05DB">
        <w:rPr>
          <w:rFonts w:ascii="Times New Roman" w:hAnsi="Times New Roman" w:cs="Times New Roman"/>
          <w:i/>
        </w:rPr>
        <w:t>London Quakers in the Trans-Atlantic World: The Creation of an Early Modern Community</w:t>
      </w:r>
      <w:r w:rsidRPr="00AD05DB">
        <w:rPr>
          <w:rFonts w:ascii="Times New Roman" w:hAnsi="Times New Roman" w:cs="Times New Roman"/>
        </w:rPr>
        <w:t xml:space="preserve"> (New York: Palgrave Macmillan, 2015).</w:t>
      </w:r>
    </w:p>
  </w:footnote>
  <w:footnote w:id="5">
    <w:p w14:paraId="6A58E835" w14:textId="685AF523" w:rsidR="00EB2ECC" w:rsidRDefault="00EB2ECC">
      <w:pPr>
        <w:pStyle w:val="FootnoteText"/>
      </w:pPr>
      <w:r>
        <w:rPr>
          <w:rStyle w:val="FootnoteReference"/>
        </w:rPr>
        <w:footnoteRef/>
      </w:r>
      <w:r>
        <w:t xml:space="preserve"> </w:t>
      </w:r>
      <w:r>
        <w:rPr>
          <w:lang w:val="en-US"/>
        </w:rPr>
        <w:t xml:space="preserve">For an example of this kind of work see </w:t>
      </w:r>
      <w:r w:rsidRPr="00AD05DB">
        <w:rPr>
          <w:rFonts w:ascii="Times New Roman" w:hAnsi="Times New Roman" w:cs="Times New Roman"/>
          <w:lang w:val="en-US"/>
        </w:rPr>
        <w:t xml:space="preserve">Sarah Crabtree, </w:t>
      </w:r>
      <w:r w:rsidRPr="00AD05DB">
        <w:rPr>
          <w:rFonts w:ascii="Times New Roman" w:hAnsi="Times New Roman" w:cs="Times New Roman"/>
          <w:i/>
          <w:lang w:val="en-US"/>
        </w:rPr>
        <w:t>Holy Nation: The Transatlantic Quaker Ministry in an Age of Revolution</w:t>
      </w:r>
      <w:r w:rsidRPr="00AD05DB">
        <w:rPr>
          <w:rFonts w:ascii="Times New Roman" w:hAnsi="Times New Roman" w:cs="Times New Roman"/>
          <w:lang w:val="en-US"/>
        </w:rPr>
        <w:t xml:space="preserve"> (Chicago: University of Chicago Press, 2015).</w:t>
      </w:r>
    </w:p>
  </w:footnote>
  <w:footnote w:id="6">
    <w:p w14:paraId="22A58ED4" w14:textId="21EB7FE1" w:rsidR="00EB2ECC" w:rsidRPr="00817FEC" w:rsidRDefault="00EB2ECC">
      <w:pPr>
        <w:pStyle w:val="FootnoteText"/>
      </w:pPr>
      <w:r>
        <w:rPr>
          <w:rStyle w:val="FootnoteReference"/>
        </w:rPr>
        <w:footnoteRef/>
      </w:r>
      <w:r>
        <w:t xml:space="preserve"> This is most obvious, perhaps, in connection with the founding of Pennsylvania. See Jean R. Soderlund, </w:t>
      </w:r>
      <w:r>
        <w:rPr>
          <w:i/>
        </w:rPr>
        <w:t>Lenape Country: Delaware Valley Society Before William Penn</w:t>
      </w:r>
      <w:r>
        <w:t xml:space="preserve"> (Philadelphia: University of Pennsylvania Press, 2015). </w:t>
      </w:r>
      <w:r w:rsidRPr="005307FE">
        <w:rPr>
          <w:rFonts w:ascii="Times New Roman" w:hAnsi="Times New Roman" w:cs="Times New Roman"/>
        </w:rPr>
        <w:t xml:space="preserve">Mary K. Geiter, “The Restoration Crisis and the Launching of Pennsylvania, 1679-1681,” </w:t>
      </w:r>
      <w:r w:rsidRPr="005307FE">
        <w:rPr>
          <w:rFonts w:ascii="Times New Roman" w:hAnsi="Times New Roman" w:cs="Times New Roman"/>
          <w:i/>
        </w:rPr>
        <w:t xml:space="preserve">English Historical Review </w:t>
      </w:r>
      <w:r w:rsidRPr="005307FE">
        <w:rPr>
          <w:rFonts w:ascii="Times New Roman" w:hAnsi="Times New Roman" w:cs="Times New Roman"/>
        </w:rPr>
        <w:t>112 (1997) 300-318</w:t>
      </w:r>
      <w:r>
        <w:rPr>
          <w:rFonts w:ascii="Times New Roman" w:hAnsi="Times New Roman" w:cs="Times New Roman"/>
        </w:rPr>
        <w:t xml:space="preserve">; </w:t>
      </w:r>
      <w:r>
        <w:t xml:space="preserve">Patrick M. Erben, </w:t>
      </w:r>
      <w:r w:rsidRPr="005E5769">
        <w:rPr>
          <w:i/>
        </w:rPr>
        <w:t>A Harmony of the Spirits: Translation and the Language of Community in Early Pennsylvania</w:t>
      </w:r>
      <w:r>
        <w:t xml:space="preserve"> </w:t>
      </w:r>
      <w:bookmarkStart w:id="0" w:name="_GoBack"/>
      <w:bookmarkEnd w:id="0"/>
      <w:r>
        <w:t xml:space="preserve">(Chapel Hill: University of North Carolina Press, 2012); John Smolenksi, </w:t>
      </w:r>
      <w:r>
        <w:rPr>
          <w:i/>
        </w:rPr>
        <w:t xml:space="preserve">Friends and Strangers: The Making of a Creole Culture in </w:t>
      </w:r>
      <w:r w:rsidRPr="008E193A">
        <w:rPr>
          <w:i/>
        </w:rPr>
        <w:t>Pennsylvania</w:t>
      </w:r>
      <w:r>
        <w:t xml:space="preserve"> (Philadelphia: University of Pennsylvania Press, 2010).</w:t>
      </w:r>
    </w:p>
  </w:footnote>
  <w:footnote w:id="7">
    <w:p w14:paraId="0497DF28" w14:textId="0D9A99D2" w:rsidR="00EB2ECC" w:rsidRDefault="00EB2ECC">
      <w:pPr>
        <w:pStyle w:val="FootnoteText"/>
      </w:pPr>
      <w:r>
        <w:rPr>
          <w:rStyle w:val="FootnoteReference"/>
        </w:rPr>
        <w:footnoteRef/>
      </w:r>
      <w:r>
        <w:t xml:space="preserve"> Evan Haefeli, </w:t>
      </w:r>
      <w:r w:rsidRPr="00F8434A">
        <w:rPr>
          <w:i/>
        </w:rPr>
        <w:t>New Netherland and the Dutch Origins of American Religious Liberty</w:t>
      </w:r>
      <w:r>
        <w:t xml:space="preserve"> (Philadelphia: University of Pennsylvania Press, 2012).</w:t>
      </w:r>
    </w:p>
  </w:footnote>
  <w:footnote w:id="8">
    <w:p w14:paraId="6521E35E" w14:textId="77777777" w:rsidR="00EB2ECC" w:rsidRDefault="00EB2ECC" w:rsidP="00AD09B0">
      <w:pPr>
        <w:pStyle w:val="FootnoteText"/>
      </w:pPr>
      <w:r>
        <w:rPr>
          <w:rStyle w:val="FootnoteReference"/>
        </w:rPr>
        <w:footnoteRef/>
      </w:r>
      <w:r>
        <w:t xml:space="preserve"> </w:t>
      </w:r>
      <w:r w:rsidRPr="00AD05DB">
        <w:rPr>
          <w:rFonts w:ascii="Times New Roman" w:hAnsi="Times New Roman" w:cs="Times New Roman"/>
          <w:lang w:val="en-US"/>
        </w:rPr>
        <w:t xml:space="preserve">See Christopher Hill, </w:t>
      </w:r>
      <w:r w:rsidRPr="00AD05DB">
        <w:rPr>
          <w:rFonts w:ascii="Times New Roman" w:hAnsi="Times New Roman" w:cs="Times New Roman"/>
          <w:i/>
          <w:lang w:val="en-US"/>
        </w:rPr>
        <w:t>The Experience of Defeat: Milton and Some Contemporaries</w:t>
      </w:r>
      <w:r w:rsidRPr="00AD05DB">
        <w:rPr>
          <w:rFonts w:ascii="Times New Roman" w:hAnsi="Times New Roman" w:cs="Times New Roman"/>
          <w:lang w:val="en-US"/>
        </w:rPr>
        <w:t xml:space="preserve"> (New York: Viking, 1984), 129-169.  </w:t>
      </w:r>
    </w:p>
  </w:footnote>
  <w:footnote w:id="9">
    <w:p w14:paraId="7E73A9EC" w14:textId="65BBAFF0" w:rsidR="00EB2ECC" w:rsidRDefault="00EB2ECC" w:rsidP="005E5769">
      <w:r>
        <w:rPr>
          <w:rStyle w:val="FootnoteReference"/>
        </w:rPr>
        <w:footnoteRef/>
      </w:r>
      <w:r>
        <w:t xml:space="preserve"> In an unscientific survey using J-Store, a search for </w:t>
      </w:r>
      <w:r w:rsidR="00D74989">
        <w:t>scholarly works</w:t>
      </w:r>
      <w:r>
        <w:t xml:space="preserve"> with the terms “Quaker” and “ahead of their time” in the text yielded </w:t>
      </w:r>
      <w:r w:rsidR="00D74989">
        <w:t>49</w:t>
      </w:r>
      <w:r>
        <w:t xml:space="preserve"> entries.  Similar searches with “ahead of his time” and “ahead of her time” yielded 1</w:t>
      </w:r>
      <w:r w:rsidR="00D74989">
        <w:t>81</w:t>
      </w:r>
      <w:r>
        <w:t xml:space="preserve"> and </w:t>
      </w:r>
      <w:r w:rsidR="00D74989">
        <w:t>60</w:t>
      </w:r>
      <w:r>
        <w:t xml:space="preserve"> hits, respectively.  There is some duplication in these numbers, and the Quakers may not have always been the ones “ahead of their time” in some of the pieces, but I suspect that in most instances they were.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F6"/>
    <w:rsid w:val="0001615E"/>
    <w:rsid w:val="00026EB7"/>
    <w:rsid w:val="000361C7"/>
    <w:rsid w:val="00062F72"/>
    <w:rsid w:val="00076717"/>
    <w:rsid w:val="00091004"/>
    <w:rsid w:val="000B7012"/>
    <w:rsid w:val="000D046B"/>
    <w:rsid w:val="000E1F4D"/>
    <w:rsid w:val="000E48F9"/>
    <w:rsid w:val="000F485F"/>
    <w:rsid w:val="00133C45"/>
    <w:rsid w:val="00135FC3"/>
    <w:rsid w:val="001B4019"/>
    <w:rsid w:val="001D7C6A"/>
    <w:rsid w:val="00203873"/>
    <w:rsid w:val="00214092"/>
    <w:rsid w:val="00231E89"/>
    <w:rsid w:val="0023567B"/>
    <w:rsid w:val="002654EB"/>
    <w:rsid w:val="00287ACD"/>
    <w:rsid w:val="002A50CF"/>
    <w:rsid w:val="002E420D"/>
    <w:rsid w:val="00331AF6"/>
    <w:rsid w:val="00371035"/>
    <w:rsid w:val="003875E5"/>
    <w:rsid w:val="003F6597"/>
    <w:rsid w:val="00400168"/>
    <w:rsid w:val="0043567F"/>
    <w:rsid w:val="004850D9"/>
    <w:rsid w:val="005C59A0"/>
    <w:rsid w:val="005E5769"/>
    <w:rsid w:val="005F1C7F"/>
    <w:rsid w:val="005F7745"/>
    <w:rsid w:val="00612432"/>
    <w:rsid w:val="0061615A"/>
    <w:rsid w:val="0069242F"/>
    <w:rsid w:val="006C5A7F"/>
    <w:rsid w:val="00705ECA"/>
    <w:rsid w:val="007127A6"/>
    <w:rsid w:val="00713D19"/>
    <w:rsid w:val="0074778C"/>
    <w:rsid w:val="00752E1D"/>
    <w:rsid w:val="007C4A1D"/>
    <w:rsid w:val="008144B1"/>
    <w:rsid w:val="00817FEC"/>
    <w:rsid w:val="00852AAE"/>
    <w:rsid w:val="00867D98"/>
    <w:rsid w:val="00887502"/>
    <w:rsid w:val="008A095E"/>
    <w:rsid w:val="008A265A"/>
    <w:rsid w:val="008B5104"/>
    <w:rsid w:val="008C6253"/>
    <w:rsid w:val="008E193A"/>
    <w:rsid w:val="008E29F5"/>
    <w:rsid w:val="00913B69"/>
    <w:rsid w:val="00920289"/>
    <w:rsid w:val="00940431"/>
    <w:rsid w:val="00970498"/>
    <w:rsid w:val="00973338"/>
    <w:rsid w:val="009F6B0A"/>
    <w:rsid w:val="00A06227"/>
    <w:rsid w:val="00A12CDA"/>
    <w:rsid w:val="00A72BF6"/>
    <w:rsid w:val="00AD05DB"/>
    <w:rsid w:val="00AD09B0"/>
    <w:rsid w:val="00AD5CEE"/>
    <w:rsid w:val="00B35999"/>
    <w:rsid w:val="00B53654"/>
    <w:rsid w:val="00B66227"/>
    <w:rsid w:val="00BA660D"/>
    <w:rsid w:val="00BE5F3C"/>
    <w:rsid w:val="00C113F7"/>
    <w:rsid w:val="00CA0E67"/>
    <w:rsid w:val="00CA359E"/>
    <w:rsid w:val="00CA7FF9"/>
    <w:rsid w:val="00CC74F6"/>
    <w:rsid w:val="00D037F9"/>
    <w:rsid w:val="00D502C3"/>
    <w:rsid w:val="00D51704"/>
    <w:rsid w:val="00D6619B"/>
    <w:rsid w:val="00D714ED"/>
    <w:rsid w:val="00D74989"/>
    <w:rsid w:val="00DF7B8E"/>
    <w:rsid w:val="00E91B07"/>
    <w:rsid w:val="00EB2ECC"/>
    <w:rsid w:val="00EB4EC0"/>
    <w:rsid w:val="00EB7C68"/>
    <w:rsid w:val="00F24177"/>
    <w:rsid w:val="00FE5645"/>
    <w:rsid w:val="00FF3F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F77FE"/>
  <w14:defaultImageDpi w14:val="300"/>
  <w15:docId w15:val="{578BA3D8-47F5-4D77-8E75-04D8DC78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62F72"/>
  </w:style>
  <w:style w:type="character" w:customStyle="1" w:styleId="EndnoteTextChar">
    <w:name w:val="Endnote Text Char"/>
    <w:basedOn w:val="DefaultParagraphFont"/>
    <w:link w:val="EndnoteText"/>
    <w:uiPriority w:val="99"/>
    <w:rsid w:val="00062F72"/>
  </w:style>
  <w:style w:type="character" w:styleId="EndnoteReference">
    <w:name w:val="endnote reference"/>
    <w:basedOn w:val="DefaultParagraphFont"/>
    <w:uiPriority w:val="99"/>
    <w:unhideWhenUsed/>
    <w:rsid w:val="00062F72"/>
    <w:rPr>
      <w:vertAlign w:val="superscript"/>
    </w:rPr>
  </w:style>
  <w:style w:type="paragraph" w:styleId="FootnoteText">
    <w:name w:val="footnote text"/>
    <w:basedOn w:val="Normal"/>
    <w:link w:val="FootnoteTextChar"/>
    <w:uiPriority w:val="99"/>
    <w:unhideWhenUsed/>
    <w:rsid w:val="00EB4EC0"/>
  </w:style>
  <w:style w:type="character" w:customStyle="1" w:styleId="FootnoteTextChar">
    <w:name w:val="Footnote Text Char"/>
    <w:basedOn w:val="DefaultParagraphFont"/>
    <w:link w:val="FootnoteText"/>
    <w:uiPriority w:val="99"/>
    <w:rsid w:val="00EB4EC0"/>
  </w:style>
  <w:style w:type="character" w:styleId="FootnoteReference">
    <w:name w:val="footnote reference"/>
    <w:basedOn w:val="DefaultParagraphFont"/>
    <w:uiPriority w:val="99"/>
    <w:unhideWhenUsed/>
    <w:rsid w:val="00EB4EC0"/>
    <w:rPr>
      <w:vertAlign w:val="superscript"/>
    </w:rPr>
  </w:style>
  <w:style w:type="character" w:styleId="CommentReference">
    <w:name w:val="annotation reference"/>
    <w:basedOn w:val="DefaultParagraphFont"/>
    <w:uiPriority w:val="99"/>
    <w:semiHidden/>
    <w:unhideWhenUsed/>
    <w:rsid w:val="00867D98"/>
    <w:rPr>
      <w:sz w:val="18"/>
      <w:szCs w:val="18"/>
    </w:rPr>
  </w:style>
  <w:style w:type="paragraph" w:styleId="CommentText">
    <w:name w:val="annotation text"/>
    <w:basedOn w:val="Normal"/>
    <w:link w:val="CommentTextChar"/>
    <w:uiPriority w:val="99"/>
    <w:semiHidden/>
    <w:unhideWhenUsed/>
    <w:rsid w:val="00867D98"/>
  </w:style>
  <w:style w:type="character" w:customStyle="1" w:styleId="CommentTextChar">
    <w:name w:val="Comment Text Char"/>
    <w:basedOn w:val="DefaultParagraphFont"/>
    <w:link w:val="CommentText"/>
    <w:uiPriority w:val="99"/>
    <w:semiHidden/>
    <w:rsid w:val="00867D98"/>
  </w:style>
  <w:style w:type="paragraph" w:styleId="CommentSubject">
    <w:name w:val="annotation subject"/>
    <w:basedOn w:val="CommentText"/>
    <w:next w:val="CommentText"/>
    <w:link w:val="CommentSubjectChar"/>
    <w:uiPriority w:val="99"/>
    <w:semiHidden/>
    <w:unhideWhenUsed/>
    <w:rsid w:val="00867D98"/>
    <w:rPr>
      <w:b/>
      <w:bCs/>
      <w:sz w:val="20"/>
      <w:szCs w:val="20"/>
    </w:rPr>
  </w:style>
  <w:style w:type="character" w:customStyle="1" w:styleId="CommentSubjectChar">
    <w:name w:val="Comment Subject Char"/>
    <w:basedOn w:val="CommentTextChar"/>
    <w:link w:val="CommentSubject"/>
    <w:uiPriority w:val="99"/>
    <w:semiHidden/>
    <w:rsid w:val="00867D98"/>
    <w:rPr>
      <w:b/>
      <w:bCs/>
      <w:sz w:val="20"/>
      <w:szCs w:val="20"/>
    </w:rPr>
  </w:style>
  <w:style w:type="paragraph" w:styleId="BalloonText">
    <w:name w:val="Balloon Text"/>
    <w:basedOn w:val="Normal"/>
    <w:link w:val="BalloonTextChar"/>
    <w:uiPriority w:val="99"/>
    <w:semiHidden/>
    <w:unhideWhenUsed/>
    <w:rsid w:val="00867D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D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C04A-0FB5-42D8-B004-16ABA94A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A3ABD058</Template>
  <TotalTime>297</TotalTime>
  <Pages>11</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Plank</dc:creator>
  <cp:keywords/>
  <dc:description/>
  <cp:lastModifiedBy>John Stewart Rayner (REN)</cp:lastModifiedBy>
  <cp:revision>15</cp:revision>
  <cp:lastPrinted>2016-09-06T07:35:00Z</cp:lastPrinted>
  <dcterms:created xsi:type="dcterms:W3CDTF">2016-09-06T08:19:00Z</dcterms:created>
  <dcterms:modified xsi:type="dcterms:W3CDTF">2016-09-19T10:01:00Z</dcterms:modified>
</cp:coreProperties>
</file>