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23019" w14:textId="6945F589" w:rsidR="007E6163" w:rsidRPr="00FF1BBD" w:rsidRDefault="004B56CF" w:rsidP="00C5421F">
      <w:pPr>
        <w:pStyle w:val="Title"/>
        <w:jc w:val="center"/>
        <w:rPr>
          <w:rFonts w:ascii="Verdana" w:hAnsi="Verdana"/>
          <w:sz w:val="32"/>
          <w:szCs w:val="32"/>
        </w:rPr>
      </w:pPr>
      <w:r>
        <w:rPr>
          <w:rFonts w:ascii="Verdana" w:hAnsi="Verdana"/>
          <w:sz w:val="32"/>
          <w:szCs w:val="32"/>
        </w:rPr>
        <w:t>Mash-ups and Mixes</w:t>
      </w:r>
      <w:r w:rsidR="007E6163" w:rsidRPr="00FF1BBD">
        <w:rPr>
          <w:rFonts w:ascii="Verdana" w:hAnsi="Verdana"/>
          <w:sz w:val="32"/>
          <w:szCs w:val="32"/>
        </w:rPr>
        <w:t xml:space="preserve">: </w:t>
      </w:r>
      <w:r w:rsidR="00B92DB8">
        <w:rPr>
          <w:rFonts w:ascii="Verdana" w:hAnsi="Verdana"/>
          <w:sz w:val="32"/>
          <w:szCs w:val="32"/>
        </w:rPr>
        <w:t xml:space="preserve">what impact </w:t>
      </w:r>
      <w:r w:rsidR="007E6163" w:rsidRPr="00FF1BBD">
        <w:rPr>
          <w:rFonts w:ascii="Verdana" w:hAnsi="Verdana"/>
          <w:sz w:val="32"/>
          <w:szCs w:val="32"/>
        </w:rPr>
        <w:t xml:space="preserve">have the </w:t>
      </w:r>
      <w:r w:rsidR="00B92DB8">
        <w:rPr>
          <w:rFonts w:ascii="Verdana" w:hAnsi="Verdana"/>
          <w:sz w:val="32"/>
          <w:szCs w:val="32"/>
        </w:rPr>
        <w:t xml:space="preserve">recent </w:t>
      </w:r>
      <w:r w:rsidR="007E6163" w:rsidRPr="00FF1BBD">
        <w:rPr>
          <w:rFonts w:ascii="Verdana" w:hAnsi="Verdana"/>
          <w:sz w:val="32"/>
          <w:szCs w:val="32"/>
        </w:rPr>
        <w:t xml:space="preserve">copyright reforms </w:t>
      </w:r>
      <w:r w:rsidR="00B92DB8">
        <w:rPr>
          <w:rFonts w:ascii="Verdana" w:hAnsi="Verdana"/>
          <w:sz w:val="32"/>
          <w:szCs w:val="32"/>
        </w:rPr>
        <w:t xml:space="preserve">had on the </w:t>
      </w:r>
      <w:r w:rsidR="007E6163">
        <w:rPr>
          <w:rFonts w:ascii="Verdana" w:hAnsi="Verdana"/>
          <w:sz w:val="32"/>
          <w:szCs w:val="32"/>
        </w:rPr>
        <w:t>legal</w:t>
      </w:r>
      <w:r w:rsidR="00B92DB8">
        <w:rPr>
          <w:rFonts w:ascii="Verdana" w:hAnsi="Verdana"/>
          <w:sz w:val="32"/>
          <w:szCs w:val="32"/>
        </w:rPr>
        <w:t xml:space="preserve">ity of </w:t>
      </w:r>
      <w:r w:rsidR="007E6163" w:rsidRPr="00FF1BBD">
        <w:rPr>
          <w:rFonts w:ascii="Verdana" w:hAnsi="Verdana"/>
          <w:sz w:val="32"/>
          <w:szCs w:val="32"/>
        </w:rPr>
        <w:t>sampling?</w:t>
      </w:r>
    </w:p>
    <w:p w14:paraId="31FBDED0" w14:textId="4EF511CC" w:rsidR="007E6163" w:rsidRPr="00507EBE" w:rsidRDefault="007E6163" w:rsidP="00C5421F">
      <w:pPr>
        <w:pStyle w:val="Subtitle"/>
        <w:jc w:val="center"/>
        <w:rPr>
          <w:rFonts w:ascii="Verdana" w:hAnsi="Verdana"/>
          <w:sz w:val="20"/>
          <w:szCs w:val="20"/>
        </w:rPr>
      </w:pPr>
      <w:r w:rsidRPr="00507EBE">
        <w:rPr>
          <w:rFonts w:ascii="Verdana" w:hAnsi="Verdana"/>
          <w:sz w:val="20"/>
          <w:szCs w:val="20"/>
        </w:rPr>
        <w:t xml:space="preserve">By </w:t>
      </w:r>
      <w:hyperlink r:id="rId9" w:history="1">
        <w:r w:rsidRPr="004828CC">
          <w:rPr>
            <w:rStyle w:val="Hyperlink"/>
            <w:rFonts w:ascii="Verdana" w:hAnsi="Verdana"/>
            <w:sz w:val="20"/>
            <w:szCs w:val="20"/>
          </w:rPr>
          <w:t>Sabine Jacques</w:t>
        </w:r>
      </w:hyperlink>
    </w:p>
    <w:p w14:paraId="269FA017" w14:textId="63C0F2D5" w:rsidR="007E6163" w:rsidRPr="00507EBE" w:rsidRDefault="007E6163" w:rsidP="00C5421F">
      <w:pPr>
        <w:pStyle w:val="Heading1"/>
        <w:rPr>
          <w:rFonts w:ascii="Verdana" w:hAnsi="Verdana"/>
          <w:sz w:val="20"/>
          <w:szCs w:val="20"/>
        </w:rPr>
      </w:pPr>
      <w:r w:rsidRPr="00507EBE">
        <w:rPr>
          <w:rFonts w:ascii="Verdana" w:hAnsi="Verdana"/>
          <w:sz w:val="20"/>
          <w:szCs w:val="20"/>
        </w:rPr>
        <w:t>Introduction</w:t>
      </w:r>
      <w:r w:rsidR="00BA5174">
        <w:rPr>
          <w:rStyle w:val="FootnoteReference"/>
          <w:rFonts w:ascii="Verdana" w:hAnsi="Verdana"/>
          <w:sz w:val="20"/>
          <w:szCs w:val="20"/>
        </w:rPr>
        <w:footnoteReference w:id="1"/>
      </w:r>
    </w:p>
    <w:p w14:paraId="54CD539E" w14:textId="071AB28C" w:rsidR="007E6163" w:rsidRPr="00507EBE" w:rsidRDefault="007E6163" w:rsidP="00D371D9">
      <w:pPr>
        <w:spacing w:before="240" w:line="360" w:lineRule="auto"/>
        <w:jc w:val="both"/>
        <w:rPr>
          <w:szCs w:val="20"/>
        </w:rPr>
      </w:pPr>
      <w:r w:rsidRPr="00507EBE">
        <w:rPr>
          <w:szCs w:val="20"/>
        </w:rPr>
        <w:t xml:space="preserve">Remixing </w:t>
      </w:r>
      <w:r w:rsidR="00B92DB8">
        <w:rPr>
          <w:szCs w:val="20"/>
        </w:rPr>
        <w:t xml:space="preserve">is </w:t>
      </w:r>
      <w:r w:rsidRPr="00507EBE">
        <w:rPr>
          <w:szCs w:val="20"/>
        </w:rPr>
        <w:t>not a n</w:t>
      </w:r>
      <w:r w:rsidR="00B92DB8">
        <w:rPr>
          <w:szCs w:val="20"/>
        </w:rPr>
        <w:t>ew</w:t>
      </w:r>
      <w:r w:rsidRPr="00507EBE">
        <w:rPr>
          <w:szCs w:val="20"/>
        </w:rPr>
        <w:t xml:space="preserve"> phenomenon</w:t>
      </w:r>
      <w:r w:rsidRPr="00507EBE">
        <w:rPr>
          <w:rStyle w:val="FootnoteReference"/>
          <w:szCs w:val="20"/>
        </w:rPr>
        <w:footnoteReference w:id="2"/>
      </w:r>
      <w:r w:rsidR="003534E0">
        <w:rPr>
          <w:szCs w:val="20"/>
        </w:rPr>
        <w:t>,</w:t>
      </w:r>
      <w:r w:rsidRPr="00507EBE">
        <w:rPr>
          <w:szCs w:val="20"/>
        </w:rPr>
        <w:t xml:space="preserve"> but development</w:t>
      </w:r>
      <w:r w:rsidR="00B92DB8">
        <w:rPr>
          <w:szCs w:val="20"/>
        </w:rPr>
        <w:t>s</w:t>
      </w:r>
      <w:r w:rsidRPr="00507EBE">
        <w:rPr>
          <w:szCs w:val="20"/>
        </w:rPr>
        <w:t xml:space="preserve"> </w:t>
      </w:r>
      <w:r w:rsidR="00B92DB8">
        <w:rPr>
          <w:szCs w:val="20"/>
        </w:rPr>
        <w:t xml:space="preserve">in </w:t>
      </w:r>
      <w:r w:rsidRPr="00507EBE">
        <w:rPr>
          <w:szCs w:val="20"/>
        </w:rPr>
        <w:t xml:space="preserve">computer </w:t>
      </w:r>
      <w:r w:rsidR="00B92DB8">
        <w:rPr>
          <w:szCs w:val="20"/>
        </w:rPr>
        <w:t>sof</w:t>
      </w:r>
      <w:r w:rsidRPr="00507EBE">
        <w:rPr>
          <w:szCs w:val="20"/>
        </w:rPr>
        <w:t>t</w:t>
      </w:r>
      <w:r w:rsidR="00B92DB8">
        <w:rPr>
          <w:szCs w:val="20"/>
        </w:rPr>
        <w:t xml:space="preserve">ware have made it feasible for amateurs and professionals alike to </w:t>
      </w:r>
      <w:r w:rsidRPr="00507EBE">
        <w:rPr>
          <w:szCs w:val="20"/>
        </w:rPr>
        <w:t xml:space="preserve">combine, rearrange </w:t>
      </w:r>
      <w:r w:rsidR="00B92DB8">
        <w:rPr>
          <w:szCs w:val="20"/>
        </w:rPr>
        <w:t xml:space="preserve">and </w:t>
      </w:r>
      <w:r w:rsidR="004B56CF">
        <w:rPr>
          <w:szCs w:val="20"/>
        </w:rPr>
        <w:t>mix</w:t>
      </w:r>
      <w:r w:rsidR="00B92DB8">
        <w:rPr>
          <w:szCs w:val="20"/>
        </w:rPr>
        <w:t xml:space="preserve"> </w:t>
      </w:r>
      <w:r w:rsidR="004B56CF">
        <w:rPr>
          <w:szCs w:val="20"/>
        </w:rPr>
        <w:t xml:space="preserve">existing </w:t>
      </w:r>
      <w:r w:rsidR="00B92DB8">
        <w:rPr>
          <w:szCs w:val="20"/>
        </w:rPr>
        <w:t xml:space="preserve">tracks </w:t>
      </w:r>
      <w:r w:rsidR="004B56CF">
        <w:rPr>
          <w:szCs w:val="20"/>
        </w:rPr>
        <w:t>in a multitude of ways</w:t>
      </w:r>
      <w:r w:rsidR="00BF67E4">
        <w:rPr>
          <w:szCs w:val="20"/>
        </w:rPr>
        <w:t>.</w:t>
      </w:r>
      <w:r w:rsidRPr="00507EBE">
        <w:rPr>
          <w:szCs w:val="20"/>
        </w:rPr>
        <w:t xml:space="preserve"> The advent of digital sampling </w:t>
      </w:r>
      <w:r w:rsidR="00BF67E4">
        <w:rPr>
          <w:szCs w:val="20"/>
        </w:rPr>
        <w:t xml:space="preserve">has </w:t>
      </w:r>
      <w:r w:rsidRPr="00507EBE">
        <w:rPr>
          <w:szCs w:val="20"/>
        </w:rPr>
        <w:t xml:space="preserve">increased remixing techniques </w:t>
      </w:r>
      <w:r w:rsidR="00BF67E4">
        <w:rPr>
          <w:szCs w:val="20"/>
        </w:rPr>
        <w:t xml:space="preserve">and provides </w:t>
      </w:r>
      <w:r w:rsidRPr="00507EBE">
        <w:rPr>
          <w:szCs w:val="20"/>
        </w:rPr>
        <w:t xml:space="preserve">endless ways to rework previous songs by merging </w:t>
      </w:r>
      <w:r w:rsidR="00BF67E4">
        <w:rPr>
          <w:szCs w:val="20"/>
        </w:rPr>
        <w:t xml:space="preserve">their </w:t>
      </w:r>
      <w:r w:rsidRPr="00507EBE">
        <w:rPr>
          <w:szCs w:val="20"/>
        </w:rPr>
        <w:t xml:space="preserve">beats </w:t>
      </w:r>
      <w:r w:rsidR="00BF67E4">
        <w:rPr>
          <w:szCs w:val="20"/>
        </w:rPr>
        <w:t xml:space="preserve">and </w:t>
      </w:r>
      <w:r w:rsidRPr="00507EBE">
        <w:rPr>
          <w:szCs w:val="20"/>
        </w:rPr>
        <w:t>creat</w:t>
      </w:r>
      <w:r w:rsidR="00BF67E4">
        <w:rPr>
          <w:szCs w:val="20"/>
        </w:rPr>
        <w:t xml:space="preserve">ing </w:t>
      </w:r>
      <w:r w:rsidRPr="00507EBE">
        <w:rPr>
          <w:szCs w:val="20"/>
        </w:rPr>
        <w:t>a synergy between the music, the DJ and the public</w:t>
      </w:r>
      <w:r w:rsidRPr="00507EBE">
        <w:rPr>
          <w:rStyle w:val="FootnoteReference"/>
          <w:szCs w:val="20"/>
        </w:rPr>
        <w:footnoteReference w:id="3"/>
      </w:r>
      <w:r w:rsidRPr="00507EBE">
        <w:rPr>
          <w:szCs w:val="20"/>
        </w:rPr>
        <w:t xml:space="preserve">. </w:t>
      </w:r>
    </w:p>
    <w:p w14:paraId="640DB641" w14:textId="0AC0E103" w:rsidR="007E6163" w:rsidRDefault="007E6163" w:rsidP="00D371D9">
      <w:pPr>
        <w:spacing w:before="240" w:line="360" w:lineRule="auto"/>
        <w:jc w:val="both"/>
        <w:rPr>
          <w:szCs w:val="20"/>
        </w:rPr>
      </w:pPr>
      <w:r w:rsidRPr="00507EBE">
        <w:rPr>
          <w:szCs w:val="20"/>
        </w:rPr>
        <w:t xml:space="preserve">Remixes </w:t>
      </w:r>
      <w:r w:rsidR="00490298">
        <w:rPr>
          <w:szCs w:val="20"/>
        </w:rPr>
        <w:t xml:space="preserve">still </w:t>
      </w:r>
      <w:r w:rsidRPr="00507EBE">
        <w:rPr>
          <w:szCs w:val="20"/>
        </w:rPr>
        <w:t>push</w:t>
      </w:r>
      <w:r w:rsidR="00490298">
        <w:rPr>
          <w:szCs w:val="20"/>
        </w:rPr>
        <w:t>es</w:t>
      </w:r>
      <w:r w:rsidRPr="00507EBE">
        <w:rPr>
          <w:szCs w:val="20"/>
        </w:rPr>
        <w:t xml:space="preserve"> the boundaries of copyright law</w:t>
      </w:r>
      <w:r w:rsidR="00BF67E4">
        <w:rPr>
          <w:szCs w:val="20"/>
        </w:rPr>
        <w:t xml:space="preserve">. Although based upon the pre-existing works of others, their </w:t>
      </w:r>
      <w:r w:rsidRPr="00507EBE">
        <w:rPr>
          <w:szCs w:val="20"/>
        </w:rPr>
        <w:t xml:space="preserve">creativity derive from </w:t>
      </w:r>
      <w:r w:rsidR="00BF67E4">
        <w:rPr>
          <w:szCs w:val="20"/>
        </w:rPr>
        <w:t xml:space="preserve">the ease with which </w:t>
      </w:r>
      <w:r w:rsidRPr="00507EBE">
        <w:rPr>
          <w:szCs w:val="20"/>
        </w:rPr>
        <w:t>the DJ g</w:t>
      </w:r>
      <w:r w:rsidR="00BF67E4">
        <w:rPr>
          <w:szCs w:val="20"/>
        </w:rPr>
        <w:t xml:space="preserve">lides </w:t>
      </w:r>
      <w:r w:rsidRPr="00507EBE">
        <w:rPr>
          <w:szCs w:val="20"/>
        </w:rPr>
        <w:t xml:space="preserve">from </w:t>
      </w:r>
      <w:r w:rsidR="00BF67E4">
        <w:rPr>
          <w:szCs w:val="20"/>
        </w:rPr>
        <w:t xml:space="preserve">one </w:t>
      </w:r>
      <w:r w:rsidRPr="00507EBE">
        <w:rPr>
          <w:szCs w:val="20"/>
        </w:rPr>
        <w:t>song to another</w:t>
      </w:r>
      <w:r w:rsidR="00557805">
        <w:rPr>
          <w:szCs w:val="20"/>
        </w:rPr>
        <w:t xml:space="preserve">. This may be achieved </w:t>
      </w:r>
      <w:r w:rsidRPr="00507EBE">
        <w:rPr>
          <w:szCs w:val="20"/>
        </w:rPr>
        <w:t>by</w:t>
      </w:r>
      <w:r w:rsidR="00557805">
        <w:rPr>
          <w:szCs w:val="20"/>
        </w:rPr>
        <w:t xml:space="preserve"> </w:t>
      </w:r>
      <w:r w:rsidRPr="00507EBE">
        <w:rPr>
          <w:szCs w:val="20"/>
        </w:rPr>
        <w:t xml:space="preserve">stripping down </w:t>
      </w:r>
      <w:r w:rsidR="00557805">
        <w:rPr>
          <w:szCs w:val="20"/>
        </w:rPr>
        <w:t xml:space="preserve">an earlier song </w:t>
      </w:r>
      <w:r w:rsidRPr="00507EBE">
        <w:rPr>
          <w:szCs w:val="20"/>
        </w:rPr>
        <w:t xml:space="preserve">to </w:t>
      </w:r>
      <w:r w:rsidR="00557805">
        <w:rPr>
          <w:szCs w:val="20"/>
        </w:rPr>
        <w:t xml:space="preserve">its </w:t>
      </w:r>
      <w:r w:rsidRPr="00507EBE">
        <w:rPr>
          <w:szCs w:val="20"/>
        </w:rPr>
        <w:t>simple beats</w:t>
      </w:r>
      <w:r>
        <w:rPr>
          <w:szCs w:val="20"/>
        </w:rPr>
        <w:t xml:space="preserve"> to create </w:t>
      </w:r>
      <w:r w:rsidR="00557805">
        <w:rPr>
          <w:szCs w:val="20"/>
        </w:rPr>
        <w:t xml:space="preserve">a </w:t>
      </w:r>
      <w:r>
        <w:rPr>
          <w:szCs w:val="20"/>
        </w:rPr>
        <w:t>new track</w:t>
      </w:r>
      <w:r w:rsidR="00557805">
        <w:rPr>
          <w:szCs w:val="20"/>
        </w:rPr>
        <w:t>, by extracting or ‘</w:t>
      </w:r>
      <w:r>
        <w:rPr>
          <w:szCs w:val="20"/>
        </w:rPr>
        <w:t>sampling</w:t>
      </w:r>
      <w:r w:rsidR="00557805">
        <w:rPr>
          <w:szCs w:val="20"/>
        </w:rPr>
        <w:t>’</w:t>
      </w:r>
      <w:r>
        <w:rPr>
          <w:szCs w:val="20"/>
        </w:rPr>
        <w:t xml:space="preserve"> portions of </w:t>
      </w:r>
      <w:r w:rsidR="00557805">
        <w:rPr>
          <w:szCs w:val="20"/>
        </w:rPr>
        <w:t xml:space="preserve">earlier </w:t>
      </w:r>
      <w:r>
        <w:rPr>
          <w:szCs w:val="20"/>
        </w:rPr>
        <w:t>works</w:t>
      </w:r>
      <w:r w:rsidR="00490298">
        <w:rPr>
          <w:rStyle w:val="FootnoteReference"/>
          <w:szCs w:val="20"/>
        </w:rPr>
        <w:footnoteReference w:id="4"/>
      </w:r>
      <w:r>
        <w:rPr>
          <w:szCs w:val="20"/>
        </w:rPr>
        <w:t xml:space="preserve"> and </w:t>
      </w:r>
      <w:r w:rsidR="00557805">
        <w:rPr>
          <w:szCs w:val="20"/>
        </w:rPr>
        <w:t xml:space="preserve">mosaicking them together, perhaps with a </w:t>
      </w:r>
      <w:r w:rsidRPr="00507EBE">
        <w:rPr>
          <w:szCs w:val="20"/>
        </w:rPr>
        <w:t>stretch</w:t>
      </w:r>
      <w:r w:rsidR="00557805">
        <w:rPr>
          <w:szCs w:val="20"/>
        </w:rPr>
        <w:t xml:space="preserve">ed </w:t>
      </w:r>
      <w:r w:rsidRPr="00507EBE">
        <w:rPr>
          <w:szCs w:val="20"/>
        </w:rPr>
        <w:t xml:space="preserve">intro, fading sounds </w:t>
      </w:r>
      <w:r w:rsidR="00F248A4">
        <w:rPr>
          <w:szCs w:val="20"/>
        </w:rPr>
        <w:t xml:space="preserve">or </w:t>
      </w:r>
      <w:r w:rsidRPr="00507EBE">
        <w:rPr>
          <w:szCs w:val="20"/>
        </w:rPr>
        <w:t>instrumental breaks. Without doubt</w:t>
      </w:r>
      <w:r w:rsidR="00F248A4">
        <w:rPr>
          <w:szCs w:val="20"/>
        </w:rPr>
        <w:t xml:space="preserve">, the best examples </w:t>
      </w:r>
      <w:r w:rsidRPr="00507EBE">
        <w:rPr>
          <w:szCs w:val="20"/>
        </w:rPr>
        <w:t xml:space="preserve">demonstrate a deep musical knowledge of the </w:t>
      </w:r>
      <w:r w:rsidR="00F248A4">
        <w:rPr>
          <w:szCs w:val="20"/>
        </w:rPr>
        <w:t xml:space="preserve">underlying </w:t>
      </w:r>
      <w:r w:rsidRPr="00507EBE">
        <w:rPr>
          <w:szCs w:val="20"/>
        </w:rPr>
        <w:t>songs</w:t>
      </w:r>
      <w:r w:rsidR="00F248A4">
        <w:rPr>
          <w:szCs w:val="20"/>
        </w:rPr>
        <w:t xml:space="preserve">, along with </w:t>
      </w:r>
      <w:r w:rsidRPr="00507EBE">
        <w:rPr>
          <w:szCs w:val="20"/>
        </w:rPr>
        <w:t xml:space="preserve">all the sounds </w:t>
      </w:r>
      <w:r w:rsidR="00F248A4">
        <w:rPr>
          <w:szCs w:val="20"/>
        </w:rPr>
        <w:t>contained w</w:t>
      </w:r>
      <w:r w:rsidRPr="00507EBE">
        <w:rPr>
          <w:szCs w:val="20"/>
        </w:rPr>
        <w:t xml:space="preserve">ithin </w:t>
      </w:r>
      <w:r w:rsidR="00F248A4">
        <w:rPr>
          <w:szCs w:val="20"/>
        </w:rPr>
        <w:t xml:space="preserve">each </w:t>
      </w:r>
      <w:r w:rsidRPr="00507EBE">
        <w:rPr>
          <w:szCs w:val="20"/>
        </w:rPr>
        <w:t>track</w:t>
      </w:r>
      <w:r w:rsidR="00F248A4">
        <w:rPr>
          <w:szCs w:val="20"/>
        </w:rPr>
        <w:t>.</w:t>
      </w:r>
      <w:r w:rsidRPr="00507EBE">
        <w:rPr>
          <w:szCs w:val="20"/>
        </w:rPr>
        <w:t xml:space="preserve"> </w:t>
      </w:r>
      <w:r w:rsidR="00F248A4">
        <w:rPr>
          <w:szCs w:val="20"/>
        </w:rPr>
        <w:t>Perhaps because the resultant work is created without the DJ needing to kn</w:t>
      </w:r>
      <w:r w:rsidR="00F248A4" w:rsidRPr="00507EBE">
        <w:rPr>
          <w:szCs w:val="20"/>
        </w:rPr>
        <w:t>ow how to play a</w:t>
      </w:r>
      <w:r w:rsidR="00F248A4">
        <w:rPr>
          <w:szCs w:val="20"/>
        </w:rPr>
        <w:t xml:space="preserve"> single </w:t>
      </w:r>
      <w:r w:rsidR="00F248A4" w:rsidRPr="00507EBE">
        <w:rPr>
          <w:szCs w:val="20"/>
        </w:rPr>
        <w:t>instrument</w:t>
      </w:r>
      <w:r w:rsidR="00F248A4">
        <w:rPr>
          <w:szCs w:val="20"/>
        </w:rPr>
        <w:t xml:space="preserve">, many ‘traditionalists’ </w:t>
      </w:r>
      <w:r w:rsidRPr="00507EBE">
        <w:rPr>
          <w:szCs w:val="20"/>
        </w:rPr>
        <w:t>see</w:t>
      </w:r>
      <w:r w:rsidR="00F248A4">
        <w:rPr>
          <w:szCs w:val="20"/>
        </w:rPr>
        <w:t xml:space="preserve"> those who use a</w:t>
      </w:r>
      <w:r w:rsidRPr="00507EBE">
        <w:rPr>
          <w:szCs w:val="20"/>
        </w:rPr>
        <w:t xml:space="preserve"> digital sampl</w:t>
      </w:r>
      <w:r w:rsidR="00F248A4">
        <w:rPr>
          <w:szCs w:val="20"/>
        </w:rPr>
        <w:t xml:space="preserve">er </w:t>
      </w:r>
      <w:r w:rsidRPr="00507EBE">
        <w:rPr>
          <w:szCs w:val="20"/>
        </w:rPr>
        <w:t xml:space="preserve">as their instrument to </w:t>
      </w:r>
      <w:r w:rsidR="00F248A4">
        <w:rPr>
          <w:szCs w:val="20"/>
        </w:rPr>
        <w:t xml:space="preserve">be </w:t>
      </w:r>
      <w:r w:rsidRPr="00507EBE">
        <w:rPr>
          <w:szCs w:val="20"/>
        </w:rPr>
        <w:t>uncreative thieves</w:t>
      </w:r>
      <w:r w:rsidR="00F248A4">
        <w:rPr>
          <w:szCs w:val="20"/>
        </w:rPr>
        <w:t>, particularly since much sampling takes place without p</w:t>
      </w:r>
      <w:r w:rsidRPr="00507EBE">
        <w:rPr>
          <w:szCs w:val="20"/>
        </w:rPr>
        <w:t xml:space="preserve">rior </w:t>
      </w:r>
      <w:r w:rsidR="00F248A4">
        <w:rPr>
          <w:szCs w:val="20"/>
        </w:rPr>
        <w:t xml:space="preserve">consent or licence from the rights-holders of the underlying works. </w:t>
      </w:r>
      <w:r w:rsidRPr="00507EBE">
        <w:rPr>
          <w:szCs w:val="20"/>
        </w:rPr>
        <w:t>Yet, digital sampling is</w:t>
      </w:r>
      <w:r w:rsidR="00F248A4">
        <w:rPr>
          <w:szCs w:val="20"/>
        </w:rPr>
        <w:t xml:space="preserve"> more than a mere sound collage;</w:t>
      </w:r>
      <w:r w:rsidRPr="00507EBE">
        <w:rPr>
          <w:szCs w:val="20"/>
        </w:rPr>
        <w:t xml:space="preserve"> it is an art which </w:t>
      </w:r>
      <w:r w:rsidR="00F248A4">
        <w:rPr>
          <w:szCs w:val="20"/>
        </w:rPr>
        <w:t xml:space="preserve">can </w:t>
      </w:r>
      <w:r w:rsidRPr="00507EBE">
        <w:rPr>
          <w:szCs w:val="20"/>
        </w:rPr>
        <w:t>make the past come to li</w:t>
      </w:r>
      <w:r w:rsidR="00F248A4">
        <w:rPr>
          <w:szCs w:val="20"/>
        </w:rPr>
        <w:t>f</w:t>
      </w:r>
      <w:r w:rsidRPr="00507EBE">
        <w:rPr>
          <w:szCs w:val="20"/>
        </w:rPr>
        <w:t>e.</w:t>
      </w:r>
    </w:p>
    <w:p w14:paraId="7D15BDFE" w14:textId="77777777" w:rsidR="007E6163" w:rsidRPr="00507EBE" w:rsidRDefault="00E725AF" w:rsidP="00D371D9">
      <w:pPr>
        <w:spacing w:before="240" w:line="360" w:lineRule="auto"/>
        <w:jc w:val="both"/>
        <w:rPr>
          <w:szCs w:val="20"/>
        </w:rPr>
      </w:pPr>
      <w:r>
        <w:rPr>
          <w:szCs w:val="20"/>
        </w:rPr>
        <w:t xml:space="preserve">Where a </w:t>
      </w:r>
      <w:r w:rsidR="007E6163" w:rsidRPr="00507EBE">
        <w:rPr>
          <w:szCs w:val="20"/>
        </w:rPr>
        <w:t xml:space="preserve">remix </w:t>
      </w:r>
      <w:r>
        <w:rPr>
          <w:szCs w:val="20"/>
        </w:rPr>
        <w:t xml:space="preserve">is made from </w:t>
      </w:r>
      <w:r w:rsidR="007E6163" w:rsidRPr="00507EBE">
        <w:rPr>
          <w:szCs w:val="20"/>
        </w:rPr>
        <w:t xml:space="preserve">copyright protected works, </w:t>
      </w:r>
      <w:r>
        <w:rPr>
          <w:szCs w:val="20"/>
        </w:rPr>
        <w:t xml:space="preserve">a </w:t>
      </w:r>
      <w:r w:rsidR="007E6163" w:rsidRPr="00507EBE">
        <w:rPr>
          <w:szCs w:val="20"/>
        </w:rPr>
        <w:t xml:space="preserve">DJ </w:t>
      </w:r>
      <w:r>
        <w:rPr>
          <w:szCs w:val="20"/>
        </w:rPr>
        <w:t xml:space="preserve">is expected to follow an established </w:t>
      </w:r>
      <w:r w:rsidR="007E6163" w:rsidRPr="00507EBE">
        <w:rPr>
          <w:szCs w:val="20"/>
        </w:rPr>
        <w:t>sampling clearance process</w:t>
      </w:r>
      <w:r>
        <w:rPr>
          <w:szCs w:val="20"/>
        </w:rPr>
        <w:t xml:space="preserve">, but this has been </w:t>
      </w:r>
      <w:r w:rsidR="007E6163" w:rsidRPr="00507EBE">
        <w:rPr>
          <w:szCs w:val="20"/>
        </w:rPr>
        <w:t xml:space="preserve">criticised </w:t>
      </w:r>
      <w:r>
        <w:rPr>
          <w:szCs w:val="20"/>
        </w:rPr>
        <w:t>as</w:t>
      </w:r>
      <w:r w:rsidR="007E6163" w:rsidRPr="00507EBE">
        <w:rPr>
          <w:szCs w:val="20"/>
        </w:rPr>
        <w:t xml:space="preserve"> stifling</w:t>
      </w:r>
      <w:r>
        <w:rPr>
          <w:szCs w:val="20"/>
        </w:rPr>
        <w:t xml:space="preserve">, rather </w:t>
      </w:r>
      <w:proofErr w:type="gramStart"/>
      <w:r>
        <w:rPr>
          <w:szCs w:val="20"/>
        </w:rPr>
        <w:t>than</w:t>
      </w:r>
      <w:proofErr w:type="gramEnd"/>
      <w:r>
        <w:rPr>
          <w:szCs w:val="20"/>
        </w:rPr>
        <w:t xml:space="preserve"> encouraging, these</w:t>
      </w:r>
      <w:r w:rsidR="007E6163" w:rsidRPr="00507EBE">
        <w:rPr>
          <w:szCs w:val="20"/>
        </w:rPr>
        <w:t xml:space="preserve"> creative </w:t>
      </w:r>
      <w:r>
        <w:rPr>
          <w:szCs w:val="20"/>
        </w:rPr>
        <w:t xml:space="preserve">musical </w:t>
      </w:r>
      <w:r w:rsidR="007E6163" w:rsidRPr="00507EBE">
        <w:rPr>
          <w:szCs w:val="20"/>
        </w:rPr>
        <w:t xml:space="preserve">endeavours. </w:t>
      </w:r>
      <w:r>
        <w:rPr>
          <w:szCs w:val="20"/>
        </w:rPr>
        <w:t xml:space="preserve">In its </w:t>
      </w:r>
      <w:r w:rsidR="007E6163" w:rsidRPr="00507EBE">
        <w:rPr>
          <w:szCs w:val="20"/>
        </w:rPr>
        <w:t>consider</w:t>
      </w:r>
      <w:r>
        <w:rPr>
          <w:szCs w:val="20"/>
        </w:rPr>
        <w:t xml:space="preserve">ation of current </w:t>
      </w:r>
      <w:r w:rsidR="007E6163" w:rsidRPr="00507EBE">
        <w:rPr>
          <w:szCs w:val="20"/>
        </w:rPr>
        <w:t xml:space="preserve">UK copyright law, this article </w:t>
      </w:r>
      <w:r>
        <w:rPr>
          <w:szCs w:val="20"/>
        </w:rPr>
        <w:t xml:space="preserve">puts forward some </w:t>
      </w:r>
      <w:r w:rsidR="007E6163" w:rsidRPr="00507EBE">
        <w:rPr>
          <w:szCs w:val="20"/>
        </w:rPr>
        <w:t xml:space="preserve">modest suggestions </w:t>
      </w:r>
      <w:r>
        <w:rPr>
          <w:szCs w:val="20"/>
        </w:rPr>
        <w:t xml:space="preserve">as </w:t>
      </w:r>
      <w:r w:rsidR="007E6163">
        <w:rPr>
          <w:szCs w:val="20"/>
        </w:rPr>
        <w:t xml:space="preserve">how </w:t>
      </w:r>
      <w:r>
        <w:rPr>
          <w:szCs w:val="20"/>
        </w:rPr>
        <w:t xml:space="preserve">this legal regime might best </w:t>
      </w:r>
      <w:r w:rsidR="007E6163" w:rsidRPr="00507EBE">
        <w:rPr>
          <w:szCs w:val="20"/>
        </w:rPr>
        <w:t xml:space="preserve">serve this </w:t>
      </w:r>
      <w:r>
        <w:rPr>
          <w:szCs w:val="20"/>
        </w:rPr>
        <w:t>particular t</w:t>
      </w:r>
      <w:r w:rsidR="007E6163" w:rsidRPr="00507EBE">
        <w:rPr>
          <w:szCs w:val="20"/>
        </w:rPr>
        <w:t xml:space="preserve">ype of </w:t>
      </w:r>
      <w:r>
        <w:rPr>
          <w:szCs w:val="20"/>
        </w:rPr>
        <w:t xml:space="preserve">musical </w:t>
      </w:r>
      <w:r w:rsidR="007E6163" w:rsidRPr="00507EBE">
        <w:rPr>
          <w:szCs w:val="20"/>
        </w:rPr>
        <w:t xml:space="preserve">expression. </w:t>
      </w:r>
      <w:r w:rsidR="002A6EE2">
        <w:rPr>
          <w:szCs w:val="20"/>
        </w:rPr>
        <w:t>The article f</w:t>
      </w:r>
      <w:r w:rsidR="007E6163">
        <w:rPr>
          <w:szCs w:val="20"/>
        </w:rPr>
        <w:t>irst</w:t>
      </w:r>
      <w:r w:rsidR="002A6EE2">
        <w:rPr>
          <w:szCs w:val="20"/>
        </w:rPr>
        <w:t xml:space="preserve"> </w:t>
      </w:r>
      <w:r w:rsidR="007E6163" w:rsidRPr="00507EBE">
        <w:rPr>
          <w:szCs w:val="20"/>
        </w:rPr>
        <w:t xml:space="preserve">revisits the </w:t>
      </w:r>
      <w:r w:rsidR="002A6EE2">
        <w:rPr>
          <w:szCs w:val="20"/>
        </w:rPr>
        <w:t xml:space="preserve">copyright </w:t>
      </w:r>
      <w:r w:rsidR="007E6163" w:rsidRPr="00507EBE">
        <w:rPr>
          <w:szCs w:val="20"/>
        </w:rPr>
        <w:t>infringement test</w:t>
      </w:r>
      <w:r w:rsidR="002A6EE2">
        <w:rPr>
          <w:szCs w:val="20"/>
        </w:rPr>
        <w:t xml:space="preserve">, and considers how it impacts on </w:t>
      </w:r>
      <w:r w:rsidR="007E6163" w:rsidRPr="00507EBE">
        <w:rPr>
          <w:szCs w:val="20"/>
        </w:rPr>
        <w:t xml:space="preserve">remixes. </w:t>
      </w:r>
      <w:r w:rsidR="002A6EE2">
        <w:rPr>
          <w:szCs w:val="20"/>
        </w:rPr>
        <w:t xml:space="preserve">It then </w:t>
      </w:r>
      <w:r w:rsidR="002A6EE2">
        <w:rPr>
          <w:szCs w:val="20"/>
        </w:rPr>
        <w:lastRenderedPageBreak/>
        <w:t xml:space="preserve">studies </w:t>
      </w:r>
      <w:r w:rsidR="007E6163" w:rsidRPr="00507EBE">
        <w:rPr>
          <w:szCs w:val="20"/>
        </w:rPr>
        <w:t>the existing defences under copyright law</w:t>
      </w:r>
      <w:r w:rsidR="002A6EE2">
        <w:rPr>
          <w:szCs w:val="20"/>
        </w:rPr>
        <w:t xml:space="preserve"> to see whether any might apply</w:t>
      </w:r>
      <w:r w:rsidR="007E6163" w:rsidRPr="00507EBE">
        <w:rPr>
          <w:szCs w:val="20"/>
        </w:rPr>
        <w:t>.</w:t>
      </w:r>
      <w:r w:rsidR="007E6163">
        <w:rPr>
          <w:szCs w:val="20"/>
        </w:rPr>
        <w:t xml:space="preserve"> </w:t>
      </w:r>
      <w:r w:rsidR="002A6EE2">
        <w:rPr>
          <w:szCs w:val="20"/>
        </w:rPr>
        <w:t xml:space="preserve">The </w:t>
      </w:r>
      <w:r w:rsidR="007E6163">
        <w:rPr>
          <w:szCs w:val="20"/>
        </w:rPr>
        <w:t xml:space="preserve">article </w:t>
      </w:r>
      <w:r w:rsidR="002A6EE2">
        <w:rPr>
          <w:szCs w:val="20"/>
        </w:rPr>
        <w:t xml:space="preserve">then </w:t>
      </w:r>
      <w:r w:rsidR="007E6163">
        <w:rPr>
          <w:szCs w:val="20"/>
        </w:rPr>
        <w:t xml:space="preserve">analyses whether unauthorised sampling </w:t>
      </w:r>
      <w:r w:rsidR="002A6EE2">
        <w:rPr>
          <w:szCs w:val="20"/>
        </w:rPr>
        <w:t xml:space="preserve">may </w:t>
      </w:r>
      <w:r w:rsidR="007E6163">
        <w:rPr>
          <w:szCs w:val="20"/>
        </w:rPr>
        <w:t>violat</w:t>
      </w:r>
      <w:r w:rsidR="002A6EE2">
        <w:rPr>
          <w:szCs w:val="20"/>
        </w:rPr>
        <w:t xml:space="preserve">e the </w:t>
      </w:r>
      <w:r w:rsidR="007E6163">
        <w:rPr>
          <w:szCs w:val="20"/>
        </w:rPr>
        <w:t>moral rights of the original author.</w:t>
      </w:r>
      <w:r w:rsidR="007E6163" w:rsidRPr="00507EBE">
        <w:rPr>
          <w:szCs w:val="20"/>
        </w:rPr>
        <w:t xml:space="preserve"> </w:t>
      </w:r>
      <w:r w:rsidR="002A6EE2">
        <w:rPr>
          <w:szCs w:val="20"/>
        </w:rPr>
        <w:t xml:space="preserve">Based upon this assessment, the </w:t>
      </w:r>
      <w:r w:rsidR="007E6163">
        <w:rPr>
          <w:szCs w:val="20"/>
        </w:rPr>
        <w:t>article</w:t>
      </w:r>
      <w:r w:rsidR="007E6163" w:rsidRPr="00507EBE">
        <w:rPr>
          <w:szCs w:val="20"/>
        </w:rPr>
        <w:t xml:space="preserve"> </w:t>
      </w:r>
      <w:r w:rsidR="002A6EE2">
        <w:rPr>
          <w:szCs w:val="20"/>
        </w:rPr>
        <w:t xml:space="preserve">looks at the current practices within the music industries, and proposes how a fairer balance could be </w:t>
      </w:r>
      <w:r w:rsidR="007E6163" w:rsidRPr="00507EBE">
        <w:rPr>
          <w:szCs w:val="20"/>
        </w:rPr>
        <w:t>str</w:t>
      </w:r>
      <w:r w:rsidR="002A6EE2">
        <w:rPr>
          <w:szCs w:val="20"/>
        </w:rPr>
        <w:t xml:space="preserve">uck </w:t>
      </w:r>
      <w:r w:rsidR="007E6163" w:rsidRPr="00507EBE">
        <w:rPr>
          <w:szCs w:val="20"/>
        </w:rPr>
        <w:t xml:space="preserve">between the </w:t>
      </w:r>
      <w:r w:rsidR="002A6EE2">
        <w:rPr>
          <w:szCs w:val="20"/>
        </w:rPr>
        <w:t>copy</w:t>
      </w:r>
      <w:r w:rsidR="007E6163" w:rsidRPr="00507EBE">
        <w:rPr>
          <w:szCs w:val="20"/>
        </w:rPr>
        <w:t>right</w:t>
      </w:r>
      <w:r w:rsidR="002A6EE2">
        <w:rPr>
          <w:szCs w:val="20"/>
        </w:rPr>
        <w:t xml:space="preserve"> </w:t>
      </w:r>
      <w:r w:rsidR="007E6163" w:rsidRPr="00507EBE">
        <w:rPr>
          <w:szCs w:val="20"/>
        </w:rPr>
        <w:t>holders and th</w:t>
      </w:r>
      <w:r w:rsidR="002A6EE2">
        <w:rPr>
          <w:szCs w:val="20"/>
        </w:rPr>
        <w:t xml:space="preserve">ose, including </w:t>
      </w:r>
      <w:r w:rsidR="007E6163" w:rsidRPr="00507EBE">
        <w:rPr>
          <w:szCs w:val="20"/>
        </w:rPr>
        <w:t xml:space="preserve">DJs, amateurs and </w:t>
      </w:r>
      <w:r w:rsidR="002A6EE2">
        <w:rPr>
          <w:szCs w:val="20"/>
        </w:rPr>
        <w:t xml:space="preserve">the listening </w:t>
      </w:r>
      <w:r w:rsidR="007E6163" w:rsidRPr="00507EBE">
        <w:rPr>
          <w:szCs w:val="20"/>
        </w:rPr>
        <w:t>public</w:t>
      </w:r>
      <w:r w:rsidR="002A6EE2">
        <w:rPr>
          <w:szCs w:val="20"/>
        </w:rPr>
        <w:t>, who value sampling.</w:t>
      </w:r>
    </w:p>
    <w:p w14:paraId="4626A612" w14:textId="589B5828" w:rsidR="007E6163" w:rsidRPr="00507EBE" w:rsidRDefault="007E6163" w:rsidP="00BF38A1">
      <w:pPr>
        <w:pStyle w:val="Heading1"/>
        <w:numPr>
          <w:ilvl w:val="0"/>
          <w:numId w:val="5"/>
        </w:numPr>
        <w:spacing w:after="240"/>
        <w:rPr>
          <w:rFonts w:ascii="Verdana" w:hAnsi="Verdana"/>
          <w:sz w:val="20"/>
          <w:szCs w:val="20"/>
        </w:rPr>
      </w:pPr>
      <w:r w:rsidRPr="00507EBE">
        <w:rPr>
          <w:rFonts w:ascii="Verdana" w:hAnsi="Verdana"/>
          <w:sz w:val="20"/>
          <w:szCs w:val="20"/>
        </w:rPr>
        <w:t>Copyright infringement</w:t>
      </w:r>
      <w:r>
        <w:rPr>
          <w:rFonts w:ascii="Verdana" w:hAnsi="Verdana"/>
          <w:sz w:val="20"/>
          <w:szCs w:val="20"/>
        </w:rPr>
        <w:t>: substantiality and author’s own intellectual creation</w:t>
      </w:r>
    </w:p>
    <w:p w14:paraId="53BDD07D" w14:textId="10C404BD" w:rsidR="007E6163" w:rsidRPr="00507EBE" w:rsidRDefault="004401CE" w:rsidP="0053346A">
      <w:pPr>
        <w:spacing w:before="240" w:line="360" w:lineRule="auto"/>
        <w:jc w:val="both"/>
        <w:rPr>
          <w:szCs w:val="20"/>
        </w:rPr>
      </w:pPr>
      <w:r>
        <w:rPr>
          <w:szCs w:val="20"/>
        </w:rPr>
        <w:t>Copyright ownership of musical works is complex</w:t>
      </w:r>
      <w:r w:rsidRPr="004401CE">
        <w:rPr>
          <w:szCs w:val="20"/>
        </w:rPr>
        <w:t xml:space="preserve"> </w:t>
      </w:r>
      <w:r>
        <w:rPr>
          <w:szCs w:val="20"/>
        </w:rPr>
        <w:t xml:space="preserve">because of the number of separate rights involved. </w:t>
      </w:r>
      <w:r w:rsidR="00E64A1C">
        <w:rPr>
          <w:szCs w:val="20"/>
        </w:rPr>
        <w:t>T</w:t>
      </w:r>
      <w:r w:rsidR="007E6163" w:rsidRPr="00507EBE">
        <w:rPr>
          <w:szCs w:val="20"/>
        </w:rPr>
        <w:t>he UK Copyright, Designs and Patents Act 1988</w:t>
      </w:r>
      <w:r w:rsidR="007E6163" w:rsidRPr="00507EBE">
        <w:rPr>
          <w:rStyle w:val="FootnoteReference"/>
          <w:szCs w:val="20"/>
        </w:rPr>
        <w:footnoteReference w:id="5"/>
      </w:r>
      <w:r w:rsidR="007E6163" w:rsidRPr="00507EBE">
        <w:rPr>
          <w:szCs w:val="20"/>
        </w:rPr>
        <w:t xml:space="preserve"> (‘CDPA’) </w:t>
      </w:r>
      <w:r w:rsidR="00E64A1C">
        <w:rPr>
          <w:szCs w:val="20"/>
        </w:rPr>
        <w:t xml:space="preserve">sets out </w:t>
      </w:r>
      <w:r w:rsidR="007E6163" w:rsidRPr="00507EBE">
        <w:rPr>
          <w:szCs w:val="20"/>
        </w:rPr>
        <w:t xml:space="preserve">a closed list of </w:t>
      </w:r>
      <w:r>
        <w:rPr>
          <w:szCs w:val="20"/>
        </w:rPr>
        <w:t xml:space="preserve">specific </w:t>
      </w:r>
      <w:r w:rsidR="007E6163" w:rsidRPr="00507EBE">
        <w:rPr>
          <w:szCs w:val="20"/>
        </w:rPr>
        <w:t>categories of works</w:t>
      </w:r>
      <w:r w:rsidR="007E6163" w:rsidRPr="00507EBE">
        <w:rPr>
          <w:rStyle w:val="FootnoteReference"/>
          <w:szCs w:val="20"/>
        </w:rPr>
        <w:footnoteReference w:id="6"/>
      </w:r>
      <w:r w:rsidR="007E6163" w:rsidRPr="00507EBE">
        <w:rPr>
          <w:szCs w:val="20"/>
        </w:rPr>
        <w:t xml:space="preserve"> </w:t>
      </w:r>
      <w:r w:rsidR="007E6163">
        <w:rPr>
          <w:szCs w:val="20"/>
        </w:rPr>
        <w:t xml:space="preserve">which </w:t>
      </w:r>
      <w:r w:rsidR="00E64A1C">
        <w:rPr>
          <w:szCs w:val="20"/>
        </w:rPr>
        <w:t xml:space="preserve">may enjoy </w:t>
      </w:r>
      <w:r w:rsidR="007E6163">
        <w:rPr>
          <w:szCs w:val="20"/>
        </w:rPr>
        <w:t xml:space="preserve">copyright </w:t>
      </w:r>
      <w:r w:rsidR="00E64A1C">
        <w:rPr>
          <w:szCs w:val="20"/>
        </w:rPr>
        <w:t xml:space="preserve">protection, once the work is fixed in a </w:t>
      </w:r>
      <w:r w:rsidR="003E423A">
        <w:rPr>
          <w:szCs w:val="20"/>
        </w:rPr>
        <w:t>material form</w:t>
      </w:r>
      <w:r w:rsidR="00E64A1C" w:rsidRPr="00507EBE">
        <w:rPr>
          <w:rStyle w:val="FootnoteReference"/>
          <w:szCs w:val="20"/>
        </w:rPr>
        <w:footnoteReference w:id="7"/>
      </w:r>
      <w:r w:rsidR="003E423A">
        <w:rPr>
          <w:szCs w:val="20"/>
        </w:rPr>
        <w:t>.</w:t>
      </w:r>
      <w:r w:rsidR="00E64A1C">
        <w:rPr>
          <w:szCs w:val="20"/>
        </w:rPr>
        <w:t xml:space="preserve"> ‘Authorial’ musical, literary and artistic works must also be original</w:t>
      </w:r>
      <w:r w:rsidR="003E423A">
        <w:rPr>
          <w:rStyle w:val="FootnoteReference"/>
          <w:szCs w:val="20"/>
        </w:rPr>
        <w:footnoteReference w:id="8"/>
      </w:r>
      <w:r w:rsidR="00E64A1C">
        <w:rPr>
          <w:szCs w:val="20"/>
        </w:rPr>
        <w:t xml:space="preserve"> to be protected</w:t>
      </w:r>
      <w:r w:rsidR="00547B1A">
        <w:rPr>
          <w:szCs w:val="20"/>
        </w:rPr>
        <w:t>, whereas ‘entrepreneurial’ works, including sound recordings, do not.</w:t>
      </w:r>
      <w:r w:rsidR="007E6163" w:rsidRPr="00507EBE">
        <w:rPr>
          <w:szCs w:val="20"/>
        </w:rPr>
        <w:t xml:space="preserve"> </w:t>
      </w:r>
      <w:r>
        <w:rPr>
          <w:szCs w:val="20"/>
        </w:rPr>
        <w:t>Most songs will be made up of three separate c</w:t>
      </w:r>
      <w:r w:rsidR="00547B1A">
        <w:rPr>
          <w:szCs w:val="20"/>
        </w:rPr>
        <w:t xml:space="preserve">opyright </w:t>
      </w:r>
      <w:r>
        <w:rPr>
          <w:szCs w:val="20"/>
        </w:rPr>
        <w:t xml:space="preserve">works: the lyrics are </w:t>
      </w:r>
      <w:r w:rsidR="000E13C8">
        <w:rPr>
          <w:szCs w:val="20"/>
        </w:rPr>
        <w:t xml:space="preserve">eligible as </w:t>
      </w:r>
      <w:r>
        <w:rPr>
          <w:szCs w:val="20"/>
        </w:rPr>
        <w:t xml:space="preserve">a literary work, the sound track is </w:t>
      </w:r>
      <w:r w:rsidR="000E13C8">
        <w:rPr>
          <w:szCs w:val="20"/>
        </w:rPr>
        <w:t xml:space="preserve">eligible as </w:t>
      </w:r>
      <w:r>
        <w:rPr>
          <w:szCs w:val="20"/>
        </w:rPr>
        <w:t>a musical work</w:t>
      </w:r>
      <w:r w:rsidRPr="00507EBE">
        <w:rPr>
          <w:rStyle w:val="FootnoteReference"/>
          <w:szCs w:val="20"/>
        </w:rPr>
        <w:footnoteReference w:id="9"/>
      </w:r>
      <w:r>
        <w:rPr>
          <w:szCs w:val="20"/>
        </w:rPr>
        <w:t xml:space="preserve"> and the final track is a protected sound recording</w:t>
      </w:r>
      <w:r w:rsidRPr="00507EBE">
        <w:rPr>
          <w:rStyle w:val="FootnoteReference"/>
          <w:szCs w:val="20"/>
        </w:rPr>
        <w:footnoteReference w:id="10"/>
      </w:r>
      <w:r>
        <w:rPr>
          <w:szCs w:val="20"/>
        </w:rPr>
        <w:t xml:space="preserve">. Sampling an existing track may infringe all three, unless </w:t>
      </w:r>
      <w:r w:rsidR="007E6163" w:rsidRPr="00507EBE">
        <w:rPr>
          <w:szCs w:val="20"/>
        </w:rPr>
        <w:t>per</w:t>
      </w:r>
      <w:r>
        <w:rPr>
          <w:szCs w:val="20"/>
        </w:rPr>
        <w:t>mission from the copyright owners has been obtained</w:t>
      </w:r>
      <w:r w:rsidR="007E6163" w:rsidRPr="00507EBE">
        <w:rPr>
          <w:rStyle w:val="FootnoteReference"/>
          <w:szCs w:val="20"/>
        </w:rPr>
        <w:footnoteReference w:id="11"/>
      </w:r>
      <w:r w:rsidR="007E6163" w:rsidRPr="00507EBE">
        <w:rPr>
          <w:szCs w:val="20"/>
        </w:rPr>
        <w:t xml:space="preserve">. </w:t>
      </w:r>
      <w:r>
        <w:rPr>
          <w:szCs w:val="20"/>
        </w:rPr>
        <w:t xml:space="preserve">To complicate matters further, the creator(s) of an authorial works enjoy the protection of certain ‘moral’ rights, and sampling could also breach these too. </w:t>
      </w:r>
      <w:r w:rsidR="00BB36DC">
        <w:rPr>
          <w:szCs w:val="20"/>
        </w:rPr>
        <w:t>In the music industry, copyright in both the sound recording and the underlying authorial works are typically owned by</w:t>
      </w:r>
      <w:r w:rsidR="00D40F5F">
        <w:rPr>
          <w:szCs w:val="20"/>
        </w:rPr>
        <w:t xml:space="preserve"> intermediaries (such as publishers</w:t>
      </w:r>
      <w:r w:rsidR="00BB36DC">
        <w:rPr>
          <w:szCs w:val="20"/>
        </w:rPr>
        <w:t xml:space="preserve"> record labels</w:t>
      </w:r>
      <w:r w:rsidR="00D40F5F">
        <w:rPr>
          <w:szCs w:val="20"/>
        </w:rPr>
        <w:t>)</w:t>
      </w:r>
      <w:r w:rsidR="00BB36DC">
        <w:rPr>
          <w:szCs w:val="20"/>
        </w:rPr>
        <w:t>, whereas the moral rights remain vested in the original artists</w:t>
      </w:r>
      <w:r w:rsidR="00BF38A1">
        <w:rPr>
          <w:szCs w:val="20"/>
        </w:rPr>
        <w:t xml:space="preserve"> resulting in a fragmentation of ownership</w:t>
      </w:r>
      <w:r w:rsidR="00BF38A1">
        <w:rPr>
          <w:rStyle w:val="FootnoteReference"/>
          <w:szCs w:val="20"/>
        </w:rPr>
        <w:footnoteReference w:id="12"/>
      </w:r>
      <w:r w:rsidR="00BB36DC">
        <w:rPr>
          <w:szCs w:val="20"/>
        </w:rPr>
        <w:t xml:space="preserve">. </w:t>
      </w:r>
    </w:p>
    <w:p w14:paraId="3C52168D" w14:textId="4369F4D2" w:rsidR="00BF38A1" w:rsidRDefault="000E13C8" w:rsidP="00BF38A1">
      <w:pPr>
        <w:spacing w:before="240" w:after="240" w:line="360" w:lineRule="auto"/>
        <w:jc w:val="both"/>
        <w:rPr>
          <w:szCs w:val="20"/>
        </w:rPr>
      </w:pPr>
      <w:r>
        <w:rPr>
          <w:szCs w:val="20"/>
        </w:rPr>
        <w:t>When a track is sampled, a portion of each of the protect</w:t>
      </w:r>
      <w:r w:rsidR="00B44A16">
        <w:rPr>
          <w:szCs w:val="20"/>
        </w:rPr>
        <w:t>ed</w:t>
      </w:r>
      <w:r>
        <w:rPr>
          <w:szCs w:val="20"/>
        </w:rPr>
        <w:t xml:space="preserve"> works is reproduced</w:t>
      </w:r>
      <w:r w:rsidR="00B06C72">
        <w:rPr>
          <w:rStyle w:val="FootnoteReference"/>
          <w:szCs w:val="20"/>
        </w:rPr>
        <w:footnoteReference w:id="13"/>
      </w:r>
      <w:r>
        <w:rPr>
          <w:szCs w:val="20"/>
        </w:rPr>
        <w:t xml:space="preserve">. Reproduction is one of the </w:t>
      </w:r>
      <w:r w:rsidRPr="00507EBE">
        <w:rPr>
          <w:szCs w:val="20"/>
        </w:rPr>
        <w:t xml:space="preserve">restricted acts listed in </w:t>
      </w:r>
      <w:r>
        <w:rPr>
          <w:szCs w:val="20"/>
        </w:rPr>
        <w:t>section 16(1) CDPA 1988</w:t>
      </w:r>
      <w:r w:rsidR="00E93F71">
        <w:rPr>
          <w:rStyle w:val="FootnoteReference"/>
          <w:szCs w:val="20"/>
        </w:rPr>
        <w:footnoteReference w:id="14"/>
      </w:r>
      <w:r>
        <w:rPr>
          <w:szCs w:val="20"/>
        </w:rPr>
        <w:t xml:space="preserve">, which requires the right-holder’s </w:t>
      </w:r>
      <w:r w:rsidR="007E6163">
        <w:rPr>
          <w:szCs w:val="20"/>
        </w:rPr>
        <w:t>permission or licenc</w:t>
      </w:r>
      <w:r w:rsidR="007E6163" w:rsidRPr="00507EBE">
        <w:rPr>
          <w:szCs w:val="20"/>
        </w:rPr>
        <w:t>e,</w:t>
      </w:r>
      <w:r w:rsidR="003E423A">
        <w:rPr>
          <w:szCs w:val="20"/>
        </w:rPr>
        <w:t xml:space="preserve"> for</w:t>
      </w:r>
      <w:r w:rsidR="007E6163" w:rsidRPr="00507EBE">
        <w:rPr>
          <w:szCs w:val="20"/>
        </w:rPr>
        <w:t xml:space="preserve"> an individual </w:t>
      </w:r>
      <w:r w:rsidR="003E423A">
        <w:rPr>
          <w:szCs w:val="20"/>
        </w:rPr>
        <w:t>to carry</w:t>
      </w:r>
      <w:r w:rsidR="007E6163" w:rsidRPr="00507EBE">
        <w:rPr>
          <w:szCs w:val="20"/>
        </w:rPr>
        <w:t xml:space="preserve"> out</w:t>
      </w:r>
      <w:r>
        <w:rPr>
          <w:szCs w:val="20"/>
        </w:rPr>
        <w:t>; otherwise, the use may infringe</w:t>
      </w:r>
      <w:r w:rsidR="007E6163">
        <w:rPr>
          <w:szCs w:val="20"/>
        </w:rPr>
        <w:t xml:space="preserve">. </w:t>
      </w:r>
      <w:r>
        <w:rPr>
          <w:szCs w:val="20"/>
        </w:rPr>
        <w:t>Pursuant to the established</w:t>
      </w:r>
      <w:r w:rsidR="003E423A">
        <w:rPr>
          <w:szCs w:val="20"/>
        </w:rPr>
        <w:t xml:space="preserve"> UK</w:t>
      </w:r>
      <w:r w:rsidR="007E6163" w:rsidRPr="00507EBE">
        <w:rPr>
          <w:szCs w:val="20"/>
        </w:rPr>
        <w:t xml:space="preserve"> test</w:t>
      </w:r>
      <w:r>
        <w:rPr>
          <w:szCs w:val="20"/>
        </w:rPr>
        <w:t xml:space="preserve">, copyright is </w:t>
      </w:r>
      <w:r w:rsidR="007E6163" w:rsidRPr="00507EBE">
        <w:rPr>
          <w:szCs w:val="20"/>
        </w:rPr>
        <w:t>infringe</w:t>
      </w:r>
      <w:r>
        <w:rPr>
          <w:szCs w:val="20"/>
        </w:rPr>
        <w:t xml:space="preserve">d by any unauthorised </w:t>
      </w:r>
      <w:r w:rsidR="007E6163" w:rsidRPr="00507EBE">
        <w:rPr>
          <w:szCs w:val="20"/>
        </w:rPr>
        <w:t>reproduc</w:t>
      </w:r>
      <w:r>
        <w:rPr>
          <w:szCs w:val="20"/>
        </w:rPr>
        <w:t>tion of a</w:t>
      </w:r>
      <w:r w:rsidR="007E6163" w:rsidRPr="00507EBE">
        <w:rPr>
          <w:szCs w:val="20"/>
        </w:rPr>
        <w:t xml:space="preserve">t least a substantial part of the protected </w:t>
      </w:r>
      <w:r w:rsidR="007E6163" w:rsidRPr="00507EBE">
        <w:rPr>
          <w:szCs w:val="20"/>
        </w:rPr>
        <w:lastRenderedPageBreak/>
        <w:t>work</w:t>
      </w:r>
      <w:r w:rsidR="007E6163">
        <w:rPr>
          <w:rStyle w:val="FootnoteReference"/>
          <w:szCs w:val="20"/>
        </w:rPr>
        <w:footnoteReference w:id="15"/>
      </w:r>
      <w:r w:rsidR="007E6163" w:rsidRPr="00507EBE">
        <w:rPr>
          <w:szCs w:val="20"/>
        </w:rPr>
        <w:t xml:space="preserve">. </w:t>
      </w:r>
      <w:r>
        <w:rPr>
          <w:szCs w:val="20"/>
        </w:rPr>
        <w:t>Here, ‘</w:t>
      </w:r>
      <w:r w:rsidR="007E6163" w:rsidRPr="00507EBE">
        <w:rPr>
          <w:szCs w:val="20"/>
        </w:rPr>
        <w:t>substantiality</w:t>
      </w:r>
      <w:r>
        <w:rPr>
          <w:szCs w:val="20"/>
        </w:rPr>
        <w:t xml:space="preserve">’ </w:t>
      </w:r>
      <w:r w:rsidR="007E6163" w:rsidRPr="00507EBE">
        <w:rPr>
          <w:szCs w:val="20"/>
        </w:rPr>
        <w:t xml:space="preserve">is not </w:t>
      </w:r>
      <w:r w:rsidR="007E6163">
        <w:rPr>
          <w:szCs w:val="20"/>
        </w:rPr>
        <w:t xml:space="preserve">only </w:t>
      </w:r>
      <w:r w:rsidR="007E6163" w:rsidRPr="00507EBE">
        <w:rPr>
          <w:szCs w:val="20"/>
        </w:rPr>
        <w:t>appraised quantitatively</w:t>
      </w:r>
      <w:r w:rsidR="007E6163">
        <w:rPr>
          <w:rStyle w:val="FootnoteReference"/>
          <w:szCs w:val="20"/>
        </w:rPr>
        <w:footnoteReference w:id="16"/>
      </w:r>
      <w:r>
        <w:rPr>
          <w:szCs w:val="20"/>
        </w:rPr>
        <w:t>,</w:t>
      </w:r>
      <w:r w:rsidR="007E6163" w:rsidRPr="00507EBE">
        <w:rPr>
          <w:szCs w:val="20"/>
        </w:rPr>
        <w:t xml:space="preserve"> but </w:t>
      </w:r>
      <w:r w:rsidR="00ED573A">
        <w:rPr>
          <w:szCs w:val="20"/>
        </w:rPr>
        <w:t>mostly</w:t>
      </w:r>
      <w:r w:rsidR="007008AF">
        <w:rPr>
          <w:szCs w:val="20"/>
        </w:rPr>
        <w:t xml:space="preserve"> </w:t>
      </w:r>
      <w:r w:rsidR="007E6163" w:rsidRPr="00507EBE">
        <w:rPr>
          <w:szCs w:val="20"/>
        </w:rPr>
        <w:t>qualitative</w:t>
      </w:r>
      <w:r w:rsidR="007C1C92">
        <w:rPr>
          <w:szCs w:val="20"/>
        </w:rPr>
        <w:t>ly</w:t>
      </w:r>
      <w:r w:rsidR="007E6163">
        <w:rPr>
          <w:rStyle w:val="FootnoteReference"/>
          <w:szCs w:val="20"/>
        </w:rPr>
        <w:footnoteReference w:id="17"/>
      </w:r>
      <w:r w:rsidR="007C1C92">
        <w:rPr>
          <w:szCs w:val="20"/>
        </w:rPr>
        <w:t>,</w:t>
      </w:r>
      <w:r w:rsidR="007E6163" w:rsidRPr="00507EBE">
        <w:rPr>
          <w:szCs w:val="20"/>
        </w:rPr>
        <w:t xml:space="preserve"> based </w:t>
      </w:r>
      <w:r w:rsidR="007008AF">
        <w:rPr>
          <w:szCs w:val="20"/>
        </w:rPr>
        <w:t>up</w:t>
      </w:r>
      <w:r w:rsidR="007E6163" w:rsidRPr="00507EBE">
        <w:rPr>
          <w:szCs w:val="20"/>
        </w:rPr>
        <w:t xml:space="preserve">on </w:t>
      </w:r>
      <w:r w:rsidR="007008AF">
        <w:rPr>
          <w:szCs w:val="20"/>
        </w:rPr>
        <w:t xml:space="preserve">the </w:t>
      </w:r>
      <w:r w:rsidR="007E6163" w:rsidRPr="00507EBE">
        <w:rPr>
          <w:szCs w:val="20"/>
        </w:rPr>
        <w:t>particular facts</w:t>
      </w:r>
      <w:r w:rsidR="007E6163">
        <w:rPr>
          <w:rStyle w:val="FootnoteReference"/>
          <w:szCs w:val="20"/>
        </w:rPr>
        <w:footnoteReference w:id="18"/>
      </w:r>
      <w:r w:rsidR="007E6163" w:rsidRPr="00507EBE">
        <w:rPr>
          <w:szCs w:val="20"/>
        </w:rPr>
        <w:t xml:space="preserve">. </w:t>
      </w:r>
    </w:p>
    <w:p w14:paraId="26BC7329" w14:textId="27379180" w:rsidR="00B100BB" w:rsidRDefault="007008AF" w:rsidP="007A45D1">
      <w:pPr>
        <w:spacing w:line="360" w:lineRule="auto"/>
        <w:jc w:val="both"/>
        <w:rPr>
          <w:szCs w:val="20"/>
        </w:rPr>
      </w:pPr>
      <w:r>
        <w:rPr>
          <w:szCs w:val="20"/>
        </w:rPr>
        <w:t>When this test is a</w:t>
      </w:r>
      <w:r w:rsidR="007E6163" w:rsidRPr="00507EBE">
        <w:rPr>
          <w:szCs w:val="20"/>
        </w:rPr>
        <w:t xml:space="preserve">pplied to music, </w:t>
      </w:r>
      <w:r>
        <w:rPr>
          <w:szCs w:val="20"/>
        </w:rPr>
        <w:t xml:space="preserve">courts have </w:t>
      </w:r>
      <w:r w:rsidR="007E6163" w:rsidRPr="00507EBE">
        <w:rPr>
          <w:szCs w:val="20"/>
        </w:rPr>
        <w:t xml:space="preserve">latitude to </w:t>
      </w:r>
      <w:r>
        <w:rPr>
          <w:szCs w:val="20"/>
        </w:rPr>
        <w:t xml:space="preserve">look beyond a </w:t>
      </w:r>
      <w:r w:rsidR="007E6163" w:rsidRPr="00507EBE">
        <w:rPr>
          <w:szCs w:val="20"/>
        </w:rPr>
        <w:t xml:space="preserve">literal </w:t>
      </w:r>
      <w:r w:rsidRPr="00507EBE">
        <w:rPr>
          <w:szCs w:val="20"/>
        </w:rPr>
        <w:t xml:space="preserve">note-for-note </w:t>
      </w:r>
      <w:r w:rsidR="007E6163" w:rsidRPr="00507EBE">
        <w:rPr>
          <w:szCs w:val="20"/>
        </w:rPr>
        <w:t>copying</w:t>
      </w:r>
      <w:r>
        <w:rPr>
          <w:szCs w:val="20"/>
        </w:rPr>
        <w:t xml:space="preserve">, and </w:t>
      </w:r>
      <w:r w:rsidR="007E6163" w:rsidRPr="00507EBE">
        <w:rPr>
          <w:szCs w:val="20"/>
        </w:rPr>
        <w:t xml:space="preserve">assess whether the </w:t>
      </w:r>
      <w:r>
        <w:rPr>
          <w:szCs w:val="20"/>
        </w:rPr>
        <w:t xml:space="preserve">unauthorised work creates the same </w:t>
      </w:r>
      <w:r w:rsidR="007E6163" w:rsidRPr="00507EBE">
        <w:rPr>
          <w:szCs w:val="20"/>
        </w:rPr>
        <w:t>overall impressio</w:t>
      </w:r>
      <w:r>
        <w:rPr>
          <w:szCs w:val="20"/>
        </w:rPr>
        <w:t xml:space="preserve">n as </w:t>
      </w:r>
      <w:r w:rsidR="00ED573A">
        <w:rPr>
          <w:szCs w:val="20"/>
        </w:rPr>
        <w:t>the original(s)</w:t>
      </w:r>
      <w:r w:rsidR="007E6163" w:rsidRPr="00507EBE">
        <w:rPr>
          <w:rStyle w:val="FootnoteReference"/>
          <w:szCs w:val="20"/>
        </w:rPr>
        <w:footnoteReference w:id="19"/>
      </w:r>
      <w:r w:rsidR="007E6163" w:rsidRPr="00507EBE">
        <w:rPr>
          <w:szCs w:val="20"/>
        </w:rPr>
        <w:t>.</w:t>
      </w:r>
      <w:r>
        <w:rPr>
          <w:szCs w:val="20"/>
        </w:rPr>
        <w:t xml:space="preserve"> B</w:t>
      </w:r>
      <w:r w:rsidR="007E6163">
        <w:rPr>
          <w:szCs w:val="20"/>
        </w:rPr>
        <w:t xml:space="preserve">ut how is copyright infringement </w:t>
      </w:r>
      <w:r w:rsidR="00CA6161">
        <w:rPr>
          <w:szCs w:val="20"/>
        </w:rPr>
        <w:t xml:space="preserve">actually </w:t>
      </w:r>
      <w:r>
        <w:rPr>
          <w:szCs w:val="20"/>
        </w:rPr>
        <w:t>analysed in practice</w:t>
      </w:r>
      <w:r w:rsidR="007E6163">
        <w:rPr>
          <w:szCs w:val="20"/>
        </w:rPr>
        <w:t xml:space="preserve">? </w:t>
      </w:r>
      <w:r>
        <w:rPr>
          <w:szCs w:val="20"/>
        </w:rPr>
        <w:t xml:space="preserve">Firstly, courts attempt to distinguish between the idea underlying each protected work </w:t>
      </w:r>
      <w:r w:rsidR="007E6163" w:rsidRPr="00507EBE">
        <w:rPr>
          <w:szCs w:val="20"/>
        </w:rPr>
        <w:t>a</w:t>
      </w:r>
      <w:r>
        <w:rPr>
          <w:szCs w:val="20"/>
        </w:rPr>
        <w:t xml:space="preserve">nd the way in which that idea is expressed, since copyright only subsists in </w:t>
      </w:r>
      <w:r w:rsidR="00CA6161">
        <w:rPr>
          <w:szCs w:val="20"/>
        </w:rPr>
        <w:t>particular</w:t>
      </w:r>
      <w:r>
        <w:rPr>
          <w:szCs w:val="20"/>
        </w:rPr>
        <w:t xml:space="preserve"> </w:t>
      </w:r>
      <w:r w:rsidR="00CA6161">
        <w:rPr>
          <w:szCs w:val="20"/>
        </w:rPr>
        <w:t>expressions, and not in ideas.</w:t>
      </w:r>
      <w:r w:rsidR="007E6163" w:rsidRPr="00507EBE">
        <w:rPr>
          <w:szCs w:val="20"/>
        </w:rPr>
        <w:t xml:space="preserve"> </w:t>
      </w:r>
      <w:r w:rsidR="00CA6161">
        <w:rPr>
          <w:szCs w:val="20"/>
        </w:rPr>
        <w:t>O</w:t>
      </w:r>
      <w:r w:rsidR="007E6163" w:rsidRPr="00507EBE">
        <w:rPr>
          <w:szCs w:val="20"/>
        </w:rPr>
        <w:t xml:space="preserve">nly if the </w:t>
      </w:r>
      <w:r w:rsidR="00CA6161">
        <w:rPr>
          <w:szCs w:val="20"/>
        </w:rPr>
        <w:t>sample reproduces the protected expression (to a substantial extent) will it be found to infringe</w:t>
      </w:r>
      <w:r w:rsidR="00B100BB">
        <w:rPr>
          <w:szCs w:val="20"/>
        </w:rPr>
        <w:t xml:space="preserve"> the right-holders’ exclusive rights</w:t>
      </w:r>
      <w:r w:rsidR="00CA6161">
        <w:rPr>
          <w:szCs w:val="20"/>
        </w:rPr>
        <w:t>.</w:t>
      </w:r>
      <w:r w:rsidR="007E6163">
        <w:rPr>
          <w:szCs w:val="20"/>
        </w:rPr>
        <w:t xml:space="preserve"> But </w:t>
      </w:r>
      <w:r w:rsidR="00CA6161">
        <w:rPr>
          <w:szCs w:val="20"/>
        </w:rPr>
        <w:t xml:space="preserve">in the case of </w:t>
      </w:r>
      <w:r w:rsidR="007E6163">
        <w:rPr>
          <w:szCs w:val="20"/>
        </w:rPr>
        <w:t xml:space="preserve">digital sampling, </w:t>
      </w:r>
      <w:r w:rsidR="00ED573A">
        <w:rPr>
          <w:szCs w:val="20"/>
        </w:rPr>
        <w:t>reproduction can consists of</w:t>
      </w:r>
      <w:r w:rsidR="00CA6161">
        <w:rPr>
          <w:szCs w:val="20"/>
        </w:rPr>
        <w:t xml:space="preserve"> one element, such as a par</w:t>
      </w:r>
      <w:r w:rsidR="007E6163">
        <w:rPr>
          <w:szCs w:val="20"/>
        </w:rPr>
        <w:t xml:space="preserve">ticular rhythmic </w:t>
      </w:r>
      <w:r w:rsidR="00CA6161">
        <w:rPr>
          <w:szCs w:val="20"/>
        </w:rPr>
        <w:t xml:space="preserve">section </w:t>
      </w:r>
      <w:r w:rsidR="007E6163">
        <w:rPr>
          <w:szCs w:val="20"/>
        </w:rPr>
        <w:t>or a guitar riff.</w:t>
      </w:r>
      <w:r w:rsidR="00B100BB">
        <w:rPr>
          <w:szCs w:val="20"/>
        </w:rPr>
        <w:t xml:space="preserve"> Can such constitute a reproduction of an expression?</w:t>
      </w:r>
      <w:r w:rsidR="007E6163" w:rsidRPr="00507EBE">
        <w:rPr>
          <w:szCs w:val="20"/>
        </w:rPr>
        <w:t xml:space="preserve"> </w:t>
      </w:r>
    </w:p>
    <w:p w14:paraId="372F0678" w14:textId="19C3173E" w:rsidR="007E6163" w:rsidRPr="00507EBE" w:rsidRDefault="007E6163" w:rsidP="00F77A1E">
      <w:pPr>
        <w:spacing w:before="240" w:line="360" w:lineRule="auto"/>
        <w:jc w:val="both"/>
        <w:rPr>
          <w:szCs w:val="20"/>
        </w:rPr>
      </w:pPr>
      <w:r w:rsidRPr="00507EBE">
        <w:rPr>
          <w:szCs w:val="20"/>
        </w:rPr>
        <w:t>T</w:t>
      </w:r>
      <w:r w:rsidR="00CA6161">
        <w:rPr>
          <w:szCs w:val="20"/>
        </w:rPr>
        <w:t>he court may be able to rely upon expert</w:t>
      </w:r>
      <w:r w:rsidR="00ED573A">
        <w:rPr>
          <w:szCs w:val="20"/>
        </w:rPr>
        <w:t>s’</w:t>
      </w:r>
      <w:r w:rsidR="00CA6161">
        <w:rPr>
          <w:szCs w:val="20"/>
        </w:rPr>
        <w:t xml:space="preserve"> </w:t>
      </w:r>
      <w:r w:rsidRPr="00507EBE">
        <w:rPr>
          <w:szCs w:val="20"/>
        </w:rPr>
        <w:t>o</w:t>
      </w:r>
      <w:r w:rsidR="00CA6161">
        <w:rPr>
          <w:szCs w:val="20"/>
        </w:rPr>
        <w:t>pinion</w:t>
      </w:r>
      <w:r w:rsidR="00ED573A">
        <w:rPr>
          <w:szCs w:val="20"/>
        </w:rPr>
        <w:t>s</w:t>
      </w:r>
      <w:r w:rsidR="00CA6161">
        <w:rPr>
          <w:szCs w:val="20"/>
        </w:rPr>
        <w:t xml:space="preserve"> to </w:t>
      </w:r>
      <w:r>
        <w:rPr>
          <w:szCs w:val="20"/>
        </w:rPr>
        <w:t xml:space="preserve">unravel </w:t>
      </w:r>
      <w:r w:rsidR="00CA6161">
        <w:rPr>
          <w:szCs w:val="20"/>
        </w:rPr>
        <w:t>the musical ideas from the musical expressions</w:t>
      </w:r>
      <w:r w:rsidRPr="00507EBE">
        <w:rPr>
          <w:rStyle w:val="FootnoteReference"/>
          <w:szCs w:val="20"/>
        </w:rPr>
        <w:footnoteReference w:id="20"/>
      </w:r>
      <w:r w:rsidRPr="00507EBE">
        <w:rPr>
          <w:szCs w:val="20"/>
        </w:rPr>
        <w:t xml:space="preserve">. </w:t>
      </w:r>
      <w:r w:rsidR="00CA6161">
        <w:rPr>
          <w:szCs w:val="20"/>
        </w:rPr>
        <w:t xml:space="preserve">Such evidence was available to the court in </w:t>
      </w:r>
      <w:r w:rsidRPr="00507EBE">
        <w:rPr>
          <w:i/>
          <w:szCs w:val="20"/>
        </w:rPr>
        <w:t>Produce Records Ltd v. BMG Entertainment UK and Ireland Ltd</w:t>
      </w:r>
      <w:r w:rsidRPr="00CA6161">
        <w:rPr>
          <w:rStyle w:val="FootnoteReference"/>
          <w:szCs w:val="20"/>
        </w:rPr>
        <w:footnoteReference w:id="21"/>
      </w:r>
      <w:r w:rsidR="00CA6161">
        <w:rPr>
          <w:szCs w:val="20"/>
        </w:rPr>
        <w:t>.</w:t>
      </w:r>
      <w:r w:rsidRPr="00507EBE">
        <w:rPr>
          <w:szCs w:val="20"/>
        </w:rPr>
        <w:t xml:space="preserve"> </w:t>
      </w:r>
      <w:r w:rsidR="00CA6161">
        <w:rPr>
          <w:szCs w:val="20"/>
        </w:rPr>
        <w:t xml:space="preserve">In this case, DJ </w:t>
      </w:r>
      <w:r w:rsidRPr="00507EBE">
        <w:rPr>
          <w:szCs w:val="20"/>
        </w:rPr>
        <w:t>Los Del Rio</w:t>
      </w:r>
      <w:r w:rsidR="00CA6161">
        <w:rPr>
          <w:szCs w:val="20"/>
        </w:rPr>
        <w:t xml:space="preserve">’s track </w:t>
      </w:r>
      <w:r w:rsidR="00CA6161" w:rsidRPr="00507EBE">
        <w:rPr>
          <w:i/>
          <w:szCs w:val="20"/>
        </w:rPr>
        <w:t>Macarena</w:t>
      </w:r>
      <w:r w:rsidRPr="00507EBE">
        <w:rPr>
          <w:szCs w:val="20"/>
        </w:rPr>
        <w:t xml:space="preserve"> </w:t>
      </w:r>
      <w:r w:rsidR="00CA6161">
        <w:rPr>
          <w:szCs w:val="20"/>
        </w:rPr>
        <w:t xml:space="preserve">featured </w:t>
      </w:r>
      <w:r w:rsidRPr="00507EBE">
        <w:rPr>
          <w:szCs w:val="20"/>
        </w:rPr>
        <w:t>a seven-and-a-half-second s</w:t>
      </w:r>
      <w:r w:rsidR="00F77A1E">
        <w:rPr>
          <w:szCs w:val="20"/>
        </w:rPr>
        <w:t xml:space="preserve">ample </w:t>
      </w:r>
      <w:r w:rsidR="001A1CEC">
        <w:rPr>
          <w:szCs w:val="20"/>
        </w:rPr>
        <w:t>from</w:t>
      </w:r>
      <w:r w:rsidRPr="00507EBE">
        <w:rPr>
          <w:szCs w:val="20"/>
        </w:rPr>
        <w:t xml:space="preserve"> </w:t>
      </w:r>
      <w:r w:rsidR="00F77A1E" w:rsidRPr="001A1CEC">
        <w:rPr>
          <w:szCs w:val="20"/>
        </w:rPr>
        <w:t>The Farm’s</w:t>
      </w:r>
      <w:r w:rsidR="00F77A1E" w:rsidRPr="00507EBE">
        <w:rPr>
          <w:szCs w:val="20"/>
        </w:rPr>
        <w:t xml:space="preserve"> </w:t>
      </w:r>
      <w:r w:rsidRPr="00507EBE">
        <w:rPr>
          <w:szCs w:val="20"/>
        </w:rPr>
        <w:t>recording</w:t>
      </w:r>
      <w:r w:rsidR="00F77A1E">
        <w:rPr>
          <w:szCs w:val="20"/>
        </w:rPr>
        <w:t xml:space="preserve"> of</w:t>
      </w:r>
      <w:r w:rsidRPr="00507EBE">
        <w:rPr>
          <w:szCs w:val="20"/>
        </w:rPr>
        <w:t xml:space="preserve"> </w:t>
      </w:r>
      <w:r w:rsidRPr="00507EBE">
        <w:rPr>
          <w:i/>
          <w:szCs w:val="20"/>
        </w:rPr>
        <w:t>Higher and Higher.</w:t>
      </w:r>
      <w:r w:rsidRPr="00507EBE">
        <w:rPr>
          <w:szCs w:val="20"/>
        </w:rPr>
        <w:t xml:space="preserve"> </w:t>
      </w:r>
      <w:r w:rsidR="00F77A1E">
        <w:rPr>
          <w:szCs w:val="20"/>
        </w:rPr>
        <w:t xml:space="preserve">Since it is common for each side in a dispute to adduce their own expert evidence, </w:t>
      </w:r>
      <w:r w:rsidR="00BF38A1">
        <w:rPr>
          <w:szCs w:val="20"/>
        </w:rPr>
        <w:t>the resulting opinion</w:t>
      </w:r>
      <w:r w:rsidR="00F77A1E">
        <w:rPr>
          <w:szCs w:val="20"/>
        </w:rPr>
        <w:t xml:space="preserve"> might be questionable</w:t>
      </w:r>
      <w:r w:rsidR="00F77A1E">
        <w:rPr>
          <w:rStyle w:val="FootnoteReference"/>
          <w:szCs w:val="20"/>
        </w:rPr>
        <w:footnoteReference w:id="22"/>
      </w:r>
      <w:r w:rsidR="00F77A1E">
        <w:rPr>
          <w:szCs w:val="20"/>
        </w:rPr>
        <w:t xml:space="preserve"> because it will carry with it a certain degree of subjectivity</w:t>
      </w:r>
      <w:r w:rsidR="00F77A1E">
        <w:rPr>
          <w:rStyle w:val="FootnoteReference"/>
          <w:szCs w:val="20"/>
        </w:rPr>
        <w:footnoteReference w:id="23"/>
      </w:r>
      <w:r w:rsidR="00F77A1E">
        <w:rPr>
          <w:szCs w:val="20"/>
        </w:rPr>
        <w:t xml:space="preserve">. </w:t>
      </w:r>
      <w:r w:rsidR="00297CA0">
        <w:rPr>
          <w:szCs w:val="20"/>
        </w:rPr>
        <w:t>A</w:t>
      </w:r>
      <w:r w:rsidR="00F77A1E">
        <w:rPr>
          <w:szCs w:val="20"/>
        </w:rPr>
        <w:t xml:space="preserve">lthough courts are not bound by any expert opinion presented, it can </w:t>
      </w:r>
      <w:r w:rsidR="00297CA0">
        <w:rPr>
          <w:szCs w:val="20"/>
        </w:rPr>
        <w:t xml:space="preserve">still </w:t>
      </w:r>
      <w:r w:rsidR="00F77A1E">
        <w:rPr>
          <w:szCs w:val="20"/>
        </w:rPr>
        <w:t>provide valuable guidance.</w:t>
      </w:r>
      <w:r>
        <w:rPr>
          <w:szCs w:val="20"/>
        </w:rPr>
        <w:t xml:space="preserve"> </w:t>
      </w:r>
      <w:r w:rsidR="00F77A1E">
        <w:rPr>
          <w:szCs w:val="20"/>
        </w:rPr>
        <w:t xml:space="preserve">When dealing with a musical sampling case, having input from musicologists </w:t>
      </w:r>
      <w:r w:rsidR="003C5A3A">
        <w:rPr>
          <w:szCs w:val="20"/>
        </w:rPr>
        <w:t xml:space="preserve">can provide useful guidance, particularly given </w:t>
      </w:r>
      <w:r w:rsidR="00F77A1E">
        <w:rPr>
          <w:szCs w:val="20"/>
        </w:rPr>
        <w:t xml:space="preserve">the </w:t>
      </w:r>
      <w:r w:rsidR="003C5A3A">
        <w:rPr>
          <w:szCs w:val="20"/>
        </w:rPr>
        <w:t xml:space="preserve">additional </w:t>
      </w:r>
      <w:r w:rsidR="00F77A1E">
        <w:rPr>
          <w:szCs w:val="20"/>
        </w:rPr>
        <w:t xml:space="preserve">complexity of the multiple </w:t>
      </w:r>
      <w:r>
        <w:rPr>
          <w:szCs w:val="20"/>
        </w:rPr>
        <w:t>copyright</w:t>
      </w:r>
      <w:r w:rsidR="00F77A1E">
        <w:rPr>
          <w:szCs w:val="20"/>
        </w:rPr>
        <w:t xml:space="preserve"> works contained i</w:t>
      </w:r>
      <w:r>
        <w:rPr>
          <w:szCs w:val="20"/>
        </w:rPr>
        <w:t>n a song</w:t>
      </w:r>
      <w:r w:rsidR="003C5A3A">
        <w:rPr>
          <w:szCs w:val="20"/>
        </w:rPr>
        <w:t>.</w:t>
      </w:r>
      <w:r>
        <w:rPr>
          <w:szCs w:val="20"/>
        </w:rPr>
        <w:t xml:space="preserve"> </w:t>
      </w:r>
    </w:p>
    <w:p w14:paraId="2217ECBB" w14:textId="7E9A47C6" w:rsidR="007E6163" w:rsidRDefault="007E6163" w:rsidP="00035BA4">
      <w:pPr>
        <w:spacing w:before="240" w:line="360" w:lineRule="auto"/>
        <w:jc w:val="both"/>
        <w:rPr>
          <w:szCs w:val="20"/>
        </w:rPr>
      </w:pPr>
      <w:r>
        <w:rPr>
          <w:szCs w:val="20"/>
        </w:rPr>
        <w:lastRenderedPageBreak/>
        <w:t xml:space="preserve">Once </w:t>
      </w:r>
      <w:r w:rsidR="00B224EC">
        <w:rPr>
          <w:szCs w:val="20"/>
        </w:rPr>
        <w:t xml:space="preserve">a </w:t>
      </w:r>
      <w:r>
        <w:rPr>
          <w:szCs w:val="20"/>
        </w:rPr>
        <w:t>court ha</w:t>
      </w:r>
      <w:r w:rsidR="00B224EC">
        <w:rPr>
          <w:szCs w:val="20"/>
        </w:rPr>
        <w:t xml:space="preserve">s identified that the sample has been taken from </w:t>
      </w:r>
      <w:r>
        <w:rPr>
          <w:szCs w:val="20"/>
        </w:rPr>
        <w:t xml:space="preserve">protected </w:t>
      </w:r>
      <w:r w:rsidR="00B224EC">
        <w:rPr>
          <w:szCs w:val="20"/>
        </w:rPr>
        <w:t xml:space="preserve">parts of the work (rather than merely relying upon </w:t>
      </w:r>
      <w:r>
        <w:rPr>
          <w:szCs w:val="20"/>
        </w:rPr>
        <w:t>free</w:t>
      </w:r>
      <w:r w:rsidR="00B224EC">
        <w:rPr>
          <w:szCs w:val="20"/>
        </w:rPr>
        <w:t>ly available ‘ideas’)</w:t>
      </w:r>
      <w:r>
        <w:rPr>
          <w:szCs w:val="20"/>
        </w:rPr>
        <w:t xml:space="preserve">, the next question </w:t>
      </w:r>
      <w:r w:rsidR="00B224EC">
        <w:rPr>
          <w:szCs w:val="20"/>
        </w:rPr>
        <w:t xml:space="preserve">to </w:t>
      </w:r>
      <w:r>
        <w:rPr>
          <w:szCs w:val="20"/>
        </w:rPr>
        <w:t>ask</w:t>
      </w:r>
      <w:r w:rsidR="00B224EC">
        <w:rPr>
          <w:szCs w:val="20"/>
        </w:rPr>
        <w:t xml:space="preserve"> i</w:t>
      </w:r>
      <w:r>
        <w:rPr>
          <w:szCs w:val="20"/>
        </w:rPr>
        <w:t>s</w:t>
      </w:r>
      <w:r w:rsidR="00B224EC">
        <w:rPr>
          <w:szCs w:val="20"/>
        </w:rPr>
        <w:t xml:space="preserve"> whether the amount reproduced is </w:t>
      </w:r>
      <w:r w:rsidRPr="00507EBE">
        <w:rPr>
          <w:szCs w:val="20"/>
        </w:rPr>
        <w:t>substantial</w:t>
      </w:r>
      <w:r w:rsidR="00B224EC">
        <w:rPr>
          <w:szCs w:val="20"/>
        </w:rPr>
        <w:t>. Although the CDPA 1988 does not defined what ‘subs</w:t>
      </w:r>
      <w:r w:rsidRPr="00507EBE">
        <w:rPr>
          <w:szCs w:val="20"/>
        </w:rPr>
        <w:t>tantial</w:t>
      </w:r>
      <w:r w:rsidR="00B224EC">
        <w:rPr>
          <w:szCs w:val="20"/>
        </w:rPr>
        <w:t xml:space="preserve">’ </w:t>
      </w:r>
      <w:r w:rsidR="003B07F7">
        <w:rPr>
          <w:szCs w:val="20"/>
        </w:rPr>
        <w:t>means</w:t>
      </w:r>
      <w:r w:rsidR="00B224EC">
        <w:rPr>
          <w:szCs w:val="20"/>
        </w:rPr>
        <w:t>, it seem</w:t>
      </w:r>
      <w:r w:rsidR="003B07F7">
        <w:rPr>
          <w:szCs w:val="20"/>
        </w:rPr>
        <w:t>s</w:t>
      </w:r>
      <w:r w:rsidR="00B224EC">
        <w:rPr>
          <w:szCs w:val="20"/>
        </w:rPr>
        <w:t xml:space="preserve"> </w:t>
      </w:r>
      <w:r w:rsidR="003B07F7">
        <w:rPr>
          <w:szCs w:val="20"/>
        </w:rPr>
        <w:t xml:space="preserve">somewhat </w:t>
      </w:r>
      <w:r w:rsidR="00B224EC">
        <w:rPr>
          <w:szCs w:val="20"/>
        </w:rPr>
        <w:t xml:space="preserve">counterintuitive that a short </w:t>
      </w:r>
      <w:r w:rsidR="003B07F7">
        <w:rPr>
          <w:szCs w:val="20"/>
        </w:rPr>
        <w:t xml:space="preserve">sampled </w:t>
      </w:r>
      <w:r w:rsidR="00B224EC">
        <w:rPr>
          <w:szCs w:val="20"/>
        </w:rPr>
        <w:t xml:space="preserve">segment could </w:t>
      </w:r>
      <w:r w:rsidR="003B07F7">
        <w:rPr>
          <w:szCs w:val="20"/>
        </w:rPr>
        <w:t xml:space="preserve">ever </w:t>
      </w:r>
      <w:r w:rsidR="00B224EC">
        <w:rPr>
          <w:szCs w:val="20"/>
        </w:rPr>
        <w:t>be a substantial part of a musical work</w:t>
      </w:r>
      <w:r w:rsidR="003B07F7">
        <w:rPr>
          <w:szCs w:val="20"/>
        </w:rPr>
        <w:t xml:space="preserve">. However, this is where the qualitative aspect of the substantiality test comes to the fore. In </w:t>
      </w:r>
      <w:r w:rsidRPr="00507EBE">
        <w:rPr>
          <w:i/>
          <w:szCs w:val="20"/>
        </w:rPr>
        <w:t>Hawkes v. Paramount</w:t>
      </w:r>
      <w:r w:rsidRPr="00507EBE">
        <w:rPr>
          <w:rStyle w:val="FootnoteReference"/>
          <w:szCs w:val="20"/>
        </w:rPr>
        <w:footnoteReference w:id="24"/>
      </w:r>
      <w:r w:rsidRPr="00507EBE">
        <w:rPr>
          <w:szCs w:val="20"/>
        </w:rPr>
        <w:t xml:space="preserve">, </w:t>
      </w:r>
      <w:r w:rsidR="003B07F7">
        <w:rPr>
          <w:szCs w:val="20"/>
        </w:rPr>
        <w:t xml:space="preserve">use of a twenty-second </w:t>
      </w:r>
      <w:r w:rsidRPr="00507EBE">
        <w:rPr>
          <w:szCs w:val="20"/>
        </w:rPr>
        <w:t>segment of</w:t>
      </w:r>
      <w:r w:rsidR="003B07F7">
        <w:rPr>
          <w:szCs w:val="20"/>
        </w:rPr>
        <w:t xml:space="preserve"> the tune</w:t>
      </w:r>
      <w:r w:rsidRPr="00507EBE">
        <w:rPr>
          <w:szCs w:val="20"/>
        </w:rPr>
        <w:t xml:space="preserve"> </w:t>
      </w:r>
      <w:r w:rsidRPr="00507EBE">
        <w:rPr>
          <w:i/>
          <w:szCs w:val="20"/>
        </w:rPr>
        <w:t>Colonel Bogey</w:t>
      </w:r>
      <w:r w:rsidRPr="00507EBE">
        <w:rPr>
          <w:szCs w:val="20"/>
        </w:rPr>
        <w:t xml:space="preserve"> </w:t>
      </w:r>
      <w:r w:rsidR="003B07F7">
        <w:rPr>
          <w:szCs w:val="20"/>
        </w:rPr>
        <w:t>(</w:t>
      </w:r>
      <w:r w:rsidR="003B07F7" w:rsidRPr="00507EBE">
        <w:rPr>
          <w:szCs w:val="20"/>
        </w:rPr>
        <w:t>four minutes long</w:t>
      </w:r>
      <w:r w:rsidR="003B07F7">
        <w:rPr>
          <w:szCs w:val="20"/>
        </w:rPr>
        <w:t>)</w:t>
      </w:r>
      <w:r w:rsidR="00387B38">
        <w:rPr>
          <w:szCs w:val="20"/>
        </w:rPr>
        <w:t xml:space="preserve"> in a newsreel</w:t>
      </w:r>
      <w:r w:rsidR="003B07F7">
        <w:rPr>
          <w:szCs w:val="20"/>
        </w:rPr>
        <w:t xml:space="preserve"> </w:t>
      </w:r>
      <w:r w:rsidR="003B07F7">
        <w:rPr>
          <w:i/>
          <w:szCs w:val="20"/>
        </w:rPr>
        <w:t>was</w:t>
      </w:r>
      <w:r w:rsidR="003B07F7" w:rsidRPr="00507EBE">
        <w:rPr>
          <w:szCs w:val="20"/>
        </w:rPr>
        <w:t xml:space="preserve"> </w:t>
      </w:r>
      <w:r w:rsidR="003B07F7">
        <w:rPr>
          <w:szCs w:val="20"/>
        </w:rPr>
        <w:t xml:space="preserve">found to be a </w:t>
      </w:r>
      <w:r w:rsidRPr="00507EBE">
        <w:rPr>
          <w:szCs w:val="20"/>
        </w:rPr>
        <w:t xml:space="preserve">substantial </w:t>
      </w:r>
      <w:r w:rsidR="003B07F7">
        <w:rPr>
          <w:szCs w:val="20"/>
        </w:rPr>
        <w:t xml:space="preserve">part, because this particular segment was the most famous part of the tune. </w:t>
      </w:r>
      <w:r w:rsidRPr="00507EBE">
        <w:rPr>
          <w:szCs w:val="20"/>
        </w:rPr>
        <w:t xml:space="preserve">As such, UK courts appraise substantiality </w:t>
      </w:r>
      <w:r w:rsidR="003B07F7">
        <w:rPr>
          <w:szCs w:val="20"/>
        </w:rPr>
        <w:t xml:space="preserve">on a case-by-case basis, having regard to the </w:t>
      </w:r>
      <w:r w:rsidR="00F46A34">
        <w:rPr>
          <w:szCs w:val="20"/>
        </w:rPr>
        <w:t xml:space="preserve">context of the </w:t>
      </w:r>
      <w:r w:rsidR="003B07F7">
        <w:rPr>
          <w:szCs w:val="20"/>
        </w:rPr>
        <w:t xml:space="preserve">particular use of the particular </w:t>
      </w:r>
      <w:r w:rsidRPr="00507EBE">
        <w:rPr>
          <w:szCs w:val="20"/>
        </w:rPr>
        <w:t>protected work</w:t>
      </w:r>
      <w:r>
        <w:rPr>
          <w:rStyle w:val="FootnoteReference"/>
          <w:szCs w:val="20"/>
        </w:rPr>
        <w:footnoteReference w:id="25"/>
      </w:r>
      <w:r w:rsidRPr="00507EBE">
        <w:rPr>
          <w:szCs w:val="20"/>
        </w:rPr>
        <w:t xml:space="preserve">. Therefore, it </w:t>
      </w:r>
      <w:r w:rsidR="00F46A34">
        <w:rPr>
          <w:szCs w:val="20"/>
        </w:rPr>
        <w:t xml:space="preserve">may be </w:t>
      </w:r>
      <w:r w:rsidRPr="00507EBE">
        <w:rPr>
          <w:szCs w:val="20"/>
        </w:rPr>
        <w:t xml:space="preserve">irrelevant </w:t>
      </w:r>
      <w:r w:rsidR="00F46A34">
        <w:rPr>
          <w:szCs w:val="20"/>
        </w:rPr>
        <w:t>that t</w:t>
      </w:r>
      <w:r w:rsidRPr="00507EBE">
        <w:rPr>
          <w:szCs w:val="20"/>
        </w:rPr>
        <w:t xml:space="preserve">he elements reproduced constitute only a minor segment of the </w:t>
      </w:r>
      <w:r w:rsidR="00F46A34">
        <w:rPr>
          <w:szCs w:val="20"/>
        </w:rPr>
        <w:t xml:space="preserve">protected work, or indeed that the sample forms only a short segment in the </w:t>
      </w:r>
      <w:r w:rsidRPr="00507EBE">
        <w:rPr>
          <w:szCs w:val="20"/>
        </w:rPr>
        <w:t xml:space="preserve">new work. </w:t>
      </w:r>
    </w:p>
    <w:p w14:paraId="59639B6B" w14:textId="337B7921" w:rsidR="00ED308C" w:rsidRDefault="00ED308C" w:rsidP="00ED308C">
      <w:pPr>
        <w:spacing w:before="240" w:line="360" w:lineRule="auto"/>
        <w:jc w:val="both"/>
        <w:rPr>
          <w:szCs w:val="20"/>
        </w:rPr>
      </w:pPr>
      <w:r>
        <w:rPr>
          <w:szCs w:val="20"/>
        </w:rPr>
        <w:t>It is not only the copyright in the sound recording which is of concern. S</w:t>
      </w:r>
      <w:r w:rsidRPr="00507EBE">
        <w:rPr>
          <w:szCs w:val="20"/>
        </w:rPr>
        <w:t xml:space="preserve">ampling </w:t>
      </w:r>
      <w:r>
        <w:rPr>
          <w:szCs w:val="20"/>
        </w:rPr>
        <w:t>also reproduces the underlying musical composition, and so</w:t>
      </w:r>
      <w:r w:rsidR="00A0041E">
        <w:rPr>
          <w:szCs w:val="20"/>
        </w:rPr>
        <w:t>,</w:t>
      </w:r>
      <w:r>
        <w:rPr>
          <w:szCs w:val="20"/>
        </w:rPr>
        <w:t xml:space="preserve"> </w:t>
      </w:r>
      <w:r w:rsidRPr="00507EBE">
        <w:rPr>
          <w:szCs w:val="20"/>
        </w:rPr>
        <w:t>infringe</w:t>
      </w:r>
      <w:r>
        <w:rPr>
          <w:szCs w:val="20"/>
        </w:rPr>
        <w:t xml:space="preserve">ment of </w:t>
      </w:r>
      <w:r w:rsidRPr="00507EBE">
        <w:rPr>
          <w:szCs w:val="20"/>
        </w:rPr>
        <w:t xml:space="preserve">copyright </w:t>
      </w:r>
      <w:r>
        <w:rPr>
          <w:szCs w:val="20"/>
        </w:rPr>
        <w:t xml:space="preserve">protecting the lyrics and music must also </w:t>
      </w:r>
      <w:proofErr w:type="gramStart"/>
      <w:r>
        <w:rPr>
          <w:szCs w:val="20"/>
        </w:rPr>
        <w:t>considered</w:t>
      </w:r>
      <w:proofErr w:type="gramEnd"/>
      <w:r>
        <w:rPr>
          <w:szCs w:val="20"/>
        </w:rPr>
        <w:t xml:space="preserve">. In </w:t>
      </w:r>
      <w:r w:rsidRPr="00507EBE">
        <w:rPr>
          <w:i/>
          <w:szCs w:val="20"/>
        </w:rPr>
        <w:t>Ludlow</w:t>
      </w:r>
      <w:r w:rsidRPr="00507EBE">
        <w:rPr>
          <w:szCs w:val="20"/>
        </w:rPr>
        <w:t xml:space="preserve"> </w:t>
      </w:r>
      <w:r w:rsidRPr="00507EBE">
        <w:rPr>
          <w:i/>
          <w:szCs w:val="20"/>
        </w:rPr>
        <w:t xml:space="preserve">Music </w:t>
      </w:r>
      <w:proofErr w:type="spellStart"/>
      <w:r w:rsidRPr="00507EBE">
        <w:rPr>
          <w:i/>
          <w:szCs w:val="20"/>
        </w:rPr>
        <w:t>Inc</w:t>
      </w:r>
      <w:proofErr w:type="spellEnd"/>
      <w:r w:rsidRPr="00507EBE">
        <w:rPr>
          <w:i/>
          <w:szCs w:val="20"/>
        </w:rPr>
        <w:t xml:space="preserve"> v Williams &amp; Others</w:t>
      </w:r>
      <w:r w:rsidRPr="006E6E42">
        <w:rPr>
          <w:rStyle w:val="FootnoteReference"/>
          <w:szCs w:val="20"/>
        </w:rPr>
        <w:footnoteReference w:id="26"/>
      </w:r>
      <w:r>
        <w:rPr>
          <w:szCs w:val="20"/>
        </w:rPr>
        <w:t>,</w:t>
      </w:r>
      <w:r w:rsidRPr="00507EBE">
        <w:rPr>
          <w:szCs w:val="20"/>
        </w:rPr>
        <w:t xml:space="preserve"> </w:t>
      </w:r>
      <w:r>
        <w:rPr>
          <w:szCs w:val="20"/>
        </w:rPr>
        <w:t xml:space="preserve">the court found that two lines of lyrics in the Robbie Williams song </w:t>
      </w:r>
      <w:r w:rsidRPr="00507EBE">
        <w:rPr>
          <w:szCs w:val="20"/>
        </w:rPr>
        <w:t xml:space="preserve">in </w:t>
      </w:r>
      <w:r w:rsidRPr="00507EBE">
        <w:rPr>
          <w:i/>
          <w:szCs w:val="20"/>
        </w:rPr>
        <w:t>Jesus in a Camper Van</w:t>
      </w:r>
      <w:r w:rsidRPr="00507EBE">
        <w:rPr>
          <w:szCs w:val="20"/>
        </w:rPr>
        <w:t xml:space="preserve"> </w:t>
      </w:r>
      <w:r>
        <w:rPr>
          <w:szCs w:val="20"/>
        </w:rPr>
        <w:t xml:space="preserve">were sufficiently close to </w:t>
      </w:r>
      <w:r w:rsidRPr="00507EBE">
        <w:rPr>
          <w:szCs w:val="20"/>
        </w:rPr>
        <w:t xml:space="preserve">Wainwright’s </w:t>
      </w:r>
      <w:r>
        <w:rPr>
          <w:szCs w:val="20"/>
        </w:rPr>
        <w:t xml:space="preserve">protected </w:t>
      </w:r>
      <w:r w:rsidRPr="00507EBE">
        <w:rPr>
          <w:szCs w:val="20"/>
        </w:rPr>
        <w:t xml:space="preserve">lyrics </w:t>
      </w:r>
      <w:r>
        <w:rPr>
          <w:szCs w:val="20"/>
        </w:rPr>
        <w:t>to have reproduced a s</w:t>
      </w:r>
      <w:r w:rsidRPr="00507EBE">
        <w:rPr>
          <w:szCs w:val="20"/>
        </w:rPr>
        <w:t>ubstantial</w:t>
      </w:r>
      <w:r>
        <w:rPr>
          <w:szCs w:val="20"/>
        </w:rPr>
        <w:t xml:space="preserve"> part. </w:t>
      </w:r>
    </w:p>
    <w:p w14:paraId="77250EC2" w14:textId="12B8A4CC" w:rsidR="00B4012C" w:rsidRPr="00B4012C" w:rsidRDefault="00B4012C" w:rsidP="00ED308C">
      <w:pPr>
        <w:spacing w:before="240" w:line="360" w:lineRule="auto"/>
        <w:jc w:val="both"/>
        <w:rPr>
          <w:bCs/>
          <w:iCs/>
          <w:szCs w:val="20"/>
          <w:lang w:eastAsia="en-GB"/>
        </w:rPr>
      </w:pPr>
      <w:r>
        <w:rPr>
          <w:szCs w:val="20"/>
        </w:rPr>
        <w:t xml:space="preserve">Yet, </w:t>
      </w:r>
      <w:r>
        <w:t>it might be possible for the sampler to argue that their use is non-infringing. It has been seen that the UK test requires reproduction of a substantial part of the protected work, to be decided upon the particular facts, and based on an overall impression</w:t>
      </w:r>
      <w:r>
        <w:rPr>
          <w:rStyle w:val="FootnoteReference"/>
        </w:rPr>
        <w:footnoteReference w:id="27"/>
      </w:r>
      <w:r>
        <w:t xml:space="preserve">. A sampler may argue that the copyright holder has failed to establish their claim because the particular sample used does reproduce a substantial part of any protected work. Although this case was ultimately settled prior to a full hearing, this approach was adopted in </w:t>
      </w:r>
      <w:r w:rsidRPr="00D72633">
        <w:rPr>
          <w:bCs/>
          <w:i/>
          <w:iCs/>
          <w:szCs w:val="20"/>
          <w:lang w:eastAsia="en-GB"/>
        </w:rPr>
        <w:t>Produce Records Limited v. BMG Entertainment</w:t>
      </w:r>
      <w:r w:rsidRPr="00516C0F">
        <w:rPr>
          <w:rStyle w:val="FootnoteReference"/>
          <w:bCs/>
          <w:iCs/>
          <w:szCs w:val="20"/>
          <w:lang w:eastAsia="en-GB"/>
        </w:rPr>
        <w:footnoteReference w:id="28"/>
      </w:r>
      <w:r>
        <w:rPr>
          <w:bCs/>
          <w:iCs/>
          <w:szCs w:val="20"/>
          <w:lang w:eastAsia="en-GB"/>
        </w:rPr>
        <w:t xml:space="preserve">, discussed above. </w:t>
      </w:r>
      <w:r w:rsidRPr="00D72633">
        <w:rPr>
          <w:bCs/>
          <w:iCs/>
          <w:szCs w:val="20"/>
          <w:lang w:eastAsia="en-GB"/>
        </w:rPr>
        <w:t>BMG</w:t>
      </w:r>
      <w:r>
        <w:rPr>
          <w:bCs/>
          <w:iCs/>
          <w:szCs w:val="20"/>
          <w:lang w:eastAsia="en-GB"/>
        </w:rPr>
        <w:t xml:space="preserve">, the record label for </w:t>
      </w:r>
      <w:r w:rsidRPr="00D72633">
        <w:rPr>
          <w:bCs/>
          <w:iCs/>
          <w:szCs w:val="20"/>
          <w:lang w:eastAsia="en-GB"/>
        </w:rPr>
        <w:t>Los Del Rio</w:t>
      </w:r>
      <w:r>
        <w:rPr>
          <w:bCs/>
          <w:iCs/>
          <w:szCs w:val="20"/>
          <w:lang w:eastAsia="en-GB"/>
        </w:rPr>
        <w:t>’s</w:t>
      </w:r>
      <w:r w:rsidRPr="00D72633">
        <w:rPr>
          <w:bCs/>
          <w:iCs/>
          <w:szCs w:val="20"/>
          <w:lang w:eastAsia="en-GB"/>
        </w:rPr>
        <w:t xml:space="preserve"> </w:t>
      </w:r>
      <w:r w:rsidRPr="00D72633">
        <w:rPr>
          <w:bCs/>
          <w:i/>
          <w:iCs/>
          <w:szCs w:val="20"/>
          <w:lang w:eastAsia="en-GB"/>
        </w:rPr>
        <w:t>Macarena</w:t>
      </w:r>
      <w:r w:rsidRPr="00D72633">
        <w:rPr>
          <w:bCs/>
          <w:iCs/>
          <w:szCs w:val="20"/>
          <w:lang w:eastAsia="en-GB"/>
        </w:rPr>
        <w:t xml:space="preserve"> </w:t>
      </w:r>
      <w:r>
        <w:rPr>
          <w:bCs/>
          <w:iCs/>
          <w:szCs w:val="20"/>
          <w:lang w:eastAsia="en-GB"/>
        </w:rPr>
        <w:t xml:space="preserve">argued that </w:t>
      </w:r>
      <w:r w:rsidRPr="00D72633">
        <w:rPr>
          <w:bCs/>
          <w:iCs/>
          <w:szCs w:val="20"/>
          <w:lang w:eastAsia="en-GB"/>
        </w:rPr>
        <w:t xml:space="preserve">the segment </w:t>
      </w:r>
      <w:r>
        <w:rPr>
          <w:bCs/>
          <w:iCs/>
          <w:szCs w:val="20"/>
          <w:lang w:eastAsia="en-GB"/>
        </w:rPr>
        <w:t xml:space="preserve">did not reproduce </w:t>
      </w:r>
      <w:r w:rsidRPr="00D72633">
        <w:rPr>
          <w:bCs/>
          <w:iCs/>
          <w:szCs w:val="20"/>
          <w:lang w:eastAsia="en-GB"/>
        </w:rPr>
        <w:t xml:space="preserve">a substantial part </w:t>
      </w:r>
      <w:r>
        <w:rPr>
          <w:bCs/>
          <w:iCs/>
          <w:szCs w:val="20"/>
          <w:lang w:eastAsia="en-GB"/>
        </w:rPr>
        <w:t>of The Farm’s earlier recording. However, as Produce Records had applied for an interim injunction, the court did not have to determine the question of infringement, but merely whether it appeared that the claimant had an arguable case.</w:t>
      </w:r>
      <w:r>
        <w:rPr>
          <w:rStyle w:val="FootnoteReference"/>
          <w:bCs/>
          <w:iCs/>
          <w:szCs w:val="20"/>
          <w:lang w:eastAsia="en-GB"/>
        </w:rPr>
        <w:footnoteReference w:id="29"/>
      </w:r>
      <w:r w:rsidRPr="00D72633">
        <w:rPr>
          <w:bCs/>
          <w:iCs/>
          <w:szCs w:val="20"/>
          <w:lang w:eastAsia="en-GB"/>
        </w:rPr>
        <w:t xml:space="preserve"> </w:t>
      </w:r>
      <w:r>
        <w:rPr>
          <w:bCs/>
          <w:iCs/>
          <w:szCs w:val="20"/>
          <w:lang w:eastAsia="en-GB"/>
        </w:rPr>
        <w:t xml:space="preserve">While an argument of non-infringement is unlikely to succeed simply on the basis that </w:t>
      </w:r>
      <w:r>
        <w:rPr>
          <w:bCs/>
          <w:iCs/>
          <w:szCs w:val="20"/>
          <w:lang w:eastAsia="en-GB"/>
        </w:rPr>
        <w:lastRenderedPageBreak/>
        <w:t xml:space="preserve">the sample taken is </w:t>
      </w:r>
      <w:r w:rsidRPr="00D72633">
        <w:rPr>
          <w:bCs/>
          <w:iCs/>
          <w:szCs w:val="20"/>
          <w:lang w:eastAsia="en-GB"/>
        </w:rPr>
        <w:t>short</w:t>
      </w:r>
      <w:r>
        <w:rPr>
          <w:bCs/>
          <w:iCs/>
          <w:szCs w:val="20"/>
          <w:lang w:eastAsia="en-GB"/>
        </w:rPr>
        <w:t xml:space="preserve">, in some cases, it may be possible to argue that the sample relates to part of the work which is in the common sphere of musical ideas, rather than the particular protected </w:t>
      </w:r>
      <w:r w:rsidRPr="00D72633">
        <w:rPr>
          <w:bCs/>
          <w:iCs/>
          <w:szCs w:val="20"/>
          <w:lang w:eastAsia="en-GB"/>
        </w:rPr>
        <w:t>expression</w:t>
      </w:r>
      <w:r>
        <w:rPr>
          <w:bCs/>
          <w:iCs/>
          <w:szCs w:val="20"/>
          <w:lang w:eastAsia="en-GB"/>
        </w:rPr>
        <w:t xml:space="preserve">. </w:t>
      </w:r>
      <w:r w:rsidRPr="00D72633">
        <w:rPr>
          <w:bCs/>
          <w:iCs/>
          <w:szCs w:val="20"/>
          <w:lang w:eastAsia="en-GB"/>
        </w:rPr>
        <w:t xml:space="preserve">Ultimately, </w:t>
      </w:r>
      <w:r>
        <w:rPr>
          <w:bCs/>
          <w:iCs/>
          <w:szCs w:val="20"/>
          <w:lang w:eastAsia="en-GB"/>
        </w:rPr>
        <w:t>in many cases, such arguments of non-infringement will be untenable.</w:t>
      </w:r>
    </w:p>
    <w:p w14:paraId="0AE1922F" w14:textId="5B5429D0" w:rsidR="007E6163" w:rsidRPr="00507EBE" w:rsidRDefault="00387B38" w:rsidP="00035BA4">
      <w:pPr>
        <w:spacing w:before="240" w:line="360" w:lineRule="auto"/>
        <w:jc w:val="both"/>
        <w:rPr>
          <w:szCs w:val="20"/>
        </w:rPr>
      </w:pPr>
      <w:r>
        <w:rPr>
          <w:szCs w:val="20"/>
        </w:rPr>
        <w:t xml:space="preserve">Given the sparse </w:t>
      </w:r>
      <w:r w:rsidRPr="00507EBE">
        <w:rPr>
          <w:szCs w:val="20"/>
        </w:rPr>
        <w:t xml:space="preserve">case law </w:t>
      </w:r>
      <w:r>
        <w:rPr>
          <w:szCs w:val="20"/>
        </w:rPr>
        <w:t xml:space="preserve">relating specifically to </w:t>
      </w:r>
      <w:r w:rsidRPr="00507EBE">
        <w:rPr>
          <w:szCs w:val="20"/>
        </w:rPr>
        <w:t>sampling under UK copyright legislation</w:t>
      </w:r>
      <w:r>
        <w:rPr>
          <w:szCs w:val="20"/>
        </w:rPr>
        <w:t xml:space="preserve">, the issue </w:t>
      </w:r>
      <w:r w:rsidR="00BB36DC">
        <w:rPr>
          <w:szCs w:val="20"/>
        </w:rPr>
        <w:t>me</w:t>
      </w:r>
      <w:r>
        <w:rPr>
          <w:szCs w:val="20"/>
        </w:rPr>
        <w:t>e</w:t>
      </w:r>
      <w:r w:rsidR="00BB36DC">
        <w:rPr>
          <w:szCs w:val="20"/>
        </w:rPr>
        <w:t>t</w:t>
      </w:r>
      <w:r>
        <w:rPr>
          <w:szCs w:val="20"/>
        </w:rPr>
        <w:t>s</w:t>
      </w:r>
      <w:r w:rsidR="00BB36DC">
        <w:rPr>
          <w:szCs w:val="20"/>
        </w:rPr>
        <w:t xml:space="preserve"> with </w:t>
      </w:r>
      <w:r w:rsidR="007E6163" w:rsidRPr="00507EBE">
        <w:rPr>
          <w:szCs w:val="20"/>
        </w:rPr>
        <w:t xml:space="preserve">different </w:t>
      </w:r>
      <w:r w:rsidR="00BB36DC">
        <w:rPr>
          <w:szCs w:val="20"/>
        </w:rPr>
        <w:t xml:space="preserve">reactions </w:t>
      </w:r>
      <w:r w:rsidR="007E6163" w:rsidRPr="00507EBE">
        <w:rPr>
          <w:szCs w:val="20"/>
        </w:rPr>
        <w:t xml:space="preserve">within the music industry. While </w:t>
      </w:r>
      <w:r>
        <w:rPr>
          <w:szCs w:val="20"/>
        </w:rPr>
        <w:t>‘m</w:t>
      </w:r>
      <w:r w:rsidR="007E6163" w:rsidRPr="00507EBE">
        <w:rPr>
          <w:szCs w:val="20"/>
        </w:rPr>
        <w:t>ajor</w:t>
      </w:r>
      <w:r>
        <w:rPr>
          <w:szCs w:val="20"/>
        </w:rPr>
        <w:t>’</w:t>
      </w:r>
      <w:r w:rsidR="007E6163" w:rsidRPr="00507EBE">
        <w:rPr>
          <w:szCs w:val="20"/>
        </w:rPr>
        <w:t xml:space="preserve"> labels</w:t>
      </w:r>
      <w:r w:rsidR="007E6163" w:rsidRPr="00507EBE">
        <w:rPr>
          <w:rStyle w:val="FootnoteReference"/>
          <w:szCs w:val="20"/>
        </w:rPr>
        <w:footnoteReference w:id="30"/>
      </w:r>
      <w:r w:rsidR="007E6163" w:rsidRPr="00507EBE">
        <w:rPr>
          <w:szCs w:val="20"/>
        </w:rPr>
        <w:t xml:space="preserve"> require </w:t>
      </w:r>
      <w:r>
        <w:rPr>
          <w:szCs w:val="20"/>
        </w:rPr>
        <w:t xml:space="preserve">that </w:t>
      </w:r>
      <w:r w:rsidR="007E6163" w:rsidRPr="00387B38">
        <w:rPr>
          <w:i/>
          <w:szCs w:val="20"/>
        </w:rPr>
        <w:t>any</w:t>
      </w:r>
      <w:r w:rsidR="007E6163" w:rsidRPr="00507EBE">
        <w:rPr>
          <w:szCs w:val="20"/>
        </w:rPr>
        <w:t xml:space="preserve"> sample </w:t>
      </w:r>
      <w:r>
        <w:rPr>
          <w:szCs w:val="20"/>
        </w:rPr>
        <w:t xml:space="preserve">of a copyright recordings to be </w:t>
      </w:r>
      <w:r w:rsidR="007E6163" w:rsidRPr="00507EBE">
        <w:rPr>
          <w:szCs w:val="20"/>
        </w:rPr>
        <w:t xml:space="preserve">licensed, </w:t>
      </w:r>
      <w:r>
        <w:rPr>
          <w:szCs w:val="20"/>
        </w:rPr>
        <w:t>the smaller ‘</w:t>
      </w:r>
      <w:r w:rsidR="007E6163" w:rsidRPr="00507EBE">
        <w:rPr>
          <w:szCs w:val="20"/>
        </w:rPr>
        <w:t>independent</w:t>
      </w:r>
      <w:r>
        <w:rPr>
          <w:szCs w:val="20"/>
        </w:rPr>
        <w:t>’</w:t>
      </w:r>
      <w:r w:rsidR="007E6163" w:rsidRPr="00507EBE">
        <w:rPr>
          <w:szCs w:val="20"/>
        </w:rPr>
        <w:t xml:space="preserve"> labels adopt a</w:t>
      </w:r>
      <w:r>
        <w:rPr>
          <w:szCs w:val="20"/>
        </w:rPr>
        <w:t>n approach which equates a ‘substantial reproduction’ -</w:t>
      </w:r>
      <w:r w:rsidR="00531714">
        <w:rPr>
          <w:szCs w:val="20"/>
        </w:rPr>
        <w:t xml:space="preserve"> </w:t>
      </w:r>
      <w:r>
        <w:rPr>
          <w:szCs w:val="20"/>
        </w:rPr>
        <w:t>which requires their permission - to a</w:t>
      </w:r>
      <w:r w:rsidR="007E6163" w:rsidRPr="00507EBE">
        <w:rPr>
          <w:szCs w:val="20"/>
        </w:rPr>
        <w:t xml:space="preserve"> ‘recognition test’ </w:t>
      </w:r>
      <w:r>
        <w:rPr>
          <w:szCs w:val="20"/>
        </w:rPr>
        <w:t xml:space="preserve">based upon the prominence of the sample in the protected work. </w:t>
      </w:r>
      <w:r w:rsidR="00955FC1">
        <w:rPr>
          <w:szCs w:val="20"/>
        </w:rPr>
        <w:t>This lack of guidance has also given rise to certain prevalent industry urban myths</w:t>
      </w:r>
      <w:r w:rsidR="00955FC1" w:rsidRPr="00507EBE">
        <w:rPr>
          <w:rStyle w:val="FootnoteReference"/>
          <w:szCs w:val="20"/>
        </w:rPr>
        <w:footnoteReference w:id="31"/>
      </w:r>
      <w:r w:rsidR="00955FC1">
        <w:rPr>
          <w:szCs w:val="20"/>
        </w:rPr>
        <w:t>, for example, that sampling three notes or less, avoids copyright infringement issues</w:t>
      </w:r>
      <w:r w:rsidR="00955FC1" w:rsidRPr="00507EBE">
        <w:rPr>
          <w:rStyle w:val="FootnoteReference"/>
          <w:szCs w:val="20"/>
        </w:rPr>
        <w:footnoteReference w:id="32"/>
      </w:r>
      <w:r w:rsidR="00955FC1">
        <w:rPr>
          <w:szCs w:val="20"/>
        </w:rPr>
        <w:t>.</w:t>
      </w:r>
    </w:p>
    <w:p w14:paraId="0F95C970" w14:textId="77777777" w:rsidR="006903C4" w:rsidRDefault="007E6163" w:rsidP="00035BA4">
      <w:pPr>
        <w:spacing w:before="240" w:line="360" w:lineRule="auto"/>
        <w:jc w:val="both"/>
        <w:rPr>
          <w:szCs w:val="20"/>
        </w:rPr>
      </w:pPr>
      <w:r w:rsidRPr="00507EBE">
        <w:rPr>
          <w:szCs w:val="20"/>
        </w:rPr>
        <w:t xml:space="preserve">The </w:t>
      </w:r>
      <w:r w:rsidR="00955FC1">
        <w:rPr>
          <w:szCs w:val="20"/>
        </w:rPr>
        <w:t xml:space="preserve">UK courts’ approach needs to be </w:t>
      </w:r>
      <w:r w:rsidR="00ED308C">
        <w:rPr>
          <w:szCs w:val="20"/>
        </w:rPr>
        <w:t xml:space="preserve">evaluated in light of </w:t>
      </w:r>
      <w:r w:rsidR="00955FC1">
        <w:rPr>
          <w:szCs w:val="20"/>
        </w:rPr>
        <w:t xml:space="preserve">a recent decision of the </w:t>
      </w:r>
      <w:r w:rsidRPr="00507EBE">
        <w:rPr>
          <w:szCs w:val="20"/>
        </w:rPr>
        <w:t>Court of Justice of the European Union (‘CJEU’)</w:t>
      </w:r>
      <w:r w:rsidR="00955FC1">
        <w:rPr>
          <w:szCs w:val="20"/>
        </w:rPr>
        <w:t xml:space="preserve">. In </w:t>
      </w:r>
      <w:proofErr w:type="spellStart"/>
      <w:r w:rsidRPr="00507EBE">
        <w:rPr>
          <w:i/>
          <w:szCs w:val="20"/>
        </w:rPr>
        <w:t>Infopaq</w:t>
      </w:r>
      <w:proofErr w:type="spellEnd"/>
      <w:r w:rsidRPr="00507EBE">
        <w:rPr>
          <w:rStyle w:val="FootnoteReference"/>
          <w:szCs w:val="20"/>
        </w:rPr>
        <w:footnoteReference w:id="33"/>
      </w:r>
      <w:r w:rsidR="00955FC1">
        <w:rPr>
          <w:szCs w:val="20"/>
        </w:rPr>
        <w:t xml:space="preserve">, the CJEU clarified that EU national courts must determine infringement based upon an </w:t>
      </w:r>
      <w:r w:rsidRPr="00507EBE">
        <w:rPr>
          <w:szCs w:val="20"/>
        </w:rPr>
        <w:t>assess</w:t>
      </w:r>
      <w:r w:rsidR="00955FC1">
        <w:rPr>
          <w:szCs w:val="20"/>
        </w:rPr>
        <w:t xml:space="preserve">ment of whether the unauthorised use </w:t>
      </w:r>
      <w:r w:rsidRPr="00507EBE">
        <w:rPr>
          <w:szCs w:val="20"/>
        </w:rPr>
        <w:t>reproduc</w:t>
      </w:r>
      <w:r w:rsidR="00955FC1">
        <w:rPr>
          <w:szCs w:val="20"/>
        </w:rPr>
        <w:t xml:space="preserve">es </w:t>
      </w:r>
      <w:r w:rsidRPr="00507EBE">
        <w:rPr>
          <w:szCs w:val="20"/>
        </w:rPr>
        <w:t>the ‘</w:t>
      </w:r>
      <w:r w:rsidRPr="00507EBE">
        <w:rPr>
          <w:i/>
          <w:szCs w:val="20"/>
        </w:rPr>
        <w:t>author’s own intellectual creation</w:t>
      </w:r>
      <w:r w:rsidRPr="00507EBE">
        <w:rPr>
          <w:szCs w:val="20"/>
        </w:rPr>
        <w:t>’</w:t>
      </w:r>
      <w:r w:rsidRPr="00507EBE">
        <w:rPr>
          <w:rStyle w:val="FootnoteReference"/>
          <w:szCs w:val="20"/>
        </w:rPr>
        <w:footnoteReference w:id="34"/>
      </w:r>
      <w:r w:rsidRPr="00507EBE">
        <w:rPr>
          <w:szCs w:val="20"/>
        </w:rPr>
        <w:t xml:space="preserve">. </w:t>
      </w:r>
      <w:r w:rsidR="00444B8D">
        <w:rPr>
          <w:szCs w:val="20"/>
        </w:rPr>
        <w:t xml:space="preserve">However, the message from the courts seems clear - </w:t>
      </w:r>
      <w:r w:rsidR="00955FC1">
        <w:rPr>
          <w:szCs w:val="20"/>
        </w:rPr>
        <w:t>any unauthorised sample</w:t>
      </w:r>
      <w:r w:rsidR="00955FC1" w:rsidRPr="00507EBE">
        <w:rPr>
          <w:szCs w:val="20"/>
        </w:rPr>
        <w:t xml:space="preserve"> </w:t>
      </w:r>
      <w:r w:rsidR="00955FC1">
        <w:rPr>
          <w:szCs w:val="20"/>
        </w:rPr>
        <w:t>will amount to copyright i</w:t>
      </w:r>
      <w:r w:rsidR="00955FC1" w:rsidRPr="00507EBE">
        <w:rPr>
          <w:szCs w:val="20"/>
        </w:rPr>
        <w:t>nfring</w:t>
      </w:r>
      <w:r w:rsidR="00955FC1">
        <w:rPr>
          <w:szCs w:val="20"/>
        </w:rPr>
        <w:t>ement</w:t>
      </w:r>
      <w:r w:rsidR="006903C4">
        <w:rPr>
          <w:szCs w:val="20"/>
        </w:rPr>
        <w:t xml:space="preserve"> </w:t>
      </w:r>
      <w:r w:rsidR="006903C4">
        <w:t>because the sampler only selects the original, creative parts of an earlier work (as unless the listener recognises that the sample is a sample, the new work loses its impact)</w:t>
      </w:r>
      <w:r w:rsidR="00955FC1">
        <w:rPr>
          <w:szCs w:val="20"/>
        </w:rPr>
        <w:t>.</w:t>
      </w:r>
      <w:r w:rsidR="00955FC1">
        <w:rPr>
          <w:rStyle w:val="FootnoteReference"/>
          <w:szCs w:val="20"/>
        </w:rPr>
        <w:footnoteReference w:id="35"/>
      </w:r>
      <w:r w:rsidR="00444B8D">
        <w:rPr>
          <w:szCs w:val="20"/>
        </w:rPr>
        <w:t xml:space="preserve"> </w:t>
      </w:r>
    </w:p>
    <w:p w14:paraId="5451DC83" w14:textId="005D8B95" w:rsidR="007E6163" w:rsidRDefault="00901B72" w:rsidP="00035BA4">
      <w:pPr>
        <w:spacing w:before="240" w:line="360" w:lineRule="auto"/>
        <w:jc w:val="both"/>
        <w:rPr>
          <w:szCs w:val="20"/>
        </w:rPr>
      </w:pPr>
      <w:r>
        <w:rPr>
          <w:szCs w:val="20"/>
        </w:rPr>
        <w:t xml:space="preserve">Perhaps because of </w:t>
      </w:r>
      <w:r w:rsidR="00444B8D">
        <w:rPr>
          <w:szCs w:val="20"/>
        </w:rPr>
        <w:t xml:space="preserve">the apparent presumption in favour of the original copyright holders, </w:t>
      </w:r>
      <w:r>
        <w:rPr>
          <w:szCs w:val="20"/>
        </w:rPr>
        <w:t xml:space="preserve">many </w:t>
      </w:r>
      <w:r w:rsidR="007E6163" w:rsidRPr="00507EBE">
        <w:rPr>
          <w:szCs w:val="20"/>
        </w:rPr>
        <w:t>samplers in the UK</w:t>
      </w:r>
      <w:r>
        <w:rPr>
          <w:szCs w:val="20"/>
        </w:rPr>
        <w:t xml:space="preserve"> when faced with litigation </w:t>
      </w:r>
      <w:r w:rsidR="007E6163" w:rsidRPr="00507EBE">
        <w:rPr>
          <w:szCs w:val="20"/>
        </w:rPr>
        <w:t xml:space="preserve">prefer to </w:t>
      </w:r>
      <w:r>
        <w:rPr>
          <w:szCs w:val="20"/>
        </w:rPr>
        <w:t xml:space="preserve">reach a </w:t>
      </w:r>
      <w:r w:rsidR="007E6163" w:rsidRPr="00507EBE">
        <w:rPr>
          <w:szCs w:val="20"/>
        </w:rPr>
        <w:t>settle</w:t>
      </w:r>
      <w:r w:rsidR="006903C4">
        <w:rPr>
          <w:szCs w:val="20"/>
        </w:rPr>
        <w:t xml:space="preserve">ment out of </w:t>
      </w:r>
      <w:r w:rsidR="006903C4">
        <w:rPr>
          <w:szCs w:val="20"/>
        </w:rPr>
        <w:lastRenderedPageBreak/>
        <w:t>court</w:t>
      </w:r>
      <w:r w:rsidR="007E6163">
        <w:rPr>
          <w:rStyle w:val="FootnoteReference"/>
          <w:szCs w:val="20"/>
        </w:rPr>
        <w:footnoteReference w:id="36"/>
      </w:r>
      <w:r w:rsidR="006903C4">
        <w:rPr>
          <w:szCs w:val="20"/>
        </w:rPr>
        <w:t>,</w:t>
      </w:r>
      <w:r w:rsidR="007E6163" w:rsidRPr="00507EBE">
        <w:rPr>
          <w:szCs w:val="20"/>
        </w:rPr>
        <w:t xml:space="preserve"> rather than </w:t>
      </w:r>
      <w:r>
        <w:rPr>
          <w:szCs w:val="20"/>
        </w:rPr>
        <w:t>defending what might be a v</w:t>
      </w:r>
      <w:r w:rsidR="007E6163" w:rsidRPr="00507EBE">
        <w:rPr>
          <w:szCs w:val="20"/>
        </w:rPr>
        <w:t>ery expensive</w:t>
      </w:r>
      <w:r>
        <w:rPr>
          <w:szCs w:val="20"/>
        </w:rPr>
        <w:t xml:space="preserve"> law suit to a final decision</w:t>
      </w:r>
      <w:r w:rsidR="007E6163" w:rsidRPr="00507EBE">
        <w:rPr>
          <w:rStyle w:val="FootnoteReference"/>
          <w:szCs w:val="20"/>
        </w:rPr>
        <w:footnoteReference w:id="37"/>
      </w:r>
      <w:r w:rsidR="007E6163" w:rsidRPr="00507EBE">
        <w:rPr>
          <w:szCs w:val="20"/>
        </w:rPr>
        <w:t>.</w:t>
      </w:r>
    </w:p>
    <w:p w14:paraId="6385761D" w14:textId="69C85B31" w:rsidR="007E6163" w:rsidRDefault="007E6163" w:rsidP="00BF38A1">
      <w:pPr>
        <w:pStyle w:val="Heading1"/>
        <w:numPr>
          <w:ilvl w:val="0"/>
          <w:numId w:val="5"/>
        </w:numPr>
        <w:rPr>
          <w:rFonts w:ascii="Verdana" w:hAnsi="Verdana"/>
          <w:sz w:val="20"/>
          <w:szCs w:val="20"/>
        </w:rPr>
      </w:pPr>
      <w:r>
        <w:rPr>
          <w:rFonts w:ascii="Verdana" w:hAnsi="Verdana"/>
          <w:sz w:val="20"/>
          <w:szCs w:val="20"/>
        </w:rPr>
        <w:t>Justifying unauthorised samples in court…</w:t>
      </w:r>
    </w:p>
    <w:p w14:paraId="12111F4A" w14:textId="236856D7" w:rsidR="007E6163" w:rsidRDefault="00516C0F" w:rsidP="007A73C9">
      <w:pPr>
        <w:spacing w:before="240" w:line="360" w:lineRule="auto"/>
        <w:jc w:val="both"/>
      </w:pPr>
      <w:r>
        <w:t xml:space="preserve">But is it really necessary for anyone wishing to use digital sampling to seek the right-holders’ permission? This section explores when it might be possible for a sampler to argue that their work is lawful, even if the use is without </w:t>
      </w:r>
      <w:r w:rsidR="007E6163">
        <w:t xml:space="preserve">prior authorisation or </w:t>
      </w:r>
      <w:r>
        <w:t xml:space="preserve">a </w:t>
      </w:r>
      <w:r w:rsidR="007E6163">
        <w:t>licence</w:t>
      </w:r>
      <w:r>
        <w:t>.</w:t>
      </w:r>
      <w:r w:rsidR="007E6163">
        <w:t xml:space="preserve"> </w:t>
      </w:r>
    </w:p>
    <w:p w14:paraId="20EF110A" w14:textId="08DCD43F" w:rsidR="00E661BB" w:rsidRDefault="006903C4" w:rsidP="00035BA4">
      <w:pPr>
        <w:spacing w:before="240" w:line="360" w:lineRule="auto"/>
        <w:jc w:val="both"/>
        <w:rPr>
          <w:bCs/>
          <w:iCs/>
          <w:szCs w:val="20"/>
          <w:lang w:eastAsia="en-GB"/>
        </w:rPr>
      </w:pPr>
      <w:r>
        <w:rPr>
          <w:bCs/>
          <w:iCs/>
          <w:szCs w:val="20"/>
          <w:lang w:eastAsia="en-GB"/>
        </w:rPr>
        <w:t xml:space="preserve">As a </w:t>
      </w:r>
      <w:r w:rsidR="00E661BB">
        <w:rPr>
          <w:bCs/>
          <w:iCs/>
          <w:szCs w:val="20"/>
          <w:lang w:eastAsia="en-GB"/>
        </w:rPr>
        <w:t xml:space="preserve">line of defence, a sampler may concede that the sampling does reproduce a substantial part of the work, but </w:t>
      </w:r>
      <w:r w:rsidR="007E6163">
        <w:rPr>
          <w:bCs/>
          <w:iCs/>
          <w:szCs w:val="20"/>
          <w:lang w:eastAsia="en-GB"/>
        </w:rPr>
        <w:t xml:space="preserve">argue that </w:t>
      </w:r>
      <w:r w:rsidR="00E661BB">
        <w:rPr>
          <w:bCs/>
          <w:iCs/>
          <w:szCs w:val="20"/>
          <w:lang w:eastAsia="en-GB"/>
        </w:rPr>
        <w:t>the use is non-infringing because it is of the special types of use which falls within one of the recognised exceptions of permitted use, as f</w:t>
      </w:r>
      <w:r w:rsidR="007E6163">
        <w:rPr>
          <w:bCs/>
          <w:iCs/>
          <w:szCs w:val="20"/>
          <w:lang w:eastAsia="en-GB"/>
        </w:rPr>
        <w:t>air dealing</w:t>
      </w:r>
      <w:r w:rsidR="00E661BB">
        <w:rPr>
          <w:bCs/>
          <w:iCs/>
          <w:szCs w:val="20"/>
          <w:lang w:eastAsia="en-GB"/>
        </w:rPr>
        <w:t>.</w:t>
      </w:r>
      <w:r w:rsidR="00AD58C0">
        <w:rPr>
          <w:bCs/>
          <w:iCs/>
          <w:szCs w:val="20"/>
          <w:lang w:eastAsia="en-GB"/>
        </w:rPr>
        <w:t xml:space="preserve"> According to the CJEU, copyright exceptions must be interpreted strictly in light of their purposes and objectives</w:t>
      </w:r>
      <w:r w:rsidR="003D3B04">
        <w:rPr>
          <w:rStyle w:val="FootnoteReference"/>
          <w:bCs/>
          <w:iCs/>
          <w:szCs w:val="20"/>
          <w:lang w:eastAsia="en-GB"/>
        </w:rPr>
        <w:footnoteReference w:id="38"/>
      </w:r>
      <w:r w:rsidR="00AD58C0">
        <w:rPr>
          <w:bCs/>
          <w:iCs/>
          <w:szCs w:val="20"/>
          <w:lang w:eastAsia="en-GB"/>
        </w:rPr>
        <w:t>.</w:t>
      </w:r>
      <w:r w:rsidR="003D3B04">
        <w:rPr>
          <w:bCs/>
          <w:iCs/>
          <w:szCs w:val="20"/>
          <w:lang w:eastAsia="en-GB"/>
        </w:rPr>
        <w:t xml:space="preserve"> But also, </w:t>
      </w:r>
      <w:r w:rsidR="008925BE">
        <w:rPr>
          <w:bCs/>
          <w:iCs/>
          <w:szCs w:val="20"/>
          <w:lang w:eastAsia="en-GB"/>
        </w:rPr>
        <w:t>the interpretation of copyright exceptions must take into consideration the increasing role of fundamental rights in the copyright paradigm by requiring courts to strike a fair balance between the right to freedom of expression and the interests and rights of authors and right-holders</w:t>
      </w:r>
      <w:r w:rsidR="008925BE">
        <w:rPr>
          <w:rStyle w:val="FootnoteReference"/>
          <w:bCs/>
          <w:iCs/>
          <w:szCs w:val="20"/>
          <w:lang w:eastAsia="en-GB"/>
        </w:rPr>
        <w:footnoteReference w:id="39"/>
      </w:r>
      <w:r w:rsidR="008925BE">
        <w:rPr>
          <w:bCs/>
          <w:iCs/>
          <w:szCs w:val="20"/>
          <w:lang w:eastAsia="en-GB"/>
        </w:rPr>
        <w:t>.</w:t>
      </w:r>
    </w:p>
    <w:p w14:paraId="1E849634" w14:textId="405AA0FB" w:rsidR="0030695E" w:rsidRPr="00A0041E" w:rsidRDefault="00B76F23" w:rsidP="00035BA4">
      <w:pPr>
        <w:spacing w:before="240" w:line="360" w:lineRule="auto"/>
        <w:jc w:val="both"/>
        <w:rPr>
          <w:rFonts w:cs="HelveticaNeueLTStd-It"/>
          <w:iCs/>
          <w:szCs w:val="20"/>
        </w:rPr>
      </w:pPr>
      <w:r>
        <w:rPr>
          <w:bCs/>
          <w:iCs/>
          <w:szCs w:val="20"/>
          <w:lang w:eastAsia="en-GB"/>
        </w:rPr>
        <w:t>Section 30 CPDA 1988 allow</w:t>
      </w:r>
      <w:r w:rsidR="00E661BB">
        <w:rPr>
          <w:bCs/>
          <w:iCs/>
          <w:szCs w:val="20"/>
          <w:lang w:eastAsia="en-GB"/>
        </w:rPr>
        <w:t xml:space="preserve">s use of a protected work </w:t>
      </w:r>
      <w:r>
        <w:rPr>
          <w:bCs/>
          <w:iCs/>
          <w:szCs w:val="20"/>
          <w:lang w:eastAsia="en-GB"/>
        </w:rPr>
        <w:t>for</w:t>
      </w:r>
      <w:r w:rsidR="00E661BB">
        <w:rPr>
          <w:bCs/>
          <w:iCs/>
          <w:szCs w:val="20"/>
          <w:lang w:eastAsia="en-GB"/>
        </w:rPr>
        <w:t xml:space="preserve"> quotation</w:t>
      </w:r>
      <w:r w:rsidR="007E6163">
        <w:rPr>
          <w:rStyle w:val="FootnoteReference"/>
          <w:bCs/>
          <w:iCs/>
          <w:szCs w:val="20"/>
          <w:lang w:eastAsia="en-GB"/>
        </w:rPr>
        <w:footnoteReference w:id="40"/>
      </w:r>
      <w:r w:rsidR="007E6163">
        <w:rPr>
          <w:bCs/>
          <w:iCs/>
          <w:szCs w:val="20"/>
          <w:lang w:eastAsia="en-GB"/>
        </w:rPr>
        <w:t>.</w:t>
      </w:r>
      <w:r w:rsidR="00E661BB">
        <w:rPr>
          <w:bCs/>
          <w:iCs/>
          <w:szCs w:val="20"/>
          <w:lang w:eastAsia="en-GB"/>
        </w:rPr>
        <w:t xml:space="preserve"> This</w:t>
      </w:r>
      <w:r w:rsidR="007E6163">
        <w:rPr>
          <w:bCs/>
          <w:iCs/>
          <w:szCs w:val="20"/>
          <w:lang w:eastAsia="en-GB"/>
        </w:rPr>
        <w:t xml:space="preserve"> </w:t>
      </w:r>
      <w:r w:rsidR="00E661BB">
        <w:rPr>
          <w:bCs/>
          <w:iCs/>
          <w:szCs w:val="20"/>
          <w:lang w:eastAsia="en-GB"/>
        </w:rPr>
        <w:t xml:space="preserve">provision </w:t>
      </w:r>
      <w:r w:rsidR="007E6163">
        <w:rPr>
          <w:bCs/>
          <w:iCs/>
          <w:szCs w:val="20"/>
          <w:lang w:eastAsia="en-GB"/>
        </w:rPr>
        <w:t xml:space="preserve">allows </w:t>
      </w:r>
      <w:r w:rsidR="00E661BB">
        <w:rPr>
          <w:bCs/>
          <w:iCs/>
          <w:szCs w:val="20"/>
          <w:lang w:eastAsia="en-GB"/>
        </w:rPr>
        <w:t xml:space="preserve">a copyright </w:t>
      </w:r>
      <w:r w:rsidR="007E6163">
        <w:rPr>
          <w:bCs/>
          <w:iCs/>
          <w:szCs w:val="20"/>
          <w:lang w:eastAsia="en-GB"/>
        </w:rPr>
        <w:t>work to be copied for the purpose of quotation</w:t>
      </w:r>
      <w:r w:rsidR="00A0041E">
        <w:rPr>
          <w:rStyle w:val="FootnoteReference"/>
          <w:bCs/>
          <w:iCs/>
          <w:szCs w:val="20"/>
          <w:lang w:eastAsia="en-GB"/>
        </w:rPr>
        <w:footnoteReference w:id="41"/>
      </w:r>
      <w:r w:rsidR="00E661BB">
        <w:rPr>
          <w:bCs/>
          <w:iCs/>
          <w:szCs w:val="20"/>
          <w:lang w:eastAsia="en-GB"/>
        </w:rPr>
        <w:t>,</w:t>
      </w:r>
      <w:r w:rsidR="007E6163">
        <w:rPr>
          <w:bCs/>
          <w:iCs/>
          <w:szCs w:val="20"/>
          <w:lang w:eastAsia="en-GB"/>
        </w:rPr>
        <w:t xml:space="preserve"> provided that the use satisfies four requirements</w:t>
      </w:r>
      <w:r w:rsidR="00885DB9">
        <w:rPr>
          <w:rStyle w:val="FootnoteReference"/>
          <w:bCs/>
          <w:iCs/>
          <w:szCs w:val="20"/>
          <w:lang w:eastAsia="en-GB"/>
        </w:rPr>
        <w:footnoteReference w:id="42"/>
      </w:r>
      <w:r w:rsidR="007E6163">
        <w:rPr>
          <w:bCs/>
          <w:iCs/>
          <w:szCs w:val="20"/>
          <w:lang w:eastAsia="en-GB"/>
        </w:rPr>
        <w:t>: the work must have been made available to the public</w:t>
      </w:r>
      <w:r w:rsidR="00E661BB">
        <w:rPr>
          <w:bCs/>
          <w:iCs/>
          <w:szCs w:val="20"/>
          <w:lang w:eastAsia="en-GB"/>
        </w:rPr>
        <w:t>;</w:t>
      </w:r>
      <w:r w:rsidR="007E6163">
        <w:rPr>
          <w:bCs/>
          <w:iCs/>
          <w:szCs w:val="20"/>
          <w:lang w:eastAsia="en-GB"/>
        </w:rPr>
        <w:t xml:space="preserve"> the use must be fair</w:t>
      </w:r>
      <w:r w:rsidR="00E661BB">
        <w:rPr>
          <w:bCs/>
          <w:iCs/>
          <w:szCs w:val="20"/>
          <w:lang w:eastAsia="en-GB"/>
        </w:rPr>
        <w:t>;</w:t>
      </w:r>
      <w:r w:rsidR="007E6163">
        <w:rPr>
          <w:bCs/>
          <w:iCs/>
          <w:szCs w:val="20"/>
          <w:lang w:eastAsia="en-GB"/>
        </w:rPr>
        <w:t xml:space="preserve"> the </w:t>
      </w:r>
      <w:r w:rsidR="00E661BB">
        <w:rPr>
          <w:bCs/>
          <w:iCs/>
          <w:szCs w:val="20"/>
          <w:lang w:eastAsia="en-GB"/>
        </w:rPr>
        <w:t xml:space="preserve">length </w:t>
      </w:r>
      <w:r w:rsidR="007E6163">
        <w:rPr>
          <w:bCs/>
          <w:iCs/>
          <w:szCs w:val="20"/>
          <w:lang w:eastAsia="en-GB"/>
        </w:rPr>
        <w:t xml:space="preserve">of the quotation </w:t>
      </w:r>
      <w:r w:rsidR="00E661BB">
        <w:rPr>
          <w:bCs/>
          <w:iCs/>
          <w:szCs w:val="20"/>
          <w:lang w:eastAsia="en-GB"/>
        </w:rPr>
        <w:t xml:space="preserve">must be </w:t>
      </w:r>
      <w:r w:rsidR="007E6163">
        <w:rPr>
          <w:bCs/>
          <w:iCs/>
          <w:szCs w:val="20"/>
          <w:lang w:eastAsia="en-GB"/>
        </w:rPr>
        <w:t>reasonable</w:t>
      </w:r>
      <w:r w:rsidR="00E661BB">
        <w:rPr>
          <w:bCs/>
          <w:iCs/>
          <w:szCs w:val="20"/>
          <w:lang w:eastAsia="en-GB"/>
        </w:rPr>
        <w:t xml:space="preserve">; and </w:t>
      </w:r>
      <w:r w:rsidR="007E6163">
        <w:rPr>
          <w:bCs/>
          <w:iCs/>
          <w:szCs w:val="20"/>
          <w:lang w:eastAsia="en-GB"/>
        </w:rPr>
        <w:t xml:space="preserve">sufficient acknowledgement </w:t>
      </w:r>
      <w:r w:rsidR="00E661BB">
        <w:rPr>
          <w:bCs/>
          <w:iCs/>
          <w:szCs w:val="20"/>
          <w:lang w:eastAsia="en-GB"/>
        </w:rPr>
        <w:t xml:space="preserve">of the original work </w:t>
      </w:r>
      <w:r w:rsidR="007E6163">
        <w:rPr>
          <w:bCs/>
          <w:iCs/>
          <w:szCs w:val="20"/>
          <w:lang w:eastAsia="en-GB"/>
        </w:rPr>
        <w:t>must be made</w:t>
      </w:r>
      <w:r w:rsidR="007E6163">
        <w:rPr>
          <w:rStyle w:val="FootnoteReference"/>
          <w:bCs/>
          <w:iCs/>
          <w:szCs w:val="20"/>
          <w:lang w:eastAsia="en-GB"/>
        </w:rPr>
        <w:footnoteReference w:id="43"/>
      </w:r>
      <w:r w:rsidR="007E6163">
        <w:rPr>
          <w:bCs/>
          <w:iCs/>
          <w:szCs w:val="20"/>
          <w:lang w:eastAsia="en-GB"/>
        </w:rPr>
        <w:t xml:space="preserve">. </w:t>
      </w:r>
      <w:r w:rsidR="00E661BB">
        <w:rPr>
          <w:bCs/>
          <w:iCs/>
          <w:szCs w:val="20"/>
          <w:lang w:eastAsia="en-GB"/>
        </w:rPr>
        <w:t>Although t</w:t>
      </w:r>
      <w:r w:rsidR="007E6163">
        <w:rPr>
          <w:bCs/>
          <w:iCs/>
          <w:szCs w:val="20"/>
          <w:lang w:eastAsia="en-GB"/>
        </w:rPr>
        <w:t>h</w:t>
      </w:r>
      <w:r w:rsidR="00E661BB">
        <w:rPr>
          <w:bCs/>
          <w:iCs/>
          <w:szCs w:val="20"/>
          <w:lang w:eastAsia="en-GB"/>
        </w:rPr>
        <w:t xml:space="preserve">is defence is relied upon most frequently </w:t>
      </w:r>
      <w:r w:rsidR="007E6163">
        <w:rPr>
          <w:bCs/>
          <w:iCs/>
          <w:szCs w:val="20"/>
          <w:lang w:eastAsia="en-GB"/>
        </w:rPr>
        <w:t xml:space="preserve">in relation to literary works, </w:t>
      </w:r>
      <w:r w:rsidR="00E661BB">
        <w:rPr>
          <w:bCs/>
          <w:iCs/>
          <w:szCs w:val="20"/>
          <w:lang w:eastAsia="en-GB"/>
        </w:rPr>
        <w:t xml:space="preserve">there is </w:t>
      </w:r>
      <w:r w:rsidR="007E6163">
        <w:rPr>
          <w:bCs/>
          <w:iCs/>
          <w:szCs w:val="20"/>
          <w:lang w:eastAsia="en-GB"/>
        </w:rPr>
        <w:t xml:space="preserve">nothing </w:t>
      </w:r>
      <w:r w:rsidR="00E661BB">
        <w:rPr>
          <w:bCs/>
          <w:iCs/>
          <w:szCs w:val="20"/>
          <w:lang w:eastAsia="en-GB"/>
        </w:rPr>
        <w:t xml:space="preserve">in the legislation to </w:t>
      </w:r>
      <w:r w:rsidR="007E6163">
        <w:rPr>
          <w:bCs/>
          <w:iCs/>
          <w:szCs w:val="20"/>
          <w:lang w:eastAsia="en-GB"/>
        </w:rPr>
        <w:t>prevent</w:t>
      </w:r>
      <w:r w:rsidR="00E661BB">
        <w:rPr>
          <w:bCs/>
          <w:iCs/>
          <w:szCs w:val="20"/>
          <w:lang w:eastAsia="en-GB"/>
        </w:rPr>
        <w:t xml:space="preserve"> </w:t>
      </w:r>
      <w:r w:rsidR="00F5256E">
        <w:rPr>
          <w:bCs/>
          <w:iCs/>
          <w:szCs w:val="20"/>
          <w:lang w:eastAsia="en-GB"/>
        </w:rPr>
        <w:t xml:space="preserve">it from </w:t>
      </w:r>
      <w:r w:rsidR="00E661BB">
        <w:rPr>
          <w:bCs/>
          <w:iCs/>
          <w:szCs w:val="20"/>
          <w:lang w:eastAsia="en-GB"/>
        </w:rPr>
        <w:t xml:space="preserve">applying equally to </w:t>
      </w:r>
      <w:r w:rsidR="007E6163">
        <w:rPr>
          <w:bCs/>
          <w:iCs/>
          <w:szCs w:val="20"/>
          <w:lang w:eastAsia="en-GB"/>
        </w:rPr>
        <w:t xml:space="preserve">a sound recording </w:t>
      </w:r>
      <w:r w:rsidR="00A0041E">
        <w:rPr>
          <w:bCs/>
          <w:iCs/>
          <w:szCs w:val="20"/>
          <w:lang w:eastAsia="en-GB"/>
        </w:rPr>
        <w:t>or musical work</w:t>
      </w:r>
      <w:r w:rsidR="00E661BB">
        <w:rPr>
          <w:rStyle w:val="FootnoteReference"/>
          <w:bCs/>
          <w:iCs/>
          <w:szCs w:val="20"/>
          <w:lang w:eastAsia="en-GB"/>
        </w:rPr>
        <w:footnoteReference w:id="44"/>
      </w:r>
      <w:r w:rsidR="00A0041E">
        <w:rPr>
          <w:bCs/>
          <w:iCs/>
          <w:szCs w:val="20"/>
          <w:lang w:eastAsia="en-GB"/>
        </w:rPr>
        <w:t>.</w:t>
      </w:r>
      <w:r w:rsidR="007E6163">
        <w:rPr>
          <w:bCs/>
          <w:iCs/>
          <w:szCs w:val="20"/>
          <w:lang w:eastAsia="en-GB"/>
        </w:rPr>
        <w:t xml:space="preserve"> </w:t>
      </w:r>
      <w:r w:rsidR="00F5256E">
        <w:rPr>
          <w:bCs/>
          <w:iCs/>
          <w:szCs w:val="20"/>
          <w:lang w:eastAsia="en-GB"/>
        </w:rPr>
        <w:t xml:space="preserve">So, </w:t>
      </w:r>
      <w:r w:rsidR="007E6163">
        <w:rPr>
          <w:bCs/>
          <w:iCs/>
          <w:szCs w:val="20"/>
          <w:lang w:eastAsia="en-GB"/>
        </w:rPr>
        <w:t xml:space="preserve">it remains </w:t>
      </w:r>
      <w:r w:rsidR="007E6163">
        <w:rPr>
          <w:bCs/>
          <w:iCs/>
          <w:szCs w:val="20"/>
          <w:lang w:eastAsia="en-GB"/>
        </w:rPr>
        <w:lastRenderedPageBreak/>
        <w:t xml:space="preserve">to be seen whether some samples might fall within the scope of this provision. </w:t>
      </w:r>
      <w:r w:rsidR="00F5256E">
        <w:rPr>
          <w:bCs/>
          <w:iCs/>
          <w:szCs w:val="20"/>
          <w:lang w:eastAsia="en-GB"/>
        </w:rPr>
        <w:t xml:space="preserve">What is significant is an </w:t>
      </w:r>
      <w:r w:rsidR="007E6163">
        <w:rPr>
          <w:bCs/>
          <w:iCs/>
          <w:szCs w:val="20"/>
          <w:lang w:eastAsia="en-GB"/>
        </w:rPr>
        <w:t xml:space="preserve">emphasis is </w:t>
      </w:r>
      <w:r w:rsidR="00F5256E">
        <w:rPr>
          <w:bCs/>
          <w:iCs/>
          <w:szCs w:val="20"/>
          <w:lang w:eastAsia="en-GB"/>
        </w:rPr>
        <w:t xml:space="preserve">placed upon </w:t>
      </w:r>
      <w:r w:rsidR="007E6163">
        <w:rPr>
          <w:bCs/>
          <w:iCs/>
          <w:szCs w:val="20"/>
          <w:lang w:eastAsia="en-GB"/>
        </w:rPr>
        <w:t xml:space="preserve">the </w:t>
      </w:r>
      <w:r w:rsidR="00F5256E">
        <w:rPr>
          <w:bCs/>
          <w:iCs/>
          <w:szCs w:val="20"/>
          <w:lang w:eastAsia="en-GB"/>
        </w:rPr>
        <w:t xml:space="preserve">quantitative </w:t>
      </w:r>
      <w:r w:rsidR="007E6163">
        <w:rPr>
          <w:bCs/>
          <w:iCs/>
          <w:szCs w:val="20"/>
          <w:lang w:eastAsia="en-GB"/>
        </w:rPr>
        <w:t>amount copied</w:t>
      </w:r>
      <w:r w:rsidR="00605323">
        <w:rPr>
          <w:rStyle w:val="FootnoteReference"/>
          <w:bCs/>
          <w:iCs/>
          <w:szCs w:val="20"/>
          <w:lang w:eastAsia="en-GB"/>
        </w:rPr>
        <w:footnoteReference w:id="45"/>
      </w:r>
      <w:r w:rsidR="007E6163">
        <w:rPr>
          <w:bCs/>
          <w:iCs/>
          <w:szCs w:val="20"/>
          <w:lang w:eastAsia="en-GB"/>
        </w:rPr>
        <w:t xml:space="preserve">. </w:t>
      </w:r>
      <w:r w:rsidR="00F5256E">
        <w:rPr>
          <w:bCs/>
          <w:iCs/>
          <w:szCs w:val="20"/>
          <w:lang w:eastAsia="en-GB"/>
        </w:rPr>
        <w:t xml:space="preserve">In the absence of any judicial guidance, it </w:t>
      </w:r>
      <w:r w:rsidR="007E6163">
        <w:rPr>
          <w:bCs/>
          <w:iCs/>
          <w:szCs w:val="20"/>
          <w:lang w:eastAsia="en-GB"/>
        </w:rPr>
        <w:t>is su</w:t>
      </w:r>
      <w:r w:rsidR="00F5256E">
        <w:rPr>
          <w:bCs/>
          <w:iCs/>
          <w:szCs w:val="20"/>
          <w:lang w:eastAsia="en-GB"/>
        </w:rPr>
        <w:t xml:space="preserve">bmitted that </w:t>
      </w:r>
      <w:r w:rsidR="007E6163">
        <w:rPr>
          <w:bCs/>
          <w:iCs/>
          <w:szCs w:val="20"/>
          <w:lang w:eastAsia="en-GB"/>
        </w:rPr>
        <w:t xml:space="preserve">any </w:t>
      </w:r>
      <w:r w:rsidR="00F5256E">
        <w:rPr>
          <w:bCs/>
          <w:iCs/>
          <w:szCs w:val="20"/>
          <w:lang w:eastAsia="en-GB"/>
        </w:rPr>
        <w:t>‘</w:t>
      </w:r>
      <w:r w:rsidR="007E6163">
        <w:rPr>
          <w:bCs/>
          <w:iCs/>
          <w:szCs w:val="20"/>
          <w:lang w:eastAsia="en-GB"/>
        </w:rPr>
        <w:t>quotation</w:t>
      </w:r>
      <w:r w:rsidR="00F5256E">
        <w:rPr>
          <w:bCs/>
          <w:iCs/>
          <w:szCs w:val="20"/>
          <w:lang w:eastAsia="en-GB"/>
        </w:rPr>
        <w:t>’</w:t>
      </w:r>
      <w:r w:rsidR="007E6163">
        <w:rPr>
          <w:bCs/>
          <w:iCs/>
          <w:szCs w:val="20"/>
          <w:lang w:eastAsia="en-GB"/>
        </w:rPr>
        <w:t xml:space="preserve"> which </w:t>
      </w:r>
      <w:r w:rsidR="00F5256E">
        <w:rPr>
          <w:bCs/>
          <w:iCs/>
          <w:szCs w:val="20"/>
          <w:lang w:eastAsia="en-GB"/>
        </w:rPr>
        <w:t xml:space="preserve">is so long as to </w:t>
      </w:r>
      <w:r w:rsidR="007E6163">
        <w:rPr>
          <w:bCs/>
          <w:iCs/>
          <w:szCs w:val="20"/>
          <w:lang w:eastAsia="en-GB"/>
        </w:rPr>
        <w:t xml:space="preserve">conflict with the normal exploitation of the </w:t>
      </w:r>
      <w:r w:rsidR="00F5256E">
        <w:rPr>
          <w:bCs/>
          <w:iCs/>
          <w:szCs w:val="20"/>
          <w:lang w:eastAsia="en-GB"/>
        </w:rPr>
        <w:t xml:space="preserve">original </w:t>
      </w:r>
      <w:r w:rsidR="007E6163">
        <w:rPr>
          <w:bCs/>
          <w:iCs/>
          <w:szCs w:val="20"/>
          <w:lang w:eastAsia="en-GB"/>
        </w:rPr>
        <w:t xml:space="preserve">work </w:t>
      </w:r>
      <w:r w:rsidR="000E426A">
        <w:rPr>
          <w:bCs/>
          <w:iCs/>
          <w:szCs w:val="20"/>
          <w:lang w:eastAsia="en-GB"/>
        </w:rPr>
        <w:t xml:space="preserve">would </w:t>
      </w:r>
      <w:r w:rsidR="007E6163">
        <w:rPr>
          <w:bCs/>
          <w:iCs/>
          <w:szCs w:val="20"/>
          <w:lang w:eastAsia="en-GB"/>
        </w:rPr>
        <w:t>fall</w:t>
      </w:r>
      <w:r w:rsidR="000E426A">
        <w:rPr>
          <w:bCs/>
          <w:iCs/>
          <w:szCs w:val="20"/>
          <w:lang w:eastAsia="en-GB"/>
        </w:rPr>
        <w:t xml:space="preserve"> </w:t>
      </w:r>
      <w:r w:rsidR="007E6163">
        <w:rPr>
          <w:bCs/>
          <w:iCs/>
          <w:szCs w:val="20"/>
          <w:lang w:eastAsia="en-GB"/>
        </w:rPr>
        <w:t xml:space="preserve">outside the scope of the exception.  </w:t>
      </w:r>
      <w:r w:rsidR="000E426A">
        <w:rPr>
          <w:bCs/>
          <w:iCs/>
          <w:szCs w:val="20"/>
          <w:lang w:eastAsia="en-GB"/>
        </w:rPr>
        <w:t>In the case of a typical sample, the new work is unlikely to detract from sales of the original work (indeed, it may even reinvigorate interest in the original work). Given that the first requirement is always likely to be satisfied, and that the original work may be acknowledged in the promotional material accompanying the new work, reliance on the quotation exception seems plausible</w:t>
      </w:r>
      <w:r w:rsidR="00D40F5F">
        <w:rPr>
          <w:bCs/>
          <w:iCs/>
          <w:szCs w:val="20"/>
          <w:lang w:eastAsia="en-GB"/>
        </w:rPr>
        <w:t xml:space="preserve"> in limited cases</w:t>
      </w:r>
      <w:r w:rsidR="000E426A">
        <w:rPr>
          <w:bCs/>
          <w:iCs/>
          <w:szCs w:val="20"/>
          <w:lang w:eastAsia="en-GB"/>
        </w:rPr>
        <w:t xml:space="preserve">.  </w:t>
      </w:r>
      <w:r w:rsidR="007F0DC9">
        <w:rPr>
          <w:bCs/>
          <w:iCs/>
          <w:szCs w:val="20"/>
          <w:lang w:eastAsia="en-GB"/>
        </w:rPr>
        <w:t xml:space="preserve">Especially </w:t>
      </w:r>
      <w:r w:rsidR="0030695E">
        <w:rPr>
          <w:bCs/>
          <w:iCs/>
          <w:szCs w:val="20"/>
          <w:lang w:eastAsia="en-GB"/>
        </w:rPr>
        <w:t xml:space="preserve">since </w:t>
      </w:r>
      <w:r w:rsidR="007F0DC9">
        <w:rPr>
          <w:bCs/>
          <w:iCs/>
          <w:szCs w:val="20"/>
          <w:lang w:eastAsia="en-GB"/>
        </w:rPr>
        <w:t xml:space="preserve">that in </w:t>
      </w:r>
      <w:r w:rsidR="007F0DC9" w:rsidRPr="0030695E">
        <w:rPr>
          <w:rFonts w:cs="HelveticaNeueLTStd-It"/>
          <w:i/>
          <w:iCs/>
          <w:szCs w:val="20"/>
        </w:rPr>
        <w:t xml:space="preserve">Eva-Maria </w:t>
      </w:r>
      <w:proofErr w:type="spellStart"/>
      <w:r w:rsidR="007F0DC9" w:rsidRPr="0030695E">
        <w:rPr>
          <w:rFonts w:cs="HelveticaNeueLTStd-It"/>
          <w:i/>
          <w:iCs/>
          <w:szCs w:val="20"/>
        </w:rPr>
        <w:t>Painer</w:t>
      </w:r>
      <w:proofErr w:type="spellEnd"/>
      <w:r w:rsidR="007F0DC9" w:rsidRPr="0030695E">
        <w:rPr>
          <w:rFonts w:cs="HelveticaNeueLTStd-It"/>
          <w:i/>
          <w:iCs/>
          <w:szCs w:val="20"/>
        </w:rPr>
        <w:t xml:space="preserve"> v. Standard </w:t>
      </w:r>
      <w:proofErr w:type="spellStart"/>
      <w:r w:rsidR="007F0DC9" w:rsidRPr="0030695E">
        <w:rPr>
          <w:rFonts w:cs="HelveticaNeueLTStd-It"/>
          <w:i/>
          <w:iCs/>
          <w:szCs w:val="20"/>
        </w:rPr>
        <w:t>Verlags</w:t>
      </w:r>
      <w:proofErr w:type="spellEnd"/>
      <w:r w:rsidR="007F0DC9" w:rsidRPr="0030695E">
        <w:rPr>
          <w:rFonts w:cs="HelveticaNeueLTStd-It"/>
          <w:i/>
          <w:iCs/>
          <w:szCs w:val="20"/>
        </w:rPr>
        <w:t xml:space="preserve"> GmbH and others</w:t>
      </w:r>
      <w:r w:rsidR="007F0DC9" w:rsidRPr="0030695E">
        <w:rPr>
          <w:rStyle w:val="FootnoteReference"/>
          <w:rFonts w:cs="HelveticaNeueLTStd-It"/>
          <w:iCs/>
          <w:szCs w:val="20"/>
        </w:rPr>
        <w:footnoteReference w:id="46"/>
      </w:r>
      <w:r w:rsidR="0030695E" w:rsidRPr="0030695E">
        <w:rPr>
          <w:rFonts w:cs="HelveticaNeueLTStd-It"/>
          <w:iCs/>
          <w:szCs w:val="20"/>
        </w:rPr>
        <w:t xml:space="preserve"> in 2011,</w:t>
      </w:r>
      <w:r w:rsidR="0030695E">
        <w:rPr>
          <w:rFonts w:cs="HelveticaNeueLTStd-It"/>
          <w:iCs/>
          <w:szCs w:val="20"/>
        </w:rPr>
        <w:t xml:space="preserve"> the CJEU held that </w:t>
      </w:r>
      <w:proofErr w:type="gramStart"/>
      <w:r w:rsidR="0030695E">
        <w:rPr>
          <w:rFonts w:cs="HelveticaNeueLTStd-It"/>
          <w:iCs/>
          <w:szCs w:val="20"/>
        </w:rPr>
        <w:t>a photography</w:t>
      </w:r>
      <w:proofErr w:type="gramEnd"/>
      <w:r w:rsidR="0030695E">
        <w:rPr>
          <w:rFonts w:cs="HelveticaNeueLTStd-It"/>
          <w:iCs/>
          <w:szCs w:val="20"/>
        </w:rPr>
        <w:t xml:space="preserve"> could be quoted as long as this one had already been published and was adequately acknowledging its author when possible. </w:t>
      </w:r>
      <w:r w:rsidR="00A0041E">
        <w:rPr>
          <w:rFonts w:cs="HelveticaNeueLTStd-It"/>
          <w:iCs/>
          <w:szCs w:val="20"/>
        </w:rPr>
        <w:t>Whilst</w:t>
      </w:r>
      <w:r w:rsidR="0030695E">
        <w:rPr>
          <w:rFonts w:cs="HelveticaNeueLTStd-It"/>
          <w:iCs/>
          <w:szCs w:val="20"/>
        </w:rPr>
        <w:t xml:space="preserve"> there is no reason to outright strike out the possibility to rely on the quotation defence in music</w:t>
      </w:r>
      <w:r w:rsidR="00A0041E">
        <w:rPr>
          <w:rFonts w:cs="HelveticaNeueLTStd-It"/>
          <w:iCs/>
          <w:szCs w:val="20"/>
        </w:rPr>
        <w:t xml:space="preserve">, it will be of </w:t>
      </w:r>
      <w:r w:rsidR="00A0041E" w:rsidRPr="00A0041E">
        <w:rPr>
          <w:rFonts w:cs="HelveticaNeueLTStd-It"/>
          <w:iCs/>
          <w:szCs w:val="20"/>
        </w:rPr>
        <w:t xml:space="preserve">limited assistance to music sampling as </w:t>
      </w:r>
      <w:r w:rsidR="00A0041E" w:rsidRPr="00A0041E">
        <w:rPr>
          <w:szCs w:val="20"/>
        </w:rPr>
        <w:t xml:space="preserve">in </w:t>
      </w:r>
      <w:proofErr w:type="spellStart"/>
      <w:r w:rsidR="00A0041E" w:rsidRPr="00A0041E">
        <w:rPr>
          <w:i/>
          <w:szCs w:val="20"/>
        </w:rPr>
        <w:t>Painer</w:t>
      </w:r>
      <w:proofErr w:type="spellEnd"/>
      <w:r w:rsidR="00A0041E" w:rsidRPr="00A0041E">
        <w:rPr>
          <w:szCs w:val="20"/>
        </w:rPr>
        <w:t>, the AG seems to interpret ‘quotation’ in a narrow way which could exclude music samplers unless the latter are able to demonstrate that the quotation ‘</w:t>
      </w:r>
      <w:r w:rsidR="00A0041E" w:rsidRPr="00A0041E">
        <w:rPr>
          <w:i/>
          <w:color w:val="333333"/>
          <w:szCs w:val="20"/>
          <w:shd w:val="clear" w:color="auto" w:fill="FFFFFF"/>
        </w:rPr>
        <w:t>is reproduced without modification in identifiable form</w:t>
      </w:r>
      <w:r w:rsidR="00A0041E" w:rsidRPr="00A0041E">
        <w:rPr>
          <w:color w:val="333333"/>
          <w:szCs w:val="20"/>
          <w:shd w:val="clear" w:color="auto" w:fill="FFFFFF"/>
        </w:rPr>
        <w:t xml:space="preserve">’ and </w:t>
      </w:r>
      <w:r w:rsidR="00A0041E" w:rsidRPr="00A0041E">
        <w:rPr>
          <w:i/>
          <w:color w:val="333333"/>
          <w:szCs w:val="20"/>
          <w:shd w:val="clear" w:color="auto" w:fill="FFFFFF"/>
        </w:rPr>
        <w:t>‘(t)here must also be a material reference back to the quoted work in the form of a description, commentary or analysis. The quotation must therefore be a basis for discussion</w:t>
      </w:r>
      <w:r w:rsidR="00A0041E" w:rsidRPr="00A0041E">
        <w:rPr>
          <w:color w:val="333333"/>
          <w:szCs w:val="20"/>
          <w:shd w:val="clear" w:color="auto" w:fill="FFFFFF"/>
        </w:rPr>
        <w:t>’</w:t>
      </w:r>
      <w:r w:rsidR="00A0041E" w:rsidRPr="00A0041E">
        <w:rPr>
          <w:rStyle w:val="FootnoteReference"/>
          <w:rFonts w:cs="HelveticaNeueLTStd-It"/>
          <w:iCs/>
          <w:szCs w:val="20"/>
        </w:rPr>
        <w:footnoteReference w:id="47"/>
      </w:r>
      <w:r w:rsidR="0030695E" w:rsidRPr="00A0041E">
        <w:rPr>
          <w:rFonts w:cs="HelveticaNeueLTStd-It"/>
          <w:iCs/>
          <w:szCs w:val="20"/>
        </w:rPr>
        <w:t>.</w:t>
      </w:r>
    </w:p>
    <w:p w14:paraId="4F3C9F95" w14:textId="72D3E066" w:rsidR="001B64E4" w:rsidRDefault="000E426A" w:rsidP="00035BA4">
      <w:pPr>
        <w:spacing w:before="240" w:line="360" w:lineRule="auto"/>
        <w:jc w:val="both"/>
        <w:rPr>
          <w:szCs w:val="20"/>
          <w:shd w:val="clear" w:color="auto" w:fill="FFFFFF"/>
        </w:rPr>
      </w:pPr>
      <w:r>
        <w:rPr>
          <w:bCs/>
          <w:iCs/>
          <w:szCs w:val="20"/>
          <w:lang w:eastAsia="en-GB"/>
        </w:rPr>
        <w:t xml:space="preserve">Some unauthorised samplers may attempt to </w:t>
      </w:r>
      <w:r w:rsidR="007E6163">
        <w:rPr>
          <w:bCs/>
          <w:iCs/>
          <w:szCs w:val="20"/>
          <w:lang w:eastAsia="en-GB"/>
        </w:rPr>
        <w:t>argue th</w:t>
      </w:r>
      <w:r>
        <w:rPr>
          <w:bCs/>
          <w:iCs/>
          <w:szCs w:val="20"/>
          <w:lang w:eastAsia="en-GB"/>
        </w:rPr>
        <w:t xml:space="preserve">at their use falls under the </w:t>
      </w:r>
      <w:r w:rsidR="007E6163">
        <w:rPr>
          <w:bCs/>
          <w:iCs/>
          <w:szCs w:val="20"/>
          <w:lang w:eastAsia="en-GB"/>
        </w:rPr>
        <w:t xml:space="preserve">newly introduced </w:t>
      </w:r>
      <w:r>
        <w:rPr>
          <w:bCs/>
          <w:iCs/>
          <w:szCs w:val="20"/>
          <w:lang w:eastAsia="en-GB"/>
        </w:rPr>
        <w:t xml:space="preserve">fair dealing </w:t>
      </w:r>
      <w:r w:rsidR="007E6163">
        <w:rPr>
          <w:bCs/>
          <w:iCs/>
          <w:szCs w:val="20"/>
          <w:lang w:eastAsia="en-GB"/>
        </w:rPr>
        <w:t>defence for the purposes of caricature, parody or pastiche</w:t>
      </w:r>
      <w:r w:rsidR="007E6163">
        <w:rPr>
          <w:rStyle w:val="FootnoteReference"/>
          <w:bCs/>
          <w:iCs/>
          <w:szCs w:val="20"/>
          <w:lang w:eastAsia="en-GB"/>
        </w:rPr>
        <w:footnoteReference w:id="48"/>
      </w:r>
      <w:r w:rsidR="007E6163">
        <w:rPr>
          <w:bCs/>
          <w:iCs/>
          <w:szCs w:val="20"/>
          <w:lang w:eastAsia="en-GB"/>
        </w:rPr>
        <w:t>. A</w:t>
      </w:r>
      <w:r w:rsidR="002F7899">
        <w:rPr>
          <w:bCs/>
          <w:iCs/>
          <w:szCs w:val="20"/>
          <w:lang w:eastAsia="en-GB"/>
        </w:rPr>
        <w:t>gain, the CPDA</w:t>
      </w:r>
      <w:r w:rsidR="004D397E">
        <w:rPr>
          <w:bCs/>
          <w:iCs/>
          <w:szCs w:val="20"/>
          <w:lang w:eastAsia="en-GB"/>
        </w:rPr>
        <w:t xml:space="preserve"> 1988</w:t>
      </w:r>
      <w:r w:rsidR="002F7899">
        <w:rPr>
          <w:bCs/>
          <w:iCs/>
          <w:szCs w:val="20"/>
          <w:lang w:eastAsia="en-GB"/>
        </w:rPr>
        <w:t xml:space="preserve"> does not indicate when the </w:t>
      </w:r>
      <w:r w:rsidR="007E6163">
        <w:rPr>
          <w:bCs/>
          <w:iCs/>
          <w:szCs w:val="20"/>
          <w:lang w:eastAsia="en-GB"/>
        </w:rPr>
        <w:t xml:space="preserve">provision </w:t>
      </w:r>
      <w:r w:rsidR="002F7899">
        <w:rPr>
          <w:bCs/>
          <w:iCs/>
          <w:szCs w:val="20"/>
          <w:lang w:eastAsia="en-GB"/>
        </w:rPr>
        <w:t xml:space="preserve">will apply, the </w:t>
      </w:r>
      <w:r w:rsidR="007E6163">
        <w:rPr>
          <w:bCs/>
          <w:iCs/>
          <w:szCs w:val="20"/>
          <w:lang w:eastAsia="en-GB"/>
        </w:rPr>
        <w:t>exception</w:t>
      </w:r>
      <w:r w:rsidR="002F7899">
        <w:rPr>
          <w:bCs/>
          <w:iCs/>
          <w:szCs w:val="20"/>
          <w:lang w:eastAsia="en-GB"/>
        </w:rPr>
        <w:t xml:space="preserve"> must be interpreted in light of </w:t>
      </w:r>
      <w:r w:rsidR="007E6163">
        <w:rPr>
          <w:bCs/>
          <w:iCs/>
          <w:szCs w:val="20"/>
          <w:lang w:eastAsia="en-GB"/>
        </w:rPr>
        <w:t xml:space="preserve">CJEU </w:t>
      </w:r>
      <w:r w:rsidR="002F7899">
        <w:rPr>
          <w:bCs/>
          <w:iCs/>
          <w:szCs w:val="20"/>
          <w:lang w:eastAsia="en-GB"/>
        </w:rPr>
        <w:t xml:space="preserve">guidance, </w:t>
      </w:r>
      <w:proofErr w:type="gramStart"/>
      <w:r w:rsidR="002F7899">
        <w:rPr>
          <w:bCs/>
          <w:iCs/>
          <w:szCs w:val="20"/>
          <w:lang w:eastAsia="en-GB"/>
        </w:rPr>
        <w:t>since</w:t>
      </w:r>
      <w:proofErr w:type="gramEnd"/>
      <w:r w:rsidR="002F7899">
        <w:rPr>
          <w:bCs/>
          <w:iCs/>
          <w:szCs w:val="20"/>
          <w:lang w:eastAsia="en-GB"/>
        </w:rPr>
        <w:t xml:space="preserve"> the new UK </w:t>
      </w:r>
      <w:r w:rsidR="007E6163">
        <w:rPr>
          <w:bCs/>
          <w:iCs/>
          <w:szCs w:val="20"/>
          <w:lang w:eastAsia="en-GB"/>
        </w:rPr>
        <w:t>parody exception</w:t>
      </w:r>
      <w:r w:rsidR="002F7899">
        <w:rPr>
          <w:bCs/>
          <w:iCs/>
          <w:szCs w:val="20"/>
          <w:lang w:eastAsia="en-GB"/>
        </w:rPr>
        <w:t xml:space="preserve"> arises from EU copyright law</w:t>
      </w:r>
      <w:r w:rsidR="007E6163">
        <w:rPr>
          <w:rStyle w:val="FootnoteReference"/>
          <w:bCs/>
          <w:iCs/>
          <w:szCs w:val="20"/>
          <w:lang w:eastAsia="en-GB"/>
        </w:rPr>
        <w:footnoteReference w:id="49"/>
      </w:r>
      <w:r w:rsidR="002F7899">
        <w:rPr>
          <w:bCs/>
          <w:iCs/>
          <w:szCs w:val="20"/>
          <w:lang w:eastAsia="en-GB"/>
        </w:rPr>
        <w:t>. I</w:t>
      </w:r>
      <w:r w:rsidR="007E6163">
        <w:rPr>
          <w:bCs/>
          <w:iCs/>
          <w:szCs w:val="20"/>
          <w:lang w:eastAsia="en-GB"/>
        </w:rPr>
        <w:t xml:space="preserve">n </w:t>
      </w:r>
      <w:proofErr w:type="spellStart"/>
      <w:r w:rsidR="007E6163" w:rsidRPr="002E5081">
        <w:rPr>
          <w:bCs/>
          <w:i/>
          <w:iCs/>
          <w:szCs w:val="20"/>
          <w:lang w:eastAsia="en-GB"/>
        </w:rPr>
        <w:t>Deckmyn</w:t>
      </w:r>
      <w:proofErr w:type="spellEnd"/>
      <w:r w:rsidR="007E6163" w:rsidRPr="00BA1CB4">
        <w:rPr>
          <w:rStyle w:val="FootnoteReference"/>
          <w:bCs/>
          <w:iCs/>
          <w:szCs w:val="20"/>
          <w:lang w:eastAsia="en-GB"/>
        </w:rPr>
        <w:footnoteReference w:id="50"/>
      </w:r>
      <w:r w:rsidR="002F7899">
        <w:rPr>
          <w:bCs/>
          <w:iCs/>
          <w:szCs w:val="20"/>
          <w:lang w:eastAsia="en-GB"/>
        </w:rPr>
        <w:t>, the CJEU defined ‘</w:t>
      </w:r>
      <w:r w:rsidR="007E6163" w:rsidRPr="002E5081">
        <w:rPr>
          <w:szCs w:val="20"/>
        </w:rPr>
        <w:t>parody</w:t>
      </w:r>
      <w:r w:rsidR="002F7899">
        <w:rPr>
          <w:szCs w:val="20"/>
        </w:rPr>
        <w:t>’ as ‘</w:t>
      </w:r>
      <w:r w:rsidR="007E6163" w:rsidRPr="002E5081">
        <w:rPr>
          <w:szCs w:val="20"/>
        </w:rPr>
        <w:t xml:space="preserve">an expression of humour or mockery which, while </w:t>
      </w:r>
      <w:r w:rsidR="007E6163" w:rsidRPr="002E5081">
        <w:rPr>
          <w:szCs w:val="20"/>
          <w:shd w:val="clear" w:color="auto" w:fill="FFFFFF"/>
        </w:rPr>
        <w:t>evoking an existing work, is noticeably different from that work’</w:t>
      </w:r>
      <w:r w:rsidR="007E6163" w:rsidRPr="00CB7A50">
        <w:rPr>
          <w:rStyle w:val="FootnoteReference"/>
          <w:szCs w:val="20"/>
          <w:shd w:val="clear" w:color="auto" w:fill="FFFFFF"/>
        </w:rPr>
        <w:footnoteReference w:id="51"/>
      </w:r>
      <w:r w:rsidR="007E6163" w:rsidRPr="00CB7A50">
        <w:rPr>
          <w:szCs w:val="20"/>
          <w:shd w:val="clear" w:color="auto" w:fill="FFFFFF"/>
        </w:rPr>
        <w:t>.</w:t>
      </w:r>
      <w:r w:rsidR="007E6163">
        <w:rPr>
          <w:szCs w:val="20"/>
          <w:shd w:val="clear" w:color="auto" w:fill="FFFFFF"/>
        </w:rPr>
        <w:t xml:space="preserve"> As </w:t>
      </w:r>
      <w:r w:rsidR="00CB3BC5">
        <w:rPr>
          <w:szCs w:val="20"/>
          <w:shd w:val="clear" w:color="auto" w:fill="FFFFFF"/>
        </w:rPr>
        <w:t xml:space="preserve">demonstrated </w:t>
      </w:r>
      <w:r w:rsidR="007E6163">
        <w:rPr>
          <w:szCs w:val="20"/>
          <w:shd w:val="clear" w:color="auto" w:fill="FFFFFF"/>
        </w:rPr>
        <w:t xml:space="preserve">by the empirical study undertaken </w:t>
      </w:r>
      <w:r w:rsidR="00CB3BC5">
        <w:rPr>
          <w:szCs w:val="20"/>
          <w:shd w:val="clear" w:color="auto" w:fill="FFFFFF"/>
        </w:rPr>
        <w:t>on behalf of the UK Intellectual Property Office</w:t>
      </w:r>
      <w:r w:rsidR="007E6163">
        <w:rPr>
          <w:rStyle w:val="FootnoteReference"/>
          <w:szCs w:val="20"/>
          <w:shd w:val="clear" w:color="auto" w:fill="FFFFFF"/>
        </w:rPr>
        <w:footnoteReference w:id="52"/>
      </w:r>
      <w:r w:rsidR="007E6163">
        <w:rPr>
          <w:szCs w:val="20"/>
          <w:shd w:val="clear" w:color="auto" w:fill="FFFFFF"/>
        </w:rPr>
        <w:t xml:space="preserve">, a </w:t>
      </w:r>
      <w:r w:rsidR="00CB3BC5">
        <w:rPr>
          <w:szCs w:val="20"/>
          <w:shd w:val="clear" w:color="auto" w:fill="FFFFFF"/>
        </w:rPr>
        <w:t xml:space="preserve">significant proportion </w:t>
      </w:r>
      <w:r w:rsidR="007E6163">
        <w:rPr>
          <w:szCs w:val="20"/>
          <w:shd w:val="clear" w:color="auto" w:fill="FFFFFF"/>
        </w:rPr>
        <w:t>of contemporary pop parodies sample earlier works</w:t>
      </w:r>
      <w:r w:rsidR="00CB3BC5">
        <w:rPr>
          <w:szCs w:val="20"/>
          <w:shd w:val="clear" w:color="auto" w:fill="FFFFFF"/>
        </w:rPr>
        <w:t>.</w:t>
      </w:r>
    </w:p>
    <w:p w14:paraId="71631BDD" w14:textId="4D77C976" w:rsidR="00885DB9" w:rsidRDefault="007E6163" w:rsidP="006E0F49">
      <w:pPr>
        <w:spacing w:before="240" w:line="360" w:lineRule="auto"/>
        <w:jc w:val="both"/>
        <w:rPr>
          <w:szCs w:val="20"/>
          <w:shd w:val="clear" w:color="auto" w:fill="FFFFFF"/>
        </w:rPr>
      </w:pPr>
      <w:r>
        <w:rPr>
          <w:szCs w:val="20"/>
          <w:shd w:val="clear" w:color="auto" w:fill="FFFFFF"/>
        </w:rPr>
        <w:lastRenderedPageBreak/>
        <w:t xml:space="preserve">But will </w:t>
      </w:r>
      <w:r w:rsidR="00CB3BC5">
        <w:rPr>
          <w:szCs w:val="20"/>
          <w:shd w:val="clear" w:color="auto" w:fill="FFFFFF"/>
        </w:rPr>
        <w:t xml:space="preserve">the parody exception have broader application to other </w:t>
      </w:r>
      <w:r>
        <w:rPr>
          <w:szCs w:val="20"/>
          <w:shd w:val="clear" w:color="auto" w:fill="FFFFFF"/>
        </w:rPr>
        <w:t>remixers</w:t>
      </w:r>
      <w:r w:rsidR="0053338F">
        <w:rPr>
          <w:szCs w:val="20"/>
          <w:shd w:val="clear" w:color="auto" w:fill="FFFFFF"/>
        </w:rPr>
        <w:t xml:space="preserve"> which are not blatantly ‘funny’</w:t>
      </w:r>
      <w:r>
        <w:rPr>
          <w:szCs w:val="20"/>
          <w:shd w:val="clear" w:color="auto" w:fill="FFFFFF"/>
        </w:rPr>
        <w:t xml:space="preserve">? </w:t>
      </w:r>
      <w:r w:rsidR="0053338F">
        <w:rPr>
          <w:szCs w:val="20"/>
          <w:shd w:val="clear" w:color="auto" w:fill="FFFFFF"/>
        </w:rPr>
        <w:t xml:space="preserve">In order to assess whether the parody exception applies, UK </w:t>
      </w:r>
      <w:r>
        <w:rPr>
          <w:szCs w:val="20"/>
          <w:shd w:val="clear" w:color="auto" w:fill="FFFFFF"/>
        </w:rPr>
        <w:t xml:space="preserve">courts </w:t>
      </w:r>
      <w:r w:rsidR="0053338F">
        <w:rPr>
          <w:szCs w:val="20"/>
          <w:shd w:val="clear" w:color="auto" w:fill="FFFFFF"/>
        </w:rPr>
        <w:t xml:space="preserve">will need </w:t>
      </w:r>
      <w:r>
        <w:rPr>
          <w:szCs w:val="20"/>
          <w:shd w:val="clear" w:color="auto" w:fill="FFFFFF"/>
        </w:rPr>
        <w:t xml:space="preserve">to determine whether the </w:t>
      </w:r>
      <w:r w:rsidR="0053338F">
        <w:rPr>
          <w:szCs w:val="20"/>
          <w:shd w:val="clear" w:color="auto" w:fill="FFFFFF"/>
        </w:rPr>
        <w:t xml:space="preserve">sampling </w:t>
      </w:r>
      <w:r>
        <w:rPr>
          <w:szCs w:val="20"/>
          <w:shd w:val="clear" w:color="auto" w:fill="FFFFFF"/>
        </w:rPr>
        <w:t xml:space="preserve">use reflects </w:t>
      </w:r>
      <w:r w:rsidR="0053338F">
        <w:rPr>
          <w:szCs w:val="20"/>
          <w:shd w:val="clear" w:color="auto" w:fill="FFFFFF"/>
        </w:rPr>
        <w:t>a humorous intent on the part of</w:t>
      </w:r>
      <w:r>
        <w:rPr>
          <w:szCs w:val="20"/>
          <w:shd w:val="clear" w:color="auto" w:fill="FFFFFF"/>
        </w:rPr>
        <w:t xml:space="preserve"> its creator</w:t>
      </w:r>
      <w:r>
        <w:rPr>
          <w:rStyle w:val="FootnoteReference"/>
          <w:szCs w:val="20"/>
          <w:shd w:val="clear" w:color="auto" w:fill="FFFFFF"/>
        </w:rPr>
        <w:footnoteReference w:id="53"/>
      </w:r>
      <w:r>
        <w:rPr>
          <w:szCs w:val="20"/>
          <w:shd w:val="clear" w:color="auto" w:fill="FFFFFF"/>
        </w:rPr>
        <w:t xml:space="preserve">. </w:t>
      </w:r>
      <w:r w:rsidR="001B64E4">
        <w:rPr>
          <w:szCs w:val="20"/>
          <w:shd w:val="clear" w:color="auto" w:fill="FFFFFF"/>
        </w:rPr>
        <w:t>Here, it is pertinent that ‘</w:t>
      </w:r>
      <w:r>
        <w:rPr>
          <w:szCs w:val="20"/>
          <w:shd w:val="clear" w:color="auto" w:fill="FFFFFF"/>
        </w:rPr>
        <w:t>humour</w:t>
      </w:r>
      <w:r w:rsidR="001B64E4">
        <w:rPr>
          <w:szCs w:val="20"/>
          <w:shd w:val="clear" w:color="auto" w:fill="FFFFFF"/>
        </w:rPr>
        <w:t>’</w:t>
      </w:r>
      <w:r>
        <w:rPr>
          <w:szCs w:val="20"/>
          <w:shd w:val="clear" w:color="auto" w:fill="FFFFFF"/>
        </w:rPr>
        <w:t xml:space="preserve"> in music </w:t>
      </w:r>
      <w:r w:rsidR="001B64E4">
        <w:rPr>
          <w:szCs w:val="20"/>
          <w:shd w:val="clear" w:color="auto" w:fill="FFFFFF"/>
        </w:rPr>
        <w:t>might not always t</w:t>
      </w:r>
      <w:r>
        <w:rPr>
          <w:szCs w:val="20"/>
          <w:shd w:val="clear" w:color="auto" w:fill="FFFFFF"/>
        </w:rPr>
        <w:t xml:space="preserve">ake the form of </w:t>
      </w:r>
      <w:r w:rsidR="001B64E4">
        <w:rPr>
          <w:szCs w:val="20"/>
          <w:shd w:val="clear" w:color="auto" w:fill="FFFFFF"/>
        </w:rPr>
        <w:t xml:space="preserve">traditional </w:t>
      </w:r>
      <w:r>
        <w:rPr>
          <w:szCs w:val="20"/>
          <w:shd w:val="clear" w:color="auto" w:fill="FFFFFF"/>
        </w:rPr>
        <w:t xml:space="preserve">ridicule, </w:t>
      </w:r>
      <w:r w:rsidR="001B64E4">
        <w:rPr>
          <w:szCs w:val="20"/>
          <w:shd w:val="clear" w:color="auto" w:fill="FFFFFF"/>
        </w:rPr>
        <w:t>but may take the form of playful or unexpected juxtapositions, or changes in rhythm or style which break traditional musical rules</w:t>
      </w:r>
      <w:r w:rsidR="001B64E4">
        <w:rPr>
          <w:rStyle w:val="FootnoteReference"/>
          <w:szCs w:val="20"/>
          <w:shd w:val="clear" w:color="auto" w:fill="FFFFFF"/>
        </w:rPr>
        <w:footnoteReference w:id="54"/>
      </w:r>
      <w:r w:rsidR="001B64E4">
        <w:rPr>
          <w:szCs w:val="20"/>
          <w:shd w:val="clear" w:color="auto" w:fill="FFFFFF"/>
        </w:rPr>
        <w:t xml:space="preserve">.  Thus, it seems reasonable to presume </w:t>
      </w:r>
      <w:r>
        <w:rPr>
          <w:szCs w:val="20"/>
          <w:shd w:val="clear" w:color="auto" w:fill="FFFFFF"/>
        </w:rPr>
        <w:t>th</w:t>
      </w:r>
      <w:r w:rsidR="001B64E4">
        <w:rPr>
          <w:szCs w:val="20"/>
          <w:shd w:val="clear" w:color="auto" w:fill="FFFFFF"/>
        </w:rPr>
        <w:t>at th</w:t>
      </w:r>
      <w:r>
        <w:rPr>
          <w:szCs w:val="20"/>
          <w:shd w:val="clear" w:color="auto" w:fill="FFFFFF"/>
        </w:rPr>
        <w:t>e</w:t>
      </w:r>
      <w:r w:rsidR="001B64E4">
        <w:rPr>
          <w:szCs w:val="20"/>
          <w:shd w:val="clear" w:color="auto" w:fill="FFFFFF"/>
        </w:rPr>
        <w:t xml:space="preserve">re is </w:t>
      </w:r>
      <w:r>
        <w:rPr>
          <w:szCs w:val="20"/>
          <w:shd w:val="clear" w:color="auto" w:fill="FFFFFF"/>
        </w:rPr>
        <w:t xml:space="preserve">humour in </w:t>
      </w:r>
      <w:r w:rsidR="001B64E4">
        <w:rPr>
          <w:szCs w:val="20"/>
          <w:shd w:val="clear" w:color="auto" w:fill="FFFFFF"/>
        </w:rPr>
        <w:t xml:space="preserve">at least some </w:t>
      </w:r>
      <w:r>
        <w:rPr>
          <w:szCs w:val="20"/>
          <w:shd w:val="clear" w:color="auto" w:fill="FFFFFF"/>
        </w:rPr>
        <w:t>digital sampling</w:t>
      </w:r>
      <w:r w:rsidR="001B64E4">
        <w:rPr>
          <w:szCs w:val="20"/>
          <w:shd w:val="clear" w:color="auto" w:fill="FFFFFF"/>
        </w:rPr>
        <w:t xml:space="preserve">, which </w:t>
      </w:r>
      <w:r>
        <w:rPr>
          <w:szCs w:val="20"/>
          <w:shd w:val="clear" w:color="auto" w:fill="FFFFFF"/>
        </w:rPr>
        <w:t xml:space="preserve">derives from the combination of excerpts </w:t>
      </w:r>
      <w:r w:rsidR="001B64E4">
        <w:rPr>
          <w:szCs w:val="20"/>
          <w:shd w:val="clear" w:color="auto" w:fill="FFFFFF"/>
        </w:rPr>
        <w:t xml:space="preserve">from earlier </w:t>
      </w:r>
      <w:r>
        <w:rPr>
          <w:szCs w:val="20"/>
          <w:shd w:val="clear" w:color="auto" w:fill="FFFFFF"/>
        </w:rPr>
        <w:t xml:space="preserve">recordings </w:t>
      </w:r>
      <w:r w:rsidR="001B64E4">
        <w:rPr>
          <w:szCs w:val="20"/>
          <w:shd w:val="clear" w:color="auto" w:fill="FFFFFF"/>
        </w:rPr>
        <w:t xml:space="preserve">which will surprise the </w:t>
      </w:r>
      <w:r>
        <w:rPr>
          <w:szCs w:val="20"/>
          <w:shd w:val="clear" w:color="auto" w:fill="FFFFFF"/>
        </w:rPr>
        <w:t xml:space="preserve">audience listening to </w:t>
      </w:r>
      <w:r w:rsidR="001B64E4">
        <w:rPr>
          <w:szCs w:val="20"/>
          <w:shd w:val="clear" w:color="auto" w:fill="FFFFFF"/>
        </w:rPr>
        <w:t xml:space="preserve">the sampler’s </w:t>
      </w:r>
      <w:r>
        <w:rPr>
          <w:szCs w:val="20"/>
          <w:shd w:val="clear" w:color="auto" w:fill="FFFFFF"/>
        </w:rPr>
        <w:t>track</w:t>
      </w:r>
      <w:r>
        <w:rPr>
          <w:rStyle w:val="FootnoteReference"/>
          <w:szCs w:val="20"/>
          <w:shd w:val="clear" w:color="auto" w:fill="FFFFFF"/>
        </w:rPr>
        <w:footnoteReference w:id="55"/>
      </w:r>
      <w:r>
        <w:rPr>
          <w:szCs w:val="20"/>
          <w:shd w:val="clear" w:color="auto" w:fill="FFFFFF"/>
        </w:rPr>
        <w:t xml:space="preserve">. </w:t>
      </w:r>
      <w:r w:rsidR="001B64E4">
        <w:rPr>
          <w:szCs w:val="20"/>
          <w:shd w:val="clear" w:color="auto" w:fill="FFFFFF"/>
        </w:rPr>
        <w:t xml:space="preserve">It is hoped that UK courts will </w:t>
      </w:r>
      <w:r>
        <w:rPr>
          <w:szCs w:val="20"/>
          <w:shd w:val="clear" w:color="auto" w:fill="FFFFFF"/>
        </w:rPr>
        <w:t xml:space="preserve">construe humour broadly </w:t>
      </w:r>
      <w:r w:rsidR="001B64E4">
        <w:rPr>
          <w:szCs w:val="20"/>
          <w:shd w:val="clear" w:color="auto" w:fill="FFFFFF"/>
        </w:rPr>
        <w:t xml:space="preserve">enough </w:t>
      </w:r>
      <w:r>
        <w:rPr>
          <w:szCs w:val="20"/>
          <w:shd w:val="clear" w:color="auto" w:fill="FFFFFF"/>
        </w:rPr>
        <w:t xml:space="preserve">to include </w:t>
      </w:r>
      <w:r w:rsidR="001B64E4">
        <w:rPr>
          <w:szCs w:val="20"/>
          <w:shd w:val="clear" w:color="auto" w:fill="FFFFFF"/>
        </w:rPr>
        <w:t xml:space="preserve">musical </w:t>
      </w:r>
      <w:r>
        <w:rPr>
          <w:szCs w:val="20"/>
          <w:shd w:val="clear" w:color="auto" w:fill="FFFFFF"/>
        </w:rPr>
        <w:t xml:space="preserve">entertainment, homage and even criticism. </w:t>
      </w:r>
      <w:r w:rsidR="00885DB9">
        <w:rPr>
          <w:szCs w:val="20"/>
          <w:shd w:val="clear" w:color="auto" w:fill="FFFFFF"/>
        </w:rPr>
        <w:t xml:space="preserve">But </w:t>
      </w:r>
      <w:r w:rsidR="00510ED9">
        <w:rPr>
          <w:szCs w:val="20"/>
          <w:shd w:val="clear" w:color="auto" w:fill="FFFFFF"/>
        </w:rPr>
        <w:t>h</w:t>
      </w:r>
      <w:r w:rsidR="001B64E4">
        <w:rPr>
          <w:szCs w:val="20"/>
          <w:shd w:val="clear" w:color="auto" w:fill="FFFFFF"/>
        </w:rPr>
        <w:t xml:space="preserve">umour in itself is insufficient. </w:t>
      </w:r>
    </w:p>
    <w:p w14:paraId="267E06FE" w14:textId="4B45C89D" w:rsidR="004444F4" w:rsidRDefault="001B64E4" w:rsidP="006E0F49">
      <w:pPr>
        <w:spacing w:before="240" w:line="360" w:lineRule="auto"/>
        <w:jc w:val="both"/>
        <w:rPr>
          <w:szCs w:val="20"/>
          <w:shd w:val="clear" w:color="auto" w:fill="FFFFFF"/>
        </w:rPr>
      </w:pPr>
      <w:r>
        <w:rPr>
          <w:szCs w:val="20"/>
          <w:shd w:val="clear" w:color="auto" w:fill="FFFFFF"/>
        </w:rPr>
        <w:t>To rely upon a fair-dealing defence</w:t>
      </w:r>
      <w:r w:rsidR="00885DB9">
        <w:rPr>
          <w:szCs w:val="20"/>
          <w:shd w:val="clear" w:color="auto" w:fill="FFFFFF"/>
        </w:rPr>
        <w:t xml:space="preserve"> (whether the quotation </w:t>
      </w:r>
      <w:r w:rsidR="007F0DC9">
        <w:rPr>
          <w:szCs w:val="20"/>
          <w:shd w:val="clear" w:color="auto" w:fill="FFFFFF"/>
        </w:rPr>
        <w:t xml:space="preserve">defence </w:t>
      </w:r>
      <w:r w:rsidR="00885DB9">
        <w:rPr>
          <w:szCs w:val="20"/>
          <w:shd w:val="clear" w:color="auto" w:fill="FFFFFF"/>
        </w:rPr>
        <w:t xml:space="preserve">or the parody </w:t>
      </w:r>
      <w:r w:rsidR="007F0DC9">
        <w:rPr>
          <w:szCs w:val="20"/>
          <w:shd w:val="clear" w:color="auto" w:fill="FFFFFF"/>
        </w:rPr>
        <w:t>exception</w:t>
      </w:r>
      <w:r w:rsidR="00885DB9">
        <w:rPr>
          <w:szCs w:val="20"/>
          <w:shd w:val="clear" w:color="auto" w:fill="FFFFFF"/>
        </w:rPr>
        <w:t>)</w:t>
      </w:r>
      <w:r w:rsidR="006E0F49">
        <w:rPr>
          <w:szCs w:val="20"/>
          <w:shd w:val="clear" w:color="auto" w:fill="FFFFFF"/>
        </w:rPr>
        <w:t xml:space="preserve">, the court must be satisfied that </w:t>
      </w:r>
      <w:r w:rsidR="007E6163">
        <w:rPr>
          <w:szCs w:val="20"/>
          <w:shd w:val="clear" w:color="auto" w:fill="FFFFFF"/>
        </w:rPr>
        <w:t>‘</w:t>
      </w:r>
      <w:r w:rsidR="007E6163" w:rsidRPr="00D854BB">
        <w:rPr>
          <w:i/>
          <w:szCs w:val="20"/>
          <w:lang w:val="en-US"/>
        </w:rPr>
        <w:t>a fair minded and honest person would have dealt with the copyright work in the manner as the defendant did</w:t>
      </w:r>
      <w:r w:rsidR="007E6163" w:rsidRPr="003B7CBC">
        <w:rPr>
          <w:szCs w:val="20"/>
          <w:lang w:val="en-US"/>
        </w:rPr>
        <w:t>’</w:t>
      </w:r>
      <w:r w:rsidR="007E6163">
        <w:rPr>
          <w:rStyle w:val="FootnoteReference"/>
          <w:szCs w:val="20"/>
          <w:lang w:val="en-US"/>
        </w:rPr>
        <w:footnoteReference w:id="56"/>
      </w:r>
      <w:r w:rsidR="007E6163">
        <w:rPr>
          <w:szCs w:val="20"/>
          <w:shd w:val="clear" w:color="auto" w:fill="FFFFFF"/>
        </w:rPr>
        <w:t xml:space="preserve">. </w:t>
      </w:r>
      <w:r w:rsidR="007F0DC9">
        <w:rPr>
          <w:szCs w:val="20"/>
          <w:shd w:val="clear" w:color="auto" w:fill="FFFFFF"/>
        </w:rPr>
        <w:t>Here</w:t>
      </w:r>
      <w:r w:rsidR="006E0F49">
        <w:rPr>
          <w:szCs w:val="20"/>
          <w:shd w:val="clear" w:color="auto" w:fill="FFFFFF"/>
        </w:rPr>
        <w:t xml:space="preserve">, courts weigh up a number of </w:t>
      </w:r>
      <w:r w:rsidR="007E6163">
        <w:rPr>
          <w:szCs w:val="20"/>
          <w:shd w:val="clear" w:color="auto" w:fill="FFFFFF"/>
        </w:rPr>
        <w:t>different factors</w:t>
      </w:r>
      <w:r w:rsidR="007E6163">
        <w:rPr>
          <w:rStyle w:val="FootnoteReference"/>
          <w:szCs w:val="20"/>
          <w:shd w:val="clear" w:color="auto" w:fill="FFFFFF"/>
        </w:rPr>
        <w:footnoteReference w:id="57"/>
      </w:r>
      <w:r w:rsidR="007E6163">
        <w:rPr>
          <w:szCs w:val="20"/>
          <w:shd w:val="clear" w:color="auto" w:fill="FFFFFF"/>
        </w:rPr>
        <w:t xml:space="preserve"> </w:t>
      </w:r>
      <w:r w:rsidR="006E0F49">
        <w:rPr>
          <w:szCs w:val="20"/>
          <w:shd w:val="clear" w:color="auto" w:fill="FFFFFF"/>
        </w:rPr>
        <w:t xml:space="preserve">to assess whether the dealing is objectively ‘fair’. In the case of the parody exception this are likely to include </w:t>
      </w:r>
      <w:r w:rsidR="007E6163">
        <w:rPr>
          <w:szCs w:val="20"/>
          <w:shd w:val="clear" w:color="auto" w:fill="FFFFFF"/>
        </w:rPr>
        <w:t xml:space="preserve">the amount copied, </w:t>
      </w:r>
      <w:r w:rsidR="006E0F49">
        <w:rPr>
          <w:szCs w:val="20"/>
          <w:shd w:val="clear" w:color="auto" w:fill="FFFFFF"/>
        </w:rPr>
        <w:t xml:space="preserve">whether the parodist has </w:t>
      </w:r>
      <w:r w:rsidR="007E6163">
        <w:rPr>
          <w:szCs w:val="20"/>
          <w:shd w:val="clear" w:color="auto" w:fill="FFFFFF"/>
        </w:rPr>
        <w:t>commercial motives</w:t>
      </w:r>
      <w:r w:rsidR="006E0F49">
        <w:rPr>
          <w:szCs w:val="20"/>
          <w:shd w:val="clear" w:color="auto" w:fill="FFFFFF"/>
        </w:rPr>
        <w:t xml:space="preserve">, whether the parody is likely to </w:t>
      </w:r>
      <w:r w:rsidR="007E6163">
        <w:rPr>
          <w:szCs w:val="20"/>
          <w:shd w:val="clear" w:color="auto" w:fill="FFFFFF"/>
        </w:rPr>
        <w:t>impact o</w:t>
      </w:r>
      <w:r w:rsidR="006E0F49">
        <w:rPr>
          <w:szCs w:val="20"/>
          <w:shd w:val="clear" w:color="auto" w:fill="FFFFFF"/>
        </w:rPr>
        <w:t xml:space="preserve">n sales of </w:t>
      </w:r>
      <w:r w:rsidR="007E6163">
        <w:rPr>
          <w:szCs w:val="20"/>
          <w:shd w:val="clear" w:color="auto" w:fill="FFFFFF"/>
        </w:rPr>
        <w:t xml:space="preserve">the </w:t>
      </w:r>
      <w:r w:rsidR="006E0F49">
        <w:rPr>
          <w:szCs w:val="20"/>
          <w:shd w:val="clear" w:color="auto" w:fill="FFFFFF"/>
        </w:rPr>
        <w:t xml:space="preserve">original work, and the nature of the parody </w:t>
      </w:r>
      <w:r w:rsidR="004444F4">
        <w:rPr>
          <w:szCs w:val="20"/>
          <w:shd w:val="clear" w:color="auto" w:fill="FFFFFF"/>
        </w:rPr>
        <w:t>itself.</w:t>
      </w:r>
    </w:p>
    <w:p w14:paraId="20E0B795" w14:textId="056666A7" w:rsidR="007E6163" w:rsidRDefault="007E6163" w:rsidP="006E0F49">
      <w:pPr>
        <w:spacing w:before="240" w:line="360" w:lineRule="auto"/>
        <w:jc w:val="both"/>
        <w:rPr>
          <w:szCs w:val="20"/>
          <w:shd w:val="clear" w:color="auto" w:fill="FFFFFF"/>
        </w:rPr>
      </w:pPr>
      <w:r>
        <w:rPr>
          <w:szCs w:val="20"/>
          <w:shd w:val="clear" w:color="auto" w:fill="FFFFFF"/>
        </w:rPr>
        <w:t xml:space="preserve">While it </w:t>
      </w:r>
      <w:r w:rsidR="006E0F49">
        <w:rPr>
          <w:szCs w:val="20"/>
          <w:shd w:val="clear" w:color="auto" w:fill="FFFFFF"/>
        </w:rPr>
        <w:t>is too soon to know h</w:t>
      </w:r>
      <w:r>
        <w:rPr>
          <w:szCs w:val="20"/>
          <w:shd w:val="clear" w:color="auto" w:fill="FFFFFF"/>
        </w:rPr>
        <w:t xml:space="preserve">ow the </w:t>
      </w:r>
      <w:r w:rsidR="006E0F49">
        <w:rPr>
          <w:szCs w:val="20"/>
          <w:shd w:val="clear" w:color="auto" w:fill="FFFFFF"/>
        </w:rPr>
        <w:t xml:space="preserve">UK </w:t>
      </w:r>
      <w:r>
        <w:rPr>
          <w:szCs w:val="20"/>
          <w:shd w:val="clear" w:color="auto" w:fill="FFFFFF"/>
        </w:rPr>
        <w:t>parody exception will be applied</w:t>
      </w:r>
      <w:r w:rsidR="006E0F49">
        <w:rPr>
          <w:szCs w:val="20"/>
          <w:shd w:val="clear" w:color="auto" w:fill="FFFFFF"/>
        </w:rPr>
        <w:t xml:space="preserve">, </w:t>
      </w:r>
      <w:r w:rsidR="004444F4">
        <w:rPr>
          <w:szCs w:val="20"/>
          <w:shd w:val="clear" w:color="auto" w:fill="FFFFFF"/>
        </w:rPr>
        <w:t xml:space="preserve">a number of uncertainties are apparent in relation to any musical parodies. </w:t>
      </w:r>
      <w:r w:rsidR="001B71D3">
        <w:rPr>
          <w:szCs w:val="20"/>
          <w:shd w:val="clear" w:color="auto" w:fill="FFFFFF"/>
        </w:rPr>
        <w:t xml:space="preserve">Given that songs are comprised on a number of overlapping copyright works, it </w:t>
      </w:r>
      <w:r>
        <w:rPr>
          <w:szCs w:val="20"/>
          <w:shd w:val="clear" w:color="auto" w:fill="FFFFFF"/>
        </w:rPr>
        <w:t xml:space="preserve">remains to be seen whether courts will apply the </w:t>
      </w:r>
      <w:r w:rsidR="00C70C83">
        <w:rPr>
          <w:szCs w:val="20"/>
          <w:shd w:val="clear" w:color="auto" w:fill="FFFFFF"/>
        </w:rPr>
        <w:t xml:space="preserve">parody </w:t>
      </w:r>
      <w:r>
        <w:rPr>
          <w:szCs w:val="20"/>
          <w:shd w:val="clear" w:color="auto" w:fill="FFFFFF"/>
        </w:rPr>
        <w:t xml:space="preserve">exception </w:t>
      </w:r>
      <w:r w:rsidR="001B71D3">
        <w:rPr>
          <w:szCs w:val="20"/>
          <w:shd w:val="clear" w:color="auto" w:fill="FFFFFF"/>
        </w:rPr>
        <w:t xml:space="preserve">by </w:t>
      </w:r>
      <w:r>
        <w:rPr>
          <w:szCs w:val="20"/>
          <w:shd w:val="clear" w:color="auto" w:fill="FFFFFF"/>
        </w:rPr>
        <w:t>taking the song as a whole</w:t>
      </w:r>
      <w:r w:rsidR="001B71D3">
        <w:rPr>
          <w:szCs w:val="20"/>
          <w:shd w:val="clear" w:color="auto" w:fill="FFFFFF"/>
        </w:rPr>
        <w:t xml:space="preserve"> into account, </w:t>
      </w:r>
      <w:r w:rsidR="00C70C83">
        <w:rPr>
          <w:szCs w:val="20"/>
          <w:shd w:val="clear" w:color="auto" w:fill="FFFFFF"/>
        </w:rPr>
        <w:t xml:space="preserve">or </w:t>
      </w:r>
      <w:r>
        <w:rPr>
          <w:szCs w:val="20"/>
          <w:shd w:val="clear" w:color="auto" w:fill="FFFFFF"/>
        </w:rPr>
        <w:t xml:space="preserve">whether the </w:t>
      </w:r>
      <w:r w:rsidR="001B71D3">
        <w:rPr>
          <w:szCs w:val="20"/>
          <w:shd w:val="clear" w:color="auto" w:fill="FFFFFF"/>
        </w:rPr>
        <w:t xml:space="preserve">user will need to </w:t>
      </w:r>
      <w:r>
        <w:rPr>
          <w:szCs w:val="20"/>
          <w:shd w:val="clear" w:color="auto" w:fill="FFFFFF"/>
        </w:rPr>
        <w:t xml:space="preserve">demonstrate that each requirement </w:t>
      </w:r>
      <w:r w:rsidR="00C70C83">
        <w:rPr>
          <w:szCs w:val="20"/>
          <w:shd w:val="clear" w:color="auto" w:fill="FFFFFF"/>
        </w:rPr>
        <w:t xml:space="preserve">has been </w:t>
      </w:r>
      <w:r>
        <w:rPr>
          <w:szCs w:val="20"/>
          <w:shd w:val="clear" w:color="auto" w:fill="FFFFFF"/>
        </w:rPr>
        <w:t xml:space="preserve">satisfied </w:t>
      </w:r>
      <w:r w:rsidR="00C70C83">
        <w:rPr>
          <w:szCs w:val="20"/>
          <w:shd w:val="clear" w:color="auto" w:fill="FFFFFF"/>
        </w:rPr>
        <w:t xml:space="preserve">for each of the </w:t>
      </w:r>
      <w:r>
        <w:rPr>
          <w:szCs w:val="20"/>
          <w:shd w:val="clear" w:color="auto" w:fill="FFFFFF"/>
        </w:rPr>
        <w:t>copyright protected works</w:t>
      </w:r>
      <w:r w:rsidR="00C70C83">
        <w:rPr>
          <w:szCs w:val="20"/>
          <w:shd w:val="clear" w:color="auto" w:fill="FFFFFF"/>
        </w:rPr>
        <w:t xml:space="preserve"> which have been reproduced</w:t>
      </w:r>
      <w:r>
        <w:rPr>
          <w:rStyle w:val="FootnoteReference"/>
          <w:szCs w:val="20"/>
          <w:shd w:val="clear" w:color="auto" w:fill="FFFFFF"/>
        </w:rPr>
        <w:footnoteReference w:id="58"/>
      </w:r>
      <w:r>
        <w:rPr>
          <w:szCs w:val="20"/>
          <w:shd w:val="clear" w:color="auto" w:fill="FFFFFF"/>
        </w:rPr>
        <w:t xml:space="preserve">. In </w:t>
      </w:r>
      <w:r w:rsidR="004444F4">
        <w:rPr>
          <w:szCs w:val="20"/>
          <w:shd w:val="clear" w:color="auto" w:fill="FFFFFF"/>
        </w:rPr>
        <w:t xml:space="preserve">either </w:t>
      </w:r>
      <w:r>
        <w:rPr>
          <w:szCs w:val="20"/>
          <w:shd w:val="clear" w:color="auto" w:fill="FFFFFF"/>
        </w:rPr>
        <w:t xml:space="preserve">case, </w:t>
      </w:r>
      <w:r w:rsidR="004444F4">
        <w:rPr>
          <w:szCs w:val="20"/>
          <w:shd w:val="clear" w:color="auto" w:fill="FFFFFF"/>
        </w:rPr>
        <w:t xml:space="preserve">is submitted that transformation is at the heart of parody – it calls the original work to mind, but is, at the same time, notably different. Here, it is not clear that all digital sampling techniques will be enough of a </w:t>
      </w:r>
      <w:r>
        <w:rPr>
          <w:szCs w:val="20"/>
          <w:shd w:val="clear" w:color="auto" w:fill="FFFFFF"/>
        </w:rPr>
        <w:t xml:space="preserve">modification of the original. </w:t>
      </w:r>
      <w:r w:rsidR="004444F4">
        <w:rPr>
          <w:szCs w:val="20"/>
          <w:shd w:val="clear" w:color="auto" w:fill="FFFFFF"/>
        </w:rPr>
        <w:t xml:space="preserve">Simply inserting an </w:t>
      </w:r>
      <w:r w:rsidR="004444F4">
        <w:rPr>
          <w:szCs w:val="20"/>
          <w:shd w:val="clear" w:color="auto" w:fill="FFFFFF"/>
        </w:rPr>
        <w:lastRenderedPageBreak/>
        <w:t xml:space="preserve">excerpt from one </w:t>
      </w:r>
      <w:r>
        <w:rPr>
          <w:szCs w:val="20"/>
          <w:shd w:val="clear" w:color="auto" w:fill="FFFFFF"/>
        </w:rPr>
        <w:t xml:space="preserve">sound recording </w:t>
      </w:r>
      <w:r w:rsidR="004444F4">
        <w:rPr>
          <w:szCs w:val="20"/>
          <w:shd w:val="clear" w:color="auto" w:fill="FFFFFF"/>
        </w:rPr>
        <w:t xml:space="preserve">to </w:t>
      </w:r>
      <w:proofErr w:type="gramStart"/>
      <w:r w:rsidR="004444F4">
        <w:rPr>
          <w:szCs w:val="20"/>
          <w:shd w:val="clear" w:color="auto" w:fill="FFFFFF"/>
        </w:rPr>
        <w:t>another,</w:t>
      </w:r>
      <w:proofErr w:type="gramEnd"/>
      <w:r w:rsidR="004444F4">
        <w:rPr>
          <w:szCs w:val="20"/>
          <w:shd w:val="clear" w:color="auto" w:fill="FFFFFF"/>
        </w:rPr>
        <w:t xml:space="preserve"> or </w:t>
      </w:r>
      <w:r>
        <w:rPr>
          <w:szCs w:val="20"/>
          <w:shd w:val="clear" w:color="auto" w:fill="FFFFFF"/>
        </w:rPr>
        <w:t>chang</w:t>
      </w:r>
      <w:r w:rsidR="004444F4">
        <w:rPr>
          <w:szCs w:val="20"/>
          <w:shd w:val="clear" w:color="auto" w:fill="FFFFFF"/>
        </w:rPr>
        <w:t xml:space="preserve">ing a </w:t>
      </w:r>
      <w:r>
        <w:rPr>
          <w:szCs w:val="20"/>
          <w:shd w:val="clear" w:color="auto" w:fill="FFFFFF"/>
        </w:rPr>
        <w:t xml:space="preserve">drumbeat </w:t>
      </w:r>
      <w:r w:rsidR="004444F4">
        <w:rPr>
          <w:szCs w:val="20"/>
          <w:shd w:val="clear" w:color="auto" w:fill="FFFFFF"/>
        </w:rPr>
        <w:t>seems to stretch the par</w:t>
      </w:r>
      <w:r>
        <w:rPr>
          <w:szCs w:val="20"/>
          <w:shd w:val="clear" w:color="auto" w:fill="FFFFFF"/>
        </w:rPr>
        <w:t>ody exception</w:t>
      </w:r>
      <w:r w:rsidR="004444F4">
        <w:rPr>
          <w:szCs w:val="20"/>
          <w:shd w:val="clear" w:color="auto" w:fill="FFFFFF"/>
        </w:rPr>
        <w:t xml:space="preserve"> too far</w:t>
      </w:r>
      <w:r w:rsidR="00587181">
        <w:rPr>
          <w:szCs w:val="20"/>
          <w:shd w:val="clear" w:color="auto" w:fill="FFFFFF"/>
        </w:rPr>
        <w:t xml:space="preserve">. </w:t>
      </w:r>
      <w:r w:rsidR="006E08B9">
        <w:rPr>
          <w:szCs w:val="20"/>
          <w:shd w:val="clear" w:color="auto" w:fill="FFFFFF"/>
        </w:rPr>
        <w:t>As a result, the quantitative</w:t>
      </w:r>
      <w:r w:rsidR="00587181">
        <w:rPr>
          <w:szCs w:val="20"/>
          <w:shd w:val="clear" w:color="auto" w:fill="FFFFFF"/>
        </w:rPr>
        <w:t xml:space="preserve"> </w:t>
      </w:r>
      <w:r>
        <w:rPr>
          <w:szCs w:val="20"/>
          <w:shd w:val="clear" w:color="auto" w:fill="FFFFFF"/>
        </w:rPr>
        <w:t xml:space="preserve">amount taken </w:t>
      </w:r>
      <w:r w:rsidR="006E08B9">
        <w:rPr>
          <w:szCs w:val="20"/>
          <w:shd w:val="clear" w:color="auto" w:fill="FFFFFF"/>
        </w:rPr>
        <w:t>might</w:t>
      </w:r>
      <w:r>
        <w:rPr>
          <w:szCs w:val="20"/>
          <w:shd w:val="clear" w:color="auto" w:fill="FFFFFF"/>
        </w:rPr>
        <w:t xml:space="preserve"> play a role in sampling cases. Currently, it is not certain whether the exception applies where a whole work has been reproduced. </w:t>
      </w:r>
    </w:p>
    <w:p w14:paraId="67EF8021" w14:textId="6620C604" w:rsidR="007E6163" w:rsidRDefault="007E6163" w:rsidP="00035BA4">
      <w:pPr>
        <w:spacing w:before="240" w:line="360" w:lineRule="auto"/>
        <w:jc w:val="both"/>
        <w:rPr>
          <w:szCs w:val="20"/>
        </w:rPr>
      </w:pPr>
      <w:r>
        <w:rPr>
          <w:szCs w:val="20"/>
          <w:shd w:val="clear" w:color="auto" w:fill="FFFFFF"/>
        </w:rPr>
        <w:t xml:space="preserve">A </w:t>
      </w:r>
      <w:r w:rsidR="00587181">
        <w:rPr>
          <w:szCs w:val="20"/>
          <w:shd w:val="clear" w:color="auto" w:fill="FFFFFF"/>
        </w:rPr>
        <w:t>good e</w:t>
      </w:r>
      <w:r>
        <w:rPr>
          <w:szCs w:val="20"/>
          <w:shd w:val="clear" w:color="auto" w:fill="FFFFFF"/>
        </w:rPr>
        <w:t xml:space="preserve">xample of the difficulties </w:t>
      </w:r>
      <w:r w:rsidR="00587181">
        <w:rPr>
          <w:szCs w:val="20"/>
          <w:shd w:val="clear" w:color="auto" w:fill="FFFFFF"/>
        </w:rPr>
        <w:t xml:space="preserve">encountered when attempting </w:t>
      </w:r>
      <w:r>
        <w:rPr>
          <w:szCs w:val="20"/>
          <w:shd w:val="clear" w:color="auto" w:fill="FFFFFF"/>
        </w:rPr>
        <w:t xml:space="preserve">to apply </w:t>
      </w:r>
      <w:r w:rsidR="00587181">
        <w:rPr>
          <w:szCs w:val="20"/>
          <w:shd w:val="clear" w:color="auto" w:fill="FFFFFF"/>
        </w:rPr>
        <w:t xml:space="preserve">any </w:t>
      </w:r>
      <w:r>
        <w:rPr>
          <w:szCs w:val="20"/>
          <w:shd w:val="clear" w:color="auto" w:fill="FFFFFF"/>
        </w:rPr>
        <w:t>fair dealing to music is</w:t>
      </w:r>
      <w:r w:rsidR="00587181">
        <w:rPr>
          <w:szCs w:val="20"/>
          <w:shd w:val="clear" w:color="auto" w:fill="FFFFFF"/>
        </w:rPr>
        <w:t xml:space="preserve"> Danger Mouse’s</w:t>
      </w:r>
      <w:r>
        <w:rPr>
          <w:szCs w:val="20"/>
          <w:shd w:val="clear" w:color="auto" w:fill="FFFFFF"/>
        </w:rPr>
        <w:t xml:space="preserve"> </w:t>
      </w:r>
      <w:r w:rsidRPr="009C1699">
        <w:rPr>
          <w:i/>
          <w:szCs w:val="20"/>
          <w:shd w:val="clear" w:color="auto" w:fill="FFFFFF"/>
        </w:rPr>
        <w:t>The Grey Album</w:t>
      </w:r>
      <w:r w:rsidR="00587181">
        <w:rPr>
          <w:szCs w:val="20"/>
          <w:shd w:val="clear" w:color="auto" w:fill="FFFFFF"/>
        </w:rPr>
        <w:t xml:space="preserve">. </w:t>
      </w:r>
      <w:r>
        <w:rPr>
          <w:szCs w:val="20"/>
        </w:rPr>
        <w:t xml:space="preserve">In this case, the </w:t>
      </w:r>
      <w:r w:rsidR="00587181">
        <w:rPr>
          <w:szCs w:val="20"/>
        </w:rPr>
        <w:t>‘</w:t>
      </w:r>
      <w:r>
        <w:rPr>
          <w:szCs w:val="20"/>
        </w:rPr>
        <w:t>humo</w:t>
      </w:r>
      <w:r w:rsidR="00587181">
        <w:rPr>
          <w:szCs w:val="20"/>
        </w:rPr>
        <w:t>u</w:t>
      </w:r>
      <w:r>
        <w:rPr>
          <w:szCs w:val="20"/>
        </w:rPr>
        <w:t>r</w:t>
      </w:r>
      <w:r w:rsidR="00587181">
        <w:rPr>
          <w:szCs w:val="20"/>
        </w:rPr>
        <w:t>’</w:t>
      </w:r>
      <w:r>
        <w:rPr>
          <w:szCs w:val="20"/>
        </w:rPr>
        <w:t xml:space="preserve"> derives </w:t>
      </w:r>
      <w:r w:rsidR="00587181">
        <w:rPr>
          <w:szCs w:val="20"/>
        </w:rPr>
        <w:t xml:space="preserve">solely </w:t>
      </w:r>
      <w:r>
        <w:rPr>
          <w:szCs w:val="20"/>
        </w:rPr>
        <w:t xml:space="preserve">from the </w:t>
      </w:r>
      <w:r w:rsidR="00587181">
        <w:rPr>
          <w:szCs w:val="20"/>
        </w:rPr>
        <w:t xml:space="preserve">choice of the two earlier works which are </w:t>
      </w:r>
      <w:r>
        <w:rPr>
          <w:szCs w:val="20"/>
        </w:rPr>
        <w:t>combin</w:t>
      </w:r>
      <w:r w:rsidR="00587181">
        <w:rPr>
          <w:szCs w:val="20"/>
        </w:rPr>
        <w:t xml:space="preserve">ed: </w:t>
      </w:r>
      <w:r w:rsidR="00587181" w:rsidRPr="009C1699">
        <w:rPr>
          <w:szCs w:val="20"/>
        </w:rPr>
        <w:t>vocals from Jay-Z’s ‘</w:t>
      </w:r>
      <w:r w:rsidR="00587181" w:rsidRPr="009C1699">
        <w:rPr>
          <w:i/>
          <w:szCs w:val="20"/>
        </w:rPr>
        <w:t>The Black Album</w:t>
      </w:r>
      <w:r w:rsidR="00587181" w:rsidRPr="009C1699">
        <w:rPr>
          <w:szCs w:val="20"/>
        </w:rPr>
        <w:t>’ and instrumentals from the Beatles’ ‘</w:t>
      </w:r>
      <w:r w:rsidR="00587181" w:rsidRPr="009C1699">
        <w:rPr>
          <w:i/>
          <w:szCs w:val="20"/>
        </w:rPr>
        <w:t>White Album</w:t>
      </w:r>
      <w:r w:rsidR="00587181" w:rsidRPr="009C1699">
        <w:rPr>
          <w:szCs w:val="20"/>
        </w:rPr>
        <w:t>’</w:t>
      </w:r>
      <w:r w:rsidR="00587181" w:rsidRPr="009C1699">
        <w:rPr>
          <w:rStyle w:val="FootnoteReference"/>
          <w:szCs w:val="20"/>
        </w:rPr>
        <w:footnoteReference w:id="59"/>
      </w:r>
      <w:r w:rsidR="00587181" w:rsidRPr="009C1699">
        <w:rPr>
          <w:szCs w:val="20"/>
        </w:rPr>
        <w:t>.</w:t>
      </w:r>
      <w:r w:rsidR="00587181">
        <w:rPr>
          <w:szCs w:val="20"/>
        </w:rPr>
        <w:t xml:space="preserve"> How can any court determine whether </w:t>
      </w:r>
      <w:r>
        <w:rPr>
          <w:szCs w:val="20"/>
        </w:rPr>
        <w:t xml:space="preserve">an artist has taken </w:t>
      </w:r>
      <w:r w:rsidRPr="00587181">
        <w:rPr>
          <w:i/>
          <w:szCs w:val="20"/>
        </w:rPr>
        <w:t>too much</w:t>
      </w:r>
      <w:r>
        <w:rPr>
          <w:szCs w:val="20"/>
        </w:rPr>
        <w:t xml:space="preserve"> from </w:t>
      </w:r>
      <w:r w:rsidR="00587181">
        <w:rPr>
          <w:szCs w:val="20"/>
        </w:rPr>
        <w:t xml:space="preserve">an earlier work </w:t>
      </w:r>
      <w:r>
        <w:rPr>
          <w:szCs w:val="20"/>
        </w:rPr>
        <w:t xml:space="preserve">without </w:t>
      </w:r>
      <w:r w:rsidR="00587181">
        <w:rPr>
          <w:szCs w:val="20"/>
        </w:rPr>
        <w:t xml:space="preserve">passing </w:t>
      </w:r>
      <w:r>
        <w:rPr>
          <w:szCs w:val="20"/>
        </w:rPr>
        <w:t>a</w:t>
      </w:r>
      <w:r w:rsidR="00587181">
        <w:rPr>
          <w:szCs w:val="20"/>
        </w:rPr>
        <w:t xml:space="preserve"> </w:t>
      </w:r>
      <w:r>
        <w:rPr>
          <w:szCs w:val="20"/>
        </w:rPr>
        <w:t xml:space="preserve">judgement on the </w:t>
      </w:r>
      <w:r w:rsidR="00587181">
        <w:rPr>
          <w:szCs w:val="20"/>
        </w:rPr>
        <w:t xml:space="preserve">artistic merits of the </w:t>
      </w:r>
      <w:r>
        <w:rPr>
          <w:szCs w:val="20"/>
        </w:rPr>
        <w:t xml:space="preserve">new work itself? This factor </w:t>
      </w:r>
      <w:r w:rsidR="00587181">
        <w:rPr>
          <w:szCs w:val="20"/>
        </w:rPr>
        <w:t xml:space="preserve">seems </w:t>
      </w:r>
      <w:r>
        <w:rPr>
          <w:szCs w:val="20"/>
        </w:rPr>
        <w:t>inherently subjective.</w:t>
      </w:r>
    </w:p>
    <w:p w14:paraId="6A136A3F" w14:textId="64EA3E59" w:rsidR="007E6163" w:rsidRDefault="007E6163" w:rsidP="00035BA4">
      <w:pPr>
        <w:spacing w:before="240" w:line="360" w:lineRule="auto"/>
        <w:jc w:val="both"/>
        <w:rPr>
          <w:szCs w:val="20"/>
        </w:rPr>
      </w:pPr>
      <w:r>
        <w:rPr>
          <w:szCs w:val="20"/>
        </w:rPr>
        <w:t xml:space="preserve">Another blurred area is whether </w:t>
      </w:r>
      <w:r w:rsidR="00F52E5F">
        <w:rPr>
          <w:szCs w:val="20"/>
        </w:rPr>
        <w:t xml:space="preserve">the parody exception will apply where the unauthorised parody is used for </w:t>
      </w:r>
      <w:r>
        <w:rPr>
          <w:szCs w:val="20"/>
        </w:rPr>
        <w:t xml:space="preserve">commercial </w:t>
      </w:r>
      <w:r w:rsidR="00F52E5F">
        <w:rPr>
          <w:szCs w:val="20"/>
        </w:rPr>
        <w:t xml:space="preserve">purposes. </w:t>
      </w:r>
      <w:r>
        <w:rPr>
          <w:szCs w:val="20"/>
        </w:rPr>
        <w:t xml:space="preserve">Traditionally, </w:t>
      </w:r>
      <w:r w:rsidR="00F52E5F">
        <w:rPr>
          <w:szCs w:val="20"/>
        </w:rPr>
        <w:t xml:space="preserve">the fair dealing exceptions have been interpreted to render commercial use </w:t>
      </w:r>
      <w:r>
        <w:rPr>
          <w:szCs w:val="20"/>
        </w:rPr>
        <w:t>unfair</w:t>
      </w:r>
      <w:r w:rsidR="00F52E5F">
        <w:rPr>
          <w:szCs w:val="20"/>
        </w:rPr>
        <w:t xml:space="preserve">. Here, </w:t>
      </w:r>
      <w:r>
        <w:rPr>
          <w:szCs w:val="20"/>
        </w:rPr>
        <w:t>it must be bor</w:t>
      </w:r>
      <w:r w:rsidR="00F52E5F">
        <w:rPr>
          <w:szCs w:val="20"/>
        </w:rPr>
        <w:t>n</w:t>
      </w:r>
      <w:r>
        <w:rPr>
          <w:szCs w:val="20"/>
        </w:rPr>
        <w:t xml:space="preserve">e in mind that the </w:t>
      </w:r>
      <w:r w:rsidR="00F52E5F">
        <w:rPr>
          <w:szCs w:val="20"/>
        </w:rPr>
        <w:t xml:space="preserve">parody </w:t>
      </w:r>
      <w:r>
        <w:rPr>
          <w:szCs w:val="20"/>
        </w:rPr>
        <w:t xml:space="preserve">exception is </w:t>
      </w:r>
      <w:r w:rsidR="00F52E5F">
        <w:rPr>
          <w:szCs w:val="20"/>
        </w:rPr>
        <w:t xml:space="preserve">one of the copyright exceptions based upon the fundamental right to </w:t>
      </w:r>
      <w:r>
        <w:rPr>
          <w:szCs w:val="20"/>
        </w:rPr>
        <w:t>free expression</w:t>
      </w:r>
      <w:r w:rsidR="00F52E5F">
        <w:rPr>
          <w:szCs w:val="20"/>
        </w:rPr>
        <w:t xml:space="preserve">. </w:t>
      </w:r>
      <w:r>
        <w:rPr>
          <w:szCs w:val="20"/>
        </w:rPr>
        <w:t xml:space="preserve">The European Court of Human Rights </w:t>
      </w:r>
      <w:r w:rsidR="00F52E5F">
        <w:rPr>
          <w:szCs w:val="20"/>
        </w:rPr>
        <w:t xml:space="preserve">has confirmed that </w:t>
      </w:r>
      <w:r>
        <w:rPr>
          <w:szCs w:val="20"/>
        </w:rPr>
        <w:t xml:space="preserve">freedom of expression </w:t>
      </w:r>
      <w:r w:rsidR="00F52E5F">
        <w:rPr>
          <w:szCs w:val="20"/>
        </w:rPr>
        <w:t xml:space="preserve">does extend to </w:t>
      </w:r>
      <w:r w:rsidRPr="00D859D5">
        <w:rPr>
          <w:szCs w:val="20"/>
        </w:rPr>
        <w:t>commercial speech</w:t>
      </w:r>
      <w:r w:rsidRPr="00D859D5">
        <w:rPr>
          <w:rStyle w:val="FootnoteReference"/>
          <w:szCs w:val="20"/>
        </w:rPr>
        <w:footnoteReference w:id="60"/>
      </w:r>
      <w:r w:rsidR="00F52E5F">
        <w:rPr>
          <w:szCs w:val="20"/>
        </w:rPr>
        <w:t xml:space="preserve">, but it affords national courts </w:t>
      </w:r>
      <w:r w:rsidRPr="00D859D5">
        <w:rPr>
          <w:szCs w:val="20"/>
        </w:rPr>
        <w:t>a greater margin of appreciation</w:t>
      </w:r>
      <w:r w:rsidR="00F52E5F">
        <w:rPr>
          <w:szCs w:val="20"/>
        </w:rPr>
        <w:t>, than compared to, for example, political expression, in recognition of its greater public interest</w:t>
      </w:r>
      <w:r w:rsidRPr="00D859D5">
        <w:rPr>
          <w:szCs w:val="20"/>
        </w:rPr>
        <w:t xml:space="preserve">. </w:t>
      </w:r>
      <w:r w:rsidR="00F52E5F">
        <w:rPr>
          <w:szCs w:val="20"/>
        </w:rPr>
        <w:t xml:space="preserve">Since many </w:t>
      </w:r>
      <w:r w:rsidR="00D21227">
        <w:rPr>
          <w:szCs w:val="20"/>
        </w:rPr>
        <w:t xml:space="preserve">cases involve a balancing of one party’s fundamental rights (right to copyright as property) against another’s (right to freedom of expression), the commercial nature of parodic use may tip the scales in favour of the copyright owner, whereas non-commercial use might give rise to the opposite result. This may mean that when UK courts are assessing </w:t>
      </w:r>
      <w:r>
        <w:rPr>
          <w:szCs w:val="20"/>
        </w:rPr>
        <w:t>fairness</w:t>
      </w:r>
      <w:r w:rsidR="00D21227">
        <w:rPr>
          <w:szCs w:val="20"/>
        </w:rPr>
        <w:t>, they will consider whether the use is likely to impact on the market of the original works, which would include potential l</w:t>
      </w:r>
      <w:r>
        <w:rPr>
          <w:szCs w:val="20"/>
        </w:rPr>
        <w:t>icen</w:t>
      </w:r>
      <w:r w:rsidR="00D21227">
        <w:rPr>
          <w:szCs w:val="20"/>
        </w:rPr>
        <w:t>sing revenue lost</w:t>
      </w:r>
      <w:r>
        <w:rPr>
          <w:rStyle w:val="FootnoteReference"/>
          <w:szCs w:val="20"/>
        </w:rPr>
        <w:footnoteReference w:id="61"/>
      </w:r>
      <w:r>
        <w:rPr>
          <w:szCs w:val="20"/>
        </w:rPr>
        <w:t xml:space="preserve">. In terms of digital sampling, </w:t>
      </w:r>
      <w:proofErr w:type="gramStart"/>
      <w:r w:rsidR="00D21227">
        <w:rPr>
          <w:szCs w:val="20"/>
        </w:rPr>
        <w:t xml:space="preserve">as </w:t>
      </w:r>
      <w:r w:rsidR="00A4060B">
        <w:rPr>
          <w:szCs w:val="20"/>
        </w:rPr>
        <w:t xml:space="preserve">a </w:t>
      </w:r>
      <w:r w:rsidR="00D21227">
        <w:rPr>
          <w:szCs w:val="20"/>
        </w:rPr>
        <w:t>rights</w:t>
      </w:r>
      <w:proofErr w:type="gramEnd"/>
      <w:r w:rsidR="00D21227">
        <w:rPr>
          <w:szCs w:val="20"/>
        </w:rPr>
        <w:t xml:space="preserve"> </w:t>
      </w:r>
      <w:r>
        <w:rPr>
          <w:szCs w:val="20"/>
        </w:rPr>
        <w:t>clearance system is already quite developed</w:t>
      </w:r>
      <w:r w:rsidR="00A4060B">
        <w:rPr>
          <w:szCs w:val="20"/>
        </w:rPr>
        <w:t xml:space="preserve">, this might count against a sampling </w:t>
      </w:r>
      <w:r>
        <w:rPr>
          <w:szCs w:val="20"/>
        </w:rPr>
        <w:t xml:space="preserve">artist </w:t>
      </w:r>
      <w:r w:rsidR="00A4060B">
        <w:rPr>
          <w:szCs w:val="20"/>
        </w:rPr>
        <w:t xml:space="preserve">hoping to rely upon the parody </w:t>
      </w:r>
      <w:r>
        <w:rPr>
          <w:szCs w:val="20"/>
        </w:rPr>
        <w:t>exception.</w:t>
      </w:r>
    </w:p>
    <w:p w14:paraId="05DFE12F" w14:textId="38C414B3" w:rsidR="007E6163" w:rsidRPr="004D4AFE" w:rsidRDefault="007E6163" w:rsidP="00035BA4">
      <w:pPr>
        <w:spacing w:before="240" w:line="360" w:lineRule="auto"/>
        <w:jc w:val="both"/>
      </w:pPr>
      <w:r>
        <w:t>Th</w:t>
      </w:r>
      <w:r w:rsidR="0035592E">
        <w:t xml:space="preserve">is analysis of the </w:t>
      </w:r>
      <w:r>
        <w:t xml:space="preserve">existing defences under UK copyright law </w:t>
      </w:r>
      <w:r w:rsidR="0035592E">
        <w:t>affords samplers little comfort, since few sampling efforts would appear to fall within either the quotation or the parody fair dealing. Rather, it reinforce</w:t>
      </w:r>
      <w:r w:rsidR="00510ED9">
        <w:t>s</w:t>
      </w:r>
      <w:r w:rsidR="0035592E">
        <w:t xml:space="preserve"> the presumption that because sampling relies upon use of a substantial (in the sense of qualitatively </w:t>
      </w:r>
      <w:r w:rsidR="00EE2D7E">
        <w:t xml:space="preserve">significant, original) </w:t>
      </w:r>
      <w:r w:rsidR="0035592E">
        <w:t xml:space="preserve">part of </w:t>
      </w:r>
      <w:r w:rsidR="0035592E">
        <w:lastRenderedPageBreak/>
        <w:t>an earlier work</w:t>
      </w:r>
      <w:r w:rsidR="00EE2D7E">
        <w:t>, it will infringe copyright in the lyrics and/or melody and the sound recordings of the sampled works, unless the right-holders are willing to grant permission.</w:t>
      </w:r>
    </w:p>
    <w:p w14:paraId="78CE89EF" w14:textId="54B1C687" w:rsidR="007E6163" w:rsidRPr="00DC7CFA" w:rsidRDefault="007E6163" w:rsidP="00BF38A1">
      <w:pPr>
        <w:pStyle w:val="Heading1"/>
        <w:numPr>
          <w:ilvl w:val="0"/>
          <w:numId w:val="5"/>
        </w:numPr>
        <w:rPr>
          <w:rFonts w:ascii="Verdana" w:hAnsi="Verdana"/>
          <w:sz w:val="20"/>
          <w:szCs w:val="20"/>
        </w:rPr>
      </w:pPr>
      <w:proofErr w:type="gramStart"/>
      <w:r>
        <w:rPr>
          <w:rFonts w:ascii="Verdana" w:hAnsi="Verdana"/>
          <w:sz w:val="20"/>
          <w:szCs w:val="20"/>
        </w:rPr>
        <w:t>Digital sampling, a violation of m</w:t>
      </w:r>
      <w:r w:rsidRPr="00DC7CFA">
        <w:rPr>
          <w:rFonts w:ascii="Verdana" w:hAnsi="Verdana"/>
          <w:sz w:val="20"/>
          <w:szCs w:val="20"/>
        </w:rPr>
        <w:t>oral rights</w:t>
      </w:r>
      <w:r>
        <w:rPr>
          <w:rFonts w:ascii="Verdana" w:hAnsi="Verdana"/>
          <w:sz w:val="20"/>
          <w:szCs w:val="20"/>
        </w:rPr>
        <w:t>?</w:t>
      </w:r>
      <w:proofErr w:type="gramEnd"/>
    </w:p>
    <w:p w14:paraId="268E8911" w14:textId="05E59151" w:rsidR="007E6163" w:rsidRDefault="00962AB3" w:rsidP="00204934">
      <w:pPr>
        <w:spacing w:before="240" w:line="360" w:lineRule="auto"/>
        <w:jc w:val="both"/>
        <w:rPr>
          <w:szCs w:val="20"/>
        </w:rPr>
      </w:pPr>
      <w:r>
        <w:t xml:space="preserve">So, while a sampler is likely to encounter </w:t>
      </w:r>
      <w:r w:rsidR="007F0FCA">
        <w:t>economic rights</w:t>
      </w:r>
      <w:r>
        <w:t xml:space="preserve"> issues, will issues also arise regarding moral rights? It will be recalled that </w:t>
      </w:r>
      <w:r w:rsidR="007E6163">
        <w:t>CDPA</w:t>
      </w:r>
      <w:r w:rsidR="007F0FCA">
        <w:t xml:space="preserve"> 1988</w:t>
      </w:r>
      <w:r w:rsidR="007E6163">
        <w:t xml:space="preserve"> introduced moral rights in</w:t>
      </w:r>
      <w:r>
        <w:t>to</w:t>
      </w:r>
      <w:r w:rsidR="007E6163">
        <w:t xml:space="preserve"> UK copyright law to </w:t>
      </w:r>
      <w:r>
        <w:t xml:space="preserve">meet </w:t>
      </w:r>
      <w:r w:rsidR="007E6163">
        <w:t xml:space="preserve">international </w:t>
      </w:r>
      <w:r>
        <w:t xml:space="preserve">law </w:t>
      </w:r>
      <w:r w:rsidR="007E6163">
        <w:t>obligations a</w:t>
      </w:r>
      <w:r>
        <w:t xml:space="preserve">rising from </w:t>
      </w:r>
      <w:r w:rsidR="007E6163">
        <w:t>the Berne Convention</w:t>
      </w:r>
      <w:r w:rsidR="007E6163">
        <w:rPr>
          <w:rStyle w:val="FootnoteReference"/>
        </w:rPr>
        <w:footnoteReference w:id="62"/>
      </w:r>
      <w:r w:rsidR="007E6163">
        <w:t xml:space="preserve">. </w:t>
      </w:r>
      <w:r>
        <w:t xml:space="preserve">Pursuant to </w:t>
      </w:r>
      <w:r w:rsidR="007E6163">
        <w:t xml:space="preserve">sections 77 to 84 CDPA, the </w:t>
      </w:r>
      <w:r>
        <w:t xml:space="preserve">creator of any </w:t>
      </w:r>
      <w:r w:rsidR="007E6163">
        <w:t>author</w:t>
      </w:r>
      <w:r>
        <w:t>ial copyright work</w:t>
      </w:r>
      <w:r w:rsidR="00785023">
        <w:t>, or the performer of a work</w:t>
      </w:r>
      <w:r w:rsidR="007E6163">
        <w:t xml:space="preserve"> </w:t>
      </w:r>
      <w:r>
        <w:t>enjoys r</w:t>
      </w:r>
      <w:r w:rsidR="007E6163">
        <w:t>ight</w:t>
      </w:r>
      <w:r>
        <w:t>s</w:t>
      </w:r>
      <w:r w:rsidR="007F0FCA">
        <w:t xml:space="preserve"> of paternity and</w:t>
      </w:r>
      <w:r w:rsidR="007E6163">
        <w:t xml:space="preserve"> integrity</w:t>
      </w:r>
      <w:r>
        <w:t xml:space="preserve">, </w:t>
      </w:r>
      <w:r w:rsidR="00785023">
        <w:t xml:space="preserve">once these rights have been properly </w:t>
      </w:r>
      <w:r>
        <w:t>assert</w:t>
      </w:r>
      <w:r w:rsidR="00785023">
        <w:t>ed</w:t>
      </w:r>
      <w:r>
        <w:t xml:space="preserve"> rights</w:t>
      </w:r>
      <w:r w:rsidR="00785023">
        <w:rPr>
          <w:rStyle w:val="FootnoteReference"/>
          <w:szCs w:val="20"/>
        </w:rPr>
        <w:footnoteReference w:id="63"/>
      </w:r>
      <w:r w:rsidR="00785023">
        <w:t>.</w:t>
      </w:r>
      <w:r w:rsidR="007E6163">
        <w:t xml:space="preserve"> </w:t>
      </w:r>
      <w:r w:rsidR="00785023">
        <w:t xml:space="preserve">Paternity relates to </w:t>
      </w:r>
      <w:r w:rsidR="007E6163">
        <w:rPr>
          <w:szCs w:val="20"/>
        </w:rPr>
        <w:t xml:space="preserve">the right to be identified as the author or performer of the work whenever </w:t>
      </w:r>
      <w:r w:rsidR="00785023">
        <w:rPr>
          <w:szCs w:val="20"/>
        </w:rPr>
        <w:t xml:space="preserve">it is </w:t>
      </w:r>
      <w:r w:rsidR="007E6163">
        <w:rPr>
          <w:szCs w:val="20"/>
        </w:rPr>
        <w:t>broadcast, or otherwise communicated to the public</w:t>
      </w:r>
      <w:r w:rsidR="007E6163">
        <w:rPr>
          <w:rStyle w:val="FootnoteReference"/>
          <w:szCs w:val="20"/>
        </w:rPr>
        <w:footnoteReference w:id="64"/>
      </w:r>
      <w:r w:rsidR="007E6163">
        <w:rPr>
          <w:szCs w:val="20"/>
        </w:rPr>
        <w:t xml:space="preserve">. </w:t>
      </w:r>
      <w:r w:rsidR="00785023">
        <w:rPr>
          <w:szCs w:val="20"/>
        </w:rPr>
        <w:t xml:space="preserve">The integrity right permits an author or performer to object if their work is </w:t>
      </w:r>
      <w:r w:rsidR="007E6163">
        <w:rPr>
          <w:szCs w:val="20"/>
        </w:rPr>
        <w:t xml:space="preserve">subjected to a </w:t>
      </w:r>
      <w:r w:rsidR="00785023">
        <w:rPr>
          <w:szCs w:val="20"/>
        </w:rPr>
        <w:t>‘</w:t>
      </w:r>
      <w:r w:rsidR="007E6163">
        <w:rPr>
          <w:szCs w:val="20"/>
        </w:rPr>
        <w:t>derogatory treatment</w:t>
      </w:r>
      <w:r w:rsidR="00785023">
        <w:rPr>
          <w:szCs w:val="20"/>
        </w:rPr>
        <w:t>’</w:t>
      </w:r>
      <w:r w:rsidR="007E6163">
        <w:rPr>
          <w:rStyle w:val="FootnoteReference"/>
          <w:szCs w:val="20"/>
        </w:rPr>
        <w:footnoteReference w:id="65"/>
      </w:r>
      <w:r w:rsidR="007E6163">
        <w:rPr>
          <w:szCs w:val="20"/>
        </w:rPr>
        <w:t xml:space="preserve">, </w:t>
      </w:r>
      <w:r w:rsidR="00785023">
        <w:rPr>
          <w:szCs w:val="20"/>
        </w:rPr>
        <w:t xml:space="preserve">so </w:t>
      </w:r>
      <w:r w:rsidR="007E6163">
        <w:rPr>
          <w:szCs w:val="20"/>
        </w:rPr>
        <w:t xml:space="preserve">enabling </w:t>
      </w:r>
      <w:r w:rsidR="00785023">
        <w:rPr>
          <w:szCs w:val="20"/>
        </w:rPr>
        <w:t xml:space="preserve">them to </w:t>
      </w:r>
      <w:r w:rsidR="007E6163">
        <w:rPr>
          <w:szCs w:val="20"/>
        </w:rPr>
        <w:t xml:space="preserve">retain a </w:t>
      </w:r>
      <w:r w:rsidR="00785023">
        <w:rPr>
          <w:szCs w:val="20"/>
        </w:rPr>
        <w:t xml:space="preserve">degree of </w:t>
      </w:r>
      <w:r w:rsidR="007E6163">
        <w:rPr>
          <w:szCs w:val="20"/>
        </w:rPr>
        <w:t>creativ</w:t>
      </w:r>
      <w:r w:rsidR="00785023">
        <w:rPr>
          <w:szCs w:val="20"/>
        </w:rPr>
        <w:t>e</w:t>
      </w:r>
      <w:r w:rsidR="007E6163">
        <w:rPr>
          <w:szCs w:val="20"/>
        </w:rPr>
        <w:t xml:space="preserve"> control over </w:t>
      </w:r>
      <w:r w:rsidR="00785023">
        <w:rPr>
          <w:szCs w:val="20"/>
        </w:rPr>
        <w:t xml:space="preserve">how </w:t>
      </w:r>
      <w:r w:rsidR="007E6163">
        <w:rPr>
          <w:szCs w:val="20"/>
        </w:rPr>
        <w:t>their works</w:t>
      </w:r>
      <w:r w:rsidR="00785023">
        <w:rPr>
          <w:szCs w:val="20"/>
        </w:rPr>
        <w:t xml:space="preserve"> are exploited, even though the author and performer may have signed their commercial rights away to the record label. </w:t>
      </w:r>
      <w:r w:rsidR="007E6163">
        <w:rPr>
          <w:szCs w:val="20"/>
        </w:rPr>
        <w:t xml:space="preserve">Finally, songwriters </w:t>
      </w:r>
      <w:r w:rsidR="0011376D">
        <w:rPr>
          <w:szCs w:val="20"/>
        </w:rPr>
        <w:t xml:space="preserve">(but not performers) can object to any </w:t>
      </w:r>
      <w:r w:rsidR="007E6163">
        <w:rPr>
          <w:szCs w:val="20"/>
        </w:rPr>
        <w:t xml:space="preserve">false attribution </w:t>
      </w:r>
      <w:r w:rsidR="0011376D">
        <w:rPr>
          <w:szCs w:val="20"/>
        </w:rPr>
        <w:t>of their work</w:t>
      </w:r>
      <w:r w:rsidR="007E6163">
        <w:rPr>
          <w:rStyle w:val="FootnoteReference"/>
          <w:szCs w:val="20"/>
        </w:rPr>
        <w:footnoteReference w:id="66"/>
      </w:r>
      <w:r w:rsidR="007E6163">
        <w:rPr>
          <w:szCs w:val="20"/>
        </w:rPr>
        <w:t>.</w:t>
      </w:r>
    </w:p>
    <w:p w14:paraId="452D12BD" w14:textId="4E5A2430" w:rsidR="007E6163" w:rsidRDefault="0011376D" w:rsidP="00204934">
      <w:pPr>
        <w:spacing w:before="240" w:line="360" w:lineRule="auto"/>
        <w:jc w:val="both"/>
        <w:rPr>
          <w:szCs w:val="20"/>
        </w:rPr>
      </w:pPr>
      <w:r>
        <w:rPr>
          <w:szCs w:val="20"/>
        </w:rPr>
        <w:t xml:space="preserve">While </w:t>
      </w:r>
      <w:r w:rsidR="007E6163">
        <w:rPr>
          <w:szCs w:val="20"/>
        </w:rPr>
        <w:t>moral rights cannot be transferred, assigned or licensed</w:t>
      </w:r>
      <w:r w:rsidR="007E6163">
        <w:rPr>
          <w:rStyle w:val="FootnoteReference"/>
          <w:szCs w:val="20"/>
        </w:rPr>
        <w:footnoteReference w:id="67"/>
      </w:r>
      <w:r>
        <w:rPr>
          <w:szCs w:val="20"/>
        </w:rPr>
        <w:t xml:space="preserve">, they can be </w:t>
      </w:r>
      <w:r w:rsidR="007E6163">
        <w:rPr>
          <w:szCs w:val="20"/>
        </w:rPr>
        <w:t>waive</w:t>
      </w:r>
      <w:r>
        <w:rPr>
          <w:szCs w:val="20"/>
        </w:rPr>
        <w:t>d</w:t>
      </w:r>
      <w:r w:rsidR="007E6163">
        <w:rPr>
          <w:rStyle w:val="FootnoteReference"/>
          <w:szCs w:val="20"/>
        </w:rPr>
        <w:footnoteReference w:id="68"/>
      </w:r>
      <w:r w:rsidR="007E6163">
        <w:rPr>
          <w:szCs w:val="20"/>
        </w:rPr>
        <w:t xml:space="preserve">. </w:t>
      </w:r>
      <w:r>
        <w:rPr>
          <w:szCs w:val="20"/>
        </w:rPr>
        <w:t xml:space="preserve">The type of contracts typically used in music industry often require at least partial waiver of moral rights, but record labels typically do respect a song writer’s or performer’s </w:t>
      </w:r>
      <w:r w:rsidR="007E6163">
        <w:rPr>
          <w:szCs w:val="20"/>
        </w:rPr>
        <w:t>paternity right</w:t>
      </w:r>
      <w:r w:rsidR="00F66584">
        <w:rPr>
          <w:szCs w:val="20"/>
        </w:rPr>
        <w:t xml:space="preserve">, as well as </w:t>
      </w:r>
      <w:r>
        <w:rPr>
          <w:szCs w:val="20"/>
        </w:rPr>
        <w:t>agree</w:t>
      </w:r>
      <w:r w:rsidR="00F66584">
        <w:rPr>
          <w:szCs w:val="20"/>
        </w:rPr>
        <w:t>ing</w:t>
      </w:r>
      <w:r>
        <w:rPr>
          <w:szCs w:val="20"/>
        </w:rPr>
        <w:t xml:space="preserve"> that certain kinds of commercial exploitation</w:t>
      </w:r>
      <w:r w:rsidR="00F66584">
        <w:rPr>
          <w:szCs w:val="20"/>
        </w:rPr>
        <w:t xml:space="preserve"> (</w:t>
      </w:r>
      <w:r>
        <w:rPr>
          <w:szCs w:val="20"/>
        </w:rPr>
        <w:t xml:space="preserve">which </w:t>
      </w:r>
      <w:r w:rsidR="00F66584">
        <w:rPr>
          <w:szCs w:val="20"/>
        </w:rPr>
        <w:t xml:space="preserve">are most likely to </w:t>
      </w:r>
      <w:r>
        <w:rPr>
          <w:szCs w:val="20"/>
        </w:rPr>
        <w:t>impact on the integrity right</w:t>
      </w:r>
      <w:r w:rsidR="00F66584">
        <w:rPr>
          <w:szCs w:val="20"/>
        </w:rPr>
        <w:t>)</w:t>
      </w:r>
      <w:r>
        <w:rPr>
          <w:szCs w:val="20"/>
        </w:rPr>
        <w:t xml:space="preserve"> will only </w:t>
      </w:r>
      <w:r w:rsidR="00F66584">
        <w:rPr>
          <w:szCs w:val="20"/>
        </w:rPr>
        <w:t xml:space="preserve">take place </w:t>
      </w:r>
      <w:r>
        <w:rPr>
          <w:szCs w:val="20"/>
        </w:rPr>
        <w:t xml:space="preserve">with the author’s specific consent. </w:t>
      </w:r>
      <w:r w:rsidR="00F66584">
        <w:rPr>
          <w:szCs w:val="20"/>
        </w:rPr>
        <w:t xml:space="preserve">The latter </w:t>
      </w:r>
      <w:r w:rsidR="007E6163">
        <w:rPr>
          <w:szCs w:val="20"/>
        </w:rPr>
        <w:t>restrict</w:t>
      </w:r>
      <w:r w:rsidR="00F66584">
        <w:rPr>
          <w:szCs w:val="20"/>
        </w:rPr>
        <w:t xml:space="preserve">ed </w:t>
      </w:r>
      <w:r w:rsidR="007E6163">
        <w:rPr>
          <w:szCs w:val="20"/>
        </w:rPr>
        <w:t>acts</w:t>
      </w:r>
      <w:r w:rsidR="00F66584">
        <w:rPr>
          <w:szCs w:val="20"/>
        </w:rPr>
        <w:t xml:space="preserve"> include use of a </w:t>
      </w:r>
      <w:r w:rsidR="007E6163">
        <w:rPr>
          <w:szCs w:val="20"/>
        </w:rPr>
        <w:t>work for commercial advertising, adaptations or any re-arrangements</w:t>
      </w:r>
      <w:r w:rsidR="007E6163">
        <w:rPr>
          <w:rStyle w:val="FootnoteReference"/>
          <w:szCs w:val="20"/>
        </w:rPr>
        <w:footnoteReference w:id="69"/>
      </w:r>
      <w:r w:rsidR="007E6163">
        <w:rPr>
          <w:szCs w:val="20"/>
        </w:rPr>
        <w:t xml:space="preserve">. </w:t>
      </w:r>
      <w:r w:rsidR="002B27FA">
        <w:rPr>
          <w:szCs w:val="20"/>
        </w:rPr>
        <w:t xml:space="preserve">As sampling would generally be classed as a re-arrangement, in cases moral rights have been asserted and </w:t>
      </w:r>
      <w:r w:rsidR="007E6163">
        <w:rPr>
          <w:szCs w:val="20"/>
        </w:rPr>
        <w:t>retained</w:t>
      </w:r>
      <w:r w:rsidR="002B27FA">
        <w:rPr>
          <w:szCs w:val="20"/>
        </w:rPr>
        <w:t>, lyricists, musicians</w:t>
      </w:r>
      <w:r w:rsidR="007E6163">
        <w:rPr>
          <w:szCs w:val="20"/>
        </w:rPr>
        <w:t xml:space="preserve"> </w:t>
      </w:r>
      <w:r w:rsidR="002B27FA">
        <w:rPr>
          <w:szCs w:val="20"/>
        </w:rPr>
        <w:t>and performers may independently seek to enforce t</w:t>
      </w:r>
      <w:r w:rsidR="007E6163">
        <w:rPr>
          <w:szCs w:val="20"/>
        </w:rPr>
        <w:t>he</w:t>
      </w:r>
      <w:r w:rsidR="002B27FA">
        <w:rPr>
          <w:szCs w:val="20"/>
        </w:rPr>
        <w:t>se rights whenever their work is sampled. An unauthorised sampling might infringe the</w:t>
      </w:r>
      <w:r w:rsidR="007E6163">
        <w:rPr>
          <w:szCs w:val="20"/>
        </w:rPr>
        <w:t xml:space="preserve">ir </w:t>
      </w:r>
      <w:r w:rsidR="002B27FA">
        <w:rPr>
          <w:szCs w:val="20"/>
        </w:rPr>
        <w:t xml:space="preserve">paternity right, if not properly attributed, and may be a derogatory treatment of their work. </w:t>
      </w:r>
      <w:r w:rsidR="00792932">
        <w:rPr>
          <w:szCs w:val="20"/>
        </w:rPr>
        <w:t xml:space="preserve">This </w:t>
      </w:r>
      <w:r w:rsidR="00792932">
        <w:rPr>
          <w:szCs w:val="20"/>
        </w:rPr>
        <w:lastRenderedPageBreak/>
        <w:t>article only focuses on the integrity right given that often the paternity right will be easily satisfied.</w:t>
      </w:r>
    </w:p>
    <w:p w14:paraId="3508F5DE" w14:textId="77777777" w:rsidR="00A93AF5" w:rsidRDefault="002F67B9" w:rsidP="00204934">
      <w:pPr>
        <w:spacing w:before="240" w:line="360" w:lineRule="auto"/>
        <w:jc w:val="both"/>
        <w:rPr>
          <w:szCs w:val="20"/>
        </w:rPr>
      </w:pPr>
      <w:r>
        <w:rPr>
          <w:szCs w:val="20"/>
        </w:rPr>
        <w:t xml:space="preserve">Again, there is </w:t>
      </w:r>
      <w:r w:rsidR="007E6163">
        <w:rPr>
          <w:szCs w:val="20"/>
        </w:rPr>
        <w:t xml:space="preserve">very little case law </w:t>
      </w:r>
      <w:r>
        <w:rPr>
          <w:szCs w:val="20"/>
        </w:rPr>
        <w:t xml:space="preserve">to help shed light on how </w:t>
      </w:r>
      <w:r w:rsidR="007E6163">
        <w:rPr>
          <w:szCs w:val="20"/>
        </w:rPr>
        <w:t xml:space="preserve">UK courts </w:t>
      </w:r>
      <w:r>
        <w:rPr>
          <w:szCs w:val="20"/>
        </w:rPr>
        <w:t xml:space="preserve">might consider </w:t>
      </w:r>
      <w:r w:rsidR="007E6163">
        <w:rPr>
          <w:szCs w:val="20"/>
        </w:rPr>
        <w:t xml:space="preserve">digital sampling. </w:t>
      </w:r>
      <w:r w:rsidR="00947A6F">
        <w:rPr>
          <w:szCs w:val="20"/>
        </w:rPr>
        <w:t>However, before establishing whether sampling is ‘derogatory’, it is first necessary to establish whether it is a ‘</w:t>
      </w:r>
      <w:r w:rsidR="007E6163">
        <w:rPr>
          <w:szCs w:val="20"/>
        </w:rPr>
        <w:t>treatment</w:t>
      </w:r>
      <w:r w:rsidR="00947A6F">
        <w:rPr>
          <w:szCs w:val="20"/>
        </w:rPr>
        <w:t>’.</w:t>
      </w:r>
      <w:r w:rsidR="007E6163">
        <w:rPr>
          <w:szCs w:val="20"/>
        </w:rPr>
        <w:t xml:space="preserve"> </w:t>
      </w:r>
      <w:r w:rsidR="00947A6F">
        <w:rPr>
          <w:szCs w:val="20"/>
        </w:rPr>
        <w:t xml:space="preserve">Here, the CDPA sets out that </w:t>
      </w:r>
      <w:r w:rsidR="007E6163">
        <w:rPr>
          <w:szCs w:val="20"/>
        </w:rPr>
        <w:t xml:space="preserve">there must be some kind of </w:t>
      </w:r>
      <w:r w:rsidR="00947A6F">
        <w:rPr>
          <w:szCs w:val="20"/>
        </w:rPr>
        <w:t xml:space="preserve">change made </w:t>
      </w:r>
      <w:r w:rsidR="007E6163">
        <w:rPr>
          <w:szCs w:val="20"/>
        </w:rPr>
        <w:t xml:space="preserve">whether </w:t>
      </w:r>
      <w:r w:rsidR="00947A6F">
        <w:rPr>
          <w:szCs w:val="20"/>
        </w:rPr>
        <w:t xml:space="preserve">by </w:t>
      </w:r>
      <w:r w:rsidR="007E6163">
        <w:rPr>
          <w:szCs w:val="20"/>
        </w:rPr>
        <w:t>‘addition to or deletion from’ the protected work</w:t>
      </w:r>
      <w:r w:rsidR="007E6163">
        <w:rPr>
          <w:rStyle w:val="FootnoteReference"/>
          <w:szCs w:val="20"/>
        </w:rPr>
        <w:footnoteReference w:id="70"/>
      </w:r>
      <w:r w:rsidR="00A93AF5">
        <w:rPr>
          <w:szCs w:val="20"/>
        </w:rPr>
        <w:t>.</w:t>
      </w:r>
      <w:r w:rsidR="00074AA3">
        <w:rPr>
          <w:szCs w:val="20"/>
        </w:rPr>
        <w:t xml:space="preserve"> </w:t>
      </w:r>
      <w:r w:rsidR="007E6163">
        <w:rPr>
          <w:szCs w:val="20"/>
        </w:rPr>
        <w:t xml:space="preserve">In </w:t>
      </w:r>
      <w:r w:rsidR="007E6163" w:rsidRPr="007157BA">
        <w:rPr>
          <w:i/>
          <w:szCs w:val="20"/>
        </w:rPr>
        <w:t xml:space="preserve">Morrison Leahy Music Ltd v </w:t>
      </w:r>
      <w:proofErr w:type="spellStart"/>
      <w:r w:rsidR="007E6163" w:rsidRPr="007157BA">
        <w:rPr>
          <w:i/>
          <w:szCs w:val="20"/>
        </w:rPr>
        <w:t>Lightbond</w:t>
      </w:r>
      <w:proofErr w:type="spellEnd"/>
      <w:r w:rsidR="007E6163" w:rsidRPr="007157BA">
        <w:rPr>
          <w:i/>
          <w:szCs w:val="20"/>
        </w:rPr>
        <w:t xml:space="preserve"> Ltd</w:t>
      </w:r>
      <w:r w:rsidR="007E6163" w:rsidRPr="007157BA">
        <w:rPr>
          <w:rStyle w:val="FootnoteReference"/>
          <w:szCs w:val="20"/>
        </w:rPr>
        <w:footnoteReference w:id="71"/>
      </w:r>
      <w:r w:rsidR="007E6163" w:rsidRPr="007157BA">
        <w:rPr>
          <w:szCs w:val="20"/>
        </w:rPr>
        <w:t>,</w:t>
      </w:r>
      <w:r w:rsidR="007E6163">
        <w:rPr>
          <w:szCs w:val="20"/>
        </w:rPr>
        <w:t xml:space="preserve"> George Michael </w:t>
      </w:r>
      <w:r w:rsidR="00A93AF5">
        <w:rPr>
          <w:szCs w:val="20"/>
        </w:rPr>
        <w:t xml:space="preserve">tried to </w:t>
      </w:r>
      <w:r w:rsidR="0028530B">
        <w:rPr>
          <w:szCs w:val="20"/>
        </w:rPr>
        <w:t xml:space="preserve">relied upon his moral rights to </w:t>
      </w:r>
      <w:r w:rsidR="007E6163">
        <w:rPr>
          <w:szCs w:val="20"/>
        </w:rPr>
        <w:t xml:space="preserve">object to release of a medley </w:t>
      </w:r>
      <w:r w:rsidR="0028530B">
        <w:rPr>
          <w:szCs w:val="20"/>
        </w:rPr>
        <w:t xml:space="preserve">which sampled </w:t>
      </w:r>
      <w:r w:rsidR="007E6163">
        <w:rPr>
          <w:szCs w:val="20"/>
        </w:rPr>
        <w:t xml:space="preserve">his </w:t>
      </w:r>
      <w:r w:rsidR="0028530B">
        <w:rPr>
          <w:szCs w:val="20"/>
        </w:rPr>
        <w:t xml:space="preserve">songs, even though his record label (owner of copyright in the works) had granted a </w:t>
      </w:r>
      <w:r w:rsidR="007E6163">
        <w:rPr>
          <w:szCs w:val="20"/>
        </w:rPr>
        <w:t>licen</w:t>
      </w:r>
      <w:r w:rsidR="0028530B">
        <w:rPr>
          <w:szCs w:val="20"/>
        </w:rPr>
        <w:t xml:space="preserve">ce via </w:t>
      </w:r>
      <w:r w:rsidR="007E6163">
        <w:rPr>
          <w:szCs w:val="20"/>
        </w:rPr>
        <w:t xml:space="preserve">the </w:t>
      </w:r>
      <w:r w:rsidR="007E6163" w:rsidRPr="00D748EC">
        <w:rPr>
          <w:i/>
          <w:szCs w:val="20"/>
        </w:rPr>
        <w:t>Mechanical-Copyright Protection Society</w:t>
      </w:r>
      <w:r w:rsidR="007E6163">
        <w:rPr>
          <w:szCs w:val="20"/>
        </w:rPr>
        <w:t xml:space="preserve"> (‘MCPS’)</w:t>
      </w:r>
      <w:r w:rsidR="0028530B">
        <w:rPr>
          <w:szCs w:val="20"/>
        </w:rPr>
        <w:t>.</w:t>
      </w:r>
      <w:r w:rsidR="007E6163">
        <w:rPr>
          <w:szCs w:val="20"/>
        </w:rPr>
        <w:t xml:space="preserve"> </w:t>
      </w:r>
      <w:r w:rsidR="0028530B">
        <w:rPr>
          <w:szCs w:val="20"/>
        </w:rPr>
        <w:t xml:space="preserve">In hearing a case for an interim injunction, </w:t>
      </w:r>
      <w:proofErr w:type="spellStart"/>
      <w:r w:rsidR="007E6163">
        <w:rPr>
          <w:szCs w:val="20"/>
        </w:rPr>
        <w:t>Morritt</w:t>
      </w:r>
      <w:proofErr w:type="spellEnd"/>
      <w:r w:rsidR="0028530B">
        <w:rPr>
          <w:szCs w:val="20"/>
        </w:rPr>
        <w:t xml:space="preserve">, J. was unconvinced that </w:t>
      </w:r>
      <w:r w:rsidR="00A93AF5">
        <w:rPr>
          <w:szCs w:val="20"/>
        </w:rPr>
        <w:t>that the original character of the work had been affected by the use</w:t>
      </w:r>
      <w:r w:rsidR="00A93AF5" w:rsidRPr="00CF0FBF">
        <w:rPr>
          <w:rStyle w:val="FootnoteReference"/>
          <w:szCs w:val="20"/>
        </w:rPr>
        <w:footnoteReference w:id="72"/>
      </w:r>
      <w:r w:rsidR="00A93AF5">
        <w:rPr>
          <w:szCs w:val="20"/>
        </w:rPr>
        <w:t>. This seems to indicate that a treatment is more than simply placing a work in a different context.</w:t>
      </w:r>
      <w:r w:rsidR="007E6163" w:rsidRPr="00CF0FBF">
        <w:rPr>
          <w:szCs w:val="20"/>
        </w:rPr>
        <w:t xml:space="preserve"> </w:t>
      </w:r>
    </w:p>
    <w:p w14:paraId="6D34B406" w14:textId="7663CCFE" w:rsidR="007E6163" w:rsidRDefault="00A93AF5" w:rsidP="00204934">
      <w:pPr>
        <w:spacing w:before="240" w:line="360" w:lineRule="auto"/>
        <w:jc w:val="both"/>
        <w:rPr>
          <w:szCs w:val="20"/>
        </w:rPr>
      </w:pPr>
      <w:r>
        <w:rPr>
          <w:szCs w:val="20"/>
        </w:rPr>
        <w:t xml:space="preserve">In </w:t>
      </w:r>
      <w:r w:rsidR="007E6163" w:rsidRPr="00CF0FBF">
        <w:rPr>
          <w:i/>
          <w:szCs w:val="20"/>
        </w:rPr>
        <w:t>Confetti Records, Fundamental Records &amp; Andrew Alcee v. Warner Music UK Ltd</w:t>
      </w:r>
      <w:r w:rsidR="007E6163" w:rsidRPr="00CF0FBF">
        <w:rPr>
          <w:rStyle w:val="FootnoteReference"/>
          <w:i/>
          <w:szCs w:val="20"/>
        </w:rPr>
        <w:footnoteReference w:id="73"/>
      </w:r>
      <w:r w:rsidR="007E6163" w:rsidRPr="00CF0FBF">
        <w:rPr>
          <w:szCs w:val="20"/>
        </w:rPr>
        <w:t xml:space="preserve">, </w:t>
      </w:r>
      <w:r w:rsidR="007E6163">
        <w:rPr>
          <w:szCs w:val="20"/>
        </w:rPr>
        <w:t xml:space="preserve">the court </w:t>
      </w:r>
      <w:r>
        <w:rPr>
          <w:szCs w:val="20"/>
        </w:rPr>
        <w:t>con</w:t>
      </w:r>
      <w:r w:rsidR="00FF66BA">
        <w:rPr>
          <w:szCs w:val="20"/>
        </w:rPr>
        <w:t xml:space="preserve">firmed that establishing whether </w:t>
      </w:r>
      <w:r>
        <w:rPr>
          <w:szCs w:val="20"/>
        </w:rPr>
        <w:t xml:space="preserve">a treatment </w:t>
      </w:r>
      <w:r w:rsidR="00FF66BA">
        <w:rPr>
          <w:szCs w:val="20"/>
        </w:rPr>
        <w:t xml:space="preserve">is a </w:t>
      </w:r>
      <w:r w:rsidR="007E6163">
        <w:rPr>
          <w:szCs w:val="20"/>
        </w:rPr>
        <w:t xml:space="preserve">derogatory </w:t>
      </w:r>
      <w:r>
        <w:rPr>
          <w:szCs w:val="20"/>
        </w:rPr>
        <w:t>one</w:t>
      </w:r>
      <w:r w:rsidR="00FF66BA">
        <w:rPr>
          <w:szCs w:val="20"/>
        </w:rPr>
        <w:t xml:space="preserve"> is an </w:t>
      </w:r>
      <w:r w:rsidR="007E6163">
        <w:rPr>
          <w:szCs w:val="20"/>
        </w:rPr>
        <w:t xml:space="preserve">objective </w:t>
      </w:r>
      <w:r w:rsidR="00FF66BA">
        <w:rPr>
          <w:szCs w:val="20"/>
        </w:rPr>
        <w:t xml:space="preserve">test, based upon </w:t>
      </w:r>
      <w:r w:rsidR="007E6163">
        <w:rPr>
          <w:szCs w:val="20"/>
        </w:rPr>
        <w:t xml:space="preserve">whether a right-thinking person would </w:t>
      </w:r>
      <w:r w:rsidR="00FF66BA">
        <w:rPr>
          <w:szCs w:val="20"/>
        </w:rPr>
        <w:t>perceive t</w:t>
      </w:r>
      <w:r w:rsidR="007E6163">
        <w:rPr>
          <w:szCs w:val="20"/>
        </w:rPr>
        <w:t>he treatment as harm</w:t>
      </w:r>
      <w:r w:rsidR="00FF66BA">
        <w:rPr>
          <w:szCs w:val="20"/>
        </w:rPr>
        <w:t xml:space="preserve">ful to </w:t>
      </w:r>
      <w:r w:rsidR="007E6163">
        <w:rPr>
          <w:szCs w:val="20"/>
        </w:rPr>
        <w:t>the artist</w:t>
      </w:r>
      <w:r w:rsidR="00FF66BA">
        <w:rPr>
          <w:szCs w:val="20"/>
        </w:rPr>
        <w:t xml:space="preserve">, and not a subjective test based upon the </w:t>
      </w:r>
      <w:r w:rsidR="007E6163">
        <w:rPr>
          <w:szCs w:val="20"/>
        </w:rPr>
        <w:t xml:space="preserve">artist’s </w:t>
      </w:r>
      <w:r w:rsidR="00FF66BA">
        <w:rPr>
          <w:szCs w:val="20"/>
        </w:rPr>
        <w:t xml:space="preserve">actual perception of the work. </w:t>
      </w:r>
      <w:r w:rsidR="007E6163" w:rsidRPr="003D2B0A">
        <w:rPr>
          <w:i/>
          <w:szCs w:val="20"/>
        </w:rPr>
        <w:t xml:space="preserve">In </w:t>
      </w:r>
      <w:proofErr w:type="spellStart"/>
      <w:r w:rsidR="007E6163" w:rsidRPr="003D2B0A">
        <w:rPr>
          <w:i/>
          <w:szCs w:val="20"/>
        </w:rPr>
        <w:t>casu</w:t>
      </w:r>
      <w:proofErr w:type="spellEnd"/>
      <w:r w:rsidR="007E6163">
        <w:rPr>
          <w:szCs w:val="20"/>
        </w:rPr>
        <w:t xml:space="preserve">, the </w:t>
      </w:r>
      <w:r w:rsidR="00FF66BA">
        <w:rPr>
          <w:szCs w:val="20"/>
        </w:rPr>
        <w:t xml:space="preserve">court accepted that defendant’s rap, </w:t>
      </w:r>
      <w:r w:rsidR="00FF66BA" w:rsidRPr="00AA1876">
        <w:rPr>
          <w:i/>
          <w:szCs w:val="20"/>
        </w:rPr>
        <w:t>Crisp Biscuit</w:t>
      </w:r>
      <w:r w:rsidR="00FF66BA">
        <w:rPr>
          <w:szCs w:val="20"/>
        </w:rPr>
        <w:t xml:space="preserve">, superimposed over the claimant’s song, </w:t>
      </w:r>
      <w:proofErr w:type="spellStart"/>
      <w:r w:rsidR="00FF66BA">
        <w:rPr>
          <w:i/>
          <w:szCs w:val="20"/>
        </w:rPr>
        <w:t>Burnin</w:t>
      </w:r>
      <w:proofErr w:type="spellEnd"/>
      <w:r w:rsidR="00FF66BA" w:rsidRPr="00FF66BA">
        <w:rPr>
          <w:szCs w:val="20"/>
        </w:rPr>
        <w:t>,</w:t>
      </w:r>
      <w:r w:rsidR="00FF66BA" w:rsidRPr="005138DC">
        <w:rPr>
          <w:szCs w:val="20"/>
        </w:rPr>
        <w:t xml:space="preserve"> </w:t>
      </w:r>
      <w:r w:rsidR="005138DC">
        <w:rPr>
          <w:szCs w:val="20"/>
        </w:rPr>
        <w:t xml:space="preserve">did </w:t>
      </w:r>
      <w:r w:rsidR="00FF66BA">
        <w:rPr>
          <w:szCs w:val="20"/>
        </w:rPr>
        <w:t xml:space="preserve">amount to a treatment of the protected work, </w:t>
      </w:r>
      <w:r w:rsidR="005138DC">
        <w:rPr>
          <w:szCs w:val="20"/>
        </w:rPr>
        <w:t xml:space="preserve">but </w:t>
      </w:r>
      <w:r w:rsidR="007E6163">
        <w:rPr>
          <w:szCs w:val="20"/>
        </w:rPr>
        <w:t xml:space="preserve">the claimant failed to </w:t>
      </w:r>
      <w:r w:rsidR="005138DC">
        <w:rPr>
          <w:szCs w:val="20"/>
        </w:rPr>
        <w:t xml:space="preserve">establish it was a derogatory one, since other than the claimant’s assertions, no evidence was adduced to substantiate any </w:t>
      </w:r>
      <w:r w:rsidR="00FF66BA">
        <w:rPr>
          <w:szCs w:val="20"/>
        </w:rPr>
        <w:t xml:space="preserve">objective damage to </w:t>
      </w:r>
      <w:r w:rsidR="007E6163">
        <w:rPr>
          <w:szCs w:val="20"/>
        </w:rPr>
        <w:t xml:space="preserve">his honour </w:t>
      </w:r>
      <w:r w:rsidR="00FF66BA">
        <w:rPr>
          <w:szCs w:val="20"/>
        </w:rPr>
        <w:t>or r</w:t>
      </w:r>
      <w:r w:rsidR="007E6163">
        <w:rPr>
          <w:szCs w:val="20"/>
        </w:rPr>
        <w:t xml:space="preserve">eputation </w:t>
      </w:r>
      <w:r w:rsidR="00FF66BA">
        <w:rPr>
          <w:szCs w:val="20"/>
        </w:rPr>
        <w:t>result</w:t>
      </w:r>
      <w:r w:rsidR="005138DC">
        <w:rPr>
          <w:szCs w:val="20"/>
        </w:rPr>
        <w:t>ing</w:t>
      </w:r>
      <w:r w:rsidR="00FF66BA">
        <w:rPr>
          <w:szCs w:val="20"/>
        </w:rPr>
        <w:t xml:space="preserve"> from the unauthorised </w:t>
      </w:r>
      <w:r w:rsidR="007E6163">
        <w:rPr>
          <w:szCs w:val="20"/>
        </w:rPr>
        <w:t>use</w:t>
      </w:r>
      <w:r w:rsidR="007E6163">
        <w:rPr>
          <w:rStyle w:val="FootnoteReference"/>
          <w:szCs w:val="20"/>
        </w:rPr>
        <w:footnoteReference w:id="74"/>
      </w:r>
      <w:r w:rsidR="007E6163">
        <w:rPr>
          <w:szCs w:val="20"/>
        </w:rPr>
        <w:t xml:space="preserve">. This outcome is not </w:t>
      </w:r>
      <w:r w:rsidR="005138DC">
        <w:rPr>
          <w:szCs w:val="20"/>
        </w:rPr>
        <w:t xml:space="preserve">limited </w:t>
      </w:r>
      <w:r w:rsidR="007E6163">
        <w:rPr>
          <w:szCs w:val="20"/>
        </w:rPr>
        <w:t>to musical works</w:t>
      </w:r>
      <w:r w:rsidR="005138DC">
        <w:rPr>
          <w:szCs w:val="20"/>
        </w:rPr>
        <w:t xml:space="preserve">, but reflects the </w:t>
      </w:r>
      <w:r w:rsidR="007E6163">
        <w:rPr>
          <w:szCs w:val="20"/>
        </w:rPr>
        <w:t>wider approach</w:t>
      </w:r>
      <w:r w:rsidR="005138DC">
        <w:rPr>
          <w:szCs w:val="20"/>
        </w:rPr>
        <w:t xml:space="preserve"> in moral rights cases</w:t>
      </w:r>
      <w:r w:rsidR="000E77D5">
        <w:rPr>
          <w:rStyle w:val="FootnoteReference"/>
          <w:szCs w:val="20"/>
        </w:rPr>
        <w:footnoteReference w:id="75"/>
      </w:r>
      <w:r w:rsidR="00BA12DB">
        <w:rPr>
          <w:szCs w:val="20"/>
        </w:rPr>
        <w:t>.</w:t>
      </w:r>
    </w:p>
    <w:p w14:paraId="4DB9E999" w14:textId="5F112A98" w:rsidR="006179F3" w:rsidRDefault="000E77D5" w:rsidP="006179F3">
      <w:pPr>
        <w:spacing w:before="240" w:line="360" w:lineRule="auto"/>
        <w:jc w:val="both"/>
        <w:rPr>
          <w:szCs w:val="20"/>
        </w:rPr>
      </w:pPr>
      <w:r>
        <w:rPr>
          <w:rStyle w:val="legds"/>
          <w:rFonts w:cs="Arial"/>
          <w:szCs w:val="20"/>
        </w:rPr>
        <w:t xml:space="preserve">Based upon the background of </w:t>
      </w:r>
      <w:r w:rsidR="007E6163">
        <w:rPr>
          <w:rStyle w:val="legds"/>
          <w:rFonts w:cs="Arial"/>
          <w:szCs w:val="20"/>
        </w:rPr>
        <w:t>decisions, it is reasonable to a</w:t>
      </w:r>
      <w:r>
        <w:rPr>
          <w:rStyle w:val="legds"/>
          <w:rFonts w:cs="Arial"/>
          <w:szCs w:val="20"/>
        </w:rPr>
        <w:t xml:space="preserve">ssume </w:t>
      </w:r>
      <w:r w:rsidR="007E6163">
        <w:rPr>
          <w:rStyle w:val="legds"/>
          <w:rFonts w:cs="Arial"/>
          <w:szCs w:val="20"/>
        </w:rPr>
        <w:t xml:space="preserve">that where sampling </w:t>
      </w:r>
      <w:r>
        <w:rPr>
          <w:rStyle w:val="legds"/>
          <w:rFonts w:cs="Arial"/>
          <w:szCs w:val="20"/>
        </w:rPr>
        <w:t>takes the form of a faithful r</w:t>
      </w:r>
      <w:r w:rsidR="007E6163">
        <w:rPr>
          <w:rStyle w:val="legds"/>
          <w:rFonts w:cs="Arial"/>
          <w:szCs w:val="20"/>
        </w:rPr>
        <w:t>eproduc</w:t>
      </w:r>
      <w:r>
        <w:rPr>
          <w:rStyle w:val="legds"/>
          <w:rFonts w:cs="Arial"/>
          <w:szCs w:val="20"/>
        </w:rPr>
        <w:t xml:space="preserve">tion of a substantial part of the original, </w:t>
      </w:r>
      <w:r w:rsidR="007E6163">
        <w:rPr>
          <w:rStyle w:val="legds"/>
          <w:rFonts w:cs="Arial"/>
          <w:szCs w:val="20"/>
        </w:rPr>
        <w:t xml:space="preserve">UK courts </w:t>
      </w:r>
      <w:r>
        <w:rPr>
          <w:rStyle w:val="legds"/>
          <w:rFonts w:cs="Arial"/>
          <w:szCs w:val="20"/>
        </w:rPr>
        <w:t xml:space="preserve">are unlikely to </w:t>
      </w:r>
      <w:r w:rsidR="007E6163">
        <w:rPr>
          <w:rStyle w:val="legds"/>
          <w:rFonts w:cs="Arial"/>
          <w:szCs w:val="20"/>
        </w:rPr>
        <w:t>consider th</w:t>
      </w:r>
      <w:r>
        <w:rPr>
          <w:rStyle w:val="legds"/>
          <w:rFonts w:cs="Arial"/>
          <w:szCs w:val="20"/>
        </w:rPr>
        <w:t xml:space="preserve">is to be a derogatory treatment in breach of the </w:t>
      </w:r>
      <w:r w:rsidR="007E6163">
        <w:rPr>
          <w:rStyle w:val="legds"/>
          <w:rFonts w:cs="Arial"/>
          <w:szCs w:val="20"/>
        </w:rPr>
        <w:t>integrity</w:t>
      </w:r>
      <w:r>
        <w:rPr>
          <w:rStyle w:val="legds"/>
          <w:rFonts w:cs="Arial"/>
          <w:szCs w:val="20"/>
        </w:rPr>
        <w:t xml:space="preserve"> </w:t>
      </w:r>
      <w:r>
        <w:rPr>
          <w:rStyle w:val="legds"/>
          <w:rFonts w:cs="Arial"/>
          <w:szCs w:val="20"/>
        </w:rPr>
        <w:lastRenderedPageBreak/>
        <w:t>right</w:t>
      </w:r>
      <w:r w:rsidR="007E6163">
        <w:rPr>
          <w:rStyle w:val="FootnoteReference"/>
          <w:szCs w:val="20"/>
        </w:rPr>
        <w:footnoteReference w:id="76"/>
      </w:r>
      <w:r w:rsidR="007E6163">
        <w:rPr>
          <w:rStyle w:val="legds"/>
          <w:rFonts w:cs="Arial"/>
          <w:szCs w:val="20"/>
        </w:rPr>
        <w:t>.</w:t>
      </w:r>
      <w:r w:rsidR="006179F3">
        <w:rPr>
          <w:rStyle w:val="legds"/>
          <w:rFonts w:cs="Arial"/>
          <w:szCs w:val="20"/>
        </w:rPr>
        <w:t xml:space="preserve"> It has been suggested that arguments of derogatory treatment would more clearly arise where a song’s lyrics are altered, since the original song would now be associated with a </w:t>
      </w:r>
      <w:r w:rsidR="006179F3">
        <w:rPr>
          <w:szCs w:val="20"/>
        </w:rPr>
        <w:t>revised message, and it is possible to conceive that certain messages could prejudice the honour or reputation of its original author</w:t>
      </w:r>
      <w:r w:rsidR="006179F3">
        <w:rPr>
          <w:rStyle w:val="FootnoteReference"/>
          <w:szCs w:val="20"/>
        </w:rPr>
        <w:footnoteReference w:id="77"/>
      </w:r>
      <w:r w:rsidR="006179F3">
        <w:rPr>
          <w:szCs w:val="20"/>
        </w:rPr>
        <w:t xml:space="preserve">. However, this kind of treatment may be more likely to occur in musical parodies, than conventional remixes. </w:t>
      </w:r>
    </w:p>
    <w:p w14:paraId="7160B10E" w14:textId="33A7A9CE" w:rsidR="007E6163" w:rsidRDefault="00680FB4" w:rsidP="00204934">
      <w:pPr>
        <w:spacing w:before="240" w:line="360" w:lineRule="auto"/>
        <w:jc w:val="both"/>
        <w:rPr>
          <w:szCs w:val="20"/>
        </w:rPr>
      </w:pPr>
      <w:r>
        <w:rPr>
          <w:rStyle w:val="legds"/>
          <w:rFonts w:cs="Arial"/>
          <w:szCs w:val="20"/>
        </w:rPr>
        <w:t xml:space="preserve">Although the </w:t>
      </w:r>
      <w:r w:rsidR="007E6163">
        <w:rPr>
          <w:rStyle w:val="legds"/>
          <w:rFonts w:cs="Arial"/>
          <w:szCs w:val="20"/>
        </w:rPr>
        <w:t>economic rights</w:t>
      </w:r>
      <w:r>
        <w:rPr>
          <w:rStyle w:val="legds"/>
          <w:rFonts w:cs="Arial"/>
          <w:szCs w:val="20"/>
        </w:rPr>
        <w:t xml:space="preserve"> of copyright law</w:t>
      </w:r>
      <w:r w:rsidR="007E6163">
        <w:rPr>
          <w:rStyle w:val="legds"/>
          <w:rFonts w:cs="Arial"/>
          <w:szCs w:val="20"/>
        </w:rPr>
        <w:t xml:space="preserve">, </w:t>
      </w:r>
      <w:r>
        <w:rPr>
          <w:rStyle w:val="legds"/>
          <w:rFonts w:cs="Arial"/>
          <w:szCs w:val="20"/>
        </w:rPr>
        <w:t xml:space="preserve">particularly the right to control reproduction of a protected work make sampling problematic, </w:t>
      </w:r>
      <w:r w:rsidR="007E6163">
        <w:rPr>
          <w:rStyle w:val="legds"/>
          <w:rFonts w:cs="Arial"/>
          <w:szCs w:val="20"/>
        </w:rPr>
        <w:t xml:space="preserve">it </w:t>
      </w:r>
      <w:r>
        <w:rPr>
          <w:rStyle w:val="legds"/>
          <w:rFonts w:cs="Arial"/>
          <w:szCs w:val="20"/>
        </w:rPr>
        <w:t xml:space="preserve">seems less likely that infringement of moral rights will be problematic, provided that the paternity right is respected. Digital sampling, even of a substantial segment of an earlier work, is unlikely to be seen as a derogatory treatment, </w:t>
      </w:r>
      <w:r w:rsidR="007E6163">
        <w:rPr>
          <w:rStyle w:val="legds"/>
          <w:rFonts w:cs="Arial"/>
          <w:szCs w:val="20"/>
        </w:rPr>
        <w:t xml:space="preserve">because sampling generally does not </w:t>
      </w:r>
      <w:r>
        <w:rPr>
          <w:rStyle w:val="legds"/>
          <w:rFonts w:cs="Arial"/>
          <w:szCs w:val="20"/>
        </w:rPr>
        <w:t xml:space="preserve">alter </w:t>
      </w:r>
      <w:r w:rsidR="007E6163">
        <w:rPr>
          <w:rStyle w:val="legds"/>
          <w:rFonts w:cs="Arial"/>
          <w:szCs w:val="20"/>
        </w:rPr>
        <w:t>the character of the original</w:t>
      </w:r>
      <w:r>
        <w:rPr>
          <w:rStyle w:val="legds"/>
          <w:rFonts w:cs="Arial"/>
          <w:szCs w:val="20"/>
        </w:rPr>
        <w:t xml:space="preserve"> work</w:t>
      </w:r>
      <w:r w:rsidR="007E6163">
        <w:rPr>
          <w:rStyle w:val="legds"/>
          <w:rFonts w:cs="Arial"/>
          <w:szCs w:val="20"/>
        </w:rPr>
        <w:t xml:space="preserve">. </w:t>
      </w:r>
    </w:p>
    <w:p w14:paraId="25755548" w14:textId="57499125" w:rsidR="007E6163" w:rsidRPr="00507EBE" w:rsidRDefault="007E6163" w:rsidP="00BF38A1">
      <w:pPr>
        <w:pStyle w:val="Heading1"/>
        <w:numPr>
          <w:ilvl w:val="0"/>
          <w:numId w:val="5"/>
        </w:numPr>
        <w:rPr>
          <w:rFonts w:ascii="Verdana" w:hAnsi="Verdana"/>
          <w:sz w:val="20"/>
          <w:szCs w:val="20"/>
        </w:rPr>
      </w:pPr>
      <w:r>
        <w:rPr>
          <w:rFonts w:ascii="Verdana" w:hAnsi="Verdana"/>
          <w:sz w:val="20"/>
          <w:szCs w:val="20"/>
        </w:rPr>
        <w:t xml:space="preserve">Is the solution lying within the hands of industry </w:t>
      </w:r>
      <w:r w:rsidR="00A164CD">
        <w:rPr>
          <w:rFonts w:ascii="Verdana" w:hAnsi="Verdana"/>
          <w:sz w:val="20"/>
          <w:szCs w:val="20"/>
        </w:rPr>
        <w:t>players</w:t>
      </w:r>
      <w:r>
        <w:rPr>
          <w:rFonts w:ascii="Verdana" w:hAnsi="Verdana"/>
          <w:sz w:val="20"/>
          <w:szCs w:val="20"/>
        </w:rPr>
        <w:t>?</w:t>
      </w:r>
    </w:p>
    <w:p w14:paraId="215573EA" w14:textId="57E2C796" w:rsidR="007E6163" w:rsidRDefault="00A164CD" w:rsidP="00F27562">
      <w:pPr>
        <w:spacing w:before="240" w:line="360" w:lineRule="auto"/>
        <w:jc w:val="both"/>
        <w:rPr>
          <w:szCs w:val="20"/>
        </w:rPr>
      </w:pPr>
      <w:r>
        <w:rPr>
          <w:szCs w:val="20"/>
        </w:rPr>
        <w:t xml:space="preserve">It has been seen that because </w:t>
      </w:r>
      <w:r w:rsidR="007E6163">
        <w:rPr>
          <w:szCs w:val="20"/>
        </w:rPr>
        <w:t xml:space="preserve">digital sampling reproduces </w:t>
      </w:r>
      <w:r>
        <w:rPr>
          <w:szCs w:val="20"/>
        </w:rPr>
        <w:t xml:space="preserve">significant </w:t>
      </w:r>
      <w:r w:rsidR="007E6163">
        <w:rPr>
          <w:szCs w:val="20"/>
        </w:rPr>
        <w:t xml:space="preserve">segments of </w:t>
      </w:r>
      <w:r>
        <w:rPr>
          <w:szCs w:val="20"/>
        </w:rPr>
        <w:t xml:space="preserve">protected </w:t>
      </w:r>
      <w:r w:rsidR="007E6163">
        <w:rPr>
          <w:szCs w:val="20"/>
        </w:rPr>
        <w:t>sound recordings, it will generally infringe</w:t>
      </w:r>
      <w:r>
        <w:rPr>
          <w:szCs w:val="20"/>
        </w:rPr>
        <w:t xml:space="preserve"> the copyright </w:t>
      </w:r>
      <w:r w:rsidR="007E6163">
        <w:rPr>
          <w:szCs w:val="20"/>
        </w:rPr>
        <w:t>holder’s r</w:t>
      </w:r>
      <w:r>
        <w:rPr>
          <w:szCs w:val="20"/>
        </w:rPr>
        <w:t>ight to control re</w:t>
      </w:r>
      <w:r w:rsidR="007E6163">
        <w:rPr>
          <w:szCs w:val="20"/>
        </w:rPr>
        <w:t>production</w:t>
      </w:r>
      <w:r>
        <w:rPr>
          <w:szCs w:val="20"/>
        </w:rPr>
        <w:t xml:space="preserve">s, </w:t>
      </w:r>
      <w:r w:rsidR="007E6163">
        <w:rPr>
          <w:szCs w:val="20"/>
        </w:rPr>
        <w:t xml:space="preserve">unless the user is </w:t>
      </w:r>
      <w:r>
        <w:rPr>
          <w:szCs w:val="20"/>
        </w:rPr>
        <w:t xml:space="preserve">can demonstrate that their use falls within the scope of </w:t>
      </w:r>
      <w:r w:rsidR="007E6163">
        <w:rPr>
          <w:szCs w:val="20"/>
        </w:rPr>
        <w:t xml:space="preserve">one of the </w:t>
      </w:r>
      <w:r>
        <w:rPr>
          <w:szCs w:val="20"/>
        </w:rPr>
        <w:t xml:space="preserve">specific </w:t>
      </w:r>
      <w:r w:rsidR="007E6163">
        <w:rPr>
          <w:szCs w:val="20"/>
        </w:rPr>
        <w:t>defences</w:t>
      </w:r>
      <w:r>
        <w:rPr>
          <w:szCs w:val="20"/>
        </w:rPr>
        <w:t xml:space="preserve"> of parody or quotation</w:t>
      </w:r>
      <w:r w:rsidR="007E6163">
        <w:rPr>
          <w:szCs w:val="20"/>
        </w:rPr>
        <w:t xml:space="preserve">. </w:t>
      </w:r>
      <w:r>
        <w:rPr>
          <w:szCs w:val="20"/>
        </w:rPr>
        <w:t xml:space="preserve">It has also been argued that these exceptions are unlikely to apply to most forms of digital samples. This forces those samplers who want their creations to be lawful, to </w:t>
      </w:r>
      <w:r w:rsidR="002F032E">
        <w:rPr>
          <w:szCs w:val="20"/>
        </w:rPr>
        <w:t xml:space="preserve">pursue permission from all of the relevant right holders. Currently, without any overarching ‘sampling’ scheme in place, permission needs to be sought from multiple parties on </w:t>
      </w:r>
      <w:r w:rsidR="007E6163">
        <w:rPr>
          <w:szCs w:val="20"/>
        </w:rPr>
        <w:t>a case-by-case basis</w:t>
      </w:r>
      <w:r w:rsidR="002F032E">
        <w:rPr>
          <w:szCs w:val="20"/>
        </w:rPr>
        <w:t xml:space="preserve">, </w:t>
      </w:r>
      <w:r w:rsidR="007E6163">
        <w:rPr>
          <w:szCs w:val="20"/>
        </w:rPr>
        <w:t xml:space="preserve">and predominantly reliant on contract law to operate. This process is </w:t>
      </w:r>
      <w:r w:rsidR="00397427">
        <w:rPr>
          <w:szCs w:val="20"/>
        </w:rPr>
        <w:t xml:space="preserve">exacerbated by a somewhat </w:t>
      </w:r>
      <w:r w:rsidR="007E6163">
        <w:rPr>
          <w:szCs w:val="20"/>
        </w:rPr>
        <w:t xml:space="preserve">artificial </w:t>
      </w:r>
      <w:r w:rsidR="007E6163" w:rsidRPr="00507EBE">
        <w:rPr>
          <w:szCs w:val="20"/>
        </w:rPr>
        <w:t xml:space="preserve">legal fragmentation </w:t>
      </w:r>
      <w:r w:rsidR="007E6163">
        <w:rPr>
          <w:szCs w:val="20"/>
        </w:rPr>
        <w:t>of authorship and ownership.</w:t>
      </w:r>
    </w:p>
    <w:p w14:paraId="664C99CB" w14:textId="2776DF25" w:rsidR="007E6163" w:rsidRDefault="002F032E" w:rsidP="00F27562">
      <w:pPr>
        <w:spacing w:before="240" w:line="360" w:lineRule="auto"/>
        <w:jc w:val="both"/>
        <w:rPr>
          <w:szCs w:val="20"/>
        </w:rPr>
      </w:pPr>
      <w:r>
        <w:rPr>
          <w:szCs w:val="20"/>
        </w:rPr>
        <w:t xml:space="preserve">As was described earlier, musical </w:t>
      </w:r>
      <w:r w:rsidR="007E6163">
        <w:rPr>
          <w:szCs w:val="20"/>
        </w:rPr>
        <w:t xml:space="preserve">copyright in music is characterised by a multi-layering of works. </w:t>
      </w:r>
      <w:r>
        <w:rPr>
          <w:szCs w:val="20"/>
        </w:rPr>
        <w:t xml:space="preserve">Further, although the </w:t>
      </w:r>
      <w:r w:rsidR="001B1E99">
        <w:rPr>
          <w:szCs w:val="20"/>
        </w:rPr>
        <w:t>musical composition, lyrics and sound recordings are often created by different individuals, c</w:t>
      </w:r>
      <w:r>
        <w:rPr>
          <w:szCs w:val="20"/>
        </w:rPr>
        <w:t>opyright</w:t>
      </w:r>
      <w:r w:rsidR="001B1E99">
        <w:rPr>
          <w:szCs w:val="20"/>
        </w:rPr>
        <w:t xml:space="preserve"> ownership in the music industry </w:t>
      </w:r>
      <w:r w:rsidR="007E6163">
        <w:rPr>
          <w:szCs w:val="20"/>
        </w:rPr>
        <w:t xml:space="preserve">rarely </w:t>
      </w:r>
      <w:r w:rsidR="007E6163" w:rsidRPr="00D61FDF">
        <w:rPr>
          <w:szCs w:val="20"/>
        </w:rPr>
        <w:t>stay with the original right-holder</w:t>
      </w:r>
      <w:r w:rsidR="007E6163" w:rsidRPr="00D61FDF">
        <w:rPr>
          <w:rStyle w:val="FootnoteReference"/>
          <w:szCs w:val="20"/>
        </w:rPr>
        <w:footnoteReference w:id="78"/>
      </w:r>
      <w:r w:rsidR="007E6163" w:rsidRPr="00D61FDF">
        <w:rPr>
          <w:szCs w:val="20"/>
        </w:rPr>
        <w:t xml:space="preserve">. </w:t>
      </w:r>
      <w:r w:rsidR="001B1E99">
        <w:rPr>
          <w:szCs w:val="20"/>
        </w:rPr>
        <w:t>More often, t</w:t>
      </w:r>
      <w:r w:rsidR="007E6163" w:rsidRPr="00D61FDF">
        <w:rPr>
          <w:szCs w:val="20"/>
        </w:rPr>
        <w:t>hese rights are assigned</w:t>
      </w:r>
      <w:r w:rsidR="001B1E99">
        <w:rPr>
          <w:szCs w:val="20"/>
        </w:rPr>
        <w:t xml:space="preserve"> or l</w:t>
      </w:r>
      <w:r w:rsidR="007E6163" w:rsidRPr="00D61FDF">
        <w:rPr>
          <w:szCs w:val="20"/>
        </w:rPr>
        <w:t>icensed to intermediaries</w:t>
      </w:r>
      <w:r w:rsidR="001B1E99">
        <w:rPr>
          <w:szCs w:val="20"/>
        </w:rPr>
        <w:t>, such record labels or collecting societies</w:t>
      </w:r>
      <w:r w:rsidR="007E6163" w:rsidRPr="00D61FDF">
        <w:rPr>
          <w:rStyle w:val="FootnoteReference"/>
          <w:szCs w:val="20"/>
        </w:rPr>
        <w:footnoteReference w:id="79"/>
      </w:r>
      <w:r w:rsidR="007E6163" w:rsidRPr="00D61FDF">
        <w:rPr>
          <w:szCs w:val="20"/>
        </w:rPr>
        <w:t xml:space="preserve">. </w:t>
      </w:r>
      <w:r w:rsidR="001B1E99">
        <w:rPr>
          <w:szCs w:val="20"/>
        </w:rPr>
        <w:t>A producer’s c</w:t>
      </w:r>
      <w:r w:rsidR="007E6163">
        <w:rPr>
          <w:szCs w:val="20"/>
        </w:rPr>
        <w:t xml:space="preserve">opyright in </w:t>
      </w:r>
      <w:r w:rsidR="001B1E99">
        <w:rPr>
          <w:szCs w:val="20"/>
        </w:rPr>
        <w:t>a s</w:t>
      </w:r>
      <w:r w:rsidR="007E6163">
        <w:rPr>
          <w:szCs w:val="20"/>
        </w:rPr>
        <w:t>ound recording</w:t>
      </w:r>
      <w:r w:rsidR="007E6163">
        <w:rPr>
          <w:rStyle w:val="FootnoteReference"/>
          <w:szCs w:val="20"/>
        </w:rPr>
        <w:footnoteReference w:id="80"/>
      </w:r>
      <w:r w:rsidR="007E6163">
        <w:rPr>
          <w:szCs w:val="20"/>
        </w:rPr>
        <w:t xml:space="preserve"> is generally transferred to </w:t>
      </w:r>
      <w:r w:rsidR="001B1E99">
        <w:rPr>
          <w:szCs w:val="20"/>
        </w:rPr>
        <w:t xml:space="preserve">a </w:t>
      </w:r>
      <w:r w:rsidR="007E6163" w:rsidRPr="00690B6B">
        <w:rPr>
          <w:szCs w:val="20"/>
        </w:rPr>
        <w:t>record label</w:t>
      </w:r>
      <w:r w:rsidR="001B1E99">
        <w:rPr>
          <w:szCs w:val="20"/>
        </w:rPr>
        <w:t>,</w:t>
      </w:r>
      <w:r w:rsidR="007E6163" w:rsidRPr="00690B6B">
        <w:rPr>
          <w:szCs w:val="20"/>
        </w:rPr>
        <w:t xml:space="preserve"> </w:t>
      </w:r>
      <w:r w:rsidR="007E6163">
        <w:rPr>
          <w:szCs w:val="20"/>
        </w:rPr>
        <w:t>while copyright</w:t>
      </w:r>
      <w:r w:rsidR="001E3E20">
        <w:rPr>
          <w:szCs w:val="20"/>
        </w:rPr>
        <w:t xml:space="preserve"> protection</w:t>
      </w:r>
      <w:r w:rsidR="007E6163">
        <w:rPr>
          <w:szCs w:val="20"/>
        </w:rPr>
        <w:t xml:space="preserve"> in the </w:t>
      </w:r>
      <w:r w:rsidR="008D24A1">
        <w:rPr>
          <w:szCs w:val="20"/>
        </w:rPr>
        <w:t xml:space="preserve">lyrics and </w:t>
      </w:r>
      <w:r w:rsidR="007E6163">
        <w:rPr>
          <w:szCs w:val="20"/>
        </w:rPr>
        <w:t xml:space="preserve">musical composition will often be transferred to </w:t>
      </w:r>
      <w:r w:rsidR="008D24A1">
        <w:rPr>
          <w:szCs w:val="20"/>
        </w:rPr>
        <w:t xml:space="preserve">a </w:t>
      </w:r>
      <w:r w:rsidR="007E6163">
        <w:rPr>
          <w:szCs w:val="20"/>
        </w:rPr>
        <w:t>music publisher</w:t>
      </w:r>
      <w:r w:rsidR="007E6163">
        <w:rPr>
          <w:rStyle w:val="FootnoteReference"/>
          <w:szCs w:val="20"/>
        </w:rPr>
        <w:footnoteReference w:id="81"/>
      </w:r>
      <w:r w:rsidR="008D24A1">
        <w:rPr>
          <w:szCs w:val="20"/>
        </w:rPr>
        <w:t xml:space="preserve">, at least in respect of </w:t>
      </w:r>
      <w:r w:rsidR="007E6163" w:rsidRPr="00690B6B">
        <w:rPr>
          <w:szCs w:val="20"/>
        </w:rPr>
        <w:t>promotion, exploitation</w:t>
      </w:r>
      <w:r w:rsidR="008D24A1">
        <w:rPr>
          <w:szCs w:val="20"/>
        </w:rPr>
        <w:t xml:space="preserve"> and </w:t>
      </w:r>
      <w:r w:rsidR="007E6163" w:rsidRPr="00690B6B">
        <w:rPr>
          <w:szCs w:val="20"/>
        </w:rPr>
        <w:t>distribution</w:t>
      </w:r>
      <w:r w:rsidR="008D24A1">
        <w:rPr>
          <w:szCs w:val="20"/>
        </w:rPr>
        <w:t xml:space="preserve"> of the work</w:t>
      </w:r>
      <w:r w:rsidR="007E6163" w:rsidRPr="00690B6B">
        <w:rPr>
          <w:szCs w:val="20"/>
        </w:rPr>
        <w:t xml:space="preserve">, </w:t>
      </w:r>
      <w:r w:rsidR="008D24A1">
        <w:rPr>
          <w:szCs w:val="20"/>
        </w:rPr>
        <w:t xml:space="preserve">in return for a </w:t>
      </w:r>
      <w:r w:rsidR="008D24A1">
        <w:rPr>
          <w:szCs w:val="20"/>
        </w:rPr>
        <w:lastRenderedPageBreak/>
        <w:t xml:space="preserve">financial advance </w:t>
      </w:r>
      <w:r w:rsidR="007E6163" w:rsidRPr="00690B6B">
        <w:rPr>
          <w:szCs w:val="20"/>
        </w:rPr>
        <w:t>and</w:t>
      </w:r>
      <w:r w:rsidR="008D24A1">
        <w:rPr>
          <w:szCs w:val="20"/>
        </w:rPr>
        <w:t xml:space="preserve">/or </w:t>
      </w:r>
      <w:r w:rsidR="007E6163" w:rsidRPr="00690B6B">
        <w:rPr>
          <w:szCs w:val="20"/>
        </w:rPr>
        <w:t>royalties</w:t>
      </w:r>
      <w:r w:rsidR="007E6163" w:rsidRPr="00690B6B">
        <w:rPr>
          <w:rStyle w:val="FootnoteReference"/>
          <w:szCs w:val="20"/>
        </w:rPr>
        <w:footnoteReference w:id="82"/>
      </w:r>
      <w:r w:rsidR="007E6163">
        <w:rPr>
          <w:szCs w:val="20"/>
        </w:rPr>
        <w:t xml:space="preserve">. </w:t>
      </w:r>
      <w:r w:rsidR="00CD6C5E">
        <w:rPr>
          <w:szCs w:val="20"/>
        </w:rPr>
        <w:t xml:space="preserve">This means that </w:t>
      </w:r>
      <w:r w:rsidR="007E6163">
        <w:rPr>
          <w:szCs w:val="20"/>
        </w:rPr>
        <w:t xml:space="preserve">digital sampling requires </w:t>
      </w:r>
      <w:r w:rsidR="00CD6C5E">
        <w:rPr>
          <w:szCs w:val="20"/>
        </w:rPr>
        <w:t>permission from the relevant r</w:t>
      </w:r>
      <w:r w:rsidR="007E6163">
        <w:rPr>
          <w:szCs w:val="20"/>
        </w:rPr>
        <w:t>ecord label</w:t>
      </w:r>
      <w:r w:rsidR="00CD6C5E">
        <w:rPr>
          <w:rStyle w:val="FootnoteReference"/>
          <w:szCs w:val="20"/>
        </w:rPr>
        <w:footnoteReference w:id="83"/>
      </w:r>
      <w:r w:rsidR="007E6163">
        <w:rPr>
          <w:szCs w:val="20"/>
        </w:rPr>
        <w:t xml:space="preserve"> </w:t>
      </w:r>
      <w:r w:rsidR="00CD6C5E">
        <w:rPr>
          <w:szCs w:val="20"/>
        </w:rPr>
        <w:t xml:space="preserve">and music </w:t>
      </w:r>
      <w:r w:rsidR="007E6163">
        <w:rPr>
          <w:szCs w:val="20"/>
        </w:rPr>
        <w:t xml:space="preserve">publisher. </w:t>
      </w:r>
    </w:p>
    <w:p w14:paraId="23B4ED05" w14:textId="177972CA" w:rsidR="007E6163" w:rsidRDefault="00397427" w:rsidP="00F27562">
      <w:pPr>
        <w:spacing w:before="240" w:line="360" w:lineRule="auto"/>
        <w:jc w:val="both"/>
        <w:rPr>
          <w:szCs w:val="20"/>
        </w:rPr>
      </w:pPr>
      <w:r>
        <w:rPr>
          <w:szCs w:val="20"/>
        </w:rPr>
        <w:t xml:space="preserve">Although it has </w:t>
      </w:r>
      <w:r w:rsidR="00D43691">
        <w:rPr>
          <w:szCs w:val="20"/>
        </w:rPr>
        <w:t xml:space="preserve">been </w:t>
      </w:r>
      <w:r>
        <w:rPr>
          <w:szCs w:val="20"/>
        </w:rPr>
        <w:t xml:space="preserve">seen that </w:t>
      </w:r>
      <w:r w:rsidR="007E6163">
        <w:rPr>
          <w:szCs w:val="20"/>
        </w:rPr>
        <w:t>the UK has a strong copyright legislati</w:t>
      </w:r>
      <w:r>
        <w:rPr>
          <w:szCs w:val="20"/>
        </w:rPr>
        <w:t xml:space="preserve">ve provision to </w:t>
      </w:r>
      <w:r w:rsidR="007E6163">
        <w:rPr>
          <w:szCs w:val="20"/>
        </w:rPr>
        <w:t>protecting right-holders from unauthorised copying</w:t>
      </w:r>
      <w:r>
        <w:rPr>
          <w:szCs w:val="20"/>
        </w:rPr>
        <w:t xml:space="preserve">, it is far from straightforward for a   sampler who actually wants to ‘do the right thing’ and obtain permission to sample an earlier work, because of the </w:t>
      </w:r>
      <w:r w:rsidR="007E6163">
        <w:rPr>
          <w:szCs w:val="20"/>
        </w:rPr>
        <w:t>complex licen</w:t>
      </w:r>
      <w:r>
        <w:rPr>
          <w:szCs w:val="20"/>
        </w:rPr>
        <w:t xml:space="preserve">sing </w:t>
      </w:r>
      <w:r w:rsidR="006075F1">
        <w:rPr>
          <w:szCs w:val="20"/>
        </w:rPr>
        <w:t xml:space="preserve">frameworks </w:t>
      </w:r>
      <w:r>
        <w:rPr>
          <w:szCs w:val="20"/>
        </w:rPr>
        <w:t xml:space="preserve">and </w:t>
      </w:r>
      <w:r w:rsidR="007E6163">
        <w:rPr>
          <w:szCs w:val="20"/>
        </w:rPr>
        <w:t xml:space="preserve">clearance process </w:t>
      </w:r>
      <w:r w:rsidR="006075F1">
        <w:rPr>
          <w:szCs w:val="20"/>
        </w:rPr>
        <w:t xml:space="preserve">which have been put in place by the key players in the music </w:t>
      </w:r>
      <w:r w:rsidR="007E6163">
        <w:rPr>
          <w:szCs w:val="20"/>
        </w:rPr>
        <w:t xml:space="preserve">industry. </w:t>
      </w:r>
      <w:r w:rsidR="006075F1">
        <w:rPr>
          <w:szCs w:val="20"/>
        </w:rPr>
        <w:t>Even though there has been a change in attitude to digital sampling (</w:t>
      </w:r>
      <w:r w:rsidR="007E6163">
        <w:rPr>
          <w:szCs w:val="20"/>
        </w:rPr>
        <w:t>right-holders</w:t>
      </w:r>
      <w:r w:rsidR="006075F1">
        <w:rPr>
          <w:szCs w:val="20"/>
        </w:rPr>
        <w:t xml:space="preserve">, originally </w:t>
      </w:r>
      <w:r w:rsidR="007E6163">
        <w:rPr>
          <w:szCs w:val="20"/>
        </w:rPr>
        <w:t>sceptical</w:t>
      </w:r>
      <w:r w:rsidR="006075F1">
        <w:rPr>
          <w:szCs w:val="20"/>
        </w:rPr>
        <w:t xml:space="preserve"> about the creative merits of sampling, </w:t>
      </w:r>
      <w:r w:rsidR="007E6163">
        <w:rPr>
          <w:szCs w:val="20"/>
        </w:rPr>
        <w:t>quick</w:t>
      </w:r>
      <w:r w:rsidR="006075F1">
        <w:rPr>
          <w:szCs w:val="20"/>
        </w:rPr>
        <w:t xml:space="preserve">ly </w:t>
      </w:r>
      <w:r w:rsidR="007E6163">
        <w:rPr>
          <w:szCs w:val="20"/>
        </w:rPr>
        <w:t>realise</w:t>
      </w:r>
      <w:r w:rsidR="006075F1">
        <w:rPr>
          <w:szCs w:val="20"/>
        </w:rPr>
        <w:t xml:space="preserve">d </w:t>
      </w:r>
      <w:r w:rsidR="007E6163">
        <w:rPr>
          <w:szCs w:val="20"/>
        </w:rPr>
        <w:t>that</w:t>
      </w:r>
      <w:r w:rsidR="006075F1">
        <w:rPr>
          <w:szCs w:val="20"/>
        </w:rPr>
        <w:t xml:space="preserve"> it opens up an additional </w:t>
      </w:r>
      <w:r w:rsidR="007E6163">
        <w:rPr>
          <w:szCs w:val="20"/>
        </w:rPr>
        <w:t>revenue stream</w:t>
      </w:r>
      <w:r w:rsidR="006075F1">
        <w:rPr>
          <w:szCs w:val="20"/>
        </w:rPr>
        <w:t xml:space="preserve">), there has been little progress in reducing the </w:t>
      </w:r>
      <w:r w:rsidR="007E6163">
        <w:rPr>
          <w:szCs w:val="20"/>
        </w:rPr>
        <w:t xml:space="preserve">transaction costs </w:t>
      </w:r>
      <w:r w:rsidR="006075F1">
        <w:rPr>
          <w:szCs w:val="20"/>
        </w:rPr>
        <w:t xml:space="preserve">which rights clearance entails. This ‘hassle factor’ </w:t>
      </w:r>
      <w:proofErr w:type="gramStart"/>
      <w:r w:rsidR="006075F1">
        <w:rPr>
          <w:szCs w:val="20"/>
        </w:rPr>
        <w:t>erect</w:t>
      </w:r>
      <w:proofErr w:type="gramEnd"/>
      <w:r w:rsidR="006075F1">
        <w:rPr>
          <w:szCs w:val="20"/>
        </w:rPr>
        <w:t xml:space="preserve"> a barrier which serves to </w:t>
      </w:r>
      <w:r w:rsidR="007E6163">
        <w:rPr>
          <w:szCs w:val="20"/>
        </w:rPr>
        <w:t>stifle</w:t>
      </w:r>
      <w:r w:rsidR="006075F1">
        <w:rPr>
          <w:szCs w:val="20"/>
        </w:rPr>
        <w:t xml:space="preserve"> a</w:t>
      </w:r>
      <w:r w:rsidR="007E6163">
        <w:rPr>
          <w:szCs w:val="20"/>
        </w:rPr>
        <w:t xml:space="preserve"> </w:t>
      </w:r>
      <w:r w:rsidR="006075F1">
        <w:rPr>
          <w:szCs w:val="20"/>
        </w:rPr>
        <w:t xml:space="preserve">samplers’ </w:t>
      </w:r>
      <w:r w:rsidR="007E6163">
        <w:rPr>
          <w:szCs w:val="20"/>
        </w:rPr>
        <w:t>creativity</w:t>
      </w:r>
      <w:r w:rsidR="006075F1">
        <w:rPr>
          <w:szCs w:val="20"/>
        </w:rPr>
        <w:t>. While s</w:t>
      </w:r>
      <w:r w:rsidR="007E6163">
        <w:rPr>
          <w:szCs w:val="20"/>
        </w:rPr>
        <w:t xml:space="preserve">ome </w:t>
      </w:r>
      <w:r w:rsidR="006075F1">
        <w:rPr>
          <w:szCs w:val="20"/>
        </w:rPr>
        <w:t xml:space="preserve">record </w:t>
      </w:r>
      <w:r w:rsidR="007E6163">
        <w:rPr>
          <w:szCs w:val="20"/>
        </w:rPr>
        <w:t>labels licen</w:t>
      </w:r>
      <w:r w:rsidR="006075F1">
        <w:rPr>
          <w:szCs w:val="20"/>
        </w:rPr>
        <w:t>ce</w:t>
      </w:r>
      <w:r w:rsidR="007E6163">
        <w:rPr>
          <w:szCs w:val="20"/>
        </w:rPr>
        <w:t xml:space="preserve"> their masters recording from the public domain</w:t>
      </w:r>
      <w:r w:rsidR="007E6163">
        <w:rPr>
          <w:rStyle w:val="FootnoteReference"/>
          <w:szCs w:val="20"/>
        </w:rPr>
        <w:footnoteReference w:id="84"/>
      </w:r>
      <w:r w:rsidR="007E6163">
        <w:rPr>
          <w:szCs w:val="20"/>
        </w:rPr>
        <w:t xml:space="preserve">. Other </w:t>
      </w:r>
      <w:r w:rsidR="00F73925">
        <w:rPr>
          <w:szCs w:val="20"/>
        </w:rPr>
        <w:t xml:space="preserve">labels vacillate between permitting free </w:t>
      </w:r>
      <w:r w:rsidR="007E6163">
        <w:rPr>
          <w:szCs w:val="20"/>
        </w:rPr>
        <w:t>sampling</w:t>
      </w:r>
      <w:r w:rsidR="00F73925">
        <w:rPr>
          <w:szCs w:val="20"/>
        </w:rPr>
        <w:t xml:space="preserve">, </w:t>
      </w:r>
      <w:r w:rsidR="00162AF7">
        <w:rPr>
          <w:szCs w:val="20"/>
        </w:rPr>
        <w:t>one off payment</w:t>
      </w:r>
      <w:r w:rsidR="00F73925">
        <w:rPr>
          <w:szCs w:val="20"/>
        </w:rPr>
        <w:t xml:space="preserve"> or</w:t>
      </w:r>
      <w:r w:rsidR="007E6163">
        <w:rPr>
          <w:szCs w:val="20"/>
        </w:rPr>
        <w:t xml:space="preserve"> royalt</w:t>
      </w:r>
      <w:r w:rsidR="00F73925">
        <w:rPr>
          <w:szCs w:val="20"/>
        </w:rPr>
        <w:t xml:space="preserve">y-sharing arrangements, </w:t>
      </w:r>
      <w:r w:rsidR="007E6163">
        <w:rPr>
          <w:szCs w:val="20"/>
        </w:rPr>
        <w:t xml:space="preserve">to more </w:t>
      </w:r>
      <w:r w:rsidR="00F73925">
        <w:rPr>
          <w:szCs w:val="20"/>
        </w:rPr>
        <w:t xml:space="preserve">onerous terms, such as </w:t>
      </w:r>
      <w:r w:rsidR="007E6163">
        <w:rPr>
          <w:szCs w:val="20"/>
        </w:rPr>
        <w:t xml:space="preserve">co-ownership </w:t>
      </w:r>
      <w:r w:rsidR="00F73925">
        <w:rPr>
          <w:szCs w:val="20"/>
        </w:rPr>
        <w:t xml:space="preserve">or even ownership </w:t>
      </w:r>
      <w:r w:rsidR="007E6163">
        <w:rPr>
          <w:szCs w:val="20"/>
        </w:rPr>
        <w:t xml:space="preserve">of the </w:t>
      </w:r>
      <w:r w:rsidR="00F73925">
        <w:rPr>
          <w:szCs w:val="20"/>
        </w:rPr>
        <w:t xml:space="preserve">resulting copyright in the </w:t>
      </w:r>
      <w:r w:rsidR="007E6163">
        <w:rPr>
          <w:szCs w:val="20"/>
        </w:rPr>
        <w:t>new work</w:t>
      </w:r>
      <w:r w:rsidR="00F73925">
        <w:rPr>
          <w:szCs w:val="20"/>
        </w:rPr>
        <w:t>.</w:t>
      </w:r>
    </w:p>
    <w:p w14:paraId="6EF59E59" w14:textId="7252C760" w:rsidR="007E6163" w:rsidRDefault="003C63B7" w:rsidP="00F27562">
      <w:pPr>
        <w:spacing w:before="240" w:line="360" w:lineRule="auto"/>
        <w:jc w:val="both"/>
        <w:rPr>
          <w:szCs w:val="20"/>
        </w:rPr>
      </w:pPr>
      <w:r>
        <w:rPr>
          <w:szCs w:val="20"/>
        </w:rPr>
        <w:t xml:space="preserve">Given the lack of industry consensus on the treatment of sampling, </w:t>
      </w:r>
      <w:r w:rsidR="007E6163">
        <w:rPr>
          <w:szCs w:val="20"/>
        </w:rPr>
        <w:t xml:space="preserve">the question </w:t>
      </w:r>
      <w:r>
        <w:rPr>
          <w:szCs w:val="20"/>
        </w:rPr>
        <w:t xml:space="preserve">remains how a fair balance can be </w:t>
      </w:r>
      <w:r w:rsidR="007E6163">
        <w:rPr>
          <w:szCs w:val="20"/>
        </w:rPr>
        <w:t xml:space="preserve">struck </w:t>
      </w:r>
      <w:r>
        <w:rPr>
          <w:szCs w:val="20"/>
        </w:rPr>
        <w:t xml:space="preserve">which both recognises the </w:t>
      </w:r>
      <w:r w:rsidR="007E6163">
        <w:rPr>
          <w:szCs w:val="20"/>
        </w:rPr>
        <w:t xml:space="preserve">rights of </w:t>
      </w:r>
      <w:r>
        <w:rPr>
          <w:szCs w:val="20"/>
        </w:rPr>
        <w:t xml:space="preserve">the </w:t>
      </w:r>
      <w:r w:rsidR="007E6163">
        <w:rPr>
          <w:szCs w:val="20"/>
        </w:rPr>
        <w:t>right-holders</w:t>
      </w:r>
      <w:r>
        <w:rPr>
          <w:szCs w:val="20"/>
        </w:rPr>
        <w:t xml:space="preserve">, but also </w:t>
      </w:r>
      <w:r w:rsidR="00820BCB">
        <w:rPr>
          <w:szCs w:val="20"/>
        </w:rPr>
        <w:t xml:space="preserve">appreciates the </w:t>
      </w:r>
      <w:r>
        <w:rPr>
          <w:szCs w:val="20"/>
        </w:rPr>
        <w:t>value</w:t>
      </w:r>
      <w:r w:rsidR="00820BCB">
        <w:rPr>
          <w:szCs w:val="20"/>
        </w:rPr>
        <w:t xml:space="preserve"> which users can add by creating derivative works, and the need to make terms of use available which are reasonable and </w:t>
      </w:r>
      <w:r w:rsidR="007E6163">
        <w:rPr>
          <w:szCs w:val="20"/>
        </w:rPr>
        <w:t xml:space="preserve">fair and relieve the user from </w:t>
      </w:r>
      <w:r w:rsidR="00D84F12">
        <w:rPr>
          <w:szCs w:val="20"/>
        </w:rPr>
        <w:t xml:space="preserve">the worry of </w:t>
      </w:r>
      <w:r w:rsidR="00820BCB">
        <w:rPr>
          <w:szCs w:val="20"/>
        </w:rPr>
        <w:t xml:space="preserve">any </w:t>
      </w:r>
      <w:r w:rsidR="007E6163">
        <w:rPr>
          <w:szCs w:val="20"/>
        </w:rPr>
        <w:t xml:space="preserve">future liability. Several options are </w:t>
      </w:r>
      <w:r w:rsidR="00D84F12">
        <w:rPr>
          <w:szCs w:val="20"/>
        </w:rPr>
        <w:t>suggested.</w:t>
      </w:r>
      <w:r w:rsidR="007E6163">
        <w:rPr>
          <w:szCs w:val="20"/>
        </w:rPr>
        <w:t xml:space="preserve"> </w:t>
      </w:r>
    </w:p>
    <w:p w14:paraId="5FC8ABC0" w14:textId="5D6583C2" w:rsidR="007E6163" w:rsidRDefault="00510ED9" w:rsidP="00F27562">
      <w:pPr>
        <w:spacing w:before="240" w:line="360" w:lineRule="auto"/>
        <w:jc w:val="both"/>
        <w:rPr>
          <w:szCs w:val="20"/>
        </w:rPr>
      </w:pPr>
      <w:r>
        <w:rPr>
          <w:szCs w:val="20"/>
        </w:rPr>
        <w:t>A possible</w:t>
      </w:r>
      <w:r w:rsidR="00D84F12">
        <w:rPr>
          <w:szCs w:val="20"/>
        </w:rPr>
        <w:t xml:space="preserve"> way to achieve this involves both a </w:t>
      </w:r>
      <w:r w:rsidR="007E6163">
        <w:rPr>
          <w:szCs w:val="20"/>
        </w:rPr>
        <w:t xml:space="preserve">change of legislation </w:t>
      </w:r>
      <w:r w:rsidR="00D84F12">
        <w:rPr>
          <w:szCs w:val="20"/>
        </w:rPr>
        <w:t xml:space="preserve">as well as an </w:t>
      </w:r>
      <w:r w:rsidR="007E6163">
        <w:rPr>
          <w:szCs w:val="20"/>
        </w:rPr>
        <w:t>overhaul of business practices</w:t>
      </w:r>
      <w:r w:rsidR="00D84F12">
        <w:rPr>
          <w:szCs w:val="20"/>
        </w:rPr>
        <w:t>, and so represents the least likely option to occur</w:t>
      </w:r>
      <w:r w:rsidR="007E6163">
        <w:rPr>
          <w:szCs w:val="20"/>
        </w:rPr>
        <w:t xml:space="preserve">. </w:t>
      </w:r>
      <w:r w:rsidR="00AD496C">
        <w:rPr>
          <w:szCs w:val="20"/>
        </w:rPr>
        <w:t>Given that the music industry’s business models are founded upon copyright protection, the c</w:t>
      </w:r>
      <w:r w:rsidR="007E6163">
        <w:rPr>
          <w:szCs w:val="20"/>
        </w:rPr>
        <w:t>urrent unreasonable licensing terms ar</w:t>
      </w:r>
      <w:r w:rsidR="00D84F12">
        <w:rPr>
          <w:szCs w:val="20"/>
        </w:rPr>
        <w:t xml:space="preserve">e directly linked to a </w:t>
      </w:r>
      <w:r w:rsidR="007E6163">
        <w:rPr>
          <w:szCs w:val="20"/>
        </w:rPr>
        <w:t xml:space="preserve">strengthening of </w:t>
      </w:r>
      <w:r w:rsidR="00D84F12">
        <w:rPr>
          <w:szCs w:val="20"/>
        </w:rPr>
        <w:t xml:space="preserve">copyright’s list of </w:t>
      </w:r>
      <w:r w:rsidR="007E6163">
        <w:rPr>
          <w:szCs w:val="20"/>
        </w:rPr>
        <w:t>exclusive rights</w:t>
      </w:r>
      <w:r w:rsidR="00D84F12">
        <w:rPr>
          <w:szCs w:val="20"/>
        </w:rPr>
        <w:t xml:space="preserve"> over time, which has placed control over more uses of a protective work in the hands of the rights holder</w:t>
      </w:r>
      <w:r w:rsidR="00D43691">
        <w:rPr>
          <w:rStyle w:val="FootnoteReference"/>
          <w:szCs w:val="20"/>
        </w:rPr>
        <w:footnoteReference w:id="85"/>
      </w:r>
      <w:r w:rsidR="007E6163">
        <w:rPr>
          <w:szCs w:val="20"/>
        </w:rPr>
        <w:t xml:space="preserve">. </w:t>
      </w:r>
      <w:r w:rsidR="00AD496C">
        <w:rPr>
          <w:szCs w:val="20"/>
        </w:rPr>
        <w:t>This has been exacerbated by the concentration of ownership of these right</w:t>
      </w:r>
      <w:r w:rsidR="0021202A">
        <w:rPr>
          <w:szCs w:val="20"/>
        </w:rPr>
        <w:t>s</w:t>
      </w:r>
      <w:r w:rsidR="00AD496C">
        <w:rPr>
          <w:szCs w:val="20"/>
        </w:rPr>
        <w:t xml:space="preserve">, arising from take-over and merger of record labels and cooperation between collecting societies. The market power which the global record labels enjoy extends to their </w:t>
      </w:r>
      <w:r w:rsidR="007E6163">
        <w:rPr>
          <w:szCs w:val="20"/>
        </w:rPr>
        <w:t xml:space="preserve">bargaining power </w:t>
      </w:r>
      <w:r w:rsidR="007E6163" w:rsidRPr="002E3E57">
        <w:rPr>
          <w:i/>
          <w:szCs w:val="20"/>
        </w:rPr>
        <w:t>vis-à-vis</w:t>
      </w:r>
      <w:r w:rsidR="007E6163">
        <w:rPr>
          <w:szCs w:val="20"/>
        </w:rPr>
        <w:t xml:space="preserve"> of users</w:t>
      </w:r>
      <w:r w:rsidR="00AD496C">
        <w:rPr>
          <w:szCs w:val="20"/>
        </w:rPr>
        <w:t xml:space="preserve">, and enables them to </w:t>
      </w:r>
      <w:r w:rsidR="00AD496C">
        <w:rPr>
          <w:szCs w:val="20"/>
        </w:rPr>
        <w:lastRenderedPageBreak/>
        <w:t>dictate their own terms of use</w:t>
      </w:r>
      <w:r w:rsidR="007E6163">
        <w:rPr>
          <w:szCs w:val="20"/>
        </w:rPr>
        <w:t>. There</w:t>
      </w:r>
      <w:r w:rsidR="00AD496C">
        <w:rPr>
          <w:szCs w:val="20"/>
        </w:rPr>
        <w:t xml:space="preserve"> seems </w:t>
      </w:r>
      <w:r w:rsidR="007E6163">
        <w:rPr>
          <w:szCs w:val="20"/>
        </w:rPr>
        <w:t xml:space="preserve">little hope that the market is capable </w:t>
      </w:r>
      <w:r w:rsidR="00AD496C">
        <w:rPr>
          <w:szCs w:val="20"/>
        </w:rPr>
        <w:t xml:space="preserve">of </w:t>
      </w:r>
      <w:r w:rsidR="007E6163">
        <w:rPr>
          <w:szCs w:val="20"/>
        </w:rPr>
        <w:t>regulat</w:t>
      </w:r>
      <w:r w:rsidR="00AD496C">
        <w:rPr>
          <w:szCs w:val="20"/>
        </w:rPr>
        <w:t xml:space="preserve">ing </w:t>
      </w:r>
      <w:r w:rsidR="007E6163">
        <w:rPr>
          <w:szCs w:val="20"/>
        </w:rPr>
        <w:t>licence fees on its own. Simultaneously, a</w:t>
      </w:r>
      <w:r w:rsidR="00D43691">
        <w:rPr>
          <w:szCs w:val="20"/>
        </w:rPr>
        <w:t xml:space="preserve"> hypothetical</w:t>
      </w:r>
      <w:r w:rsidR="007E6163">
        <w:rPr>
          <w:szCs w:val="20"/>
        </w:rPr>
        <w:t xml:space="preserve"> legislative intervention to strengthen copyright protection would only aggravate the situation of individuals wanting to sample</w:t>
      </w:r>
      <w:r w:rsidR="007E6163">
        <w:rPr>
          <w:rStyle w:val="FootnoteReference"/>
          <w:szCs w:val="20"/>
        </w:rPr>
        <w:footnoteReference w:id="86"/>
      </w:r>
      <w:r w:rsidR="007E6163">
        <w:rPr>
          <w:szCs w:val="20"/>
        </w:rPr>
        <w:t xml:space="preserve">. </w:t>
      </w:r>
      <w:r w:rsidR="00AD496C">
        <w:rPr>
          <w:szCs w:val="20"/>
        </w:rPr>
        <w:t xml:space="preserve">This has led some to propose that legislative reform is necessary to </w:t>
      </w:r>
      <w:r w:rsidR="007E6163">
        <w:rPr>
          <w:szCs w:val="20"/>
        </w:rPr>
        <w:t>weaken</w:t>
      </w:r>
      <w:r w:rsidR="00AD496C">
        <w:rPr>
          <w:szCs w:val="20"/>
        </w:rPr>
        <w:t xml:space="preserve"> </w:t>
      </w:r>
      <w:r w:rsidR="007E6163">
        <w:rPr>
          <w:szCs w:val="20"/>
        </w:rPr>
        <w:t>copyright</w:t>
      </w:r>
      <w:r w:rsidR="00AD496C">
        <w:rPr>
          <w:szCs w:val="20"/>
        </w:rPr>
        <w:t xml:space="preserve">’s property rules, for example, removing a </w:t>
      </w:r>
      <w:r w:rsidR="007E6163">
        <w:rPr>
          <w:szCs w:val="20"/>
        </w:rPr>
        <w:t>right-holder</w:t>
      </w:r>
      <w:r w:rsidR="00AD496C">
        <w:rPr>
          <w:szCs w:val="20"/>
        </w:rPr>
        <w:t>’</w:t>
      </w:r>
      <w:r w:rsidR="007E6163">
        <w:rPr>
          <w:szCs w:val="20"/>
        </w:rPr>
        <w:t xml:space="preserve">s </w:t>
      </w:r>
      <w:r w:rsidR="00AD496C">
        <w:rPr>
          <w:szCs w:val="20"/>
        </w:rPr>
        <w:t xml:space="preserve">veto </w:t>
      </w:r>
      <w:r w:rsidR="007E6163">
        <w:rPr>
          <w:szCs w:val="20"/>
        </w:rPr>
        <w:t xml:space="preserve">to </w:t>
      </w:r>
      <w:r w:rsidR="008E5F4A">
        <w:rPr>
          <w:szCs w:val="20"/>
        </w:rPr>
        <w:t xml:space="preserve">block third party use by </w:t>
      </w:r>
      <w:r w:rsidR="007E6163">
        <w:rPr>
          <w:szCs w:val="20"/>
        </w:rPr>
        <w:t>creating a compulsory licen</w:t>
      </w:r>
      <w:r w:rsidR="008E5F4A">
        <w:rPr>
          <w:szCs w:val="20"/>
        </w:rPr>
        <w:t>ce</w:t>
      </w:r>
      <w:r w:rsidR="007E6163">
        <w:rPr>
          <w:szCs w:val="20"/>
        </w:rPr>
        <w:t xml:space="preserve"> s</w:t>
      </w:r>
      <w:r w:rsidR="008E5F4A">
        <w:rPr>
          <w:szCs w:val="20"/>
        </w:rPr>
        <w:t>cheme with set terms for use</w:t>
      </w:r>
      <w:r w:rsidR="007E6163">
        <w:rPr>
          <w:rStyle w:val="FootnoteReference"/>
          <w:szCs w:val="20"/>
        </w:rPr>
        <w:footnoteReference w:id="87"/>
      </w:r>
      <w:r w:rsidR="007E6163">
        <w:rPr>
          <w:szCs w:val="20"/>
        </w:rPr>
        <w:t xml:space="preserve">. </w:t>
      </w:r>
      <w:r w:rsidR="008E5F4A">
        <w:rPr>
          <w:szCs w:val="20"/>
        </w:rPr>
        <w:t xml:space="preserve">Unsurprising, </w:t>
      </w:r>
      <w:r w:rsidR="007E6163">
        <w:rPr>
          <w:szCs w:val="20"/>
        </w:rPr>
        <w:t xml:space="preserve">this option receives </w:t>
      </w:r>
      <w:r w:rsidR="008E5F4A">
        <w:rPr>
          <w:szCs w:val="20"/>
        </w:rPr>
        <w:t xml:space="preserve">little </w:t>
      </w:r>
      <w:r w:rsidR="007E6163">
        <w:rPr>
          <w:szCs w:val="20"/>
        </w:rPr>
        <w:t>support</w:t>
      </w:r>
      <w:r w:rsidR="008E5F4A">
        <w:rPr>
          <w:szCs w:val="20"/>
        </w:rPr>
        <w:t xml:space="preserve"> f</w:t>
      </w:r>
      <w:r w:rsidR="007E6163">
        <w:rPr>
          <w:szCs w:val="20"/>
        </w:rPr>
        <w:t>rom right-holders</w:t>
      </w:r>
      <w:r w:rsidR="008E5F4A">
        <w:rPr>
          <w:szCs w:val="20"/>
        </w:rPr>
        <w:t xml:space="preserve">, who seem to fear a loss in </w:t>
      </w:r>
      <w:r w:rsidR="007E6163">
        <w:rPr>
          <w:szCs w:val="20"/>
        </w:rPr>
        <w:t xml:space="preserve">revenue </w:t>
      </w:r>
      <w:r w:rsidR="008E5F4A">
        <w:rPr>
          <w:szCs w:val="20"/>
        </w:rPr>
        <w:t xml:space="preserve">more, but it may also have a detrimental effect on the copyright </w:t>
      </w:r>
      <w:r w:rsidR="007E6163">
        <w:rPr>
          <w:szCs w:val="20"/>
        </w:rPr>
        <w:t>paradigm b</w:t>
      </w:r>
      <w:r w:rsidR="008E5F4A">
        <w:rPr>
          <w:szCs w:val="20"/>
        </w:rPr>
        <w:t xml:space="preserve">ecause it undermines the </w:t>
      </w:r>
      <w:r w:rsidR="007E6163">
        <w:rPr>
          <w:szCs w:val="20"/>
        </w:rPr>
        <w:t xml:space="preserve">creative control </w:t>
      </w:r>
      <w:r w:rsidR="008E5F4A">
        <w:rPr>
          <w:szCs w:val="20"/>
        </w:rPr>
        <w:t xml:space="preserve">which authors may legitimately want to exercise. </w:t>
      </w:r>
    </w:p>
    <w:p w14:paraId="347BB99D" w14:textId="672FE8FE" w:rsidR="00510ED9" w:rsidRDefault="00510ED9" w:rsidP="00F27562">
      <w:pPr>
        <w:spacing w:before="240" w:line="360" w:lineRule="auto"/>
        <w:jc w:val="both"/>
        <w:rPr>
          <w:szCs w:val="20"/>
        </w:rPr>
      </w:pPr>
      <w:r>
        <w:rPr>
          <w:szCs w:val="20"/>
        </w:rPr>
        <w:t xml:space="preserve">Courts also bear an important role in resolving the discomfort between strong protection granted to right-holders and the interests of emerging authors and the wider public in new cultural expressions. The last UK copyright reform spells out that society at large benefits from certain unauthorised uses of copyright works. Inherently, the new quotation defence and the introduction of a parody exception curtailed the exclusive rights of right-holders. In light of this, the substantiality doctrine and the application of copyright exceptions might need recalibrating having this particular goal of fostering creativity in mind. </w:t>
      </w:r>
    </w:p>
    <w:p w14:paraId="3071C27D" w14:textId="7B86276E" w:rsidR="007E6163" w:rsidRDefault="007E6163" w:rsidP="00F27562">
      <w:pPr>
        <w:spacing w:before="240" w:line="360" w:lineRule="auto"/>
        <w:jc w:val="both"/>
        <w:rPr>
          <w:szCs w:val="20"/>
        </w:rPr>
      </w:pPr>
      <w:r>
        <w:rPr>
          <w:szCs w:val="20"/>
        </w:rPr>
        <w:t xml:space="preserve">A better route </w:t>
      </w:r>
      <w:r w:rsidR="002E0A04">
        <w:rPr>
          <w:szCs w:val="20"/>
        </w:rPr>
        <w:t xml:space="preserve">for digital sampling </w:t>
      </w:r>
      <w:r w:rsidR="008E5F4A">
        <w:rPr>
          <w:szCs w:val="20"/>
        </w:rPr>
        <w:t xml:space="preserve">is to build upon current music-sector </w:t>
      </w:r>
      <w:r>
        <w:rPr>
          <w:szCs w:val="20"/>
        </w:rPr>
        <w:t>initiatives</w:t>
      </w:r>
      <w:r w:rsidR="008E5F4A">
        <w:rPr>
          <w:szCs w:val="20"/>
        </w:rPr>
        <w:t xml:space="preserve">, not least because of the greater chance of reaching fruition. These include bespoke rights </w:t>
      </w:r>
      <w:r>
        <w:rPr>
          <w:szCs w:val="20"/>
        </w:rPr>
        <w:t xml:space="preserve">clearance services </w:t>
      </w:r>
      <w:r w:rsidR="008E5F4A">
        <w:rPr>
          <w:szCs w:val="20"/>
        </w:rPr>
        <w:t>for sampling</w:t>
      </w:r>
      <w:r>
        <w:rPr>
          <w:rStyle w:val="FootnoteReference"/>
          <w:szCs w:val="20"/>
        </w:rPr>
        <w:footnoteReference w:id="88"/>
      </w:r>
      <w:r>
        <w:rPr>
          <w:szCs w:val="20"/>
        </w:rPr>
        <w:t xml:space="preserve">, </w:t>
      </w:r>
      <w:r w:rsidR="008E5F4A">
        <w:rPr>
          <w:szCs w:val="20"/>
        </w:rPr>
        <w:t xml:space="preserve">as well as other </w:t>
      </w:r>
      <w:r w:rsidR="00AB5C99">
        <w:rPr>
          <w:szCs w:val="20"/>
        </w:rPr>
        <w:t xml:space="preserve">more-general proposals, such as </w:t>
      </w:r>
      <w:r>
        <w:rPr>
          <w:szCs w:val="20"/>
        </w:rPr>
        <w:t>the Copyright Hub</w:t>
      </w:r>
      <w:r>
        <w:rPr>
          <w:rStyle w:val="FootnoteReference"/>
          <w:szCs w:val="20"/>
        </w:rPr>
        <w:footnoteReference w:id="89"/>
      </w:r>
      <w:r w:rsidR="00AB5C99">
        <w:rPr>
          <w:szCs w:val="20"/>
        </w:rPr>
        <w:t xml:space="preserve">. This is </w:t>
      </w:r>
      <w:r>
        <w:rPr>
          <w:szCs w:val="20"/>
        </w:rPr>
        <w:t xml:space="preserve">a private initiative in response to </w:t>
      </w:r>
      <w:r w:rsidR="00AB5C99">
        <w:rPr>
          <w:szCs w:val="20"/>
        </w:rPr>
        <w:t>p</w:t>
      </w:r>
      <w:r>
        <w:rPr>
          <w:szCs w:val="20"/>
        </w:rPr>
        <w:t>roposal</w:t>
      </w:r>
      <w:r w:rsidR="00AB5C99">
        <w:rPr>
          <w:szCs w:val="20"/>
        </w:rPr>
        <w:t>s</w:t>
      </w:r>
      <w:r>
        <w:rPr>
          <w:szCs w:val="20"/>
        </w:rPr>
        <w:t xml:space="preserve"> </w:t>
      </w:r>
      <w:r w:rsidR="00AB5C99">
        <w:rPr>
          <w:szCs w:val="20"/>
        </w:rPr>
        <w:t xml:space="preserve">in </w:t>
      </w:r>
      <w:r>
        <w:rPr>
          <w:szCs w:val="20"/>
        </w:rPr>
        <w:t>the Hargreaves Review</w:t>
      </w:r>
      <w:r w:rsidR="00AB5C99">
        <w:rPr>
          <w:szCs w:val="20"/>
        </w:rPr>
        <w:t xml:space="preserve"> of UK copyright law</w:t>
      </w:r>
      <w:r>
        <w:rPr>
          <w:rStyle w:val="FootnoteReference"/>
          <w:szCs w:val="20"/>
        </w:rPr>
        <w:footnoteReference w:id="90"/>
      </w:r>
      <w:r w:rsidR="00AB5C99">
        <w:rPr>
          <w:szCs w:val="20"/>
        </w:rPr>
        <w:t>, which has engendered s</w:t>
      </w:r>
      <w:r>
        <w:rPr>
          <w:szCs w:val="20"/>
        </w:rPr>
        <w:t>upport</w:t>
      </w:r>
      <w:r w:rsidR="00AB5C99">
        <w:rPr>
          <w:szCs w:val="20"/>
        </w:rPr>
        <w:t xml:space="preserve"> from </w:t>
      </w:r>
      <w:r>
        <w:rPr>
          <w:szCs w:val="20"/>
        </w:rPr>
        <w:t>the major actors within the music industry</w:t>
      </w:r>
      <w:r w:rsidR="00AB5C99">
        <w:rPr>
          <w:szCs w:val="20"/>
        </w:rPr>
        <w:t xml:space="preserve">, including the </w:t>
      </w:r>
      <w:r>
        <w:rPr>
          <w:szCs w:val="20"/>
        </w:rPr>
        <w:t>collecti</w:t>
      </w:r>
      <w:r w:rsidR="00AB5C99">
        <w:rPr>
          <w:szCs w:val="20"/>
        </w:rPr>
        <w:t>ve</w:t>
      </w:r>
      <w:r>
        <w:rPr>
          <w:szCs w:val="20"/>
        </w:rPr>
        <w:t xml:space="preserve"> rights societies</w:t>
      </w:r>
      <w:r w:rsidR="00AB5C99">
        <w:rPr>
          <w:szCs w:val="20"/>
        </w:rPr>
        <w:t>. The Hub’s aim is to provide a central web-based</w:t>
      </w:r>
      <w:r>
        <w:rPr>
          <w:szCs w:val="20"/>
        </w:rPr>
        <w:t xml:space="preserve"> platform </w:t>
      </w:r>
      <w:r w:rsidR="00AB5C99">
        <w:rPr>
          <w:szCs w:val="20"/>
        </w:rPr>
        <w:t>for users to determine who owns the rights in a particular copyright work, and to facilitate licensing for the work’s use.</w:t>
      </w:r>
      <w:r w:rsidR="006E2E7F">
        <w:rPr>
          <w:rStyle w:val="FootnoteReference"/>
          <w:szCs w:val="20"/>
        </w:rPr>
        <w:footnoteReference w:id="91"/>
      </w:r>
      <w:r w:rsidR="00AB5C99">
        <w:rPr>
          <w:szCs w:val="20"/>
        </w:rPr>
        <w:t xml:space="preserve"> Although </w:t>
      </w:r>
      <w:r>
        <w:rPr>
          <w:szCs w:val="20"/>
        </w:rPr>
        <w:t>the current version o</w:t>
      </w:r>
      <w:r w:rsidR="00AB5C99">
        <w:rPr>
          <w:szCs w:val="20"/>
        </w:rPr>
        <w:t xml:space="preserve">f The Hub is limited to </w:t>
      </w:r>
      <w:r>
        <w:rPr>
          <w:szCs w:val="20"/>
        </w:rPr>
        <w:t xml:space="preserve">photographs and other </w:t>
      </w:r>
      <w:r w:rsidR="00AB5C99">
        <w:rPr>
          <w:szCs w:val="20"/>
        </w:rPr>
        <w:t xml:space="preserve">artistic works, there are plans to extend its reach to cover </w:t>
      </w:r>
      <w:r>
        <w:rPr>
          <w:szCs w:val="20"/>
        </w:rPr>
        <w:t xml:space="preserve">musical works too. </w:t>
      </w:r>
      <w:r w:rsidR="006E2E7F">
        <w:rPr>
          <w:szCs w:val="20"/>
        </w:rPr>
        <w:t xml:space="preserve">It thus remains to be seen how well the system will adapt from the relative simplicity of ownership and licensing of artistic works to the more complex rights ownership and management of music-related works, </w:t>
      </w:r>
      <w:r w:rsidR="006E2E7F">
        <w:rPr>
          <w:szCs w:val="20"/>
        </w:rPr>
        <w:lastRenderedPageBreak/>
        <w:t xml:space="preserve">since </w:t>
      </w:r>
      <w:r>
        <w:rPr>
          <w:szCs w:val="20"/>
        </w:rPr>
        <w:t>Th</w:t>
      </w:r>
      <w:r w:rsidR="006E2E7F">
        <w:rPr>
          <w:szCs w:val="20"/>
        </w:rPr>
        <w:t>e Hub will only be of real value to users, if it provides a ‘one-stop shop’ which secures all the permission needed</w:t>
      </w:r>
      <w:r>
        <w:rPr>
          <w:rStyle w:val="FootnoteReference"/>
          <w:szCs w:val="20"/>
        </w:rPr>
        <w:footnoteReference w:id="92"/>
      </w:r>
      <w:r>
        <w:rPr>
          <w:szCs w:val="20"/>
        </w:rPr>
        <w:t>.</w:t>
      </w:r>
    </w:p>
    <w:p w14:paraId="173EF1CE" w14:textId="77777777" w:rsidR="007E6163" w:rsidRPr="00507EBE" w:rsidRDefault="007E6163" w:rsidP="00C5421F">
      <w:pPr>
        <w:pStyle w:val="Heading1"/>
        <w:rPr>
          <w:rFonts w:ascii="Verdana" w:hAnsi="Verdana"/>
          <w:sz w:val="20"/>
          <w:szCs w:val="20"/>
        </w:rPr>
      </w:pPr>
      <w:r w:rsidRPr="00507EBE">
        <w:rPr>
          <w:rFonts w:ascii="Verdana" w:hAnsi="Verdana"/>
          <w:sz w:val="20"/>
          <w:szCs w:val="20"/>
        </w:rPr>
        <w:t>Conclusion</w:t>
      </w:r>
    </w:p>
    <w:p w14:paraId="64CF2EBF" w14:textId="77777777" w:rsidR="007E6163" w:rsidRPr="00507EBE" w:rsidRDefault="007E6163" w:rsidP="00C5421F">
      <w:pPr>
        <w:rPr>
          <w:szCs w:val="20"/>
        </w:rPr>
      </w:pPr>
    </w:p>
    <w:p w14:paraId="7B413717" w14:textId="39D954BD" w:rsidR="007E6163" w:rsidRDefault="00F66F7C" w:rsidP="003B5995">
      <w:pPr>
        <w:spacing w:line="360" w:lineRule="auto"/>
        <w:jc w:val="both"/>
        <w:rPr>
          <w:szCs w:val="20"/>
        </w:rPr>
      </w:pPr>
      <w:r>
        <w:rPr>
          <w:szCs w:val="20"/>
        </w:rPr>
        <w:t>T</w:t>
      </w:r>
      <w:r w:rsidR="00A75426">
        <w:rPr>
          <w:szCs w:val="20"/>
        </w:rPr>
        <w:t>he</w:t>
      </w:r>
      <w:r w:rsidR="007E6163">
        <w:rPr>
          <w:szCs w:val="20"/>
        </w:rPr>
        <w:t xml:space="preserve"> latest copyright reforms </w:t>
      </w:r>
      <w:r w:rsidR="00A75426">
        <w:rPr>
          <w:szCs w:val="20"/>
        </w:rPr>
        <w:t xml:space="preserve">seem to </w:t>
      </w:r>
      <w:r w:rsidR="007E6163">
        <w:rPr>
          <w:szCs w:val="20"/>
        </w:rPr>
        <w:t xml:space="preserve">provide </w:t>
      </w:r>
      <w:r w:rsidR="00B721EA">
        <w:rPr>
          <w:szCs w:val="20"/>
        </w:rPr>
        <w:t xml:space="preserve">little, if any, panacea for </w:t>
      </w:r>
      <w:r w:rsidR="007E6163">
        <w:rPr>
          <w:szCs w:val="20"/>
        </w:rPr>
        <w:t xml:space="preserve">DJs and </w:t>
      </w:r>
      <w:r w:rsidR="00B721EA">
        <w:rPr>
          <w:szCs w:val="20"/>
        </w:rPr>
        <w:t xml:space="preserve">others who </w:t>
      </w:r>
      <w:r w:rsidR="007E6163">
        <w:rPr>
          <w:szCs w:val="20"/>
        </w:rPr>
        <w:t>us</w:t>
      </w:r>
      <w:r w:rsidR="00B721EA">
        <w:rPr>
          <w:szCs w:val="20"/>
        </w:rPr>
        <w:t xml:space="preserve">e modern digital </w:t>
      </w:r>
      <w:r w:rsidR="007E6163">
        <w:rPr>
          <w:szCs w:val="20"/>
        </w:rPr>
        <w:t xml:space="preserve">sampling techniques to create new </w:t>
      </w:r>
      <w:r w:rsidR="00B721EA">
        <w:rPr>
          <w:szCs w:val="20"/>
        </w:rPr>
        <w:t xml:space="preserve">musical </w:t>
      </w:r>
      <w:r w:rsidR="007E6163">
        <w:rPr>
          <w:szCs w:val="20"/>
        </w:rPr>
        <w:t xml:space="preserve">works. The </w:t>
      </w:r>
      <w:r w:rsidR="003B2756">
        <w:rPr>
          <w:szCs w:val="20"/>
        </w:rPr>
        <w:t>clarification</w:t>
      </w:r>
      <w:r w:rsidR="007E6163">
        <w:rPr>
          <w:szCs w:val="20"/>
        </w:rPr>
        <w:t xml:space="preserve"> of exclusive rights </w:t>
      </w:r>
      <w:r w:rsidR="00B721EA">
        <w:rPr>
          <w:szCs w:val="20"/>
        </w:rPr>
        <w:t xml:space="preserve">based upon </w:t>
      </w:r>
      <w:r w:rsidR="007E6163">
        <w:rPr>
          <w:szCs w:val="20"/>
        </w:rPr>
        <w:t>the CJEU</w:t>
      </w:r>
      <w:r w:rsidR="00B721EA">
        <w:rPr>
          <w:szCs w:val="20"/>
        </w:rPr>
        <w:t>’s interpretation of originality and infringement has, if anything,</w:t>
      </w:r>
      <w:r w:rsidR="007E6163">
        <w:rPr>
          <w:szCs w:val="20"/>
        </w:rPr>
        <w:t xml:space="preserve"> complicated the situation for digital sampling </w:t>
      </w:r>
      <w:r w:rsidR="00B721EA">
        <w:rPr>
          <w:szCs w:val="20"/>
        </w:rPr>
        <w:t>since it seems to r</w:t>
      </w:r>
      <w:r w:rsidR="007E6163">
        <w:rPr>
          <w:szCs w:val="20"/>
        </w:rPr>
        <w:t xml:space="preserve">ender any unauthorised use </w:t>
      </w:r>
      <w:r w:rsidR="00B721EA">
        <w:rPr>
          <w:szCs w:val="20"/>
        </w:rPr>
        <w:t xml:space="preserve">of any part of a work which represents the author’s ‘intellectual creation’ </w:t>
      </w:r>
      <w:r w:rsidR="007E6163">
        <w:rPr>
          <w:szCs w:val="20"/>
        </w:rPr>
        <w:t>as infringing</w:t>
      </w:r>
      <w:r w:rsidR="00B721EA">
        <w:rPr>
          <w:szCs w:val="20"/>
        </w:rPr>
        <w:t>, so promoting the interests of one author’s creativity at</w:t>
      </w:r>
      <w:r w:rsidR="007E6163">
        <w:rPr>
          <w:szCs w:val="20"/>
        </w:rPr>
        <w:t xml:space="preserve"> the expense of </w:t>
      </w:r>
      <w:r w:rsidR="00B721EA">
        <w:rPr>
          <w:szCs w:val="20"/>
        </w:rPr>
        <w:t>another’s</w:t>
      </w:r>
      <w:r w:rsidR="007E6163">
        <w:rPr>
          <w:szCs w:val="20"/>
        </w:rPr>
        <w:t xml:space="preserve">. </w:t>
      </w:r>
      <w:r w:rsidR="00B721EA">
        <w:rPr>
          <w:szCs w:val="20"/>
        </w:rPr>
        <w:t xml:space="preserve">It </w:t>
      </w:r>
      <w:r w:rsidR="007E6163">
        <w:rPr>
          <w:szCs w:val="20"/>
        </w:rPr>
        <w:t>can</w:t>
      </w:r>
      <w:r w:rsidR="00B721EA">
        <w:rPr>
          <w:szCs w:val="20"/>
        </w:rPr>
        <w:t xml:space="preserve"> </w:t>
      </w:r>
      <w:r w:rsidR="007E6163">
        <w:rPr>
          <w:szCs w:val="20"/>
        </w:rPr>
        <w:t>no</w:t>
      </w:r>
      <w:r w:rsidR="00B721EA">
        <w:rPr>
          <w:szCs w:val="20"/>
        </w:rPr>
        <w:t xml:space="preserve"> longer be </w:t>
      </w:r>
      <w:r w:rsidR="007E6163">
        <w:rPr>
          <w:szCs w:val="20"/>
        </w:rPr>
        <w:t>ignored</w:t>
      </w:r>
      <w:r w:rsidR="00B721EA">
        <w:rPr>
          <w:szCs w:val="20"/>
        </w:rPr>
        <w:t>. D</w:t>
      </w:r>
      <w:r w:rsidR="007E6163">
        <w:rPr>
          <w:szCs w:val="20"/>
        </w:rPr>
        <w:t>igital sampling constitutes a</w:t>
      </w:r>
      <w:r w:rsidR="00B721EA">
        <w:rPr>
          <w:szCs w:val="20"/>
        </w:rPr>
        <w:t xml:space="preserve"> creative </w:t>
      </w:r>
      <w:r w:rsidR="007E6163">
        <w:rPr>
          <w:szCs w:val="20"/>
        </w:rPr>
        <w:t xml:space="preserve">form </w:t>
      </w:r>
      <w:r w:rsidR="009F2A67">
        <w:rPr>
          <w:szCs w:val="20"/>
        </w:rPr>
        <w:t xml:space="preserve">which should be recognised </w:t>
      </w:r>
      <w:r w:rsidR="00B721EA">
        <w:rPr>
          <w:szCs w:val="20"/>
        </w:rPr>
        <w:t xml:space="preserve">in </w:t>
      </w:r>
      <w:r w:rsidR="007E6163">
        <w:rPr>
          <w:szCs w:val="20"/>
        </w:rPr>
        <w:t>its own</w:t>
      </w:r>
      <w:r w:rsidR="009F2A67">
        <w:rPr>
          <w:szCs w:val="20"/>
        </w:rPr>
        <w:t xml:space="preserve"> right</w:t>
      </w:r>
      <w:r w:rsidR="007E6163">
        <w:rPr>
          <w:szCs w:val="20"/>
        </w:rPr>
        <w:t xml:space="preserve">, </w:t>
      </w:r>
      <w:r w:rsidR="009F2A67">
        <w:rPr>
          <w:szCs w:val="20"/>
        </w:rPr>
        <w:t xml:space="preserve">but the </w:t>
      </w:r>
      <w:r w:rsidR="007E6163">
        <w:rPr>
          <w:szCs w:val="20"/>
        </w:rPr>
        <w:t xml:space="preserve">current </w:t>
      </w:r>
      <w:r w:rsidR="00E3591D">
        <w:rPr>
          <w:szCs w:val="20"/>
        </w:rPr>
        <w:t>legal frameworks seem</w:t>
      </w:r>
      <w:bookmarkStart w:id="0" w:name="_GoBack"/>
      <w:bookmarkEnd w:id="0"/>
      <w:r w:rsidR="009F2A67">
        <w:rPr>
          <w:szCs w:val="20"/>
        </w:rPr>
        <w:t xml:space="preserve"> incapable of fostering this type of creativity.</w:t>
      </w:r>
      <w:r w:rsidR="007E6163">
        <w:rPr>
          <w:szCs w:val="20"/>
        </w:rPr>
        <w:t xml:space="preserve"> </w:t>
      </w:r>
    </w:p>
    <w:p w14:paraId="0FEB682B" w14:textId="721D0842" w:rsidR="007E6163" w:rsidRPr="00507EBE" w:rsidRDefault="007E6163" w:rsidP="007D4CC8">
      <w:pPr>
        <w:spacing w:before="240" w:line="360" w:lineRule="auto"/>
        <w:jc w:val="both"/>
        <w:rPr>
          <w:szCs w:val="20"/>
        </w:rPr>
      </w:pPr>
      <w:r>
        <w:rPr>
          <w:szCs w:val="20"/>
        </w:rPr>
        <w:t xml:space="preserve">While strong copyright protection </w:t>
      </w:r>
      <w:r w:rsidR="009F2A67">
        <w:rPr>
          <w:szCs w:val="20"/>
        </w:rPr>
        <w:t xml:space="preserve">has its place, the market power of the key industry actors as well as complexity </w:t>
      </w:r>
      <w:r>
        <w:rPr>
          <w:szCs w:val="20"/>
        </w:rPr>
        <w:t xml:space="preserve">is </w:t>
      </w:r>
      <w:r w:rsidR="009F2A67">
        <w:rPr>
          <w:szCs w:val="20"/>
        </w:rPr>
        <w:t xml:space="preserve">rights clearance procedures create additional barriers to entry for </w:t>
      </w:r>
      <w:r>
        <w:rPr>
          <w:szCs w:val="20"/>
        </w:rPr>
        <w:t xml:space="preserve">future artists </w:t>
      </w:r>
      <w:r w:rsidR="009F2A67">
        <w:rPr>
          <w:szCs w:val="20"/>
        </w:rPr>
        <w:t xml:space="preserve">seeking to step onto the lower rungs of the </w:t>
      </w:r>
      <w:r>
        <w:rPr>
          <w:szCs w:val="20"/>
        </w:rPr>
        <w:t>industry</w:t>
      </w:r>
      <w:r w:rsidR="009F2A67">
        <w:rPr>
          <w:szCs w:val="20"/>
        </w:rPr>
        <w:t xml:space="preserve"> ladder</w:t>
      </w:r>
      <w:r>
        <w:rPr>
          <w:szCs w:val="20"/>
        </w:rPr>
        <w:t>. But</w:t>
      </w:r>
      <w:r w:rsidR="009F2A67">
        <w:rPr>
          <w:szCs w:val="20"/>
        </w:rPr>
        <w:t>, it seems that there should be a way which acknowledges the contribution of earlier rights, while still permitting creative derivative uses, which might benefit the music industry as a whole, over time</w:t>
      </w:r>
      <w:r w:rsidR="002B7868">
        <w:rPr>
          <w:rStyle w:val="FootnoteReference"/>
          <w:szCs w:val="20"/>
        </w:rPr>
        <w:footnoteReference w:id="93"/>
      </w:r>
      <w:r w:rsidR="009F2A67">
        <w:rPr>
          <w:szCs w:val="20"/>
        </w:rPr>
        <w:t xml:space="preserve">. </w:t>
      </w:r>
      <w:r>
        <w:rPr>
          <w:szCs w:val="20"/>
        </w:rPr>
        <w:t xml:space="preserve"> The wheels already </w:t>
      </w:r>
      <w:r w:rsidR="009F2A67">
        <w:rPr>
          <w:szCs w:val="20"/>
        </w:rPr>
        <w:t xml:space="preserve">appear to be turning in the right direction </w:t>
      </w:r>
      <w:r>
        <w:rPr>
          <w:szCs w:val="20"/>
        </w:rPr>
        <w:t>in the UK</w:t>
      </w:r>
      <w:r w:rsidR="009F2A67">
        <w:rPr>
          <w:szCs w:val="20"/>
        </w:rPr>
        <w:t>, with the recent launch of T</w:t>
      </w:r>
      <w:r>
        <w:rPr>
          <w:szCs w:val="20"/>
        </w:rPr>
        <w:t xml:space="preserve">he Copyright Hub.  Time will tell whether this initiative provides the relief </w:t>
      </w:r>
      <w:r w:rsidR="009F2A67">
        <w:rPr>
          <w:szCs w:val="20"/>
        </w:rPr>
        <w:t xml:space="preserve">which mixers and samplers seem to need to lawfully exercise </w:t>
      </w:r>
      <w:r>
        <w:rPr>
          <w:szCs w:val="20"/>
        </w:rPr>
        <w:t>their art</w:t>
      </w:r>
      <w:r w:rsidR="009F2A67">
        <w:rPr>
          <w:szCs w:val="20"/>
        </w:rPr>
        <w:t>.</w:t>
      </w:r>
    </w:p>
    <w:sectPr w:rsidR="007E6163" w:rsidRPr="00507EBE" w:rsidSect="007E616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23359" w14:textId="77777777" w:rsidR="00166B0D" w:rsidRDefault="00166B0D" w:rsidP="00D371D9">
      <w:r>
        <w:separator/>
      </w:r>
    </w:p>
  </w:endnote>
  <w:endnote w:type="continuationSeparator" w:id="0">
    <w:p w14:paraId="755142DC" w14:textId="77777777" w:rsidR="00166B0D" w:rsidRDefault="00166B0D" w:rsidP="00D3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Std-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E111B" w14:textId="77777777" w:rsidR="00680FB4" w:rsidRDefault="00680FB4">
    <w:pPr>
      <w:pStyle w:val="Footer"/>
      <w:jc w:val="right"/>
    </w:pPr>
    <w:r>
      <w:fldChar w:fldCharType="begin"/>
    </w:r>
    <w:r>
      <w:instrText xml:space="preserve"> PAGE   \* MERGEFORMAT </w:instrText>
    </w:r>
    <w:r>
      <w:fldChar w:fldCharType="separate"/>
    </w:r>
    <w:r w:rsidR="00E3591D">
      <w:rPr>
        <w:noProof/>
      </w:rPr>
      <w:t>15</w:t>
    </w:r>
    <w:r>
      <w:fldChar w:fldCharType="end"/>
    </w:r>
  </w:p>
  <w:p w14:paraId="48730130" w14:textId="77777777" w:rsidR="00680FB4" w:rsidRDefault="00680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F3DF4" w14:textId="77777777" w:rsidR="00166B0D" w:rsidRDefault="00166B0D" w:rsidP="00D371D9">
      <w:r>
        <w:separator/>
      </w:r>
    </w:p>
  </w:footnote>
  <w:footnote w:type="continuationSeparator" w:id="0">
    <w:p w14:paraId="6E0525B0" w14:textId="77777777" w:rsidR="00166B0D" w:rsidRDefault="00166B0D" w:rsidP="00D371D9">
      <w:r>
        <w:continuationSeparator/>
      </w:r>
    </w:p>
  </w:footnote>
  <w:footnote w:id="1">
    <w:p w14:paraId="7C30CC49" w14:textId="0DAB25A2" w:rsidR="00BA5174" w:rsidRPr="00BA5174" w:rsidRDefault="00BA5174" w:rsidP="00BA5174">
      <w:pPr>
        <w:pStyle w:val="FootnoteText"/>
        <w:jc w:val="both"/>
        <w:rPr>
          <w:sz w:val="16"/>
          <w:szCs w:val="16"/>
        </w:rPr>
      </w:pPr>
      <w:r w:rsidRPr="00BA5174">
        <w:rPr>
          <w:rStyle w:val="FootnoteReference"/>
          <w:sz w:val="16"/>
          <w:szCs w:val="16"/>
        </w:rPr>
        <w:footnoteRef/>
      </w:r>
      <w:r w:rsidRPr="00BA5174">
        <w:rPr>
          <w:sz w:val="16"/>
          <w:szCs w:val="16"/>
        </w:rPr>
        <w:t xml:space="preserve"> </w:t>
      </w:r>
      <w:r w:rsidRPr="00BA5174">
        <w:rPr>
          <w:sz w:val="16"/>
          <w:szCs w:val="16"/>
        </w:rPr>
        <w:tab/>
      </w:r>
      <w:r w:rsidRPr="0021202A">
        <w:rPr>
          <w:sz w:val="16"/>
          <w:szCs w:val="16"/>
        </w:rPr>
        <w:t xml:space="preserve">This article was written based on notes written for Bjorn </w:t>
      </w:r>
      <w:proofErr w:type="spellStart"/>
      <w:r w:rsidRPr="0021202A">
        <w:rPr>
          <w:sz w:val="16"/>
          <w:szCs w:val="16"/>
        </w:rPr>
        <w:t>Schipper’s</w:t>
      </w:r>
      <w:proofErr w:type="spellEnd"/>
      <w:r w:rsidRPr="0021202A">
        <w:rPr>
          <w:sz w:val="16"/>
          <w:szCs w:val="16"/>
        </w:rPr>
        <w:t xml:space="preserve"> comparative manifesto on the current legal regime applicable to digital sampling, presented at the Amsterdam Dance Festival 2015.</w:t>
      </w:r>
    </w:p>
  </w:footnote>
  <w:footnote w:id="2">
    <w:p w14:paraId="4D5B4999" w14:textId="0346738F"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Sampling can be traced back to the birth of Hip-Hop culture in the seventies. At this time, sampling was an expensive technique and limited (three octaves at most, changing sounds required new tapes, sampled often only two seconds at a time). </w:t>
      </w:r>
      <w:r w:rsidR="0021202A">
        <w:rPr>
          <w:sz w:val="16"/>
          <w:szCs w:val="16"/>
        </w:rPr>
        <w:t>Chuck</w:t>
      </w:r>
      <w:r w:rsidRPr="00490298">
        <w:rPr>
          <w:sz w:val="16"/>
          <w:szCs w:val="16"/>
        </w:rPr>
        <w:t xml:space="preserve"> cited in K. </w:t>
      </w:r>
      <w:proofErr w:type="spellStart"/>
      <w:r w:rsidRPr="00490298">
        <w:rPr>
          <w:sz w:val="16"/>
          <w:szCs w:val="16"/>
        </w:rPr>
        <w:t>Mcleod</w:t>
      </w:r>
      <w:proofErr w:type="spellEnd"/>
      <w:r w:rsidRPr="00490298">
        <w:rPr>
          <w:sz w:val="16"/>
          <w:szCs w:val="16"/>
        </w:rPr>
        <w:t xml:space="preserve"> &amp; P. </w:t>
      </w:r>
      <w:proofErr w:type="spellStart"/>
      <w:r w:rsidRPr="00490298">
        <w:rPr>
          <w:sz w:val="16"/>
          <w:szCs w:val="16"/>
        </w:rPr>
        <w:t>Dicola</w:t>
      </w:r>
      <w:proofErr w:type="spellEnd"/>
      <w:r w:rsidRPr="00490298">
        <w:rPr>
          <w:sz w:val="16"/>
          <w:szCs w:val="16"/>
        </w:rPr>
        <w:t xml:space="preserve">, </w:t>
      </w:r>
      <w:r w:rsidRPr="00490298">
        <w:rPr>
          <w:i/>
          <w:sz w:val="16"/>
          <w:szCs w:val="16"/>
        </w:rPr>
        <w:t>Creative License:</w:t>
      </w:r>
      <w:r w:rsidRPr="00490298">
        <w:rPr>
          <w:sz w:val="16"/>
          <w:szCs w:val="16"/>
        </w:rPr>
        <w:t xml:space="preserve"> </w:t>
      </w:r>
      <w:r w:rsidRPr="00490298">
        <w:rPr>
          <w:i/>
          <w:sz w:val="16"/>
          <w:szCs w:val="16"/>
        </w:rPr>
        <w:t>The law and culture of digital sampling</w:t>
      </w:r>
      <w:r w:rsidRPr="00490298">
        <w:rPr>
          <w:sz w:val="16"/>
          <w:szCs w:val="16"/>
        </w:rPr>
        <w:t xml:space="preserve"> (Duke University Press, 2011) 60; R. Salmon, Sampling and sound recording reproduction – fair use or infringement?’ [2010] 21(5) </w:t>
      </w:r>
      <w:proofErr w:type="gramStart"/>
      <w:r w:rsidRPr="00490298">
        <w:rPr>
          <w:i/>
          <w:sz w:val="16"/>
          <w:szCs w:val="16"/>
        </w:rPr>
        <w:t>Ent</w:t>
      </w:r>
      <w:proofErr w:type="gramEnd"/>
      <w:r w:rsidRPr="00490298">
        <w:rPr>
          <w:i/>
          <w:sz w:val="16"/>
          <w:szCs w:val="16"/>
        </w:rPr>
        <w:t>. L. R.,</w:t>
      </w:r>
      <w:r w:rsidRPr="00490298">
        <w:rPr>
          <w:sz w:val="16"/>
          <w:szCs w:val="16"/>
        </w:rPr>
        <w:t xml:space="preserve"> 174.</w:t>
      </w:r>
    </w:p>
  </w:footnote>
  <w:footnote w:id="3">
    <w:p w14:paraId="42234D52"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Eventually, this led to a reduction of costs for the creation of remixes in the end of the eighties.</w:t>
      </w:r>
    </w:p>
  </w:footnote>
  <w:footnote w:id="4">
    <w:p w14:paraId="2484DD46" w14:textId="7F812A19" w:rsidR="00490298" w:rsidRPr="00490298" w:rsidRDefault="00490298"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Whether by taking segments from original sound recordings or having other musicians play the originals.</w:t>
      </w:r>
    </w:p>
  </w:footnote>
  <w:footnote w:id="5">
    <w:p w14:paraId="5F5A1B5A" w14:textId="77777777" w:rsidR="00680FB4" w:rsidRPr="00490298" w:rsidRDefault="00680FB4" w:rsidP="00490298">
      <w:pPr>
        <w:shd w:val="clear" w:color="auto" w:fill="FFFFFF"/>
        <w:spacing w:line="270" w:lineRule="atLeas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hyperlink r:id="rId1" w:history="1">
        <w:proofErr w:type="gramStart"/>
        <w:r w:rsidRPr="00490298">
          <w:rPr>
            <w:bCs/>
            <w:sz w:val="16"/>
            <w:szCs w:val="16"/>
            <w:lang w:eastAsia="en-GB"/>
          </w:rPr>
          <w:t>1988 c. 48</w:t>
        </w:r>
      </w:hyperlink>
      <w:r w:rsidRPr="00490298">
        <w:rPr>
          <w:bCs/>
          <w:sz w:val="16"/>
          <w:szCs w:val="16"/>
          <w:lang w:eastAsia="en-GB"/>
        </w:rPr>
        <w:t>.</w:t>
      </w:r>
      <w:proofErr w:type="gramEnd"/>
    </w:p>
  </w:footnote>
  <w:footnote w:id="6">
    <w:p w14:paraId="1ED8405C"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Section 1 CDPA 1988.</w:t>
      </w:r>
    </w:p>
  </w:footnote>
  <w:footnote w:id="7">
    <w:p w14:paraId="6847CD8F" w14:textId="1E760F3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Section 3(2) CDPA 1988.</w:t>
      </w:r>
    </w:p>
  </w:footnote>
  <w:footnote w:id="8">
    <w:p w14:paraId="108E01A8" w14:textId="2052AAFA" w:rsidR="003E423A" w:rsidRPr="00490298" w:rsidRDefault="003E423A"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Section 1(1</w:t>
      </w:r>
      <w:proofErr w:type="gramStart"/>
      <w:r w:rsidRPr="00490298">
        <w:rPr>
          <w:sz w:val="16"/>
          <w:szCs w:val="16"/>
        </w:rPr>
        <w:t>)(</w:t>
      </w:r>
      <w:proofErr w:type="gramEnd"/>
      <w:r w:rsidRPr="00490298">
        <w:rPr>
          <w:sz w:val="16"/>
          <w:szCs w:val="16"/>
        </w:rPr>
        <w:t>a) CDPA 1988. For copyright to subsist in entrepreneurial works such as sound recordings, originality is not required.</w:t>
      </w:r>
    </w:p>
  </w:footnote>
  <w:footnote w:id="9">
    <w:p w14:paraId="5EAD5CC3"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Sections 1(1</w:t>
      </w:r>
      <w:proofErr w:type="gramStart"/>
      <w:r w:rsidRPr="00490298">
        <w:rPr>
          <w:sz w:val="16"/>
          <w:szCs w:val="16"/>
        </w:rPr>
        <w:t>)(</w:t>
      </w:r>
      <w:proofErr w:type="gramEnd"/>
      <w:r w:rsidRPr="00490298">
        <w:rPr>
          <w:sz w:val="16"/>
          <w:szCs w:val="16"/>
        </w:rPr>
        <w:t>a) and 3(1) CDPA 1988.</w:t>
      </w:r>
    </w:p>
  </w:footnote>
  <w:footnote w:id="10">
    <w:p w14:paraId="74652954"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Sections 1(1</w:t>
      </w:r>
      <w:proofErr w:type="gramStart"/>
      <w:r w:rsidRPr="00490298">
        <w:rPr>
          <w:sz w:val="16"/>
          <w:szCs w:val="16"/>
        </w:rPr>
        <w:t>)(</w:t>
      </w:r>
      <w:proofErr w:type="gramEnd"/>
      <w:r w:rsidRPr="00490298">
        <w:rPr>
          <w:sz w:val="16"/>
          <w:szCs w:val="16"/>
        </w:rPr>
        <w:t>b) and  5A(1) CDPA 1988.</w:t>
      </w:r>
    </w:p>
  </w:footnote>
  <w:footnote w:id="11">
    <w:p w14:paraId="05EF3F4D" w14:textId="77777777" w:rsidR="00680FB4" w:rsidRPr="00BF38A1"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Under section 8 Copyright Act 1956, it was possible to reproduce a composition in a sound recording by </w:t>
      </w:r>
      <w:r w:rsidRPr="00BF38A1">
        <w:rPr>
          <w:sz w:val="16"/>
          <w:szCs w:val="16"/>
        </w:rPr>
        <w:t xml:space="preserve">paying a fixed statutory royalty. </w:t>
      </w:r>
    </w:p>
  </w:footnote>
  <w:footnote w:id="12">
    <w:p w14:paraId="4AF68AC5" w14:textId="5C0FBE0F" w:rsidR="00BF38A1" w:rsidRDefault="00BF38A1">
      <w:pPr>
        <w:pStyle w:val="FootnoteText"/>
      </w:pPr>
      <w:r w:rsidRPr="00BF38A1">
        <w:rPr>
          <w:rStyle w:val="FootnoteReference"/>
          <w:sz w:val="16"/>
          <w:szCs w:val="16"/>
        </w:rPr>
        <w:footnoteRef/>
      </w:r>
      <w:r w:rsidRPr="00BF38A1">
        <w:rPr>
          <w:sz w:val="16"/>
          <w:szCs w:val="16"/>
        </w:rPr>
        <w:t xml:space="preserve"> </w:t>
      </w:r>
      <w:r w:rsidRPr="00BF38A1">
        <w:rPr>
          <w:sz w:val="16"/>
          <w:szCs w:val="16"/>
        </w:rPr>
        <w:tab/>
      </w:r>
      <w:proofErr w:type="gramStart"/>
      <w:r w:rsidRPr="00BF38A1">
        <w:rPr>
          <w:sz w:val="16"/>
          <w:szCs w:val="16"/>
        </w:rPr>
        <w:t>Later described in part 4 of this article.</w:t>
      </w:r>
      <w:proofErr w:type="gramEnd"/>
    </w:p>
  </w:footnote>
  <w:footnote w:id="13">
    <w:p w14:paraId="436759AD" w14:textId="539E8723" w:rsidR="00B06C72" w:rsidRPr="00490298" w:rsidRDefault="00B06C72"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r w:rsidR="007448D9" w:rsidRPr="00490298">
        <w:rPr>
          <w:sz w:val="16"/>
          <w:szCs w:val="16"/>
        </w:rPr>
        <w:t>Reproduction</w:t>
      </w:r>
      <w:r w:rsidRPr="00490298">
        <w:rPr>
          <w:sz w:val="16"/>
          <w:szCs w:val="16"/>
        </w:rPr>
        <w:t xml:space="preserve"> comprises both literal and non-literal copying. Therefore, the sampling of sound recordings and the musical composition replayed by others can amount to copyright infringement. </w:t>
      </w:r>
    </w:p>
  </w:footnote>
  <w:footnote w:id="14">
    <w:p w14:paraId="49E60115" w14:textId="7173B2AB" w:rsidR="00E93F71" w:rsidRPr="00490298" w:rsidRDefault="00E93F71"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Reproduction right has been harmonised at EU level by article 2 of the Information Society Directive 2001/29 on the harmonisation of certain aspects of copyright and related rights in the information society [2001] OJ L167.</w:t>
      </w:r>
    </w:p>
  </w:footnote>
  <w:footnote w:id="15">
    <w:p w14:paraId="3226E158" w14:textId="3B2AB31B"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Section 16(3</w:t>
      </w:r>
      <w:proofErr w:type="gramStart"/>
      <w:r w:rsidRPr="00490298">
        <w:rPr>
          <w:sz w:val="16"/>
          <w:szCs w:val="16"/>
        </w:rPr>
        <w:t>)</w:t>
      </w:r>
      <w:r w:rsidR="0083484B">
        <w:rPr>
          <w:sz w:val="16"/>
          <w:szCs w:val="16"/>
        </w:rPr>
        <w:t>(</w:t>
      </w:r>
      <w:proofErr w:type="gramEnd"/>
      <w:r w:rsidR="0083484B">
        <w:rPr>
          <w:sz w:val="16"/>
          <w:szCs w:val="16"/>
        </w:rPr>
        <w:t>a)</w:t>
      </w:r>
      <w:r w:rsidRPr="00490298">
        <w:rPr>
          <w:sz w:val="16"/>
          <w:szCs w:val="16"/>
        </w:rPr>
        <w:t xml:space="preserve"> CDPA 1988.</w:t>
      </w:r>
    </w:p>
  </w:footnote>
  <w:footnote w:id="16">
    <w:p w14:paraId="189FB9EC" w14:textId="1544DD3E"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gramStart"/>
      <w:r w:rsidRPr="00490298">
        <w:rPr>
          <w:i/>
          <w:sz w:val="16"/>
          <w:szCs w:val="16"/>
        </w:rPr>
        <w:t>Hawkes and Sons (London) Ltd v. Paramount Film Service Ltd</w:t>
      </w:r>
      <w:r w:rsidRPr="00490298">
        <w:rPr>
          <w:sz w:val="16"/>
          <w:szCs w:val="16"/>
        </w:rPr>
        <w:t xml:space="preserve"> [1934] </w:t>
      </w:r>
      <w:proofErr w:type="spellStart"/>
      <w:r w:rsidRPr="00490298">
        <w:rPr>
          <w:sz w:val="16"/>
          <w:szCs w:val="16"/>
        </w:rPr>
        <w:t>Ch</w:t>
      </w:r>
      <w:proofErr w:type="spellEnd"/>
      <w:r w:rsidRPr="00490298">
        <w:rPr>
          <w:sz w:val="16"/>
          <w:szCs w:val="16"/>
        </w:rPr>
        <w:t xml:space="preserve"> 593 at 604.</w:t>
      </w:r>
      <w:proofErr w:type="gramEnd"/>
      <w:r w:rsidRPr="00490298">
        <w:rPr>
          <w:sz w:val="16"/>
          <w:szCs w:val="16"/>
        </w:rPr>
        <w:t xml:space="preserve"> B. Sherman &amp; L. </w:t>
      </w:r>
      <w:proofErr w:type="spellStart"/>
      <w:r w:rsidRPr="00490298">
        <w:rPr>
          <w:sz w:val="16"/>
          <w:szCs w:val="16"/>
        </w:rPr>
        <w:t>Bently</w:t>
      </w:r>
      <w:proofErr w:type="spellEnd"/>
      <w:r w:rsidRPr="00490298">
        <w:rPr>
          <w:sz w:val="16"/>
          <w:szCs w:val="16"/>
        </w:rPr>
        <w:t xml:space="preserve">, ‘cultures of copying: digital sampling and copyright law’ [1992] 3(5) </w:t>
      </w:r>
      <w:proofErr w:type="gramStart"/>
      <w:r w:rsidR="007448D9" w:rsidRPr="00490298">
        <w:rPr>
          <w:i/>
          <w:sz w:val="16"/>
          <w:szCs w:val="16"/>
        </w:rPr>
        <w:t>Ent</w:t>
      </w:r>
      <w:proofErr w:type="gramEnd"/>
      <w:r w:rsidR="007448D9" w:rsidRPr="00490298">
        <w:rPr>
          <w:i/>
          <w:sz w:val="16"/>
          <w:szCs w:val="16"/>
        </w:rPr>
        <w:t>.</w:t>
      </w:r>
      <w:r w:rsidRPr="00490298">
        <w:rPr>
          <w:i/>
          <w:sz w:val="16"/>
          <w:szCs w:val="16"/>
        </w:rPr>
        <w:t xml:space="preserve"> </w:t>
      </w:r>
      <w:proofErr w:type="gramStart"/>
      <w:r w:rsidRPr="00490298">
        <w:rPr>
          <w:i/>
          <w:sz w:val="16"/>
          <w:szCs w:val="16"/>
        </w:rPr>
        <w:t>L.R.</w:t>
      </w:r>
      <w:r w:rsidRPr="00490298">
        <w:rPr>
          <w:sz w:val="16"/>
          <w:szCs w:val="16"/>
        </w:rPr>
        <w:t xml:space="preserve"> 1992, 159.</w:t>
      </w:r>
      <w:proofErr w:type="gramEnd"/>
    </w:p>
  </w:footnote>
  <w:footnote w:id="17">
    <w:p w14:paraId="42AC5B1E"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gramStart"/>
      <w:r w:rsidRPr="00490298">
        <w:rPr>
          <w:i/>
          <w:sz w:val="16"/>
          <w:szCs w:val="16"/>
        </w:rPr>
        <w:t>Ladbroke v William hill</w:t>
      </w:r>
      <w:r w:rsidRPr="00490298">
        <w:rPr>
          <w:sz w:val="16"/>
          <w:szCs w:val="16"/>
        </w:rPr>
        <w:t xml:space="preserve"> [1964] 1 WLR 273; </w:t>
      </w:r>
      <w:r w:rsidRPr="00490298">
        <w:rPr>
          <w:i/>
          <w:iCs/>
          <w:sz w:val="16"/>
          <w:szCs w:val="16"/>
        </w:rPr>
        <w:t xml:space="preserve">University of London Press Ltd. </w:t>
      </w:r>
      <w:r w:rsidRPr="00490298">
        <w:rPr>
          <w:sz w:val="16"/>
          <w:szCs w:val="16"/>
        </w:rPr>
        <w:t xml:space="preserve">v. </w:t>
      </w:r>
      <w:r w:rsidRPr="00490298">
        <w:rPr>
          <w:i/>
          <w:iCs/>
          <w:sz w:val="16"/>
          <w:szCs w:val="16"/>
        </w:rPr>
        <w:t>University Tutorial Press Ltd.</w:t>
      </w:r>
      <w:r w:rsidRPr="00490298">
        <w:rPr>
          <w:sz w:val="16"/>
          <w:szCs w:val="16"/>
        </w:rPr>
        <w:t xml:space="preserve"> [1916] 2 Ch. 601 at 610.</w:t>
      </w:r>
      <w:proofErr w:type="gramEnd"/>
    </w:p>
  </w:footnote>
  <w:footnote w:id="18">
    <w:p w14:paraId="69305334"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gramStart"/>
      <w:r w:rsidRPr="00490298">
        <w:rPr>
          <w:i/>
          <w:sz w:val="16"/>
          <w:szCs w:val="16"/>
        </w:rPr>
        <w:t>Ladbroke v William hill</w:t>
      </w:r>
      <w:r w:rsidRPr="00490298">
        <w:rPr>
          <w:sz w:val="16"/>
          <w:szCs w:val="16"/>
        </w:rPr>
        <w:t xml:space="preserve"> [1964] 1 WLR 273 at 283.</w:t>
      </w:r>
      <w:proofErr w:type="gramEnd"/>
      <w:r w:rsidRPr="00490298">
        <w:rPr>
          <w:sz w:val="16"/>
          <w:szCs w:val="16"/>
        </w:rPr>
        <w:t xml:space="preserve"> In addition to quantity and quality, </w:t>
      </w:r>
      <w:proofErr w:type="spellStart"/>
      <w:proofErr w:type="gramStart"/>
      <w:r w:rsidRPr="00490298">
        <w:rPr>
          <w:sz w:val="16"/>
          <w:szCs w:val="16"/>
        </w:rPr>
        <w:t>Bently</w:t>
      </w:r>
      <w:proofErr w:type="spellEnd"/>
      <w:proofErr w:type="gramEnd"/>
      <w:r w:rsidRPr="00490298">
        <w:rPr>
          <w:sz w:val="16"/>
          <w:szCs w:val="16"/>
        </w:rPr>
        <w:t xml:space="preserve"> analyses competition and </w:t>
      </w:r>
      <w:r w:rsidRPr="00490298">
        <w:rPr>
          <w:i/>
          <w:sz w:val="16"/>
          <w:szCs w:val="16"/>
        </w:rPr>
        <w:t xml:space="preserve">animus </w:t>
      </w:r>
      <w:proofErr w:type="spellStart"/>
      <w:r w:rsidRPr="00490298">
        <w:rPr>
          <w:i/>
          <w:sz w:val="16"/>
          <w:szCs w:val="16"/>
        </w:rPr>
        <w:t>furandi</w:t>
      </w:r>
      <w:proofErr w:type="spellEnd"/>
      <w:r w:rsidRPr="00490298">
        <w:rPr>
          <w:sz w:val="16"/>
          <w:szCs w:val="16"/>
        </w:rPr>
        <w:t xml:space="preserve">. For their application to digital sampling, see, L </w:t>
      </w:r>
      <w:proofErr w:type="spellStart"/>
      <w:r w:rsidRPr="00490298">
        <w:rPr>
          <w:sz w:val="16"/>
          <w:szCs w:val="16"/>
        </w:rPr>
        <w:t>Bently</w:t>
      </w:r>
      <w:proofErr w:type="spellEnd"/>
      <w:r w:rsidRPr="00490298">
        <w:rPr>
          <w:sz w:val="16"/>
          <w:szCs w:val="16"/>
        </w:rPr>
        <w:t xml:space="preserve">, ‘Sampling and copyright: is the law on the right track? Part 2’ [1989] </w:t>
      </w:r>
      <w:r w:rsidRPr="00490298">
        <w:rPr>
          <w:i/>
          <w:sz w:val="16"/>
          <w:szCs w:val="16"/>
        </w:rPr>
        <w:t>J.B.L</w:t>
      </w:r>
      <w:r w:rsidRPr="00490298">
        <w:rPr>
          <w:sz w:val="16"/>
          <w:szCs w:val="16"/>
        </w:rPr>
        <w:t xml:space="preserve"> 405-413.</w:t>
      </w:r>
    </w:p>
  </w:footnote>
  <w:footnote w:id="19">
    <w:p w14:paraId="7DF4F2C4"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gramStart"/>
      <w:r w:rsidRPr="00490298">
        <w:rPr>
          <w:i/>
          <w:sz w:val="16"/>
          <w:szCs w:val="16"/>
        </w:rPr>
        <w:t>Ladbroke v William hill</w:t>
      </w:r>
      <w:r w:rsidRPr="00490298">
        <w:rPr>
          <w:sz w:val="16"/>
          <w:szCs w:val="16"/>
        </w:rPr>
        <w:t xml:space="preserve"> [1964] 1 WLR 273 at 276.</w:t>
      </w:r>
      <w:proofErr w:type="gramEnd"/>
    </w:p>
  </w:footnote>
  <w:footnote w:id="20">
    <w:p w14:paraId="3912333A"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For an analysis of the role of experts in court see Keyes JM, ‘Musical Musings: The Case for Rethinking Music Copyright Protection’ (2003) 10 </w:t>
      </w:r>
      <w:r w:rsidRPr="00490298">
        <w:rPr>
          <w:i/>
          <w:sz w:val="16"/>
          <w:szCs w:val="16"/>
        </w:rPr>
        <w:t xml:space="preserve">Mich. Telecom. </w:t>
      </w:r>
      <w:proofErr w:type="gramStart"/>
      <w:r w:rsidRPr="00490298">
        <w:rPr>
          <w:i/>
          <w:sz w:val="16"/>
          <w:szCs w:val="16"/>
        </w:rPr>
        <w:t>&amp; Tech. L. Rev</w:t>
      </w:r>
      <w:r w:rsidRPr="00490298">
        <w:rPr>
          <w:sz w:val="16"/>
          <w:szCs w:val="16"/>
        </w:rPr>
        <w:t>. 434.</w:t>
      </w:r>
      <w:proofErr w:type="gramEnd"/>
    </w:p>
  </w:footnote>
  <w:footnote w:id="21">
    <w:p w14:paraId="0A4412D0"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gramStart"/>
      <w:r w:rsidRPr="00490298">
        <w:rPr>
          <w:sz w:val="16"/>
          <w:szCs w:val="16"/>
        </w:rPr>
        <w:t>(1999), High Court transcript, 19 January.</w:t>
      </w:r>
      <w:proofErr w:type="gramEnd"/>
    </w:p>
  </w:footnote>
  <w:footnote w:id="22">
    <w:p w14:paraId="15A014B0" w14:textId="0E85709B"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The inherently limited character of expert opinions led some scholars to suggest a greater reliance on technologies or physics to separate the protected expressions from the unprotected ideas. According to </w:t>
      </w:r>
      <w:proofErr w:type="spellStart"/>
      <w:r w:rsidRPr="00490298">
        <w:rPr>
          <w:sz w:val="16"/>
          <w:szCs w:val="16"/>
        </w:rPr>
        <w:t>Liebesman</w:t>
      </w:r>
      <w:proofErr w:type="spellEnd"/>
      <w:r w:rsidRPr="00490298">
        <w:rPr>
          <w:sz w:val="16"/>
          <w:szCs w:val="16"/>
        </w:rPr>
        <w:t xml:space="preserve">, subjectivity could be overcome by ‘objectively mapping a song’s many artistic elements’ and ‘using a link between the wave motion theory of physics and music to mathematically model a song’. </w:t>
      </w:r>
      <w:proofErr w:type="spellStart"/>
      <w:r w:rsidRPr="00490298">
        <w:rPr>
          <w:sz w:val="16"/>
          <w:szCs w:val="16"/>
        </w:rPr>
        <w:t>Liebesman</w:t>
      </w:r>
      <w:proofErr w:type="spellEnd"/>
      <w:r w:rsidRPr="00490298">
        <w:rPr>
          <w:sz w:val="16"/>
          <w:szCs w:val="16"/>
        </w:rPr>
        <w:t xml:space="preserve"> YJ, ‘Using Innovative Technologies to </w:t>
      </w:r>
      <w:proofErr w:type="spellStart"/>
      <w:r w:rsidRPr="00490298">
        <w:rPr>
          <w:sz w:val="16"/>
          <w:szCs w:val="16"/>
        </w:rPr>
        <w:t>Analyze</w:t>
      </w:r>
      <w:proofErr w:type="spellEnd"/>
      <w:r w:rsidRPr="00490298">
        <w:rPr>
          <w:sz w:val="16"/>
          <w:szCs w:val="16"/>
        </w:rPr>
        <w:t xml:space="preserve"> for Similarity between Musical Works in Copyright Infringement Disputes’ (2007) 35 </w:t>
      </w:r>
      <w:r w:rsidRPr="00490298">
        <w:rPr>
          <w:i/>
          <w:sz w:val="16"/>
          <w:szCs w:val="16"/>
        </w:rPr>
        <w:t>AIPLA Q.J.</w:t>
      </w:r>
      <w:r w:rsidRPr="00490298">
        <w:rPr>
          <w:sz w:val="16"/>
          <w:szCs w:val="16"/>
        </w:rPr>
        <w:t xml:space="preserve"> 332. Yet technology bears the opposite disadvantage of lacking subjectivity. Let’s take the </w:t>
      </w:r>
      <w:r w:rsidRPr="00490298">
        <w:rPr>
          <w:i/>
          <w:sz w:val="16"/>
          <w:szCs w:val="16"/>
        </w:rPr>
        <w:t>Content ID</w:t>
      </w:r>
      <w:r w:rsidRPr="00490298">
        <w:rPr>
          <w:sz w:val="16"/>
          <w:szCs w:val="16"/>
        </w:rPr>
        <w:t xml:space="preserve"> recognition system operated by </w:t>
      </w:r>
      <w:r w:rsidRPr="00490298">
        <w:rPr>
          <w:i/>
          <w:sz w:val="16"/>
          <w:szCs w:val="16"/>
        </w:rPr>
        <w:t>YouTube</w:t>
      </w:r>
      <w:r w:rsidRPr="00490298">
        <w:rPr>
          <w:sz w:val="16"/>
          <w:szCs w:val="16"/>
        </w:rPr>
        <w:t>. Translating each work into a complex algorithm, the system cross-checks all new uploaded content against its database and is susceptible to fin</w:t>
      </w:r>
      <w:r w:rsidR="00CE46D3">
        <w:rPr>
          <w:sz w:val="16"/>
          <w:szCs w:val="16"/>
        </w:rPr>
        <w:t>d</w:t>
      </w:r>
      <w:r w:rsidRPr="00490298">
        <w:rPr>
          <w:sz w:val="16"/>
          <w:szCs w:val="16"/>
        </w:rPr>
        <w:t xml:space="preserve"> partial and entire matches providing more points of comparison between the works. </w:t>
      </w:r>
    </w:p>
  </w:footnote>
  <w:footnote w:id="23">
    <w:p w14:paraId="28A0483D"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spellStart"/>
      <w:r w:rsidRPr="00490298">
        <w:rPr>
          <w:sz w:val="16"/>
          <w:szCs w:val="16"/>
        </w:rPr>
        <w:t>McDonagh</w:t>
      </w:r>
      <w:proofErr w:type="spellEnd"/>
      <w:r w:rsidRPr="00490298">
        <w:rPr>
          <w:sz w:val="16"/>
          <w:szCs w:val="16"/>
        </w:rPr>
        <w:t xml:space="preserve"> LT, ‘Is the Creative Use of Musical Works without a Licence Acceptable under Copyright Law?’ (2012) 43 </w:t>
      </w:r>
      <w:r w:rsidRPr="00490298">
        <w:rPr>
          <w:i/>
          <w:sz w:val="16"/>
          <w:szCs w:val="16"/>
        </w:rPr>
        <w:t>International Review of Intellectual Property and Competition Law</w:t>
      </w:r>
      <w:r w:rsidRPr="00490298">
        <w:rPr>
          <w:sz w:val="16"/>
          <w:szCs w:val="16"/>
        </w:rPr>
        <w:t xml:space="preserve"> 416; </w:t>
      </w:r>
      <w:proofErr w:type="spellStart"/>
      <w:r w:rsidRPr="00490298">
        <w:rPr>
          <w:sz w:val="16"/>
          <w:szCs w:val="16"/>
        </w:rPr>
        <w:t>Bently</w:t>
      </w:r>
      <w:proofErr w:type="spellEnd"/>
      <w:r w:rsidRPr="00490298">
        <w:rPr>
          <w:sz w:val="16"/>
          <w:szCs w:val="16"/>
        </w:rPr>
        <w:t xml:space="preserve"> L, ‘Authorship of Popular Music in UK Copyright Law’ (2009) 12 </w:t>
      </w:r>
      <w:r w:rsidRPr="00490298">
        <w:rPr>
          <w:i/>
          <w:sz w:val="16"/>
          <w:szCs w:val="16"/>
        </w:rPr>
        <w:t>Information, Communication &amp; Society</w:t>
      </w:r>
      <w:r w:rsidRPr="00490298">
        <w:rPr>
          <w:sz w:val="16"/>
          <w:szCs w:val="16"/>
        </w:rPr>
        <w:t xml:space="preserve"> 192; </w:t>
      </w:r>
      <w:proofErr w:type="spellStart"/>
      <w:r w:rsidRPr="00490298">
        <w:rPr>
          <w:sz w:val="16"/>
          <w:szCs w:val="16"/>
        </w:rPr>
        <w:t>Liebesman</w:t>
      </w:r>
      <w:proofErr w:type="spellEnd"/>
      <w:r w:rsidRPr="00490298">
        <w:rPr>
          <w:sz w:val="16"/>
          <w:szCs w:val="16"/>
        </w:rPr>
        <w:t xml:space="preserve"> YJ, ‘Using Innovative Technologies to </w:t>
      </w:r>
      <w:proofErr w:type="spellStart"/>
      <w:r w:rsidRPr="00490298">
        <w:rPr>
          <w:sz w:val="16"/>
          <w:szCs w:val="16"/>
        </w:rPr>
        <w:t>Analyze</w:t>
      </w:r>
      <w:proofErr w:type="spellEnd"/>
      <w:r w:rsidRPr="00490298">
        <w:rPr>
          <w:sz w:val="16"/>
          <w:szCs w:val="16"/>
        </w:rPr>
        <w:t xml:space="preserve"> for Similarity between Musical Works in Copyright Infringement Disputes’ (2007) 35 </w:t>
      </w:r>
      <w:r w:rsidRPr="00490298">
        <w:rPr>
          <w:i/>
          <w:sz w:val="16"/>
          <w:szCs w:val="16"/>
        </w:rPr>
        <w:t>AIPLA Q.J.</w:t>
      </w:r>
      <w:r w:rsidRPr="00490298">
        <w:rPr>
          <w:sz w:val="16"/>
          <w:szCs w:val="16"/>
        </w:rPr>
        <w:t xml:space="preserve"> 332.</w:t>
      </w:r>
    </w:p>
  </w:footnote>
  <w:footnote w:id="24">
    <w:p w14:paraId="0E1E5FAA"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gramStart"/>
      <w:r w:rsidRPr="00490298">
        <w:rPr>
          <w:i/>
          <w:sz w:val="16"/>
          <w:szCs w:val="16"/>
        </w:rPr>
        <w:t>Hawkes and Sons (London) Ltd v. Paramount Film Service Ltd</w:t>
      </w:r>
      <w:r w:rsidRPr="00490298">
        <w:rPr>
          <w:sz w:val="16"/>
          <w:szCs w:val="16"/>
        </w:rPr>
        <w:t xml:space="preserve"> [1934] </w:t>
      </w:r>
      <w:proofErr w:type="spellStart"/>
      <w:r w:rsidRPr="00490298">
        <w:rPr>
          <w:sz w:val="16"/>
          <w:szCs w:val="16"/>
        </w:rPr>
        <w:t>Ch</w:t>
      </w:r>
      <w:proofErr w:type="spellEnd"/>
      <w:r w:rsidRPr="00490298">
        <w:rPr>
          <w:sz w:val="16"/>
          <w:szCs w:val="16"/>
        </w:rPr>
        <w:t xml:space="preserve"> 593.</w:t>
      </w:r>
      <w:proofErr w:type="gramEnd"/>
    </w:p>
  </w:footnote>
  <w:footnote w:id="25">
    <w:p w14:paraId="3E48A538"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Copyright can subsist is very small work. In </w:t>
      </w:r>
      <w:r w:rsidRPr="00490298">
        <w:rPr>
          <w:i/>
          <w:sz w:val="16"/>
          <w:szCs w:val="16"/>
        </w:rPr>
        <w:t>Lawton v. Lord David Dundas</w:t>
      </w:r>
      <w:r w:rsidRPr="00490298">
        <w:rPr>
          <w:sz w:val="16"/>
          <w:szCs w:val="16"/>
        </w:rPr>
        <w:t xml:space="preserve">, the court recognised the subsistence of copyright protection in four notes constituting the jingle for Channel Four. </w:t>
      </w:r>
      <w:r w:rsidRPr="00490298">
        <w:rPr>
          <w:i/>
          <w:iCs/>
          <w:sz w:val="16"/>
          <w:szCs w:val="16"/>
        </w:rPr>
        <w:t xml:space="preserve">The Times, </w:t>
      </w:r>
      <w:r w:rsidRPr="00490298">
        <w:rPr>
          <w:sz w:val="16"/>
          <w:szCs w:val="16"/>
        </w:rPr>
        <w:t>June 13, 1985.</w:t>
      </w:r>
    </w:p>
  </w:footnote>
  <w:footnote w:id="26">
    <w:p w14:paraId="5D4E3E4C" w14:textId="77777777" w:rsidR="00680FB4" w:rsidRPr="00490298" w:rsidRDefault="00680FB4" w:rsidP="00490298">
      <w:pPr>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gramStart"/>
      <w:r w:rsidRPr="00490298">
        <w:rPr>
          <w:sz w:val="16"/>
          <w:szCs w:val="16"/>
          <w:shd w:val="clear" w:color="auto" w:fill="FFFFFF"/>
        </w:rPr>
        <w:t>[2001] EMLR 155; [2001] FSR 271.</w:t>
      </w:r>
      <w:proofErr w:type="gramEnd"/>
    </w:p>
  </w:footnote>
  <w:footnote w:id="27">
    <w:p w14:paraId="10951807" w14:textId="77777777" w:rsidR="00B4012C" w:rsidRPr="00490298" w:rsidRDefault="00B4012C" w:rsidP="00B4012C">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gramStart"/>
      <w:r w:rsidRPr="00490298">
        <w:rPr>
          <w:i/>
          <w:sz w:val="16"/>
          <w:szCs w:val="16"/>
        </w:rPr>
        <w:t>Hawkes and Sons (London) Ltd v. Paramount Film Service Ltd</w:t>
      </w:r>
      <w:r w:rsidRPr="00490298">
        <w:rPr>
          <w:sz w:val="16"/>
          <w:szCs w:val="16"/>
        </w:rPr>
        <w:t xml:space="preserve"> [1934] </w:t>
      </w:r>
      <w:proofErr w:type="spellStart"/>
      <w:r w:rsidRPr="00490298">
        <w:rPr>
          <w:sz w:val="16"/>
          <w:szCs w:val="16"/>
        </w:rPr>
        <w:t>Ch</w:t>
      </w:r>
      <w:proofErr w:type="spellEnd"/>
      <w:r w:rsidRPr="00490298">
        <w:rPr>
          <w:sz w:val="16"/>
          <w:szCs w:val="16"/>
        </w:rPr>
        <w:t xml:space="preserve"> 593.</w:t>
      </w:r>
      <w:proofErr w:type="gramEnd"/>
    </w:p>
  </w:footnote>
  <w:footnote w:id="28">
    <w:p w14:paraId="42C78A87" w14:textId="77777777" w:rsidR="00B4012C" w:rsidRPr="00490298" w:rsidRDefault="00B4012C" w:rsidP="00B4012C">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r w:rsidRPr="00490298">
        <w:rPr>
          <w:bCs/>
          <w:i/>
          <w:iCs/>
          <w:sz w:val="16"/>
          <w:szCs w:val="16"/>
        </w:rPr>
        <w:t>Produce Records Limited v. BMG Entertainment International UK and Ireland Limited</w:t>
      </w:r>
      <w:r w:rsidRPr="00490298">
        <w:rPr>
          <w:sz w:val="16"/>
          <w:szCs w:val="16"/>
        </w:rPr>
        <w:t xml:space="preserve"> (1999).</w:t>
      </w:r>
    </w:p>
  </w:footnote>
  <w:footnote w:id="29">
    <w:p w14:paraId="7C1A298B" w14:textId="77777777" w:rsidR="00B4012C" w:rsidRPr="00490298" w:rsidRDefault="00B4012C" w:rsidP="00B4012C">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Based upon a simple comparison, Parker J. was satisfied that BMG did have a case to answer, but the parties settled before the full trial.</w:t>
      </w:r>
    </w:p>
  </w:footnote>
  <w:footnote w:id="30">
    <w:p w14:paraId="03F7327C"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In the UK the major labels include </w:t>
      </w:r>
      <w:r w:rsidRPr="00490298">
        <w:rPr>
          <w:i/>
          <w:sz w:val="16"/>
          <w:szCs w:val="16"/>
        </w:rPr>
        <w:t>EMI Group</w:t>
      </w:r>
      <w:r w:rsidRPr="00490298">
        <w:rPr>
          <w:sz w:val="16"/>
          <w:szCs w:val="16"/>
        </w:rPr>
        <w:t xml:space="preserve">, </w:t>
      </w:r>
      <w:r w:rsidRPr="00490298">
        <w:rPr>
          <w:i/>
          <w:sz w:val="16"/>
          <w:szCs w:val="16"/>
        </w:rPr>
        <w:t>Sony Music Entertainment</w:t>
      </w:r>
      <w:r w:rsidRPr="00490298">
        <w:rPr>
          <w:sz w:val="16"/>
          <w:szCs w:val="16"/>
        </w:rPr>
        <w:t xml:space="preserve">, </w:t>
      </w:r>
      <w:r w:rsidRPr="00490298">
        <w:rPr>
          <w:i/>
          <w:sz w:val="16"/>
          <w:szCs w:val="16"/>
        </w:rPr>
        <w:t>Warner Music Group</w:t>
      </w:r>
      <w:r w:rsidRPr="00490298">
        <w:rPr>
          <w:sz w:val="16"/>
          <w:szCs w:val="16"/>
        </w:rPr>
        <w:t xml:space="preserve"> and </w:t>
      </w:r>
      <w:r w:rsidRPr="00490298">
        <w:rPr>
          <w:i/>
          <w:sz w:val="16"/>
          <w:szCs w:val="16"/>
        </w:rPr>
        <w:t>Universal Music Group</w:t>
      </w:r>
      <w:r w:rsidRPr="00490298">
        <w:rPr>
          <w:sz w:val="16"/>
          <w:szCs w:val="16"/>
        </w:rPr>
        <w:t>.</w:t>
      </w:r>
    </w:p>
  </w:footnote>
  <w:footnote w:id="31">
    <w:p w14:paraId="73FF5EC1"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L. Abramson &amp; S. Bate, ‘To sample or not to sample?’ (1997) 8(6) </w:t>
      </w:r>
      <w:proofErr w:type="gramStart"/>
      <w:r w:rsidRPr="00490298">
        <w:rPr>
          <w:i/>
          <w:sz w:val="16"/>
          <w:szCs w:val="16"/>
        </w:rPr>
        <w:t>Ent</w:t>
      </w:r>
      <w:proofErr w:type="gramEnd"/>
      <w:r w:rsidRPr="00490298">
        <w:rPr>
          <w:i/>
          <w:sz w:val="16"/>
          <w:szCs w:val="16"/>
        </w:rPr>
        <w:t>. L. R.</w:t>
      </w:r>
      <w:r w:rsidRPr="00490298">
        <w:rPr>
          <w:sz w:val="16"/>
          <w:szCs w:val="16"/>
        </w:rPr>
        <w:t>, 194.</w:t>
      </w:r>
    </w:p>
  </w:footnote>
  <w:footnote w:id="32">
    <w:p w14:paraId="7C0E2C70" w14:textId="77777777" w:rsidR="00680FB4" w:rsidRPr="00490298" w:rsidRDefault="00680FB4" w:rsidP="00490298">
      <w:pPr>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This legend probably derived from the US case </w:t>
      </w:r>
      <w:r w:rsidRPr="00490298">
        <w:rPr>
          <w:bCs/>
          <w:i/>
          <w:color w:val="000000"/>
          <w:sz w:val="16"/>
          <w:szCs w:val="16"/>
        </w:rPr>
        <w:t>Newton v. Diamond</w:t>
      </w:r>
      <w:r w:rsidRPr="00490298">
        <w:rPr>
          <w:bCs/>
          <w:color w:val="000000"/>
          <w:sz w:val="16"/>
          <w:szCs w:val="16"/>
        </w:rPr>
        <w:t xml:space="preserve">, where judges held that the copying of three notes (C-F flat-C) by the Beastie Boys did not amount to substantial reproduction. </w:t>
      </w:r>
      <w:proofErr w:type="gramStart"/>
      <w:r w:rsidRPr="00490298">
        <w:rPr>
          <w:bCs/>
          <w:color w:val="000000"/>
          <w:sz w:val="16"/>
          <w:szCs w:val="16"/>
        </w:rPr>
        <w:t>349 F.3d 591 (9th Cir. 2003).</w:t>
      </w:r>
      <w:proofErr w:type="gramEnd"/>
    </w:p>
  </w:footnote>
  <w:footnote w:id="33">
    <w:p w14:paraId="3D586A0E" w14:textId="31374B44"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spellStart"/>
      <w:r w:rsidRPr="00490298">
        <w:rPr>
          <w:bCs/>
          <w:i/>
          <w:sz w:val="16"/>
          <w:szCs w:val="16"/>
          <w:shd w:val="clear" w:color="auto" w:fill="FFFFFF"/>
        </w:rPr>
        <w:t>Infopaq</w:t>
      </w:r>
      <w:proofErr w:type="spellEnd"/>
      <w:r w:rsidRPr="00490298">
        <w:rPr>
          <w:bCs/>
          <w:i/>
          <w:sz w:val="16"/>
          <w:szCs w:val="16"/>
          <w:shd w:val="clear" w:color="auto" w:fill="FFFFFF"/>
        </w:rPr>
        <w:t xml:space="preserve"> International A/S v Danske </w:t>
      </w:r>
      <w:proofErr w:type="spellStart"/>
      <w:r w:rsidRPr="00490298">
        <w:rPr>
          <w:bCs/>
          <w:i/>
          <w:sz w:val="16"/>
          <w:szCs w:val="16"/>
          <w:shd w:val="clear" w:color="auto" w:fill="FFFFFF"/>
        </w:rPr>
        <w:t>Dagblades</w:t>
      </w:r>
      <w:proofErr w:type="spellEnd"/>
      <w:r w:rsidRPr="00490298">
        <w:rPr>
          <w:bCs/>
          <w:i/>
          <w:sz w:val="16"/>
          <w:szCs w:val="16"/>
          <w:shd w:val="clear" w:color="auto" w:fill="FFFFFF"/>
        </w:rPr>
        <w:t xml:space="preserve"> </w:t>
      </w:r>
      <w:proofErr w:type="spellStart"/>
      <w:r w:rsidRPr="00490298">
        <w:rPr>
          <w:bCs/>
          <w:i/>
          <w:sz w:val="16"/>
          <w:szCs w:val="16"/>
          <w:shd w:val="clear" w:color="auto" w:fill="FFFFFF"/>
        </w:rPr>
        <w:t>Forening</w:t>
      </w:r>
      <w:proofErr w:type="spellEnd"/>
      <w:r w:rsidR="007A7DEC" w:rsidRPr="00490298">
        <w:rPr>
          <w:sz w:val="16"/>
          <w:szCs w:val="16"/>
        </w:rPr>
        <w:t>, C-5/08,</w:t>
      </w:r>
      <w:r w:rsidRPr="00490298">
        <w:rPr>
          <w:sz w:val="16"/>
          <w:szCs w:val="16"/>
        </w:rPr>
        <w:t xml:space="preserve"> </w:t>
      </w:r>
      <w:r w:rsidRPr="00490298">
        <w:rPr>
          <w:bCs/>
          <w:sz w:val="16"/>
          <w:szCs w:val="16"/>
          <w:shd w:val="clear" w:color="auto" w:fill="FFFFFF"/>
        </w:rPr>
        <w:t>ECLI</w:t>
      </w:r>
      <w:proofErr w:type="gramStart"/>
      <w:r w:rsidRPr="00490298">
        <w:rPr>
          <w:bCs/>
          <w:sz w:val="16"/>
          <w:szCs w:val="16"/>
          <w:shd w:val="clear" w:color="auto" w:fill="FFFFFF"/>
        </w:rPr>
        <w:t>:EU:C:2009:465</w:t>
      </w:r>
      <w:proofErr w:type="gramEnd"/>
      <w:r w:rsidRPr="00490298">
        <w:rPr>
          <w:sz w:val="16"/>
          <w:szCs w:val="16"/>
        </w:rPr>
        <w:t xml:space="preserve">. Applied by UK courts in </w:t>
      </w:r>
      <w:r w:rsidRPr="00490298">
        <w:rPr>
          <w:i/>
          <w:sz w:val="16"/>
          <w:szCs w:val="16"/>
        </w:rPr>
        <w:t>Meltwater</w:t>
      </w:r>
      <w:r w:rsidRPr="00490298">
        <w:rPr>
          <w:sz w:val="16"/>
          <w:szCs w:val="16"/>
        </w:rPr>
        <w:t>: Trial: [2010] EWHC 3099 (</w:t>
      </w:r>
      <w:proofErr w:type="spellStart"/>
      <w:r w:rsidRPr="00490298">
        <w:rPr>
          <w:sz w:val="16"/>
          <w:szCs w:val="16"/>
        </w:rPr>
        <w:t>Ch</w:t>
      </w:r>
      <w:proofErr w:type="spellEnd"/>
      <w:r w:rsidRPr="00490298">
        <w:rPr>
          <w:sz w:val="16"/>
          <w:szCs w:val="16"/>
        </w:rPr>
        <w:t xml:space="preserve">); Appeal: [2011] EWCA </w:t>
      </w:r>
      <w:proofErr w:type="spellStart"/>
      <w:r w:rsidRPr="00490298">
        <w:rPr>
          <w:sz w:val="16"/>
          <w:szCs w:val="16"/>
        </w:rPr>
        <w:t>Civ</w:t>
      </w:r>
      <w:proofErr w:type="spellEnd"/>
      <w:r w:rsidRPr="00490298">
        <w:rPr>
          <w:sz w:val="16"/>
          <w:szCs w:val="16"/>
        </w:rPr>
        <w:t xml:space="preserve"> 890.</w:t>
      </w:r>
    </w:p>
  </w:footnote>
  <w:footnote w:id="34">
    <w:p w14:paraId="03E97EF8" w14:textId="5D23E7E1" w:rsidR="00680FB4" w:rsidRPr="00490298" w:rsidRDefault="00680FB4" w:rsidP="00490298">
      <w:pPr>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spellStart"/>
      <w:r w:rsidRPr="00490298">
        <w:rPr>
          <w:bCs/>
          <w:i/>
          <w:sz w:val="16"/>
          <w:szCs w:val="16"/>
          <w:shd w:val="clear" w:color="auto" w:fill="FFFFFF"/>
        </w:rPr>
        <w:t>Infopaq</w:t>
      </w:r>
      <w:proofErr w:type="spellEnd"/>
      <w:r w:rsidRPr="00490298">
        <w:rPr>
          <w:bCs/>
          <w:i/>
          <w:sz w:val="16"/>
          <w:szCs w:val="16"/>
          <w:shd w:val="clear" w:color="auto" w:fill="FFFFFF"/>
        </w:rPr>
        <w:t xml:space="preserve"> International A/S v Danske </w:t>
      </w:r>
      <w:proofErr w:type="spellStart"/>
      <w:r w:rsidRPr="00490298">
        <w:rPr>
          <w:bCs/>
          <w:i/>
          <w:sz w:val="16"/>
          <w:szCs w:val="16"/>
          <w:shd w:val="clear" w:color="auto" w:fill="FFFFFF"/>
        </w:rPr>
        <w:t>Dagblades</w:t>
      </w:r>
      <w:proofErr w:type="spellEnd"/>
      <w:r w:rsidRPr="00490298">
        <w:rPr>
          <w:bCs/>
          <w:i/>
          <w:sz w:val="16"/>
          <w:szCs w:val="16"/>
          <w:shd w:val="clear" w:color="auto" w:fill="FFFFFF"/>
        </w:rPr>
        <w:t xml:space="preserve"> </w:t>
      </w:r>
      <w:proofErr w:type="spellStart"/>
      <w:r w:rsidRPr="00490298">
        <w:rPr>
          <w:bCs/>
          <w:i/>
          <w:sz w:val="16"/>
          <w:szCs w:val="16"/>
          <w:shd w:val="clear" w:color="auto" w:fill="FFFFFF"/>
        </w:rPr>
        <w:t>Forening</w:t>
      </w:r>
      <w:proofErr w:type="spellEnd"/>
      <w:r w:rsidR="007A7DEC" w:rsidRPr="00490298">
        <w:rPr>
          <w:sz w:val="16"/>
          <w:szCs w:val="16"/>
        </w:rPr>
        <w:t>, C-5/08,</w:t>
      </w:r>
      <w:r w:rsidRPr="00490298">
        <w:rPr>
          <w:sz w:val="16"/>
          <w:szCs w:val="16"/>
        </w:rPr>
        <w:t xml:space="preserve"> </w:t>
      </w:r>
      <w:r w:rsidRPr="00490298">
        <w:rPr>
          <w:bCs/>
          <w:sz w:val="16"/>
          <w:szCs w:val="16"/>
          <w:shd w:val="clear" w:color="auto" w:fill="FFFFFF"/>
        </w:rPr>
        <w:t>ECLI</w:t>
      </w:r>
      <w:proofErr w:type="gramStart"/>
      <w:r w:rsidRPr="00490298">
        <w:rPr>
          <w:bCs/>
          <w:sz w:val="16"/>
          <w:szCs w:val="16"/>
          <w:shd w:val="clear" w:color="auto" w:fill="FFFFFF"/>
        </w:rPr>
        <w:t>:EU:C:2009:465</w:t>
      </w:r>
      <w:proofErr w:type="gramEnd"/>
      <w:r w:rsidRPr="00490298">
        <w:rPr>
          <w:b/>
          <w:bCs/>
          <w:sz w:val="16"/>
          <w:szCs w:val="16"/>
          <w:shd w:val="clear" w:color="auto" w:fill="FFFFFF"/>
        </w:rPr>
        <w:t xml:space="preserve"> </w:t>
      </w:r>
      <w:r w:rsidRPr="00490298">
        <w:rPr>
          <w:sz w:val="16"/>
          <w:szCs w:val="16"/>
        </w:rPr>
        <w:t>at [37]</w:t>
      </w:r>
      <w:r w:rsidR="007A7DEC" w:rsidRPr="00490298">
        <w:rPr>
          <w:sz w:val="16"/>
          <w:szCs w:val="16"/>
        </w:rPr>
        <w:t>. Repeated in</w:t>
      </w:r>
      <w:r w:rsidR="00FF4312" w:rsidRPr="00490298">
        <w:rPr>
          <w:sz w:val="16"/>
          <w:szCs w:val="16"/>
        </w:rPr>
        <w:t xml:space="preserve"> amongst others,</w:t>
      </w:r>
      <w:r w:rsidR="007A7DEC" w:rsidRPr="00490298">
        <w:rPr>
          <w:rFonts w:cs="HelveticaNeueLTStd-It"/>
          <w:i/>
          <w:iCs/>
          <w:sz w:val="16"/>
          <w:szCs w:val="16"/>
        </w:rPr>
        <w:t xml:space="preserve"> </w:t>
      </w:r>
      <w:r w:rsidR="007D6A67" w:rsidRPr="00490298">
        <w:rPr>
          <w:rFonts w:cs="HelveticaNeueLTStd-It"/>
          <w:i/>
          <w:iCs/>
          <w:sz w:val="16"/>
          <w:szCs w:val="16"/>
        </w:rPr>
        <w:t xml:space="preserve">Eva-Maria </w:t>
      </w:r>
      <w:proofErr w:type="spellStart"/>
      <w:r w:rsidR="007D6A67" w:rsidRPr="00490298">
        <w:rPr>
          <w:rFonts w:cs="HelveticaNeueLTStd-It"/>
          <w:i/>
          <w:iCs/>
          <w:sz w:val="16"/>
          <w:szCs w:val="16"/>
        </w:rPr>
        <w:t>Painer</w:t>
      </w:r>
      <w:proofErr w:type="spellEnd"/>
      <w:r w:rsidR="007D6A67" w:rsidRPr="00490298">
        <w:rPr>
          <w:rFonts w:cs="HelveticaNeueLTStd-It"/>
          <w:i/>
          <w:iCs/>
          <w:sz w:val="16"/>
          <w:szCs w:val="16"/>
        </w:rPr>
        <w:t xml:space="preserve"> v</w:t>
      </w:r>
      <w:r w:rsidR="007A7DEC" w:rsidRPr="00490298">
        <w:rPr>
          <w:rFonts w:cs="HelveticaNeueLTStd-It"/>
          <w:i/>
          <w:iCs/>
          <w:sz w:val="16"/>
          <w:szCs w:val="16"/>
        </w:rPr>
        <w:t xml:space="preserve"> Standard </w:t>
      </w:r>
      <w:proofErr w:type="spellStart"/>
      <w:r w:rsidR="007A7DEC" w:rsidRPr="00490298">
        <w:rPr>
          <w:rFonts w:cs="HelveticaNeueLTStd-It"/>
          <w:i/>
          <w:iCs/>
          <w:sz w:val="16"/>
          <w:szCs w:val="16"/>
        </w:rPr>
        <w:t>Verlags</w:t>
      </w:r>
      <w:proofErr w:type="spellEnd"/>
      <w:r w:rsidR="007A7DEC" w:rsidRPr="00490298">
        <w:rPr>
          <w:rFonts w:cs="HelveticaNeueLTStd-It"/>
          <w:i/>
          <w:iCs/>
          <w:sz w:val="16"/>
          <w:szCs w:val="16"/>
        </w:rPr>
        <w:t xml:space="preserve"> GmbH and others, </w:t>
      </w:r>
      <w:r w:rsidR="007A7DEC" w:rsidRPr="00490298">
        <w:rPr>
          <w:sz w:val="16"/>
          <w:szCs w:val="16"/>
        </w:rPr>
        <w:t xml:space="preserve">C-145/10, </w:t>
      </w:r>
      <w:r w:rsidR="007A7DEC" w:rsidRPr="00490298">
        <w:rPr>
          <w:bCs/>
          <w:sz w:val="16"/>
          <w:szCs w:val="16"/>
          <w:shd w:val="clear" w:color="auto" w:fill="FFFFFF"/>
        </w:rPr>
        <w:t>ECLI:EU:C:2011:798 at [99</w:t>
      </w:r>
      <w:r w:rsidR="007A7DEC" w:rsidRPr="00490298">
        <w:rPr>
          <w:bCs/>
          <w:color w:val="000000" w:themeColor="text1"/>
          <w:sz w:val="16"/>
          <w:szCs w:val="16"/>
          <w:shd w:val="clear" w:color="auto" w:fill="FFFFFF"/>
        </w:rPr>
        <w:t>];</w:t>
      </w:r>
      <w:r w:rsidR="007D6A67" w:rsidRPr="00490298">
        <w:rPr>
          <w:bCs/>
          <w:color w:val="000000" w:themeColor="text1"/>
          <w:sz w:val="16"/>
          <w:szCs w:val="16"/>
          <w:shd w:val="clear" w:color="auto" w:fill="FFFFFF"/>
        </w:rPr>
        <w:t xml:space="preserve"> </w:t>
      </w:r>
      <w:proofErr w:type="spellStart"/>
      <w:r w:rsidR="007D6A67" w:rsidRPr="00490298">
        <w:rPr>
          <w:bCs/>
          <w:i/>
          <w:color w:val="000000" w:themeColor="text1"/>
          <w:sz w:val="16"/>
          <w:szCs w:val="16"/>
          <w:shd w:val="clear" w:color="auto" w:fill="FFFFFF"/>
        </w:rPr>
        <w:t>Infopaq</w:t>
      </w:r>
      <w:proofErr w:type="spellEnd"/>
      <w:r w:rsidR="007D6A67" w:rsidRPr="00490298">
        <w:rPr>
          <w:bCs/>
          <w:i/>
          <w:color w:val="000000" w:themeColor="text1"/>
          <w:sz w:val="16"/>
          <w:szCs w:val="16"/>
          <w:shd w:val="clear" w:color="auto" w:fill="FFFFFF"/>
        </w:rPr>
        <w:t xml:space="preserve"> International A/S v Danske </w:t>
      </w:r>
      <w:proofErr w:type="spellStart"/>
      <w:r w:rsidR="007D6A67" w:rsidRPr="00490298">
        <w:rPr>
          <w:bCs/>
          <w:i/>
          <w:color w:val="000000" w:themeColor="text1"/>
          <w:sz w:val="16"/>
          <w:szCs w:val="16"/>
          <w:shd w:val="clear" w:color="auto" w:fill="FFFFFF"/>
        </w:rPr>
        <w:t>Dagblades</w:t>
      </w:r>
      <w:proofErr w:type="spellEnd"/>
      <w:r w:rsidR="007D6A67" w:rsidRPr="00490298">
        <w:rPr>
          <w:bCs/>
          <w:i/>
          <w:color w:val="000000" w:themeColor="text1"/>
          <w:sz w:val="16"/>
          <w:szCs w:val="16"/>
          <w:shd w:val="clear" w:color="auto" w:fill="FFFFFF"/>
        </w:rPr>
        <w:t xml:space="preserve"> </w:t>
      </w:r>
      <w:proofErr w:type="spellStart"/>
      <w:r w:rsidR="007D6A67" w:rsidRPr="00490298">
        <w:rPr>
          <w:bCs/>
          <w:i/>
          <w:color w:val="000000" w:themeColor="text1"/>
          <w:sz w:val="16"/>
          <w:szCs w:val="16"/>
          <w:shd w:val="clear" w:color="auto" w:fill="FFFFFF"/>
        </w:rPr>
        <w:t>Forening</w:t>
      </w:r>
      <w:proofErr w:type="spellEnd"/>
      <w:r w:rsidR="007D6A67" w:rsidRPr="00490298">
        <w:rPr>
          <w:bCs/>
          <w:i/>
          <w:color w:val="000000" w:themeColor="text1"/>
          <w:sz w:val="16"/>
          <w:szCs w:val="16"/>
          <w:shd w:val="clear" w:color="auto" w:fill="FFFFFF"/>
        </w:rPr>
        <w:t xml:space="preserve"> (‘</w:t>
      </w:r>
      <w:proofErr w:type="spellStart"/>
      <w:r w:rsidR="007D6A67" w:rsidRPr="00490298">
        <w:rPr>
          <w:bCs/>
          <w:i/>
          <w:color w:val="000000" w:themeColor="text1"/>
          <w:sz w:val="16"/>
          <w:szCs w:val="16"/>
          <w:shd w:val="clear" w:color="auto" w:fill="FFFFFF"/>
        </w:rPr>
        <w:t>Infopaq</w:t>
      </w:r>
      <w:proofErr w:type="spellEnd"/>
      <w:r w:rsidR="007D6A67" w:rsidRPr="00490298">
        <w:rPr>
          <w:bCs/>
          <w:i/>
          <w:color w:val="000000" w:themeColor="text1"/>
          <w:sz w:val="16"/>
          <w:szCs w:val="16"/>
          <w:shd w:val="clear" w:color="auto" w:fill="FFFFFF"/>
        </w:rPr>
        <w:t xml:space="preserve"> II’)</w:t>
      </w:r>
      <w:r w:rsidR="007D6A67" w:rsidRPr="00490298">
        <w:rPr>
          <w:bCs/>
          <w:color w:val="000000" w:themeColor="text1"/>
          <w:sz w:val="16"/>
          <w:szCs w:val="16"/>
          <w:shd w:val="clear" w:color="auto" w:fill="FFFFFF"/>
        </w:rPr>
        <w:t>, C-302/10, ECLI:EU:C:2012:16 at [22];</w:t>
      </w:r>
      <w:r w:rsidR="00E93F71" w:rsidRPr="00490298">
        <w:rPr>
          <w:color w:val="000000" w:themeColor="text1"/>
          <w:sz w:val="16"/>
          <w:szCs w:val="16"/>
        </w:rPr>
        <w:t xml:space="preserve"> </w:t>
      </w:r>
      <w:r w:rsidR="007A7DEC" w:rsidRPr="00490298">
        <w:rPr>
          <w:bCs/>
          <w:i/>
          <w:color w:val="000000" w:themeColor="text1"/>
          <w:sz w:val="16"/>
          <w:szCs w:val="16"/>
          <w:shd w:val="clear" w:color="auto" w:fill="FFFFFF"/>
        </w:rPr>
        <w:t xml:space="preserve">Football Association Premier League Ltd and Others v QC Leisure and Others, </w:t>
      </w:r>
      <w:r w:rsidR="007A7DEC" w:rsidRPr="00490298">
        <w:rPr>
          <w:rFonts w:eastAsia="SimSun"/>
          <w:bCs/>
          <w:color w:val="000000" w:themeColor="text1"/>
          <w:sz w:val="16"/>
          <w:szCs w:val="16"/>
          <w:shd w:val="clear" w:color="auto" w:fill="FFFFFF"/>
        </w:rPr>
        <w:t>C-403/08</w:t>
      </w:r>
      <w:r w:rsidR="007A7DEC" w:rsidRPr="00490298">
        <w:rPr>
          <w:bCs/>
          <w:color w:val="000000" w:themeColor="text1"/>
          <w:sz w:val="16"/>
          <w:szCs w:val="16"/>
          <w:shd w:val="clear" w:color="auto" w:fill="FFFFFF"/>
        </w:rPr>
        <w:t>,</w:t>
      </w:r>
      <w:r w:rsidR="007A7DEC" w:rsidRPr="00490298">
        <w:rPr>
          <w:rStyle w:val="apple-converted-space"/>
          <w:rFonts w:eastAsia="SimSun"/>
          <w:bCs/>
          <w:color w:val="000000" w:themeColor="text1"/>
          <w:sz w:val="16"/>
          <w:szCs w:val="16"/>
          <w:shd w:val="clear" w:color="auto" w:fill="FFFFFF"/>
        </w:rPr>
        <w:t> </w:t>
      </w:r>
      <w:r w:rsidR="007A7DEC" w:rsidRPr="00490298">
        <w:rPr>
          <w:bCs/>
          <w:i/>
          <w:color w:val="000000" w:themeColor="text1"/>
          <w:sz w:val="16"/>
          <w:szCs w:val="16"/>
          <w:shd w:val="clear" w:color="auto" w:fill="FFFFFF"/>
        </w:rPr>
        <w:t>and Karen Murphy v Media Protection Services Ltd</w:t>
      </w:r>
      <w:r w:rsidR="007A7DEC" w:rsidRPr="00490298">
        <w:rPr>
          <w:bCs/>
          <w:color w:val="000000" w:themeColor="text1"/>
          <w:sz w:val="16"/>
          <w:szCs w:val="16"/>
          <w:shd w:val="clear" w:color="auto" w:fill="FFFFFF"/>
        </w:rPr>
        <w:t>, C-429/08, ECLI:EU:C:2011:631 at [159]</w:t>
      </w:r>
      <w:r w:rsidRPr="00490298">
        <w:rPr>
          <w:color w:val="000000" w:themeColor="text1"/>
          <w:sz w:val="16"/>
          <w:szCs w:val="16"/>
        </w:rPr>
        <w:t xml:space="preserve">. </w:t>
      </w:r>
      <w:r w:rsidR="007A7DEC" w:rsidRPr="00490298">
        <w:rPr>
          <w:color w:val="000000" w:themeColor="text1"/>
          <w:sz w:val="16"/>
          <w:szCs w:val="16"/>
        </w:rPr>
        <w:t xml:space="preserve">For a recap on the current test for infringement see </w:t>
      </w:r>
      <w:r w:rsidRPr="00490298">
        <w:rPr>
          <w:sz w:val="16"/>
          <w:szCs w:val="16"/>
        </w:rPr>
        <w:t xml:space="preserve">D. Liu, ‘Test of infringement: what is it now?’ [2014] 36(9) </w:t>
      </w:r>
      <w:r w:rsidRPr="00490298">
        <w:rPr>
          <w:i/>
          <w:sz w:val="16"/>
          <w:szCs w:val="16"/>
        </w:rPr>
        <w:t>EIPR</w:t>
      </w:r>
      <w:r w:rsidRPr="00490298">
        <w:rPr>
          <w:sz w:val="16"/>
          <w:szCs w:val="16"/>
        </w:rPr>
        <w:t>, 588-594.</w:t>
      </w:r>
    </w:p>
  </w:footnote>
  <w:footnote w:id="35">
    <w:p w14:paraId="4E19138B"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This led </w:t>
      </w:r>
      <w:proofErr w:type="spellStart"/>
      <w:r w:rsidRPr="00490298">
        <w:rPr>
          <w:sz w:val="16"/>
          <w:szCs w:val="16"/>
        </w:rPr>
        <w:t>McDonagh</w:t>
      </w:r>
      <w:proofErr w:type="spellEnd"/>
      <w:r w:rsidRPr="00490298">
        <w:rPr>
          <w:sz w:val="16"/>
          <w:szCs w:val="16"/>
        </w:rPr>
        <w:t xml:space="preserve"> argue for more consideration of the music creation process within copyright law by acknowledging the importance of borrowing from previous works to create new ones. L. T. </w:t>
      </w:r>
      <w:proofErr w:type="spellStart"/>
      <w:r w:rsidRPr="00490298">
        <w:rPr>
          <w:sz w:val="16"/>
          <w:szCs w:val="16"/>
        </w:rPr>
        <w:t>McDonagh</w:t>
      </w:r>
      <w:proofErr w:type="spellEnd"/>
      <w:r w:rsidRPr="00490298">
        <w:rPr>
          <w:sz w:val="16"/>
          <w:szCs w:val="16"/>
        </w:rPr>
        <w:t xml:space="preserve">, ‘Is the creative use of musical works without a licence acceptable under copyright law?’ [2012] 43(4) </w:t>
      </w:r>
      <w:r w:rsidRPr="00490298">
        <w:rPr>
          <w:i/>
          <w:sz w:val="16"/>
          <w:szCs w:val="16"/>
        </w:rPr>
        <w:t xml:space="preserve">ICC </w:t>
      </w:r>
      <w:r w:rsidRPr="00490298">
        <w:rPr>
          <w:sz w:val="16"/>
          <w:szCs w:val="16"/>
        </w:rPr>
        <w:t>401-426.</w:t>
      </w:r>
    </w:p>
  </w:footnote>
  <w:footnote w:id="36">
    <w:p w14:paraId="79F845E1"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See </w:t>
      </w:r>
      <w:r w:rsidRPr="00490298">
        <w:rPr>
          <w:i/>
          <w:sz w:val="16"/>
          <w:szCs w:val="16"/>
        </w:rPr>
        <w:t xml:space="preserve">Whole </w:t>
      </w:r>
      <w:proofErr w:type="spellStart"/>
      <w:r w:rsidRPr="00490298">
        <w:rPr>
          <w:i/>
          <w:sz w:val="16"/>
          <w:szCs w:val="16"/>
        </w:rPr>
        <w:t>Lotta</w:t>
      </w:r>
      <w:proofErr w:type="spellEnd"/>
      <w:r w:rsidRPr="00490298">
        <w:rPr>
          <w:i/>
          <w:sz w:val="16"/>
          <w:szCs w:val="16"/>
        </w:rPr>
        <w:t xml:space="preserve"> Love</w:t>
      </w:r>
      <w:r w:rsidRPr="00490298">
        <w:rPr>
          <w:sz w:val="16"/>
          <w:szCs w:val="16"/>
        </w:rPr>
        <w:t xml:space="preserve"> case where Led Zeppelin sampled the Willie Dixon’s </w:t>
      </w:r>
      <w:r w:rsidRPr="00490298">
        <w:rPr>
          <w:i/>
          <w:sz w:val="16"/>
          <w:szCs w:val="16"/>
        </w:rPr>
        <w:t>You Need Love</w:t>
      </w:r>
      <w:r w:rsidRPr="00490298">
        <w:rPr>
          <w:sz w:val="16"/>
          <w:szCs w:val="16"/>
        </w:rPr>
        <w:t xml:space="preserve">. A deal was cut prior full trial. </w:t>
      </w:r>
      <w:proofErr w:type="gramStart"/>
      <w:r w:rsidRPr="00490298">
        <w:rPr>
          <w:bCs/>
          <w:i/>
          <w:sz w:val="16"/>
          <w:szCs w:val="16"/>
        </w:rPr>
        <w:t>Walmsley v Acid Jazz Records Ltd</w:t>
      </w:r>
      <w:r w:rsidRPr="00490298">
        <w:rPr>
          <w:bCs/>
          <w:sz w:val="16"/>
          <w:szCs w:val="16"/>
        </w:rPr>
        <w:t xml:space="preserve"> [2001] E.C.D.R. 4.</w:t>
      </w:r>
      <w:proofErr w:type="gramEnd"/>
    </w:p>
  </w:footnote>
  <w:footnote w:id="37">
    <w:p w14:paraId="449DAF15"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See for example the Verve saga which suffered the cost of a lawsuit as the UK Court awarded one hundred percent of the royalties generated by the exploitation of the Verve’s </w:t>
      </w:r>
      <w:r w:rsidRPr="00490298">
        <w:rPr>
          <w:i/>
          <w:sz w:val="16"/>
          <w:szCs w:val="16"/>
        </w:rPr>
        <w:t>Bittersweet Symphony</w:t>
      </w:r>
      <w:r w:rsidRPr="00490298">
        <w:rPr>
          <w:sz w:val="16"/>
          <w:szCs w:val="16"/>
        </w:rPr>
        <w:t xml:space="preserve"> to the plaintiff, copyright owner in the Rolling Stone’s </w:t>
      </w:r>
      <w:r w:rsidRPr="00490298">
        <w:rPr>
          <w:i/>
          <w:sz w:val="16"/>
          <w:szCs w:val="16"/>
        </w:rPr>
        <w:t>The Last Time</w:t>
      </w:r>
      <w:r w:rsidRPr="00490298">
        <w:rPr>
          <w:sz w:val="16"/>
          <w:szCs w:val="16"/>
        </w:rPr>
        <w:t xml:space="preserve"> sampled by the Verve. This saga led some scholars to argue for the establishment of a single right-holder for downstream users to license from. Loren LP, ‘Untangling the Web of Music Copyrights’ (2002) 53 </w:t>
      </w:r>
      <w:r w:rsidRPr="00490298">
        <w:rPr>
          <w:i/>
          <w:sz w:val="16"/>
          <w:szCs w:val="16"/>
        </w:rPr>
        <w:t>Case Western Reserve Law Review</w:t>
      </w:r>
      <w:r w:rsidRPr="00490298">
        <w:rPr>
          <w:sz w:val="16"/>
          <w:szCs w:val="16"/>
        </w:rPr>
        <w:t xml:space="preserve"> 673, 677.</w:t>
      </w:r>
    </w:p>
  </w:footnote>
  <w:footnote w:id="38">
    <w:p w14:paraId="31832B6D" w14:textId="03008474" w:rsidR="003D3B04" w:rsidRPr="00490298" w:rsidRDefault="003D3B0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r w:rsidRPr="00490298">
        <w:rPr>
          <w:rFonts w:cs="HelveticaNeueLTStd-It"/>
          <w:i/>
          <w:iCs/>
          <w:sz w:val="16"/>
          <w:szCs w:val="16"/>
        </w:rPr>
        <w:t xml:space="preserve">Eva-Maria </w:t>
      </w:r>
      <w:proofErr w:type="spellStart"/>
      <w:r w:rsidRPr="00490298">
        <w:rPr>
          <w:rFonts w:cs="HelveticaNeueLTStd-It"/>
          <w:i/>
          <w:iCs/>
          <w:sz w:val="16"/>
          <w:szCs w:val="16"/>
        </w:rPr>
        <w:t>Painer</w:t>
      </w:r>
      <w:proofErr w:type="spellEnd"/>
      <w:r w:rsidRPr="00490298">
        <w:rPr>
          <w:rFonts w:cs="HelveticaNeueLTStd-It"/>
          <w:i/>
          <w:iCs/>
          <w:sz w:val="16"/>
          <w:szCs w:val="16"/>
        </w:rPr>
        <w:t xml:space="preserve"> v. Standard </w:t>
      </w:r>
      <w:proofErr w:type="spellStart"/>
      <w:r w:rsidRPr="00490298">
        <w:rPr>
          <w:rFonts w:cs="HelveticaNeueLTStd-It"/>
          <w:i/>
          <w:iCs/>
          <w:sz w:val="16"/>
          <w:szCs w:val="16"/>
        </w:rPr>
        <w:t>Verlags</w:t>
      </w:r>
      <w:proofErr w:type="spellEnd"/>
      <w:r w:rsidRPr="00490298">
        <w:rPr>
          <w:rFonts w:cs="HelveticaNeueLTStd-It"/>
          <w:i/>
          <w:iCs/>
          <w:sz w:val="16"/>
          <w:szCs w:val="16"/>
        </w:rPr>
        <w:t xml:space="preserve"> GmbH and others, </w:t>
      </w:r>
      <w:r w:rsidRPr="00490298">
        <w:rPr>
          <w:sz w:val="16"/>
          <w:szCs w:val="16"/>
        </w:rPr>
        <w:t xml:space="preserve">C-145/10, </w:t>
      </w:r>
      <w:r w:rsidRPr="00490298">
        <w:rPr>
          <w:bCs/>
          <w:sz w:val="16"/>
          <w:szCs w:val="16"/>
          <w:shd w:val="clear" w:color="auto" w:fill="FFFFFF"/>
        </w:rPr>
        <w:t xml:space="preserve">ECLI:EU:C:2011:798, at [133]; </w:t>
      </w:r>
      <w:r w:rsidRPr="00490298">
        <w:rPr>
          <w:bCs/>
          <w:i/>
          <w:color w:val="000000" w:themeColor="text1"/>
          <w:sz w:val="16"/>
          <w:szCs w:val="16"/>
          <w:shd w:val="clear" w:color="auto" w:fill="FFFFFF"/>
        </w:rPr>
        <w:t xml:space="preserve">Football Association Premier League Ltd and Others v QC Leisure and Others, </w:t>
      </w:r>
      <w:r w:rsidRPr="00490298">
        <w:rPr>
          <w:rFonts w:eastAsia="SimSun"/>
          <w:bCs/>
          <w:color w:val="000000" w:themeColor="text1"/>
          <w:sz w:val="16"/>
          <w:szCs w:val="16"/>
          <w:shd w:val="clear" w:color="auto" w:fill="FFFFFF"/>
        </w:rPr>
        <w:t>C-403/08</w:t>
      </w:r>
      <w:r w:rsidRPr="00490298">
        <w:rPr>
          <w:bCs/>
          <w:color w:val="000000" w:themeColor="text1"/>
          <w:sz w:val="16"/>
          <w:szCs w:val="16"/>
          <w:shd w:val="clear" w:color="auto" w:fill="FFFFFF"/>
        </w:rPr>
        <w:t>,</w:t>
      </w:r>
      <w:r w:rsidRPr="00490298">
        <w:rPr>
          <w:rStyle w:val="apple-converted-space"/>
          <w:rFonts w:eastAsia="SimSun"/>
          <w:bCs/>
          <w:color w:val="000000" w:themeColor="text1"/>
          <w:sz w:val="16"/>
          <w:szCs w:val="16"/>
          <w:shd w:val="clear" w:color="auto" w:fill="FFFFFF"/>
        </w:rPr>
        <w:t> </w:t>
      </w:r>
      <w:r w:rsidRPr="00490298">
        <w:rPr>
          <w:bCs/>
          <w:i/>
          <w:color w:val="000000" w:themeColor="text1"/>
          <w:sz w:val="16"/>
          <w:szCs w:val="16"/>
          <w:shd w:val="clear" w:color="auto" w:fill="FFFFFF"/>
        </w:rPr>
        <w:t>and Karen Murphy v Media Protection Services Ltd</w:t>
      </w:r>
      <w:r w:rsidRPr="00490298">
        <w:rPr>
          <w:bCs/>
          <w:color w:val="000000" w:themeColor="text1"/>
          <w:sz w:val="16"/>
          <w:szCs w:val="16"/>
          <w:shd w:val="clear" w:color="auto" w:fill="FFFFFF"/>
        </w:rPr>
        <w:t xml:space="preserve">, C-429/08, ECLI:EU:C:2011:631 at [163]; </w:t>
      </w:r>
      <w:proofErr w:type="spellStart"/>
      <w:r w:rsidRPr="00490298">
        <w:rPr>
          <w:bCs/>
          <w:i/>
          <w:sz w:val="16"/>
          <w:szCs w:val="16"/>
          <w:shd w:val="clear" w:color="auto" w:fill="FFFFFF"/>
        </w:rPr>
        <w:t>Infopaq</w:t>
      </w:r>
      <w:proofErr w:type="spellEnd"/>
      <w:r w:rsidRPr="00490298">
        <w:rPr>
          <w:bCs/>
          <w:i/>
          <w:sz w:val="16"/>
          <w:szCs w:val="16"/>
          <w:shd w:val="clear" w:color="auto" w:fill="FFFFFF"/>
        </w:rPr>
        <w:t xml:space="preserve"> International A/S v Danske </w:t>
      </w:r>
      <w:proofErr w:type="spellStart"/>
      <w:r w:rsidRPr="00490298">
        <w:rPr>
          <w:bCs/>
          <w:i/>
          <w:sz w:val="16"/>
          <w:szCs w:val="16"/>
          <w:shd w:val="clear" w:color="auto" w:fill="FFFFFF"/>
        </w:rPr>
        <w:t>Dagblades</w:t>
      </w:r>
      <w:proofErr w:type="spellEnd"/>
      <w:r w:rsidRPr="00490298">
        <w:rPr>
          <w:bCs/>
          <w:i/>
          <w:sz w:val="16"/>
          <w:szCs w:val="16"/>
          <w:shd w:val="clear" w:color="auto" w:fill="FFFFFF"/>
        </w:rPr>
        <w:t xml:space="preserve"> </w:t>
      </w:r>
      <w:proofErr w:type="spellStart"/>
      <w:r w:rsidRPr="00490298">
        <w:rPr>
          <w:bCs/>
          <w:i/>
          <w:sz w:val="16"/>
          <w:szCs w:val="16"/>
          <w:shd w:val="clear" w:color="auto" w:fill="FFFFFF"/>
        </w:rPr>
        <w:t>Forening</w:t>
      </w:r>
      <w:proofErr w:type="spellEnd"/>
      <w:r w:rsidRPr="00490298">
        <w:rPr>
          <w:sz w:val="16"/>
          <w:szCs w:val="16"/>
        </w:rPr>
        <w:t xml:space="preserve">, C-5/08, </w:t>
      </w:r>
      <w:r w:rsidRPr="00490298">
        <w:rPr>
          <w:bCs/>
          <w:sz w:val="16"/>
          <w:szCs w:val="16"/>
          <w:shd w:val="clear" w:color="auto" w:fill="FFFFFF"/>
        </w:rPr>
        <w:t>ECLI:EU:C:2009:465 at [56-57].</w:t>
      </w:r>
    </w:p>
  </w:footnote>
  <w:footnote w:id="39">
    <w:p w14:paraId="1AC73B79" w14:textId="56930B35" w:rsidR="008925BE" w:rsidRPr="00490298" w:rsidRDefault="008925BE"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spellStart"/>
      <w:r w:rsidRPr="00490298">
        <w:rPr>
          <w:rStyle w:val="Emphasis"/>
          <w:iCs/>
          <w:color w:val="000000"/>
          <w:sz w:val="16"/>
          <w:szCs w:val="16"/>
          <w:shd w:val="clear" w:color="auto" w:fill="FFFFFF"/>
        </w:rPr>
        <w:t>Deckmyn</w:t>
      </w:r>
      <w:proofErr w:type="spellEnd"/>
      <w:r w:rsidRPr="00490298">
        <w:rPr>
          <w:rStyle w:val="Emphasis"/>
          <w:iCs/>
          <w:color w:val="000000"/>
          <w:sz w:val="16"/>
          <w:szCs w:val="16"/>
          <w:shd w:val="clear" w:color="auto" w:fill="FFFFFF"/>
        </w:rPr>
        <w:t xml:space="preserve"> and </w:t>
      </w:r>
      <w:proofErr w:type="spellStart"/>
      <w:r w:rsidRPr="00490298">
        <w:rPr>
          <w:rStyle w:val="Emphasis"/>
          <w:iCs/>
          <w:color w:val="000000"/>
          <w:sz w:val="16"/>
          <w:szCs w:val="16"/>
          <w:shd w:val="clear" w:color="auto" w:fill="FFFFFF"/>
        </w:rPr>
        <w:t>Vrijheidsfonds</w:t>
      </w:r>
      <w:proofErr w:type="spellEnd"/>
      <w:r w:rsidRPr="00490298">
        <w:rPr>
          <w:rStyle w:val="Emphasis"/>
          <w:iCs/>
          <w:color w:val="000000"/>
          <w:sz w:val="16"/>
          <w:szCs w:val="16"/>
          <w:shd w:val="clear" w:color="auto" w:fill="FFFFFF"/>
        </w:rPr>
        <w:t xml:space="preserve"> VZW v </w:t>
      </w:r>
      <w:proofErr w:type="spellStart"/>
      <w:r w:rsidRPr="00490298">
        <w:rPr>
          <w:rStyle w:val="Emphasis"/>
          <w:iCs/>
          <w:color w:val="000000"/>
          <w:sz w:val="16"/>
          <w:szCs w:val="16"/>
          <w:shd w:val="clear" w:color="auto" w:fill="FFFFFF"/>
        </w:rPr>
        <w:t>Vandersteen</w:t>
      </w:r>
      <w:proofErr w:type="spellEnd"/>
      <w:r w:rsidRPr="00490298">
        <w:rPr>
          <w:rStyle w:val="Emphasis"/>
          <w:iCs/>
          <w:color w:val="000000"/>
          <w:sz w:val="16"/>
          <w:szCs w:val="16"/>
          <w:shd w:val="clear" w:color="auto" w:fill="FFFFFF"/>
        </w:rPr>
        <w:t xml:space="preserve">, </w:t>
      </w:r>
      <w:r w:rsidRPr="00490298">
        <w:rPr>
          <w:rStyle w:val="Emphasis"/>
          <w:i w:val="0"/>
          <w:iCs/>
          <w:color w:val="000000"/>
          <w:sz w:val="16"/>
          <w:szCs w:val="16"/>
          <w:shd w:val="clear" w:color="auto" w:fill="FFFFFF"/>
        </w:rPr>
        <w:t>C-201/13, ECLI</w:t>
      </w:r>
      <w:proofErr w:type="gramStart"/>
      <w:r w:rsidRPr="00490298">
        <w:rPr>
          <w:rStyle w:val="Emphasis"/>
          <w:i w:val="0"/>
          <w:iCs/>
          <w:color w:val="000000"/>
          <w:sz w:val="16"/>
          <w:szCs w:val="16"/>
          <w:shd w:val="clear" w:color="auto" w:fill="FFFFFF"/>
        </w:rPr>
        <w:t>:EU:C:2014:2132</w:t>
      </w:r>
      <w:proofErr w:type="gramEnd"/>
      <w:r w:rsidRPr="00490298">
        <w:rPr>
          <w:rStyle w:val="Emphasis"/>
          <w:i w:val="0"/>
          <w:iCs/>
          <w:color w:val="000000"/>
          <w:sz w:val="16"/>
          <w:szCs w:val="16"/>
          <w:shd w:val="clear" w:color="auto" w:fill="FFFFFF"/>
        </w:rPr>
        <w:t>,</w:t>
      </w:r>
      <w:r w:rsidRPr="00490298">
        <w:rPr>
          <w:rStyle w:val="Emphasis"/>
          <w:iCs/>
          <w:color w:val="000000"/>
          <w:sz w:val="16"/>
          <w:szCs w:val="16"/>
          <w:shd w:val="clear" w:color="auto" w:fill="FFFFFF"/>
        </w:rPr>
        <w:t xml:space="preserve"> </w:t>
      </w:r>
      <w:r w:rsidRPr="00490298">
        <w:rPr>
          <w:rStyle w:val="Emphasis"/>
          <w:i w:val="0"/>
          <w:iCs/>
          <w:color w:val="000000"/>
          <w:sz w:val="16"/>
          <w:szCs w:val="16"/>
          <w:shd w:val="clear" w:color="auto" w:fill="FFFFFF"/>
        </w:rPr>
        <w:t>at [27]</w:t>
      </w:r>
      <w:r w:rsidRPr="00490298">
        <w:rPr>
          <w:rStyle w:val="Emphasis"/>
          <w:iCs/>
          <w:color w:val="000000"/>
          <w:sz w:val="16"/>
          <w:szCs w:val="16"/>
          <w:shd w:val="clear" w:color="auto" w:fill="FFFFFF"/>
        </w:rPr>
        <w:t xml:space="preserve">; </w:t>
      </w:r>
      <w:r w:rsidRPr="00490298">
        <w:rPr>
          <w:rFonts w:cs="HelveticaNeueLTStd-It"/>
          <w:i/>
          <w:iCs/>
          <w:sz w:val="16"/>
          <w:szCs w:val="16"/>
        </w:rPr>
        <w:t xml:space="preserve">Eva-Maria </w:t>
      </w:r>
      <w:proofErr w:type="spellStart"/>
      <w:r w:rsidRPr="00490298">
        <w:rPr>
          <w:rFonts w:cs="HelveticaNeueLTStd-It"/>
          <w:i/>
          <w:iCs/>
          <w:sz w:val="16"/>
          <w:szCs w:val="16"/>
        </w:rPr>
        <w:t>Painer</w:t>
      </w:r>
      <w:proofErr w:type="spellEnd"/>
      <w:r w:rsidRPr="00490298">
        <w:rPr>
          <w:rFonts w:cs="HelveticaNeueLTStd-It"/>
          <w:i/>
          <w:iCs/>
          <w:sz w:val="16"/>
          <w:szCs w:val="16"/>
        </w:rPr>
        <w:t xml:space="preserve"> v. Standard </w:t>
      </w:r>
      <w:proofErr w:type="spellStart"/>
      <w:r w:rsidRPr="00490298">
        <w:rPr>
          <w:rFonts w:cs="HelveticaNeueLTStd-It"/>
          <w:i/>
          <w:iCs/>
          <w:sz w:val="16"/>
          <w:szCs w:val="16"/>
        </w:rPr>
        <w:t>Verlags</w:t>
      </w:r>
      <w:proofErr w:type="spellEnd"/>
      <w:r w:rsidRPr="00490298">
        <w:rPr>
          <w:rFonts w:cs="HelveticaNeueLTStd-It"/>
          <w:i/>
          <w:iCs/>
          <w:sz w:val="16"/>
          <w:szCs w:val="16"/>
        </w:rPr>
        <w:t xml:space="preserve"> GmbH and others, </w:t>
      </w:r>
      <w:r w:rsidRPr="00490298">
        <w:rPr>
          <w:sz w:val="16"/>
          <w:szCs w:val="16"/>
        </w:rPr>
        <w:t xml:space="preserve">C-145/10, </w:t>
      </w:r>
      <w:r w:rsidRPr="00490298">
        <w:rPr>
          <w:bCs/>
          <w:sz w:val="16"/>
          <w:szCs w:val="16"/>
          <w:shd w:val="clear" w:color="auto" w:fill="FFFFFF"/>
        </w:rPr>
        <w:t>ECLI:EU:C:2011:798, at [134].</w:t>
      </w:r>
    </w:p>
  </w:footnote>
  <w:footnote w:id="40">
    <w:p w14:paraId="4DD23C8D" w14:textId="2FC35CD4" w:rsidR="00680FB4" w:rsidRPr="00490298" w:rsidRDefault="00680FB4" w:rsidP="00490298">
      <w:pPr>
        <w:shd w:val="clear" w:color="auto" w:fill="FFFFFF"/>
        <w:jc w:val="both"/>
        <w:rPr>
          <w:color w:val="000000" w:themeColor="text1"/>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Section 30 CDPA as modified by </w:t>
      </w:r>
      <w:r w:rsidRPr="00490298">
        <w:rPr>
          <w:bCs/>
          <w:sz w:val="16"/>
          <w:szCs w:val="16"/>
        </w:rPr>
        <w:t>the Copyright and Rights in Performances (Quotation and Parody) Regulations 2014, 2014 No. 2356, Regulation 3</w:t>
      </w:r>
      <w:r w:rsidR="00885DB9" w:rsidRPr="00490298">
        <w:rPr>
          <w:bCs/>
          <w:sz w:val="16"/>
          <w:szCs w:val="16"/>
        </w:rPr>
        <w:t xml:space="preserve"> inserting subsection 1ZA in the CDPA</w:t>
      </w:r>
      <w:r w:rsidRPr="00490298">
        <w:rPr>
          <w:bCs/>
          <w:sz w:val="16"/>
          <w:szCs w:val="16"/>
        </w:rPr>
        <w:t xml:space="preserve">. This implements article 10 of the Berne Convention </w:t>
      </w:r>
      <w:r w:rsidRPr="00490298">
        <w:rPr>
          <w:sz w:val="16"/>
          <w:szCs w:val="16"/>
        </w:rPr>
        <w:t xml:space="preserve">for the </w:t>
      </w:r>
      <w:r w:rsidRPr="00490298">
        <w:rPr>
          <w:color w:val="000000" w:themeColor="text1"/>
          <w:sz w:val="16"/>
          <w:szCs w:val="16"/>
        </w:rPr>
        <w:t>Protection of L</w:t>
      </w:r>
      <w:r w:rsidR="00B76F23" w:rsidRPr="00490298">
        <w:rPr>
          <w:color w:val="000000" w:themeColor="text1"/>
          <w:sz w:val="16"/>
          <w:szCs w:val="16"/>
        </w:rPr>
        <w:t>iterary and Artistic Works 1886 and article 5(3</w:t>
      </w:r>
      <w:proofErr w:type="gramStart"/>
      <w:r w:rsidR="00B76F23" w:rsidRPr="00490298">
        <w:rPr>
          <w:color w:val="000000" w:themeColor="text1"/>
          <w:sz w:val="16"/>
          <w:szCs w:val="16"/>
        </w:rPr>
        <w:t>)(</w:t>
      </w:r>
      <w:proofErr w:type="gramEnd"/>
      <w:r w:rsidR="00B76F23" w:rsidRPr="00490298">
        <w:rPr>
          <w:color w:val="000000" w:themeColor="text1"/>
          <w:sz w:val="16"/>
          <w:szCs w:val="16"/>
        </w:rPr>
        <w:t xml:space="preserve">d) of the </w:t>
      </w:r>
      <w:proofErr w:type="spellStart"/>
      <w:r w:rsidR="00B76F23" w:rsidRPr="00490298">
        <w:rPr>
          <w:color w:val="000000" w:themeColor="text1"/>
          <w:sz w:val="16"/>
          <w:szCs w:val="16"/>
        </w:rPr>
        <w:t>InfoSoc</w:t>
      </w:r>
      <w:proofErr w:type="spellEnd"/>
      <w:r w:rsidR="00B76F23" w:rsidRPr="00490298">
        <w:rPr>
          <w:color w:val="000000" w:themeColor="text1"/>
          <w:sz w:val="16"/>
          <w:szCs w:val="16"/>
        </w:rPr>
        <w:t xml:space="preserve"> Directive.</w:t>
      </w:r>
    </w:p>
  </w:footnote>
  <w:footnote w:id="41">
    <w:p w14:paraId="6D5D5598" w14:textId="008964FC" w:rsidR="00A0041E" w:rsidRPr="00A0041E" w:rsidRDefault="00A0041E">
      <w:pPr>
        <w:pStyle w:val="FootnoteText"/>
        <w:rPr>
          <w:sz w:val="16"/>
          <w:szCs w:val="16"/>
        </w:rPr>
      </w:pPr>
      <w:r w:rsidRPr="00A0041E">
        <w:rPr>
          <w:rStyle w:val="FootnoteReference"/>
          <w:sz w:val="16"/>
          <w:szCs w:val="16"/>
        </w:rPr>
        <w:footnoteRef/>
      </w:r>
      <w:r w:rsidRPr="00A0041E">
        <w:rPr>
          <w:sz w:val="16"/>
          <w:szCs w:val="16"/>
        </w:rPr>
        <w:t xml:space="preserve"> </w:t>
      </w:r>
      <w:r w:rsidRPr="00A0041E">
        <w:rPr>
          <w:sz w:val="16"/>
          <w:szCs w:val="16"/>
        </w:rPr>
        <w:tab/>
        <w:t>Quotation is not stat</w:t>
      </w:r>
      <w:r>
        <w:rPr>
          <w:sz w:val="16"/>
          <w:szCs w:val="16"/>
        </w:rPr>
        <w:t>utorily</w:t>
      </w:r>
      <w:r w:rsidRPr="00A0041E">
        <w:rPr>
          <w:sz w:val="16"/>
          <w:szCs w:val="16"/>
        </w:rPr>
        <w:t xml:space="preserve"> defined and must be interpreted by courts following its ordinary meaning.</w:t>
      </w:r>
    </w:p>
  </w:footnote>
  <w:footnote w:id="42">
    <w:p w14:paraId="4388EBF6" w14:textId="731DB642" w:rsidR="00885DB9" w:rsidRPr="00490298" w:rsidRDefault="00885DB9" w:rsidP="00490298">
      <w:pPr>
        <w:pStyle w:val="FootnoteText"/>
        <w:jc w:val="both"/>
        <w:rPr>
          <w:color w:val="000000" w:themeColor="text1"/>
          <w:sz w:val="16"/>
          <w:szCs w:val="16"/>
        </w:rPr>
      </w:pPr>
      <w:r w:rsidRPr="00490298">
        <w:rPr>
          <w:rStyle w:val="FootnoteReference"/>
          <w:color w:val="000000" w:themeColor="text1"/>
          <w:sz w:val="16"/>
          <w:szCs w:val="16"/>
        </w:rPr>
        <w:footnoteRef/>
      </w:r>
      <w:r w:rsidRPr="00490298">
        <w:rPr>
          <w:color w:val="000000" w:themeColor="text1"/>
          <w:sz w:val="16"/>
          <w:szCs w:val="16"/>
        </w:rPr>
        <w:t xml:space="preserve"> </w:t>
      </w:r>
      <w:r w:rsidRPr="00490298">
        <w:rPr>
          <w:color w:val="000000" w:themeColor="text1"/>
          <w:sz w:val="16"/>
          <w:szCs w:val="16"/>
        </w:rPr>
        <w:tab/>
      </w:r>
      <w:proofErr w:type="gramStart"/>
      <w:r w:rsidRPr="00490298">
        <w:rPr>
          <w:color w:val="000000" w:themeColor="text1"/>
          <w:sz w:val="16"/>
          <w:szCs w:val="16"/>
        </w:rPr>
        <w:t>New subsection 1ZA.</w:t>
      </w:r>
      <w:proofErr w:type="gramEnd"/>
      <w:r w:rsidRPr="00490298">
        <w:rPr>
          <w:color w:val="000000" w:themeColor="text1"/>
          <w:sz w:val="16"/>
          <w:szCs w:val="16"/>
        </w:rPr>
        <w:t xml:space="preserve"> </w:t>
      </w:r>
      <w:r w:rsidRPr="00490298">
        <w:rPr>
          <w:color w:val="000000" w:themeColor="text1"/>
          <w:sz w:val="16"/>
          <w:szCs w:val="16"/>
          <w:shd w:val="clear" w:color="auto" w:fill="FFFFFF"/>
        </w:rPr>
        <w:t>Section 30 was amended by</w:t>
      </w:r>
      <w:r w:rsidRPr="00490298">
        <w:rPr>
          <w:rStyle w:val="apple-converted-space"/>
          <w:rFonts w:eastAsia="SimSun"/>
          <w:color w:val="000000" w:themeColor="text1"/>
          <w:sz w:val="16"/>
          <w:szCs w:val="16"/>
          <w:shd w:val="clear" w:color="auto" w:fill="FFFFFF"/>
        </w:rPr>
        <w:t> </w:t>
      </w:r>
      <w:r w:rsidRPr="00490298">
        <w:rPr>
          <w:rFonts w:eastAsia="SimSun"/>
          <w:color w:val="000000" w:themeColor="text1"/>
          <w:sz w:val="16"/>
          <w:szCs w:val="16"/>
        </w:rPr>
        <w:t>S.I. 2003/2498</w:t>
      </w:r>
      <w:r w:rsidRPr="00490298">
        <w:rPr>
          <w:color w:val="000000" w:themeColor="text1"/>
          <w:sz w:val="16"/>
          <w:szCs w:val="16"/>
          <w:shd w:val="clear" w:color="auto" w:fill="FFFFFF"/>
        </w:rPr>
        <w:t>, regulations 3 and 10(1).</w:t>
      </w:r>
    </w:p>
  </w:footnote>
  <w:footnote w:id="43">
    <w:p w14:paraId="144336CB" w14:textId="77777777" w:rsidR="00680FB4" w:rsidRPr="00490298" w:rsidRDefault="00680FB4" w:rsidP="00490298">
      <w:pPr>
        <w:pStyle w:val="FootnoteText"/>
        <w:jc w:val="both"/>
        <w:rPr>
          <w:sz w:val="16"/>
          <w:szCs w:val="16"/>
        </w:rPr>
      </w:pPr>
      <w:r w:rsidRPr="00490298">
        <w:rPr>
          <w:rStyle w:val="FootnoteReference"/>
          <w:color w:val="000000" w:themeColor="text1"/>
          <w:sz w:val="16"/>
          <w:szCs w:val="16"/>
        </w:rPr>
        <w:footnoteRef/>
      </w:r>
      <w:r w:rsidRPr="00490298">
        <w:rPr>
          <w:color w:val="000000" w:themeColor="text1"/>
          <w:sz w:val="16"/>
          <w:szCs w:val="16"/>
        </w:rPr>
        <w:t xml:space="preserve"> </w:t>
      </w:r>
      <w:r w:rsidRPr="00490298">
        <w:rPr>
          <w:color w:val="000000" w:themeColor="text1"/>
          <w:sz w:val="16"/>
          <w:szCs w:val="16"/>
        </w:rPr>
        <w:tab/>
      </w:r>
      <w:proofErr w:type="gramStart"/>
      <w:r w:rsidRPr="00490298">
        <w:rPr>
          <w:color w:val="000000" w:themeColor="text1"/>
          <w:sz w:val="16"/>
          <w:szCs w:val="16"/>
        </w:rPr>
        <w:t>Generally, the creators of the musical composition (music and lyrics).</w:t>
      </w:r>
      <w:proofErr w:type="gramEnd"/>
      <w:r w:rsidRPr="00490298">
        <w:rPr>
          <w:color w:val="000000" w:themeColor="text1"/>
          <w:sz w:val="16"/>
          <w:szCs w:val="16"/>
        </w:rPr>
        <w:t xml:space="preserve"> </w:t>
      </w:r>
      <w:proofErr w:type="gramStart"/>
      <w:r w:rsidRPr="00490298">
        <w:rPr>
          <w:color w:val="000000" w:themeColor="text1"/>
          <w:sz w:val="16"/>
          <w:szCs w:val="16"/>
        </w:rPr>
        <w:t>Unless, the acknowledgement is impossible for practical reasons or otherwise.</w:t>
      </w:r>
      <w:proofErr w:type="gramEnd"/>
      <w:r w:rsidRPr="00490298">
        <w:rPr>
          <w:color w:val="000000" w:themeColor="text1"/>
          <w:sz w:val="16"/>
          <w:szCs w:val="16"/>
        </w:rPr>
        <w:t xml:space="preserve"> Section 30(3) CDPA.</w:t>
      </w:r>
    </w:p>
  </w:footnote>
  <w:footnote w:id="44">
    <w:p w14:paraId="3FD237A2" w14:textId="13274D66"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Originally, this defence was limited to use made for the purpose of criticism and review, but this limitation was removed in the latest revisions to the CDPA, making it even more applicable to non-literary works. The UK Intellectual Property Office Guidance suggests that it covers </w:t>
      </w:r>
      <w:r w:rsidRPr="00490298">
        <w:rPr>
          <w:bCs/>
          <w:iCs/>
          <w:sz w:val="16"/>
          <w:szCs w:val="16"/>
          <w:lang w:eastAsia="en-GB"/>
        </w:rPr>
        <w:t xml:space="preserve">short quotations necessary for academics or students’ papers; see: </w:t>
      </w:r>
      <w:r w:rsidRPr="00490298">
        <w:rPr>
          <w:sz w:val="16"/>
          <w:szCs w:val="16"/>
        </w:rPr>
        <w:t xml:space="preserve">IPO, ‘Exceptions to Copyright’ (October 2014) 9; available at </w:t>
      </w:r>
      <w:hyperlink r:id="rId2" w:history="1">
        <w:r w:rsidRPr="00490298">
          <w:rPr>
            <w:rStyle w:val="Hyperlink"/>
            <w:sz w:val="16"/>
            <w:szCs w:val="16"/>
          </w:rPr>
          <w:t>https://www.gov.uk/government/uploads/system/uploads/attachment_data/file/375951/Education_and_Teaching.pdf</w:t>
        </w:r>
      </w:hyperlink>
      <w:r w:rsidRPr="00490298">
        <w:rPr>
          <w:sz w:val="16"/>
          <w:szCs w:val="16"/>
        </w:rPr>
        <w:t xml:space="preserve"> (last accessed on 04/08/2015)</w:t>
      </w:r>
    </w:p>
  </w:footnote>
  <w:footnote w:id="45">
    <w:p w14:paraId="37CCBB36" w14:textId="55B887EE" w:rsidR="00605323" w:rsidRPr="00490298" w:rsidRDefault="00605323"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In </w:t>
      </w:r>
      <w:proofErr w:type="spellStart"/>
      <w:r w:rsidRPr="00490298">
        <w:rPr>
          <w:i/>
          <w:sz w:val="16"/>
          <w:szCs w:val="16"/>
        </w:rPr>
        <w:t>Painer</w:t>
      </w:r>
      <w:proofErr w:type="spellEnd"/>
      <w:r w:rsidRPr="00490298">
        <w:rPr>
          <w:sz w:val="16"/>
          <w:szCs w:val="16"/>
        </w:rPr>
        <w:t xml:space="preserve">, the Advocate General suggested that wholesale reproduction can be quotation. While this was stated in relations to photos, this could potentially be extended to music. Opinion of AG </w:t>
      </w:r>
      <w:proofErr w:type="spellStart"/>
      <w:r w:rsidRPr="00490298">
        <w:rPr>
          <w:sz w:val="16"/>
          <w:szCs w:val="16"/>
        </w:rPr>
        <w:t>Trstenjak</w:t>
      </w:r>
      <w:proofErr w:type="spellEnd"/>
      <w:r w:rsidRPr="00490298">
        <w:rPr>
          <w:sz w:val="16"/>
          <w:szCs w:val="16"/>
        </w:rPr>
        <w:t xml:space="preserve"> in </w:t>
      </w:r>
      <w:r w:rsidRPr="00490298">
        <w:rPr>
          <w:rFonts w:cs="HelveticaNeueLTStd-It"/>
          <w:i/>
          <w:iCs/>
          <w:sz w:val="16"/>
          <w:szCs w:val="16"/>
        </w:rPr>
        <w:t xml:space="preserve">Eva-Maria </w:t>
      </w:r>
      <w:proofErr w:type="spellStart"/>
      <w:r w:rsidRPr="00490298">
        <w:rPr>
          <w:rFonts w:cs="HelveticaNeueLTStd-It"/>
          <w:i/>
          <w:iCs/>
          <w:sz w:val="16"/>
          <w:szCs w:val="16"/>
        </w:rPr>
        <w:t>Painer</w:t>
      </w:r>
      <w:proofErr w:type="spellEnd"/>
      <w:r w:rsidRPr="00490298">
        <w:rPr>
          <w:rFonts w:cs="HelveticaNeueLTStd-It"/>
          <w:i/>
          <w:iCs/>
          <w:sz w:val="16"/>
          <w:szCs w:val="16"/>
        </w:rPr>
        <w:t xml:space="preserve"> v. Standard </w:t>
      </w:r>
      <w:proofErr w:type="spellStart"/>
      <w:r w:rsidRPr="00490298">
        <w:rPr>
          <w:rFonts w:cs="HelveticaNeueLTStd-It"/>
          <w:i/>
          <w:iCs/>
          <w:sz w:val="16"/>
          <w:szCs w:val="16"/>
        </w:rPr>
        <w:t>Verlags</w:t>
      </w:r>
      <w:proofErr w:type="spellEnd"/>
      <w:r w:rsidRPr="00490298">
        <w:rPr>
          <w:rFonts w:cs="HelveticaNeueLTStd-It"/>
          <w:i/>
          <w:iCs/>
          <w:sz w:val="16"/>
          <w:szCs w:val="16"/>
        </w:rPr>
        <w:t xml:space="preserve"> GmbH and others, </w:t>
      </w:r>
      <w:r w:rsidRPr="00490298">
        <w:rPr>
          <w:sz w:val="16"/>
          <w:szCs w:val="16"/>
        </w:rPr>
        <w:t xml:space="preserve">C-145/10, </w:t>
      </w:r>
      <w:r w:rsidRPr="00490298">
        <w:rPr>
          <w:bCs/>
          <w:sz w:val="16"/>
          <w:szCs w:val="16"/>
          <w:shd w:val="clear" w:color="auto" w:fill="FFFFFF"/>
        </w:rPr>
        <w:t>ECLI</w:t>
      </w:r>
      <w:proofErr w:type="gramStart"/>
      <w:r w:rsidRPr="00490298">
        <w:rPr>
          <w:bCs/>
          <w:sz w:val="16"/>
          <w:szCs w:val="16"/>
          <w:shd w:val="clear" w:color="auto" w:fill="FFFFFF"/>
        </w:rPr>
        <w:t>:EU:C:2011:239</w:t>
      </w:r>
      <w:proofErr w:type="gramEnd"/>
      <w:r w:rsidRPr="00490298">
        <w:rPr>
          <w:bCs/>
          <w:sz w:val="16"/>
          <w:szCs w:val="16"/>
          <w:shd w:val="clear" w:color="auto" w:fill="FFFFFF"/>
        </w:rPr>
        <w:t>, at [212].</w:t>
      </w:r>
    </w:p>
  </w:footnote>
  <w:footnote w:id="46">
    <w:p w14:paraId="632083B8" w14:textId="291DEBA6" w:rsidR="007F0DC9" w:rsidRPr="00490298" w:rsidRDefault="007F0DC9"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r w:rsidR="00DC5634" w:rsidRPr="00490298">
        <w:rPr>
          <w:sz w:val="16"/>
          <w:szCs w:val="16"/>
        </w:rPr>
        <w:t>C-145/10,</w:t>
      </w:r>
      <w:r w:rsidRPr="00490298">
        <w:rPr>
          <w:sz w:val="16"/>
          <w:szCs w:val="16"/>
        </w:rPr>
        <w:t xml:space="preserve"> </w:t>
      </w:r>
      <w:r w:rsidRPr="00490298">
        <w:rPr>
          <w:bCs/>
          <w:sz w:val="16"/>
          <w:szCs w:val="16"/>
          <w:shd w:val="clear" w:color="auto" w:fill="FFFFFF"/>
        </w:rPr>
        <w:t>ECLI:EU:C:2011:798</w:t>
      </w:r>
    </w:p>
  </w:footnote>
  <w:footnote w:id="47">
    <w:p w14:paraId="5DCA98F4" w14:textId="77777777" w:rsidR="00A0041E" w:rsidRPr="00490298" w:rsidRDefault="00A0041E" w:rsidP="00A0041E">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Opinion of AG </w:t>
      </w:r>
      <w:proofErr w:type="spellStart"/>
      <w:r w:rsidRPr="00490298">
        <w:rPr>
          <w:sz w:val="16"/>
          <w:szCs w:val="16"/>
        </w:rPr>
        <w:t>Trstenjak</w:t>
      </w:r>
      <w:proofErr w:type="spellEnd"/>
      <w:r w:rsidRPr="00490298">
        <w:rPr>
          <w:sz w:val="16"/>
          <w:szCs w:val="16"/>
        </w:rPr>
        <w:t xml:space="preserve"> in </w:t>
      </w:r>
      <w:r w:rsidRPr="00490298">
        <w:rPr>
          <w:rFonts w:cs="HelveticaNeueLTStd-It"/>
          <w:i/>
          <w:iCs/>
          <w:sz w:val="16"/>
          <w:szCs w:val="16"/>
        </w:rPr>
        <w:t xml:space="preserve">Eva-Maria </w:t>
      </w:r>
      <w:proofErr w:type="spellStart"/>
      <w:r w:rsidRPr="00490298">
        <w:rPr>
          <w:rFonts w:cs="HelveticaNeueLTStd-It"/>
          <w:i/>
          <w:iCs/>
          <w:sz w:val="16"/>
          <w:szCs w:val="16"/>
        </w:rPr>
        <w:t>Painer</w:t>
      </w:r>
      <w:proofErr w:type="spellEnd"/>
      <w:r w:rsidRPr="00490298">
        <w:rPr>
          <w:rFonts w:cs="HelveticaNeueLTStd-It"/>
          <w:i/>
          <w:iCs/>
          <w:sz w:val="16"/>
          <w:szCs w:val="16"/>
        </w:rPr>
        <w:t xml:space="preserve"> v. Standard </w:t>
      </w:r>
      <w:proofErr w:type="spellStart"/>
      <w:r w:rsidRPr="00490298">
        <w:rPr>
          <w:rFonts w:cs="HelveticaNeueLTStd-It"/>
          <w:i/>
          <w:iCs/>
          <w:sz w:val="16"/>
          <w:szCs w:val="16"/>
        </w:rPr>
        <w:t>Verlags</w:t>
      </w:r>
      <w:proofErr w:type="spellEnd"/>
      <w:r w:rsidRPr="00490298">
        <w:rPr>
          <w:rFonts w:cs="HelveticaNeueLTStd-It"/>
          <w:i/>
          <w:iCs/>
          <w:sz w:val="16"/>
          <w:szCs w:val="16"/>
        </w:rPr>
        <w:t xml:space="preserve"> GmbH and others, </w:t>
      </w:r>
      <w:r w:rsidRPr="00490298">
        <w:rPr>
          <w:sz w:val="16"/>
          <w:szCs w:val="16"/>
        </w:rPr>
        <w:t xml:space="preserve">C-145/10, </w:t>
      </w:r>
      <w:r w:rsidRPr="00490298">
        <w:rPr>
          <w:bCs/>
          <w:sz w:val="16"/>
          <w:szCs w:val="16"/>
          <w:shd w:val="clear" w:color="auto" w:fill="FFFFFF"/>
        </w:rPr>
        <w:t>ECLI</w:t>
      </w:r>
      <w:proofErr w:type="gramStart"/>
      <w:r w:rsidRPr="00490298">
        <w:rPr>
          <w:bCs/>
          <w:sz w:val="16"/>
          <w:szCs w:val="16"/>
          <w:shd w:val="clear" w:color="auto" w:fill="FFFFFF"/>
        </w:rPr>
        <w:t>:EU:C:2011:239</w:t>
      </w:r>
      <w:proofErr w:type="gramEnd"/>
      <w:r w:rsidRPr="00490298">
        <w:rPr>
          <w:bCs/>
          <w:sz w:val="16"/>
          <w:szCs w:val="16"/>
          <w:shd w:val="clear" w:color="auto" w:fill="FFFFFF"/>
        </w:rPr>
        <w:t xml:space="preserve">, at [208-209]. Supported by A Cameron, ‘Copyright exceptions for the digital age: new rights of private copying, parody and quotation’ [2014] 9(12) </w:t>
      </w:r>
      <w:r w:rsidRPr="00490298">
        <w:rPr>
          <w:bCs/>
          <w:i/>
          <w:sz w:val="16"/>
          <w:szCs w:val="16"/>
          <w:shd w:val="clear" w:color="auto" w:fill="FFFFFF"/>
        </w:rPr>
        <w:t>JIPLP</w:t>
      </w:r>
      <w:r w:rsidRPr="00490298">
        <w:rPr>
          <w:bCs/>
          <w:sz w:val="16"/>
          <w:szCs w:val="16"/>
          <w:shd w:val="clear" w:color="auto" w:fill="FFFFFF"/>
        </w:rPr>
        <w:t>, 1006.</w:t>
      </w:r>
    </w:p>
  </w:footnote>
  <w:footnote w:id="48">
    <w:p w14:paraId="31256F14" w14:textId="24D1C776"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gramStart"/>
      <w:r w:rsidRPr="00490298">
        <w:rPr>
          <w:sz w:val="16"/>
          <w:szCs w:val="16"/>
        </w:rPr>
        <w:t>Section 30A CDPA.</w:t>
      </w:r>
      <w:proofErr w:type="gramEnd"/>
    </w:p>
  </w:footnote>
  <w:footnote w:id="49">
    <w:p w14:paraId="04232DE8"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Article 5(3</w:t>
      </w:r>
      <w:proofErr w:type="gramStart"/>
      <w:r w:rsidRPr="00490298">
        <w:rPr>
          <w:sz w:val="16"/>
          <w:szCs w:val="16"/>
        </w:rPr>
        <w:t>)(</w:t>
      </w:r>
      <w:proofErr w:type="gramEnd"/>
      <w:r w:rsidRPr="00490298">
        <w:rPr>
          <w:sz w:val="16"/>
          <w:szCs w:val="16"/>
        </w:rPr>
        <w:t>k) of Directive 2001/29 on the harmonisation of certain aspects of copyright and related rights in the information society [2001] OJ L167.</w:t>
      </w:r>
    </w:p>
  </w:footnote>
  <w:footnote w:id="50">
    <w:p w14:paraId="54A4D660"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spellStart"/>
      <w:r w:rsidRPr="00490298">
        <w:rPr>
          <w:rStyle w:val="Emphasis"/>
          <w:iCs/>
          <w:color w:val="000000"/>
          <w:sz w:val="16"/>
          <w:szCs w:val="16"/>
          <w:shd w:val="clear" w:color="auto" w:fill="FFFFFF"/>
        </w:rPr>
        <w:t>Deckmyn</w:t>
      </w:r>
      <w:proofErr w:type="spellEnd"/>
      <w:r w:rsidRPr="00490298">
        <w:rPr>
          <w:rStyle w:val="Emphasis"/>
          <w:iCs/>
          <w:color w:val="000000"/>
          <w:sz w:val="16"/>
          <w:szCs w:val="16"/>
          <w:shd w:val="clear" w:color="auto" w:fill="FFFFFF"/>
        </w:rPr>
        <w:t xml:space="preserve"> and </w:t>
      </w:r>
      <w:proofErr w:type="spellStart"/>
      <w:r w:rsidRPr="00490298">
        <w:rPr>
          <w:rStyle w:val="Emphasis"/>
          <w:iCs/>
          <w:color w:val="000000"/>
          <w:sz w:val="16"/>
          <w:szCs w:val="16"/>
          <w:shd w:val="clear" w:color="auto" w:fill="FFFFFF"/>
        </w:rPr>
        <w:t>Vrijheidsfonds</w:t>
      </w:r>
      <w:proofErr w:type="spellEnd"/>
      <w:r w:rsidRPr="00490298">
        <w:rPr>
          <w:rStyle w:val="Emphasis"/>
          <w:iCs/>
          <w:color w:val="000000"/>
          <w:sz w:val="16"/>
          <w:szCs w:val="16"/>
          <w:shd w:val="clear" w:color="auto" w:fill="FFFFFF"/>
        </w:rPr>
        <w:t xml:space="preserve"> VZW v </w:t>
      </w:r>
      <w:proofErr w:type="spellStart"/>
      <w:r w:rsidRPr="00490298">
        <w:rPr>
          <w:rStyle w:val="Emphasis"/>
          <w:iCs/>
          <w:color w:val="000000"/>
          <w:sz w:val="16"/>
          <w:szCs w:val="16"/>
          <w:shd w:val="clear" w:color="auto" w:fill="FFFFFF"/>
        </w:rPr>
        <w:t>Vandersteen</w:t>
      </w:r>
      <w:proofErr w:type="spellEnd"/>
      <w:r w:rsidRPr="00490298">
        <w:rPr>
          <w:rStyle w:val="Emphasis"/>
          <w:iCs/>
          <w:color w:val="000000"/>
          <w:sz w:val="16"/>
          <w:szCs w:val="16"/>
          <w:shd w:val="clear" w:color="auto" w:fill="FFFFFF"/>
        </w:rPr>
        <w:t xml:space="preserve">, </w:t>
      </w:r>
      <w:r w:rsidRPr="00490298">
        <w:rPr>
          <w:rStyle w:val="Emphasis"/>
          <w:i w:val="0"/>
          <w:iCs/>
          <w:color w:val="000000"/>
          <w:sz w:val="16"/>
          <w:szCs w:val="16"/>
          <w:shd w:val="clear" w:color="auto" w:fill="FFFFFF"/>
        </w:rPr>
        <w:t>C-201/13, ECLI:EU:C:2014:2132</w:t>
      </w:r>
      <w:r w:rsidRPr="00490298">
        <w:rPr>
          <w:rStyle w:val="Emphasis"/>
          <w:iCs/>
          <w:color w:val="000000"/>
          <w:sz w:val="16"/>
          <w:szCs w:val="16"/>
          <w:shd w:val="clear" w:color="auto" w:fill="FFFFFF"/>
        </w:rPr>
        <w:t xml:space="preserve"> </w:t>
      </w:r>
      <w:r w:rsidRPr="00490298">
        <w:rPr>
          <w:sz w:val="16"/>
          <w:szCs w:val="16"/>
        </w:rPr>
        <w:t>(‘</w:t>
      </w:r>
      <w:proofErr w:type="spellStart"/>
      <w:r w:rsidRPr="00490298">
        <w:rPr>
          <w:i/>
          <w:sz w:val="16"/>
          <w:szCs w:val="16"/>
        </w:rPr>
        <w:t>Deckmyn</w:t>
      </w:r>
      <w:proofErr w:type="spellEnd"/>
      <w:r w:rsidRPr="00490298">
        <w:rPr>
          <w:sz w:val="16"/>
          <w:szCs w:val="16"/>
        </w:rPr>
        <w:t>’)</w:t>
      </w:r>
    </w:p>
  </w:footnote>
  <w:footnote w:id="51">
    <w:p w14:paraId="52C10A73"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spellStart"/>
      <w:proofErr w:type="gramStart"/>
      <w:r w:rsidRPr="00490298">
        <w:rPr>
          <w:i/>
          <w:sz w:val="16"/>
          <w:szCs w:val="16"/>
        </w:rPr>
        <w:t>Deckmyn</w:t>
      </w:r>
      <w:proofErr w:type="spellEnd"/>
      <w:r w:rsidRPr="00490298">
        <w:rPr>
          <w:rStyle w:val="Emphasis"/>
          <w:color w:val="000000"/>
          <w:sz w:val="16"/>
          <w:szCs w:val="16"/>
          <w:shd w:val="clear" w:color="auto" w:fill="FFFFFF"/>
        </w:rPr>
        <w:t xml:space="preserve">, para </w:t>
      </w:r>
      <w:r w:rsidRPr="00490298">
        <w:rPr>
          <w:sz w:val="16"/>
          <w:szCs w:val="16"/>
        </w:rPr>
        <w:t>20.</w:t>
      </w:r>
      <w:proofErr w:type="gramEnd"/>
    </w:p>
  </w:footnote>
  <w:footnote w:id="52">
    <w:p w14:paraId="52BAB4FE"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K. </w:t>
      </w:r>
      <w:r w:rsidRPr="00490298">
        <w:rPr>
          <w:sz w:val="16"/>
          <w:szCs w:val="16"/>
          <w:shd w:val="clear" w:color="auto" w:fill="FFFFFF"/>
        </w:rPr>
        <w:t xml:space="preserve">Erickson, </w:t>
      </w:r>
      <w:r w:rsidRPr="00490298">
        <w:rPr>
          <w:i/>
          <w:iCs/>
          <w:sz w:val="16"/>
          <w:szCs w:val="16"/>
          <w:shd w:val="clear" w:color="auto" w:fill="FFFFFF"/>
        </w:rPr>
        <w:t>Evaluating the Impact of Parody on the Exploitation of Copyright Works: An Empirical Study of Music Video Content on YouTube</w:t>
      </w:r>
      <w:r w:rsidRPr="00490298">
        <w:rPr>
          <w:sz w:val="16"/>
          <w:szCs w:val="16"/>
          <w:shd w:val="clear" w:color="auto" w:fill="FFFFFF"/>
        </w:rPr>
        <w:t> (Intellectual Property Office UK, 2013) available at https://www.gov.uk/government/uploads/system/uploads/attachment_data/file/309900/ipresearch-parody-report1-150313.pdf.</w:t>
      </w:r>
    </w:p>
  </w:footnote>
  <w:footnote w:id="53">
    <w:p w14:paraId="5FBE5E98"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Opinion in </w:t>
      </w:r>
      <w:proofErr w:type="spellStart"/>
      <w:r w:rsidRPr="00490298">
        <w:rPr>
          <w:rStyle w:val="Emphasis"/>
          <w:iCs/>
          <w:color w:val="000000"/>
          <w:sz w:val="16"/>
          <w:szCs w:val="16"/>
          <w:shd w:val="clear" w:color="auto" w:fill="FFFFFF"/>
        </w:rPr>
        <w:t>Deckmyn</w:t>
      </w:r>
      <w:proofErr w:type="spellEnd"/>
      <w:r w:rsidRPr="00490298">
        <w:rPr>
          <w:rStyle w:val="Emphasis"/>
          <w:iCs/>
          <w:color w:val="000000"/>
          <w:sz w:val="16"/>
          <w:szCs w:val="16"/>
          <w:shd w:val="clear" w:color="auto" w:fill="FFFFFF"/>
        </w:rPr>
        <w:t xml:space="preserve"> and </w:t>
      </w:r>
      <w:proofErr w:type="spellStart"/>
      <w:r w:rsidRPr="00490298">
        <w:rPr>
          <w:rStyle w:val="Emphasis"/>
          <w:iCs/>
          <w:color w:val="000000"/>
          <w:sz w:val="16"/>
          <w:szCs w:val="16"/>
          <w:shd w:val="clear" w:color="auto" w:fill="FFFFFF"/>
        </w:rPr>
        <w:t>Vrijheidsfonds</w:t>
      </w:r>
      <w:proofErr w:type="spellEnd"/>
      <w:r w:rsidRPr="00490298">
        <w:rPr>
          <w:rStyle w:val="Emphasis"/>
          <w:iCs/>
          <w:color w:val="000000"/>
          <w:sz w:val="16"/>
          <w:szCs w:val="16"/>
          <w:shd w:val="clear" w:color="auto" w:fill="FFFFFF"/>
        </w:rPr>
        <w:t xml:space="preserve"> VZW v </w:t>
      </w:r>
      <w:proofErr w:type="spellStart"/>
      <w:r w:rsidRPr="00490298">
        <w:rPr>
          <w:rStyle w:val="Emphasis"/>
          <w:iCs/>
          <w:color w:val="000000"/>
          <w:sz w:val="16"/>
          <w:szCs w:val="16"/>
          <w:shd w:val="clear" w:color="auto" w:fill="FFFFFF"/>
        </w:rPr>
        <w:t>Vandersteen</w:t>
      </w:r>
      <w:proofErr w:type="spellEnd"/>
      <w:r w:rsidRPr="00490298">
        <w:rPr>
          <w:rStyle w:val="Emphasis"/>
          <w:iCs/>
          <w:color w:val="000000"/>
          <w:sz w:val="16"/>
          <w:szCs w:val="16"/>
          <w:shd w:val="clear" w:color="auto" w:fill="FFFFFF"/>
        </w:rPr>
        <w:t xml:space="preserve">, C-201/13, </w:t>
      </w:r>
      <w:r w:rsidRPr="00490298">
        <w:rPr>
          <w:bCs/>
          <w:sz w:val="16"/>
          <w:szCs w:val="16"/>
          <w:shd w:val="clear" w:color="auto" w:fill="FFFFFF"/>
        </w:rPr>
        <w:t>ECLI</w:t>
      </w:r>
      <w:proofErr w:type="gramStart"/>
      <w:r w:rsidRPr="00490298">
        <w:rPr>
          <w:bCs/>
          <w:sz w:val="16"/>
          <w:szCs w:val="16"/>
          <w:shd w:val="clear" w:color="auto" w:fill="FFFFFF"/>
        </w:rPr>
        <w:t>:EU:C:2014:458</w:t>
      </w:r>
      <w:proofErr w:type="gramEnd"/>
      <w:r w:rsidRPr="00490298">
        <w:rPr>
          <w:rStyle w:val="Emphasis"/>
          <w:iCs/>
          <w:color w:val="000000"/>
          <w:sz w:val="16"/>
          <w:szCs w:val="16"/>
          <w:shd w:val="clear" w:color="auto" w:fill="FFFFFF"/>
        </w:rPr>
        <w:t xml:space="preserve">, </w:t>
      </w:r>
      <w:r w:rsidRPr="00490298">
        <w:rPr>
          <w:rStyle w:val="Emphasis"/>
          <w:i w:val="0"/>
          <w:iCs/>
          <w:color w:val="000000"/>
          <w:sz w:val="16"/>
          <w:szCs w:val="16"/>
          <w:shd w:val="clear" w:color="auto" w:fill="FFFFFF"/>
        </w:rPr>
        <w:t>paras 66-70; S Jacques,</w:t>
      </w:r>
      <w:r w:rsidRPr="00490298">
        <w:rPr>
          <w:rStyle w:val="Emphasis"/>
          <w:iCs/>
          <w:color w:val="000000"/>
          <w:sz w:val="16"/>
          <w:szCs w:val="16"/>
          <w:shd w:val="clear" w:color="auto" w:fill="FFFFFF"/>
        </w:rPr>
        <w:t xml:space="preserve"> ‘</w:t>
      </w:r>
      <w:r w:rsidRPr="00490298">
        <w:rPr>
          <w:bCs/>
          <w:sz w:val="16"/>
          <w:szCs w:val="16"/>
        </w:rPr>
        <w:t xml:space="preserve">Are national courts required to have an (exceptional) European sense of humour?’ (2015) 37 (3) </w:t>
      </w:r>
      <w:r w:rsidRPr="00490298">
        <w:rPr>
          <w:bCs/>
          <w:i/>
          <w:sz w:val="16"/>
          <w:szCs w:val="16"/>
        </w:rPr>
        <w:t>EIPR</w:t>
      </w:r>
      <w:r w:rsidRPr="00490298">
        <w:rPr>
          <w:bCs/>
          <w:sz w:val="16"/>
          <w:szCs w:val="16"/>
        </w:rPr>
        <w:t xml:space="preserve"> 134, 136; </w:t>
      </w:r>
      <w:proofErr w:type="gramStart"/>
      <w:r w:rsidRPr="00490298">
        <w:rPr>
          <w:sz w:val="16"/>
          <w:szCs w:val="16"/>
        </w:rPr>
        <w:t>For</w:t>
      </w:r>
      <w:proofErr w:type="gramEnd"/>
      <w:r w:rsidRPr="00490298">
        <w:rPr>
          <w:sz w:val="16"/>
          <w:szCs w:val="16"/>
        </w:rPr>
        <w:t xml:space="preserve"> an analysis on the impact of the difference between </w:t>
      </w:r>
      <w:r w:rsidRPr="00490298">
        <w:rPr>
          <w:i/>
          <w:sz w:val="16"/>
          <w:szCs w:val="16"/>
        </w:rPr>
        <w:t>effect</w:t>
      </w:r>
      <w:r w:rsidRPr="00490298">
        <w:rPr>
          <w:sz w:val="16"/>
          <w:szCs w:val="16"/>
        </w:rPr>
        <w:t xml:space="preserve"> and </w:t>
      </w:r>
      <w:r w:rsidRPr="00490298">
        <w:rPr>
          <w:i/>
          <w:sz w:val="16"/>
          <w:szCs w:val="16"/>
        </w:rPr>
        <w:t>intent</w:t>
      </w:r>
      <w:r w:rsidRPr="00490298">
        <w:rPr>
          <w:sz w:val="16"/>
          <w:szCs w:val="16"/>
        </w:rPr>
        <w:t xml:space="preserve"> see E </w:t>
      </w:r>
      <w:proofErr w:type="spellStart"/>
      <w:r w:rsidRPr="00490298">
        <w:rPr>
          <w:color w:val="222222"/>
          <w:sz w:val="16"/>
          <w:szCs w:val="16"/>
          <w:shd w:val="clear" w:color="auto" w:fill="FFFFFF"/>
        </w:rPr>
        <w:t>Rosati</w:t>
      </w:r>
      <w:proofErr w:type="spellEnd"/>
      <w:r w:rsidRPr="00490298">
        <w:rPr>
          <w:color w:val="222222"/>
          <w:sz w:val="16"/>
          <w:szCs w:val="16"/>
          <w:shd w:val="clear" w:color="auto" w:fill="FFFFFF"/>
        </w:rPr>
        <w:t xml:space="preserve">, ‘Just a laughing matter? Why the CJEU decision in </w:t>
      </w:r>
      <w:proofErr w:type="spellStart"/>
      <w:r w:rsidRPr="00490298">
        <w:rPr>
          <w:color w:val="222222"/>
          <w:sz w:val="16"/>
          <w:szCs w:val="16"/>
          <w:shd w:val="clear" w:color="auto" w:fill="FFFFFF"/>
        </w:rPr>
        <w:t>Deckmyn</w:t>
      </w:r>
      <w:proofErr w:type="spellEnd"/>
      <w:r w:rsidRPr="00490298">
        <w:rPr>
          <w:color w:val="222222"/>
          <w:sz w:val="16"/>
          <w:szCs w:val="16"/>
          <w:shd w:val="clear" w:color="auto" w:fill="FFFFFF"/>
        </w:rPr>
        <w:t xml:space="preserve"> is broader than parody?’ </w:t>
      </w:r>
      <w:proofErr w:type="gramStart"/>
      <w:r w:rsidRPr="00490298">
        <w:rPr>
          <w:color w:val="222222"/>
          <w:sz w:val="16"/>
          <w:szCs w:val="16"/>
          <w:shd w:val="clear" w:color="auto" w:fill="FFFFFF"/>
        </w:rPr>
        <w:t xml:space="preserve">(2015) 52(2) </w:t>
      </w:r>
      <w:r w:rsidRPr="00490298">
        <w:rPr>
          <w:i/>
          <w:color w:val="222222"/>
          <w:sz w:val="16"/>
          <w:szCs w:val="16"/>
          <w:shd w:val="clear" w:color="auto" w:fill="FFFFFF"/>
        </w:rPr>
        <w:t>CML Rev</w:t>
      </w:r>
      <w:r w:rsidRPr="00490298">
        <w:rPr>
          <w:color w:val="222222"/>
          <w:sz w:val="16"/>
          <w:szCs w:val="16"/>
          <w:shd w:val="clear" w:color="auto" w:fill="FFFFFF"/>
        </w:rPr>
        <w:t xml:space="preserve"> 511, 518.</w:t>
      </w:r>
      <w:proofErr w:type="gramEnd"/>
    </w:p>
  </w:footnote>
  <w:footnote w:id="54">
    <w:p w14:paraId="7E854D4B" w14:textId="1F4E698F"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Humour in music is explored further in S. Jacques, ‘Are the new fair dealing provisions an improvement on the previous law, and why?’ </w:t>
      </w:r>
      <w:proofErr w:type="gramStart"/>
      <w:r w:rsidRPr="00490298">
        <w:rPr>
          <w:sz w:val="16"/>
          <w:szCs w:val="16"/>
        </w:rPr>
        <w:t xml:space="preserve">(2015) </w:t>
      </w:r>
      <w:r w:rsidRPr="00510ED9">
        <w:rPr>
          <w:i/>
          <w:sz w:val="16"/>
          <w:szCs w:val="16"/>
        </w:rPr>
        <w:t>JIPLP</w:t>
      </w:r>
      <w:r w:rsidRPr="00490298">
        <w:rPr>
          <w:sz w:val="16"/>
          <w:szCs w:val="16"/>
        </w:rPr>
        <w:t xml:space="preserve"> </w:t>
      </w:r>
      <w:r w:rsidR="0021202A">
        <w:rPr>
          <w:sz w:val="16"/>
          <w:szCs w:val="16"/>
        </w:rPr>
        <w:t>699.</w:t>
      </w:r>
      <w:proofErr w:type="gramEnd"/>
    </w:p>
  </w:footnote>
  <w:footnote w:id="55">
    <w:p w14:paraId="1F114A97"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spellStart"/>
      <w:r w:rsidRPr="00490298">
        <w:rPr>
          <w:sz w:val="16"/>
          <w:szCs w:val="16"/>
        </w:rPr>
        <w:t>Mera</w:t>
      </w:r>
      <w:proofErr w:type="spellEnd"/>
      <w:r w:rsidRPr="00490298">
        <w:rPr>
          <w:sz w:val="16"/>
          <w:szCs w:val="16"/>
        </w:rPr>
        <w:t xml:space="preserve"> M, ‘Is Funny Music Funny? </w:t>
      </w:r>
      <w:proofErr w:type="gramStart"/>
      <w:r w:rsidRPr="00490298">
        <w:rPr>
          <w:sz w:val="16"/>
          <w:szCs w:val="16"/>
        </w:rPr>
        <w:t xml:space="preserve">Contexts and Case Studies of Film Music </w:t>
      </w:r>
      <w:proofErr w:type="spellStart"/>
      <w:r w:rsidRPr="00490298">
        <w:rPr>
          <w:sz w:val="16"/>
          <w:szCs w:val="16"/>
        </w:rPr>
        <w:t>Humor</w:t>
      </w:r>
      <w:proofErr w:type="spellEnd"/>
      <w:r w:rsidRPr="00490298">
        <w:rPr>
          <w:sz w:val="16"/>
          <w:szCs w:val="16"/>
        </w:rPr>
        <w:t xml:space="preserve">’ (2002) 14 </w:t>
      </w:r>
      <w:r w:rsidRPr="00490298">
        <w:rPr>
          <w:i/>
          <w:sz w:val="16"/>
          <w:szCs w:val="16"/>
        </w:rPr>
        <w:t xml:space="preserve">Journal of Popular Music Studies </w:t>
      </w:r>
      <w:r w:rsidRPr="00490298">
        <w:rPr>
          <w:sz w:val="16"/>
          <w:szCs w:val="16"/>
        </w:rPr>
        <w:t>91.</w:t>
      </w:r>
      <w:proofErr w:type="gramEnd"/>
    </w:p>
  </w:footnote>
  <w:footnote w:id="56">
    <w:p w14:paraId="756756C6"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gramStart"/>
      <w:r w:rsidRPr="00490298">
        <w:rPr>
          <w:i/>
          <w:sz w:val="16"/>
          <w:szCs w:val="16"/>
          <w:lang w:val="en-US"/>
        </w:rPr>
        <w:t xml:space="preserve">Hyde Park Residence v </w:t>
      </w:r>
      <w:proofErr w:type="spellStart"/>
      <w:r w:rsidRPr="00490298">
        <w:rPr>
          <w:i/>
          <w:sz w:val="16"/>
          <w:szCs w:val="16"/>
          <w:lang w:val="en-US"/>
        </w:rPr>
        <w:t>Yelland</w:t>
      </w:r>
      <w:proofErr w:type="spellEnd"/>
      <w:r w:rsidRPr="00490298">
        <w:rPr>
          <w:sz w:val="16"/>
          <w:szCs w:val="16"/>
          <w:lang w:val="en-US"/>
        </w:rPr>
        <w:t xml:space="preserve"> [2001] Ch. 143 at 40; </w:t>
      </w:r>
      <w:proofErr w:type="spellStart"/>
      <w:r w:rsidRPr="00490298">
        <w:rPr>
          <w:i/>
          <w:sz w:val="16"/>
          <w:szCs w:val="16"/>
        </w:rPr>
        <w:t>ProSieben</w:t>
      </w:r>
      <w:proofErr w:type="spellEnd"/>
      <w:r w:rsidRPr="00490298">
        <w:rPr>
          <w:i/>
          <w:sz w:val="16"/>
          <w:szCs w:val="16"/>
        </w:rPr>
        <w:t xml:space="preserve"> Media v Carlton UK Television Ltd</w:t>
      </w:r>
      <w:r w:rsidRPr="00490298">
        <w:rPr>
          <w:sz w:val="16"/>
          <w:szCs w:val="16"/>
        </w:rPr>
        <w:t xml:space="preserve"> [1999] 1WLR605, 614 (CA).</w:t>
      </w:r>
      <w:proofErr w:type="gramEnd"/>
    </w:p>
    <w:p w14:paraId="1878D48E"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lang w:val="en-US"/>
        </w:rPr>
        <w:tab/>
      </w:r>
      <w:proofErr w:type="spellStart"/>
      <w:proofErr w:type="gramStart"/>
      <w:r w:rsidRPr="00490298">
        <w:rPr>
          <w:sz w:val="16"/>
          <w:szCs w:val="16"/>
          <w:lang w:val="en-US"/>
        </w:rPr>
        <w:t>Sillitoe</w:t>
      </w:r>
      <w:proofErr w:type="spellEnd"/>
      <w:r w:rsidRPr="00490298">
        <w:rPr>
          <w:sz w:val="16"/>
          <w:szCs w:val="16"/>
          <w:lang w:val="en-US"/>
        </w:rPr>
        <w:t xml:space="preserve"> v </w:t>
      </w:r>
      <w:proofErr w:type="spellStart"/>
      <w:r w:rsidRPr="00490298">
        <w:rPr>
          <w:sz w:val="16"/>
          <w:szCs w:val="16"/>
          <w:lang w:val="en-US"/>
        </w:rPr>
        <w:t>McGrawHill</w:t>
      </w:r>
      <w:proofErr w:type="spellEnd"/>
      <w:r w:rsidRPr="00490298">
        <w:rPr>
          <w:sz w:val="16"/>
          <w:szCs w:val="16"/>
          <w:lang w:val="en-US"/>
        </w:rPr>
        <w:t xml:space="preserve"> [1983] FSR 545, 562.</w:t>
      </w:r>
      <w:proofErr w:type="gramEnd"/>
    </w:p>
  </w:footnote>
  <w:footnote w:id="57">
    <w:p w14:paraId="6E7F1157"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r w:rsidRPr="00490298">
        <w:rPr>
          <w:i/>
          <w:sz w:val="16"/>
          <w:szCs w:val="16"/>
        </w:rPr>
        <w:t>Hubbard v Vosper</w:t>
      </w:r>
      <w:r w:rsidRPr="00490298">
        <w:rPr>
          <w:sz w:val="16"/>
          <w:szCs w:val="16"/>
        </w:rPr>
        <w:t xml:space="preserve"> </w:t>
      </w:r>
      <w:r w:rsidRPr="00490298">
        <w:rPr>
          <w:sz w:val="16"/>
          <w:szCs w:val="16"/>
          <w:lang w:eastAsia="en-GB"/>
        </w:rPr>
        <w:t>[1972] 2 Q.B. 84 CA (</w:t>
      </w:r>
      <w:proofErr w:type="spellStart"/>
      <w:r w:rsidRPr="00490298">
        <w:rPr>
          <w:sz w:val="16"/>
          <w:szCs w:val="16"/>
          <w:lang w:eastAsia="en-GB"/>
        </w:rPr>
        <w:t>Civ</w:t>
      </w:r>
      <w:proofErr w:type="spellEnd"/>
      <w:r w:rsidRPr="00490298">
        <w:rPr>
          <w:sz w:val="16"/>
          <w:szCs w:val="16"/>
          <w:lang w:eastAsia="en-GB"/>
        </w:rPr>
        <w:t xml:space="preserve"> </w:t>
      </w:r>
      <w:proofErr w:type="spellStart"/>
      <w:r w:rsidRPr="00490298">
        <w:rPr>
          <w:sz w:val="16"/>
          <w:szCs w:val="16"/>
          <w:lang w:eastAsia="en-GB"/>
        </w:rPr>
        <w:t>Div</w:t>
      </w:r>
      <w:proofErr w:type="spellEnd"/>
      <w:r w:rsidRPr="00490298">
        <w:rPr>
          <w:sz w:val="16"/>
          <w:szCs w:val="16"/>
          <w:lang w:eastAsia="en-GB"/>
        </w:rPr>
        <w:t xml:space="preserve">) </w:t>
      </w:r>
    </w:p>
  </w:footnote>
  <w:footnote w:id="58">
    <w:p w14:paraId="1BC93AEE" w14:textId="0242F2B4"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S. Jacques, ‘Are the new fair dealing provisions an improvement on the previous law, and why?’ </w:t>
      </w:r>
      <w:proofErr w:type="gramStart"/>
      <w:r w:rsidRPr="00490298">
        <w:rPr>
          <w:sz w:val="16"/>
          <w:szCs w:val="16"/>
        </w:rPr>
        <w:t xml:space="preserve">(2015) JIPLP </w:t>
      </w:r>
      <w:r w:rsidR="0021202A">
        <w:rPr>
          <w:sz w:val="16"/>
          <w:szCs w:val="16"/>
        </w:rPr>
        <w:t>701.</w:t>
      </w:r>
      <w:proofErr w:type="gramEnd"/>
    </w:p>
  </w:footnote>
  <w:footnote w:id="59">
    <w:p w14:paraId="52EDAF2B"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For a musical analysis of this mashup and the creative impact of mashups, see K Adams, ‘What did Danger Mouse do? </w:t>
      </w:r>
      <w:proofErr w:type="gramStart"/>
      <w:r w:rsidRPr="00490298">
        <w:rPr>
          <w:sz w:val="16"/>
          <w:szCs w:val="16"/>
        </w:rPr>
        <w:t xml:space="preserve">The Grey Album and musical composition in configurable culture’ (2015) 37(1) </w:t>
      </w:r>
      <w:r w:rsidRPr="00490298">
        <w:rPr>
          <w:i/>
          <w:sz w:val="16"/>
          <w:szCs w:val="16"/>
        </w:rPr>
        <w:t xml:space="preserve">Music Theory Spectrum </w:t>
      </w:r>
      <w:r w:rsidRPr="00490298">
        <w:rPr>
          <w:sz w:val="16"/>
          <w:szCs w:val="16"/>
        </w:rPr>
        <w:t>7.</w:t>
      </w:r>
      <w:proofErr w:type="gramEnd"/>
    </w:p>
  </w:footnote>
  <w:footnote w:id="60">
    <w:p w14:paraId="54DEE821"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ECtHR in </w:t>
      </w:r>
      <w:r w:rsidRPr="00490298">
        <w:rPr>
          <w:i/>
          <w:sz w:val="16"/>
          <w:szCs w:val="16"/>
        </w:rPr>
        <w:t>Robert Ashby Donald and Others v. France</w:t>
      </w:r>
      <w:r w:rsidRPr="00490298">
        <w:rPr>
          <w:sz w:val="16"/>
          <w:szCs w:val="16"/>
        </w:rPr>
        <w:t xml:space="preserve">, Appl. No. 36769/08, judgment of 10 Jan. 2013; ECtHR in </w:t>
      </w:r>
      <w:r w:rsidRPr="00490298">
        <w:rPr>
          <w:i/>
          <w:sz w:val="16"/>
          <w:szCs w:val="16"/>
        </w:rPr>
        <w:t xml:space="preserve">Krone </w:t>
      </w:r>
      <w:proofErr w:type="spellStart"/>
      <w:r w:rsidRPr="00490298">
        <w:rPr>
          <w:i/>
          <w:sz w:val="16"/>
          <w:szCs w:val="16"/>
        </w:rPr>
        <w:t>Verlag</w:t>
      </w:r>
      <w:proofErr w:type="spellEnd"/>
      <w:r w:rsidRPr="00490298">
        <w:rPr>
          <w:i/>
          <w:sz w:val="16"/>
          <w:szCs w:val="16"/>
        </w:rPr>
        <w:t xml:space="preserve"> GmbH &amp; Co KG v. Austria </w:t>
      </w:r>
      <w:r w:rsidRPr="00490298">
        <w:rPr>
          <w:sz w:val="16"/>
          <w:szCs w:val="16"/>
        </w:rPr>
        <w:t>(No. 3) (2006) 42 EHRR 28;</w:t>
      </w:r>
      <w:r w:rsidRPr="00490298">
        <w:rPr>
          <w:i/>
          <w:sz w:val="16"/>
          <w:szCs w:val="16"/>
        </w:rPr>
        <w:t xml:space="preserve"> </w:t>
      </w:r>
      <w:r w:rsidRPr="00490298">
        <w:rPr>
          <w:sz w:val="16"/>
          <w:szCs w:val="16"/>
        </w:rPr>
        <w:t>ECtHR</w:t>
      </w:r>
      <w:r w:rsidRPr="00490298">
        <w:rPr>
          <w:i/>
          <w:sz w:val="16"/>
          <w:szCs w:val="16"/>
        </w:rPr>
        <w:t xml:space="preserve"> </w:t>
      </w:r>
      <w:r w:rsidRPr="00490298">
        <w:rPr>
          <w:sz w:val="16"/>
          <w:szCs w:val="16"/>
        </w:rPr>
        <w:t>in</w:t>
      </w:r>
      <w:r w:rsidRPr="00490298">
        <w:rPr>
          <w:i/>
          <w:sz w:val="16"/>
          <w:szCs w:val="16"/>
        </w:rPr>
        <w:t xml:space="preserve"> </w:t>
      </w:r>
      <w:proofErr w:type="spellStart"/>
      <w:r w:rsidRPr="00490298">
        <w:rPr>
          <w:i/>
          <w:sz w:val="16"/>
          <w:szCs w:val="16"/>
        </w:rPr>
        <w:t>Markt</w:t>
      </w:r>
      <w:proofErr w:type="spellEnd"/>
      <w:r w:rsidRPr="00490298">
        <w:rPr>
          <w:i/>
          <w:sz w:val="16"/>
          <w:szCs w:val="16"/>
        </w:rPr>
        <w:t xml:space="preserve"> Intern </w:t>
      </w:r>
      <w:proofErr w:type="spellStart"/>
      <w:r w:rsidRPr="00490298">
        <w:rPr>
          <w:i/>
          <w:sz w:val="16"/>
          <w:szCs w:val="16"/>
        </w:rPr>
        <w:t>Verlag</w:t>
      </w:r>
      <w:proofErr w:type="spellEnd"/>
      <w:r w:rsidRPr="00490298">
        <w:rPr>
          <w:i/>
          <w:sz w:val="16"/>
          <w:szCs w:val="16"/>
        </w:rPr>
        <w:t xml:space="preserve"> GmbH and Klaus </w:t>
      </w:r>
      <w:proofErr w:type="spellStart"/>
      <w:r w:rsidRPr="00490298">
        <w:rPr>
          <w:i/>
          <w:sz w:val="16"/>
          <w:szCs w:val="16"/>
        </w:rPr>
        <w:t>Beermann</w:t>
      </w:r>
      <w:proofErr w:type="spellEnd"/>
      <w:r w:rsidRPr="00490298">
        <w:rPr>
          <w:i/>
          <w:sz w:val="16"/>
          <w:szCs w:val="16"/>
        </w:rPr>
        <w:t xml:space="preserve"> v. Federal Republic of Germany, </w:t>
      </w:r>
      <w:r w:rsidRPr="00490298">
        <w:rPr>
          <w:sz w:val="16"/>
          <w:szCs w:val="16"/>
        </w:rPr>
        <w:t>No. 10572/83, 20 November 1989.</w:t>
      </w:r>
    </w:p>
  </w:footnote>
  <w:footnote w:id="61">
    <w:p w14:paraId="612E3C64"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r w:rsidRPr="00490298">
        <w:rPr>
          <w:i/>
          <w:sz w:val="16"/>
          <w:szCs w:val="16"/>
        </w:rPr>
        <w:t xml:space="preserve">Hawkes &amp; Son (London) Ltd v Paramount Film Service Ltd </w:t>
      </w:r>
      <w:r w:rsidRPr="00490298">
        <w:rPr>
          <w:sz w:val="16"/>
          <w:szCs w:val="16"/>
        </w:rPr>
        <w:t>[1934] 1 Ch. 593, at 598-602</w:t>
      </w:r>
      <w:r w:rsidRPr="00490298">
        <w:rPr>
          <w:sz w:val="16"/>
          <w:szCs w:val="16"/>
          <w:lang w:val="en-US"/>
        </w:rPr>
        <w:t xml:space="preserve">; </w:t>
      </w:r>
      <w:r w:rsidRPr="00490298">
        <w:rPr>
          <w:sz w:val="16"/>
          <w:szCs w:val="16"/>
          <w:lang w:eastAsia="en-GB"/>
        </w:rPr>
        <w:t xml:space="preserve">Government, H M, ‘Modernising copyright: A modern, robust and flexible framework.’ </w:t>
      </w:r>
      <w:proofErr w:type="gramStart"/>
      <w:r w:rsidRPr="00490298">
        <w:rPr>
          <w:sz w:val="16"/>
          <w:szCs w:val="16"/>
          <w:lang w:eastAsia="en-GB"/>
        </w:rPr>
        <w:t>(2012) p 14</w:t>
      </w:r>
      <w:r w:rsidRPr="00490298">
        <w:rPr>
          <w:sz w:val="16"/>
          <w:szCs w:val="16"/>
          <w:lang w:val="en-US"/>
        </w:rPr>
        <w:t>.</w:t>
      </w:r>
      <w:proofErr w:type="gramEnd"/>
    </w:p>
  </w:footnote>
  <w:footnote w:id="62">
    <w:p w14:paraId="45CFC53C"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gramStart"/>
      <w:r w:rsidRPr="00490298">
        <w:rPr>
          <w:sz w:val="16"/>
          <w:szCs w:val="16"/>
        </w:rPr>
        <w:t>Article 6bis of the Berne Convention for the Protection of Literary and Artistic Works 1886.</w:t>
      </w:r>
      <w:proofErr w:type="gramEnd"/>
      <w:r w:rsidRPr="00490298">
        <w:rPr>
          <w:sz w:val="16"/>
          <w:szCs w:val="16"/>
        </w:rPr>
        <w:t xml:space="preserve"> For more on the sampling and moral rights right after the introduction of moral rights in UK copyright law, see L. </w:t>
      </w:r>
      <w:proofErr w:type="spellStart"/>
      <w:r w:rsidRPr="00490298">
        <w:rPr>
          <w:sz w:val="16"/>
          <w:szCs w:val="16"/>
        </w:rPr>
        <w:t>Bently</w:t>
      </w:r>
      <w:proofErr w:type="spellEnd"/>
      <w:r w:rsidRPr="00490298">
        <w:rPr>
          <w:sz w:val="16"/>
          <w:szCs w:val="16"/>
        </w:rPr>
        <w:t xml:space="preserve">, ‘Sampling and copyright: is the law on the right track? Part 1’ [1989] </w:t>
      </w:r>
      <w:r w:rsidRPr="00490298">
        <w:rPr>
          <w:i/>
          <w:sz w:val="16"/>
          <w:szCs w:val="16"/>
        </w:rPr>
        <w:t>J.B.L</w:t>
      </w:r>
      <w:r w:rsidRPr="00490298">
        <w:rPr>
          <w:sz w:val="16"/>
          <w:szCs w:val="16"/>
        </w:rPr>
        <w:t xml:space="preserve"> 113-125.</w:t>
      </w:r>
    </w:p>
  </w:footnote>
  <w:footnote w:id="63">
    <w:p w14:paraId="5F371BC2" w14:textId="68DFA94C"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lang w:val="fr-BE"/>
        </w:rPr>
        <w:t xml:space="preserve"> </w:t>
      </w:r>
      <w:r w:rsidRPr="00490298">
        <w:rPr>
          <w:sz w:val="16"/>
          <w:szCs w:val="16"/>
          <w:lang w:val="fr-BE"/>
        </w:rPr>
        <w:tab/>
        <w:t xml:space="preserve">Sections 78 &amp; 205D CDPA. Exceptions </w:t>
      </w:r>
      <w:proofErr w:type="spellStart"/>
      <w:r w:rsidRPr="00490298">
        <w:rPr>
          <w:sz w:val="16"/>
          <w:szCs w:val="16"/>
          <w:lang w:val="fr-BE"/>
        </w:rPr>
        <w:t>exist</w:t>
      </w:r>
      <w:proofErr w:type="spellEnd"/>
      <w:r w:rsidRPr="00490298">
        <w:rPr>
          <w:sz w:val="16"/>
          <w:szCs w:val="16"/>
          <w:lang w:val="fr-BE"/>
        </w:rPr>
        <w:t xml:space="preserve">, </w:t>
      </w:r>
      <w:proofErr w:type="spellStart"/>
      <w:r w:rsidRPr="00490298">
        <w:rPr>
          <w:sz w:val="16"/>
          <w:szCs w:val="16"/>
          <w:lang w:val="fr-BE"/>
        </w:rPr>
        <w:t>see</w:t>
      </w:r>
      <w:proofErr w:type="spellEnd"/>
      <w:r w:rsidRPr="00490298">
        <w:rPr>
          <w:sz w:val="16"/>
          <w:szCs w:val="16"/>
          <w:lang w:val="fr-BE"/>
        </w:rPr>
        <w:t xml:space="preserve"> sections 79 &amp; 205E CDPA. </w:t>
      </w:r>
      <w:r w:rsidRPr="00490298">
        <w:rPr>
          <w:sz w:val="16"/>
          <w:szCs w:val="16"/>
        </w:rPr>
        <w:t>For a songwriter or performer, these rights are mostly asserted by way of a standard ‘credit clause’ in their contract with the record label, which typically assigns copyright in their work.</w:t>
      </w:r>
    </w:p>
  </w:footnote>
  <w:footnote w:id="64">
    <w:p w14:paraId="4ECE60C5"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In relation to performers, there are exceptions when it is not reasonably practicable to do so: Section 205C CDPA.</w:t>
      </w:r>
    </w:p>
  </w:footnote>
  <w:footnote w:id="65">
    <w:p w14:paraId="1EE09D56"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lang w:val="fr-BE"/>
        </w:rPr>
        <w:t xml:space="preserve"> </w:t>
      </w:r>
      <w:r w:rsidRPr="00490298">
        <w:rPr>
          <w:sz w:val="16"/>
          <w:szCs w:val="16"/>
          <w:lang w:val="fr-BE"/>
        </w:rPr>
        <w:tab/>
        <w:t xml:space="preserve">Sections 80 &amp; 205F CDPA. </w:t>
      </w:r>
    </w:p>
  </w:footnote>
  <w:footnote w:id="66">
    <w:p w14:paraId="2A00B97F" w14:textId="53E75954"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lang w:val="fr-BE"/>
        </w:rPr>
        <w:t xml:space="preserve"> </w:t>
      </w:r>
      <w:r w:rsidRPr="00490298">
        <w:rPr>
          <w:sz w:val="16"/>
          <w:szCs w:val="16"/>
          <w:lang w:val="fr-BE"/>
        </w:rPr>
        <w:tab/>
        <w:t xml:space="preserve">Section 84 CDPA. This attribution </w:t>
      </w:r>
      <w:proofErr w:type="spellStart"/>
      <w:r w:rsidRPr="00490298">
        <w:rPr>
          <w:sz w:val="16"/>
          <w:szCs w:val="16"/>
          <w:lang w:val="fr-BE"/>
        </w:rPr>
        <w:t>may</w:t>
      </w:r>
      <w:proofErr w:type="spellEnd"/>
      <w:r w:rsidRPr="00490298">
        <w:rPr>
          <w:sz w:val="16"/>
          <w:szCs w:val="16"/>
          <w:lang w:val="fr-BE"/>
        </w:rPr>
        <w:t xml:space="preserve"> </w:t>
      </w:r>
      <w:proofErr w:type="spellStart"/>
      <w:r w:rsidRPr="00490298">
        <w:rPr>
          <w:sz w:val="16"/>
          <w:szCs w:val="16"/>
          <w:lang w:val="fr-BE"/>
        </w:rPr>
        <w:t>be</w:t>
      </w:r>
      <w:proofErr w:type="spellEnd"/>
      <w:r w:rsidRPr="00490298">
        <w:rPr>
          <w:sz w:val="16"/>
          <w:szCs w:val="16"/>
          <w:lang w:val="fr-BE"/>
        </w:rPr>
        <w:t xml:space="preserve"> </w:t>
      </w:r>
      <w:r w:rsidRPr="00490298">
        <w:rPr>
          <w:sz w:val="16"/>
          <w:szCs w:val="16"/>
        </w:rPr>
        <w:t>in writing, orally or even implied</w:t>
      </w:r>
      <w:r w:rsidRPr="00490298">
        <w:rPr>
          <w:sz w:val="16"/>
          <w:szCs w:val="16"/>
          <w:lang w:val="fr-BE"/>
        </w:rPr>
        <w:t>.</w:t>
      </w:r>
    </w:p>
  </w:footnote>
  <w:footnote w:id="67">
    <w:p w14:paraId="78D8FB06"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lang w:val="fr-BE"/>
        </w:rPr>
        <w:t xml:space="preserve"> </w:t>
      </w:r>
      <w:r w:rsidRPr="00490298">
        <w:rPr>
          <w:sz w:val="16"/>
          <w:szCs w:val="16"/>
          <w:lang w:val="fr-BE"/>
        </w:rPr>
        <w:tab/>
        <w:t>Section 94 CDPA.</w:t>
      </w:r>
    </w:p>
  </w:footnote>
  <w:footnote w:id="68">
    <w:p w14:paraId="372316BB"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lang w:val="fr-BE"/>
        </w:rPr>
        <w:t xml:space="preserve"> </w:t>
      </w:r>
      <w:r w:rsidRPr="00490298">
        <w:rPr>
          <w:sz w:val="16"/>
          <w:szCs w:val="16"/>
          <w:lang w:val="fr-BE"/>
        </w:rPr>
        <w:tab/>
        <w:t>Section 87 CDPA.</w:t>
      </w:r>
    </w:p>
  </w:footnote>
  <w:footnote w:id="69">
    <w:p w14:paraId="582BE005"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A. Harrison, </w:t>
      </w:r>
      <w:r w:rsidRPr="00490298">
        <w:rPr>
          <w:i/>
          <w:sz w:val="16"/>
          <w:szCs w:val="16"/>
        </w:rPr>
        <w:t>Music: the business</w:t>
      </w:r>
      <w:r w:rsidRPr="00490298">
        <w:rPr>
          <w:sz w:val="16"/>
          <w:szCs w:val="16"/>
        </w:rPr>
        <w:t xml:space="preserve"> (6</w:t>
      </w:r>
      <w:r w:rsidRPr="00490298">
        <w:rPr>
          <w:sz w:val="16"/>
          <w:szCs w:val="16"/>
          <w:vertAlign w:val="superscript"/>
        </w:rPr>
        <w:t>th</w:t>
      </w:r>
      <w:r w:rsidRPr="00490298">
        <w:rPr>
          <w:sz w:val="16"/>
          <w:szCs w:val="16"/>
        </w:rPr>
        <w:t xml:space="preserve"> ed., Random House, 2014) </w:t>
      </w:r>
      <w:proofErr w:type="spellStart"/>
      <w:r w:rsidRPr="00490298">
        <w:rPr>
          <w:sz w:val="16"/>
          <w:szCs w:val="16"/>
        </w:rPr>
        <w:t>ch</w:t>
      </w:r>
      <w:proofErr w:type="spellEnd"/>
      <w:r w:rsidRPr="00490298">
        <w:rPr>
          <w:sz w:val="16"/>
          <w:szCs w:val="16"/>
        </w:rPr>
        <w:t xml:space="preserve"> 12, p.312.</w:t>
      </w:r>
    </w:p>
  </w:footnote>
  <w:footnote w:id="70">
    <w:p w14:paraId="263E02B9"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Section 80(3) CDPA. See also Burrell R and Coleman A, </w:t>
      </w:r>
      <w:r w:rsidRPr="00490298">
        <w:rPr>
          <w:i/>
          <w:iCs/>
          <w:sz w:val="16"/>
          <w:szCs w:val="16"/>
        </w:rPr>
        <w:t xml:space="preserve">Copyright Exceptions </w:t>
      </w:r>
      <w:proofErr w:type="gramStart"/>
      <w:r w:rsidRPr="00490298">
        <w:rPr>
          <w:i/>
          <w:iCs/>
          <w:sz w:val="16"/>
          <w:szCs w:val="16"/>
        </w:rPr>
        <w:t>The</w:t>
      </w:r>
      <w:proofErr w:type="gramEnd"/>
      <w:r w:rsidRPr="00490298">
        <w:rPr>
          <w:i/>
          <w:iCs/>
          <w:sz w:val="16"/>
          <w:szCs w:val="16"/>
        </w:rPr>
        <w:t xml:space="preserve"> Digital Impact</w:t>
      </w:r>
      <w:r w:rsidRPr="00490298">
        <w:rPr>
          <w:sz w:val="16"/>
          <w:szCs w:val="16"/>
        </w:rPr>
        <w:t xml:space="preserve"> (Cambridge University Press, 2005) 77.</w:t>
      </w:r>
    </w:p>
  </w:footnote>
  <w:footnote w:id="71">
    <w:p w14:paraId="33FB440E"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gramStart"/>
      <w:r w:rsidRPr="00490298">
        <w:rPr>
          <w:sz w:val="16"/>
          <w:szCs w:val="16"/>
        </w:rPr>
        <w:t>[1993] EMLR 144.</w:t>
      </w:r>
      <w:proofErr w:type="gramEnd"/>
    </w:p>
  </w:footnote>
  <w:footnote w:id="72">
    <w:p w14:paraId="0D59BB42"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gramStart"/>
      <w:r w:rsidRPr="00490298">
        <w:rPr>
          <w:i/>
          <w:sz w:val="16"/>
          <w:szCs w:val="16"/>
        </w:rPr>
        <w:t xml:space="preserve">Morrison Leahy Music Ltd v </w:t>
      </w:r>
      <w:proofErr w:type="spellStart"/>
      <w:r w:rsidRPr="00490298">
        <w:rPr>
          <w:i/>
          <w:sz w:val="16"/>
          <w:szCs w:val="16"/>
        </w:rPr>
        <w:t>Lightbond</w:t>
      </w:r>
      <w:proofErr w:type="spellEnd"/>
      <w:r w:rsidRPr="00490298">
        <w:rPr>
          <w:i/>
          <w:sz w:val="16"/>
          <w:szCs w:val="16"/>
        </w:rPr>
        <w:t xml:space="preserve"> Ltd</w:t>
      </w:r>
      <w:r w:rsidRPr="00490298">
        <w:rPr>
          <w:sz w:val="16"/>
          <w:szCs w:val="16"/>
        </w:rPr>
        <w:t xml:space="preserve"> [1993] EMLR 144, 151.</w:t>
      </w:r>
      <w:proofErr w:type="gramEnd"/>
    </w:p>
  </w:footnote>
  <w:footnote w:id="73">
    <w:p w14:paraId="34F8446B"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r w:rsidRPr="00490298">
        <w:rPr>
          <w:i/>
          <w:sz w:val="16"/>
          <w:szCs w:val="16"/>
        </w:rPr>
        <w:t>Confetti Records, Fundamental Records &amp; Andrew Alcee v. Warner Music UK Ltd</w:t>
      </w:r>
      <w:r w:rsidRPr="00490298">
        <w:rPr>
          <w:sz w:val="16"/>
          <w:szCs w:val="16"/>
        </w:rPr>
        <w:t xml:space="preserve"> (t/</w:t>
      </w:r>
      <w:proofErr w:type="gramStart"/>
      <w:r w:rsidRPr="00490298">
        <w:rPr>
          <w:sz w:val="16"/>
          <w:szCs w:val="16"/>
        </w:rPr>
        <w:t>a</w:t>
      </w:r>
      <w:proofErr w:type="gramEnd"/>
      <w:r w:rsidRPr="00490298">
        <w:rPr>
          <w:sz w:val="16"/>
          <w:szCs w:val="16"/>
        </w:rPr>
        <w:t xml:space="preserve"> East West Records) [2003] EWCH 1274 (CH).</w:t>
      </w:r>
    </w:p>
  </w:footnote>
  <w:footnote w:id="74">
    <w:p w14:paraId="33658481"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r w:rsidRPr="00490298">
        <w:rPr>
          <w:i/>
          <w:sz w:val="16"/>
          <w:szCs w:val="16"/>
        </w:rPr>
        <w:t>Confetti Records, Fundamental Records &amp; Andrew Alcee v. Warner Music UK Ltd</w:t>
      </w:r>
      <w:r w:rsidRPr="00490298">
        <w:rPr>
          <w:sz w:val="16"/>
          <w:szCs w:val="16"/>
        </w:rPr>
        <w:t xml:space="preserve"> (t/</w:t>
      </w:r>
      <w:proofErr w:type="gramStart"/>
      <w:r w:rsidRPr="00490298">
        <w:rPr>
          <w:sz w:val="16"/>
          <w:szCs w:val="16"/>
        </w:rPr>
        <w:t>a</w:t>
      </w:r>
      <w:proofErr w:type="gramEnd"/>
      <w:r w:rsidRPr="00490298">
        <w:rPr>
          <w:sz w:val="16"/>
          <w:szCs w:val="16"/>
        </w:rPr>
        <w:t xml:space="preserve"> East West Records) [2003] EWCH 1274 (CH) at [157].</w:t>
      </w:r>
    </w:p>
  </w:footnote>
  <w:footnote w:id="75">
    <w:p w14:paraId="1E1A6A70" w14:textId="1C93CC54"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r w:rsidR="00792932" w:rsidRPr="00490298">
        <w:rPr>
          <w:sz w:val="16"/>
          <w:szCs w:val="16"/>
        </w:rPr>
        <w:t xml:space="preserve">Dealing with cut-away drawing and a modification of colours in </w:t>
      </w:r>
      <w:proofErr w:type="spellStart"/>
      <w:r w:rsidR="00792932" w:rsidRPr="00490298">
        <w:rPr>
          <w:rStyle w:val="legds"/>
          <w:rFonts w:cs="Arial"/>
          <w:i/>
          <w:sz w:val="16"/>
          <w:szCs w:val="16"/>
        </w:rPr>
        <w:t>Pasterfield</w:t>
      </w:r>
      <w:proofErr w:type="spellEnd"/>
      <w:r w:rsidR="00792932" w:rsidRPr="00490298">
        <w:rPr>
          <w:rStyle w:val="legds"/>
          <w:rFonts w:cs="Arial"/>
          <w:i/>
          <w:sz w:val="16"/>
          <w:szCs w:val="16"/>
        </w:rPr>
        <w:t xml:space="preserve"> v Denham [1999] FSR 168</w:t>
      </w:r>
      <w:r w:rsidR="00792932" w:rsidRPr="00490298">
        <w:rPr>
          <w:rStyle w:val="legds"/>
          <w:rFonts w:cs="Arial"/>
          <w:sz w:val="16"/>
          <w:szCs w:val="16"/>
        </w:rPr>
        <w:t xml:space="preserve">, Justice </w:t>
      </w:r>
      <w:proofErr w:type="spellStart"/>
      <w:r w:rsidR="00792932" w:rsidRPr="00490298">
        <w:rPr>
          <w:rStyle w:val="legds"/>
          <w:rFonts w:cs="Arial"/>
          <w:sz w:val="16"/>
          <w:szCs w:val="16"/>
        </w:rPr>
        <w:t>Overend</w:t>
      </w:r>
      <w:proofErr w:type="spellEnd"/>
      <w:r w:rsidR="00792932" w:rsidRPr="00490298">
        <w:rPr>
          <w:rStyle w:val="legds"/>
          <w:rFonts w:cs="Arial"/>
          <w:sz w:val="16"/>
          <w:szCs w:val="16"/>
        </w:rPr>
        <w:t xml:space="preserve"> was convinced that the alteration amounted to a treatment as understood under section 80 but was less convinced that this treatment was derogatory ([1999] FSR 168, 183). As such, colour variations do not affect the honour or the reputation of the original artist. Similar approach was adopted in </w:t>
      </w:r>
      <w:r w:rsidR="00792932" w:rsidRPr="00490298">
        <w:rPr>
          <w:rStyle w:val="legds"/>
          <w:rFonts w:cs="Arial"/>
          <w:i/>
          <w:sz w:val="16"/>
          <w:szCs w:val="16"/>
        </w:rPr>
        <w:t>Tidy v Trustees of the national history museum</w:t>
      </w:r>
      <w:r w:rsidR="00792932" w:rsidRPr="00490298">
        <w:rPr>
          <w:i/>
          <w:sz w:val="16"/>
          <w:szCs w:val="16"/>
        </w:rPr>
        <w:t xml:space="preserve"> </w:t>
      </w:r>
      <w:r w:rsidR="00792932" w:rsidRPr="00490298">
        <w:rPr>
          <w:rStyle w:val="legds"/>
          <w:rFonts w:cs="Arial"/>
          <w:sz w:val="16"/>
          <w:szCs w:val="16"/>
        </w:rPr>
        <w:t>[1995] 39 IPR 501 in relation to miniature representations of works where the court held that reduced reproductions of protected works does not harm the reputation or honour of the artist</w:t>
      </w:r>
      <w:r w:rsidR="00792932" w:rsidRPr="00490298">
        <w:rPr>
          <w:sz w:val="16"/>
          <w:szCs w:val="16"/>
        </w:rPr>
        <w:t xml:space="preserve"> </w:t>
      </w:r>
      <w:r w:rsidR="00792932" w:rsidRPr="00490298">
        <w:rPr>
          <w:rStyle w:val="legds"/>
          <w:rFonts w:cs="Arial"/>
          <w:sz w:val="16"/>
          <w:szCs w:val="16"/>
        </w:rPr>
        <w:t>[1995] 39 IPR 501, 504.</w:t>
      </w:r>
    </w:p>
  </w:footnote>
  <w:footnote w:id="76">
    <w:p w14:paraId="79B8A13B" w14:textId="77777777" w:rsidR="00680FB4" w:rsidRPr="00490298" w:rsidRDefault="00680FB4" w:rsidP="00490298">
      <w:pPr>
        <w:pStyle w:val="Heading2"/>
        <w:shd w:val="clear" w:color="auto" w:fill="FFFFFF"/>
        <w:spacing w:before="0"/>
        <w:jc w:val="both"/>
        <w:rPr>
          <w:rFonts w:ascii="Verdana" w:hAnsi="Verdana"/>
          <w:sz w:val="16"/>
          <w:szCs w:val="16"/>
        </w:rPr>
      </w:pPr>
      <w:r w:rsidRPr="00490298">
        <w:rPr>
          <w:rStyle w:val="FootnoteReference"/>
          <w:rFonts w:ascii="Verdana" w:hAnsi="Verdana"/>
          <w:b w:val="0"/>
          <w:color w:val="auto"/>
          <w:sz w:val="16"/>
          <w:szCs w:val="16"/>
        </w:rPr>
        <w:footnoteRef/>
      </w:r>
      <w:r w:rsidRPr="00490298">
        <w:rPr>
          <w:rFonts w:ascii="Verdana" w:hAnsi="Verdana"/>
          <w:b w:val="0"/>
          <w:color w:val="auto"/>
          <w:sz w:val="16"/>
          <w:szCs w:val="16"/>
        </w:rPr>
        <w:t xml:space="preserve"> </w:t>
      </w:r>
      <w:r w:rsidRPr="00490298">
        <w:rPr>
          <w:rFonts w:ascii="Verdana" w:hAnsi="Verdana"/>
          <w:b w:val="0"/>
          <w:color w:val="auto"/>
          <w:sz w:val="16"/>
          <w:szCs w:val="16"/>
        </w:rPr>
        <w:tab/>
        <w:t>See also</w:t>
      </w:r>
      <w:r w:rsidRPr="00490298">
        <w:rPr>
          <w:rFonts w:ascii="Verdana" w:hAnsi="Verdana"/>
          <w:b w:val="0"/>
          <w:i/>
          <w:color w:val="auto"/>
          <w:sz w:val="16"/>
          <w:szCs w:val="16"/>
        </w:rPr>
        <w:t xml:space="preserve"> </w:t>
      </w:r>
      <w:r w:rsidRPr="00490298">
        <w:rPr>
          <w:rFonts w:ascii="Verdana" w:hAnsi="Verdana"/>
          <w:b w:val="0"/>
          <w:i/>
          <w:color w:val="auto"/>
          <w:kern w:val="36"/>
          <w:sz w:val="16"/>
          <w:szCs w:val="16"/>
          <w:lang w:eastAsia="en-GB"/>
        </w:rPr>
        <w:t xml:space="preserve">John P Harrison v John D Harrison, Michael C Harrison t/a Streetwise Publications –and– Mark </w:t>
      </w:r>
      <w:proofErr w:type="spellStart"/>
      <w:r w:rsidRPr="00490298">
        <w:rPr>
          <w:rFonts w:ascii="Verdana" w:hAnsi="Verdana"/>
          <w:b w:val="0"/>
          <w:i/>
          <w:color w:val="auto"/>
          <w:kern w:val="36"/>
          <w:sz w:val="16"/>
          <w:szCs w:val="16"/>
          <w:lang w:eastAsia="en-GB"/>
        </w:rPr>
        <w:t>Hempshell</w:t>
      </w:r>
      <w:proofErr w:type="spellEnd"/>
      <w:r w:rsidRPr="00490298">
        <w:rPr>
          <w:rFonts w:ascii="Verdana" w:hAnsi="Verdana"/>
          <w:b w:val="0"/>
          <w:color w:val="auto"/>
          <w:kern w:val="36"/>
          <w:sz w:val="16"/>
          <w:szCs w:val="16"/>
          <w:lang w:eastAsia="en-GB"/>
        </w:rPr>
        <w:t xml:space="preserve"> </w:t>
      </w:r>
      <w:r w:rsidRPr="00490298">
        <w:rPr>
          <w:rFonts w:ascii="Verdana" w:hAnsi="Verdana"/>
          <w:b w:val="0"/>
          <w:color w:val="auto"/>
          <w:sz w:val="16"/>
          <w:szCs w:val="16"/>
        </w:rPr>
        <w:t>[2010] EWPCC 3, 2010 WL 1990649, at [84-85].</w:t>
      </w:r>
    </w:p>
  </w:footnote>
  <w:footnote w:id="77">
    <w:p w14:paraId="70437303"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Sainsbury M, ‘Parody, Satire, Honour and Reputation: The Interplay between Economic and Moral Rights’ (2007) 18 </w:t>
      </w:r>
      <w:r w:rsidRPr="00490298">
        <w:rPr>
          <w:i/>
          <w:sz w:val="16"/>
          <w:szCs w:val="16"/>
        </w:rPr>
        <w:t xml:space="preserve">Australian Intellectual Property </w:t>
      </w:r>
      <w:proofErr w:type="gramStart"/>
      <w:r w:rsidRPr="00490298">
        <w:rPr>
          <w:i/>
          <w:sz w:val="16"/>
          <w:szCs w:val="16"/>
        </w:rPr>
        <w:t>Journal</w:t>
      </w:r>
      <w:proofErr w:type="gramEnd"/>
      <w:r w:rsidRPr="00490298">
        <w:rPr>
          <w:sz w:val="16"/>
          <w:szCs w:val="16"/>
        </w:rPr>
        <w:t xml:space="preserve"> 149, 163.</w:t>
      </w:r>
    </w:p>
  </w:footnote>
  <w:footnote w:id="78">
    <w:p w14:paraId="2BE96FF8"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First ownership of copyright: section 11 CDPA 1988.</w:t>
      </w:r>
    </w:p>
  </w:footnote>
  <w:footnote w:id="79">
    <w:p w14:paraId="357945C6"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Section 9(1) CDPA.</w:t>
      </w:r>
    </w:p>
  </w:footnote>
  <w:footnote w:id="80">
    <w:p w14:paraId="08769E1E"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Section 9(2</w:t>
      </w:r>
      <w:proofErr w:type="gramStart"/>
      <w:r w:rsidRPr="00490298">
        <w:rPr>
          <w:sz w:val="16"/>
          <w:szCs w:val="16"/>
        </w:rPr>
        <w:t>)(</w:t>
      </w:r>
      <w:proofErr w:type="gramEnd"/>
      <w:r w:rsidRPr="00490298">
        <w:rPr>
          <w:sz w:val="16"/>
          <w:szCs w:val="16"/>
        </w:rPr>
        <w:t>aa) CDPA 1988.</w:t>
      </w:r>
    </w:p>
  </w:footnote>
  <w:footnote w:id="81">
    <w:p w14:paraId="499C8890"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Yet, if the writers in the musical composition retained creative control in the use of sample of their work, the user alluring to sample will have to get consent from them too.</w:t>
      </w:r>
    </w:p>
  </w:footnote>
  <w:footnote w:id="82">
    <w:p w14:paraId="152FE7D6"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A. Harrison, </w:t>
      </w:r>
      <w:r w:rsidRPr="00490298">
        <w:rPr>
          <w:i/>
          <w:sz w:val="16"/>
          <w:szCs w:val="16"/>
        </w:rPr>
        <w:t>Music: the business</w:t>
      </w:r>
      <w:r w:rsidRPr="00490298">
        <w:rPr>
          <w:sz w:val="16"/>
          <w:szCs w:val="16"/>
        </w:rPr>
        <w:t xml:space="preserve"> (6</w:t>
      </w:r>
      <w:r w:rsidRPr="00490298">
        <w:rPr>
          <w:sz w:val="16"/>
          <w:szCs w:val="16"/>
          <w:vertAlign w:val="superscript"/>
        </w:rPr>
        <w:t>th</w:t>
      </w:r>
      <w:r w:rsidRPr="00490298">
        <w:rPr>
          <w:sz w:val="16"/>
          <w:szCs w:val="16"/>
        </w:rPr>
        <w:t xml:space="preserve"> ed., Random House, 2014) 73-89; </w:t>
      </w:r>
      <w:proofErr w:type="spellStart"/>
      <w:r w:rsidRPr="00490298">
        <w:rPr>
          <w:sz w:val="16"/>
          <w:szCs w:val="16"/>
        </w:rPr>
        <w:t>Kretschmer</w:t>
      </w:r>
      <w:proofErr w:type="spellEnd"/>
      <w:r w:rsidRPr="00490298">
        <w:rPr>
          <w:sz w:val="16"/>
          <w:szCs w:val="16"/>
        </w:rPr>
        <w:t xml:space="preserve"> M, </w:t>
      </w:r>
      <w:proofErr w:type="spellStart"/>
      <w:r w:rsidRPr="00490298">
        <w:rPr>
          <w:sz w:val="16"/>
          <w:szCs w:val="16"/>
        </w:rPr>
        <w:t>Klimis</w:t>
      </w:r>
      <w:proofErr w:type="spellEnd"/>
      <w:r w:rsidRPr="00490298">
        <w:rPr>
          <w:sz w:val="16"/>
          <w:szCs w:val="16"/>
        </w:rPr>
        <w:t xml:space="preserve"> GM and Wallis R, ‘The Changing Location of Intellectual Property Rights in Music: A Study of Music Publishers, Collecting Societies and Media Conglomerates’ (1999) 17 </w:t>
      </w:r>
      <w:r w:rsidRPr="00490298">
        <w:rPr>
          <w:i/>
          <w:sz w:val="16"/>
          <w:szCs w:val="16"/>
        </w:rPr>
        <w:t>Prometheus: Critical Studies in Innovation</w:t>
      </w:r>
      <w:r w:rsidRPr="00490298">
        <w:rPr>
          <w:sz w:val="16"/>
          <w:szCs w:val="16"/>
        </w:rPr>
        <w:t xml:space="preserve"> 178; Greenfield and Osborn, ‘Copyright and Power in the Music Industry’ in Frith and Marshall (</w:t>
      </w:r>
      <w:proofErr w:type="spellStart"/>
      <w:r w:rsidRPr="00490298">
        <w:rPr>
          <w:sz w:val="16"/>
          <w:szCs w:val="16"/>
        </w:rPr>
        <w:t>eds</w:t>
      </w:r>
      <w:proofErr w:type="spellEnd"/>
      <w:r w:rsidRPr="00490298">
        <w:rPr>
          <w:sz w:val="16"/>
          <w:szCs w:val="16"/>
        </w:rPr>
        <w:t xml:space="preserve">) </w:t>
      </w:r>
      <w:r w:rsidRPr="00490298">
        <w:rPr>
          <w:i/>
          <w:sz w:val="16"/>
          <w:szCs w:val="16"/>
        </w:rPr>
        <w:t>Music and Copyright</w:t>
      </w:r>
      <w:r w:rsidRPr="00490298">
        <w:rPr>
          <w:sz w:val="16"/>
          <w:szCs w:val="16"/>
        </w:rPr>
        <w:t xml:space="preserve"> (Edinburgh University Press, 2</w:t>
      </w:r>
      <w:r w:rsidRPr="00490298">
        <w:rPr>
          <w:sz w:val="16"/>
          <w:szCs w:val="16"/>
          <w:vertAlign w:val="superscript"/>
        </w:rPr>
        <w:t>nd</w:t>
      </w:r>
      <w:r w:rsidRPr="00490298">
        <w:rPr>
          <w:sz w:val="16"/>
          <w:szCs w:val="16"/>
        </w:rPr>
        <w:t xml:space="preserve"> ed., 2009) 96.</w:t>
      </w:r>
    </w:p>
  </w:footnote>
  <w:footnote w:id="83">
    <w:p w14:paraId="4680D696" w14:textId="77777777" w:rsidR="00CD6C5E" w:rsidRPr="00490298" w:rsidRDefault="00CD6C5E"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Permission from the right-holder of the sound recording is needed even if the sampler intends to re-record the sample, since section 17(2) CDPA defines unauthorised copying in terms which cover a direct or indirect reproduction.</w:t>
      </w:r>
    </w:p>
  </w:footnote>
  <w:footnote w:id="84">
    <w:p w14:paraId="7C811AB0"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This is where the artist Scanner draws essentially his samples from. K. </w:t>
      </w:r>
      <w:proofErr w:type="spellStart"/>
      <w:r w:rsidRPr="00490298">
        <w:rPr>
          <w:sz w:val="16"/>
          <w:szCs w:val="16"/>
        </w:rPr>
        <w:t>Mcleod</w:t>
      </w:r>
      <w:proofErr w:type="spellEnd"/>
      <w:r w:rsidRPr="00490298">
        <w:rPr>
          <w:sz w:val="16"/>
          <w:szCs w:val="16"/>
        </w:rPr>
        <w:t xml:space="preserve"> &amp; P. </w:t>
      </w:r>
      <w:proofErr w:type="spellStart"/>
      <w:r w:rsidRPr="00490298">
        <w:rPr>
          <w:sz w:val="16"/>
          <w:szCs w:val="16"/>
        </w:rPr>
        <w:t>Dicola</w:t>
      </w:r>
      <w:proofErr w:type="spellEnd"/>
      <w:r w:rsidRPr="00490298">
        <w:rPr>
          <w:i/>
          <w:sz w:val="16"/>
          <w:szCs w:val="16"/>
        </w:rPr>
        <w:t>, Creative License:</w:t>
      </w:r>
      <w:r w:rsidRPr="00490298">
        <w:rPr>
          <w:sz w:val="16"/>
          <w:szCs w:val="16"/>
        </w:rPr>
        <w:t xml:space="preserve"> </w:t>
      </w:r>
      <w:r w:rsidRPr="00490298">
        <w:rPr>
          <w:i/>
          <w:sz w:val="16"/>
          <w:szCs w:val="16"/>
        </w:rPr>
        <w:t>The law and culture of digital sampling</w:t>
      </w:r>
      <w:r w:rsidRPr="00490298">
        <w:rPr>
          <w:sz w:val="16"/>
          <w:szCs w:val="16"/>
        </w:rPr>
        <w:t xml:space="preserve"> (Duke University Press, 2011) 157.</w:t>
      </w:r>
    </w:p>
  </w:footnote>
  <w:footnote w:id="85">
    <w:p w14:paraId="4D3BC014" w14:textId="12874439" w:rsidR="00D43691" w:rsidRPr="00490298" w:rsidRDefault="00D43691"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r>
      <w:proofErr w:type="gramStart"/>
      <w:r w:rsidRPr="00490298">
        <w:rPr>
          <w:sz w:val="16"/>
          <w:szCs w:val="16"/>
        </w:rPr>
        <w:t>Expanding the subject-matter eligible for protection, the scope of protection and the duration of copyright itself.</w:t>
      </w:r>
      <w:proofErr w:type="gramEnd"/>
      <w:r w:rsidRPr="00490298">
        <w:rPr>
          <w:sz w:val="16"/>
          <w:szCs w:val="16"/>
        </w:rPr>
        <w:t xml:space="preserve"> Carroll M, ‘Struggle for Music Copyright’ (2005) 57 </w:t>
      </w:r>
      <w:r w:rsidRPr="00490298">
        <w:rPr>
          <w:i/>
          <w:sz w:val="16"/>
          <w:szCs w:val="16"/>
        </w:rPr>
        <w:t>Florida Law Review</w:t>
      </w:r>
      <w:r w:rsidRPr="00490298">
        <w:rPr>
          <w:sz w:val="16"/>
          <w:szCs w:val="16"/>
        </w:rPr>
        <w:t xml:space="preserve"> 919.</w:t>
      </w:r>
    </w:p>
  </w:footnote>
  <w:footnote w:id="86">
    <w:p w14:paraId="7FE9D236"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K. </w:t>
      </w:r>
      <w:proofErr w:type="spellStart"/>
      <w:r w:rsidRPr="00490298">
        <w:rPr>
          <w:sz w:val="16"/>
          <w:szCs w:val="16"/>
        </w:rPr>
        <w:t>Mcleod</w:t>
      </w:r>
      <w:proofErr w:type="spellEnd"/>
      <w:r w:rsidRPr="00490298">
        <w:rPr>
          <w:sz w:val="16"/>
          <w:szCs w:val="16"/>
        </w:rPr>
        <w:t xml:space="preserve"> &amp; P. </w:t>
      </w:r>
      <w:proofErr w:type="spellStart"/>
      <w:r w:rsidRPr="00490298">
        <w:rPr>
          <w:sz w:val="16"/>
          <w:szCs w:val="16"/>
        </w:rPr>
        <w:t>Dicola</w:t>
      </w:r>
      <w:proofErr w:type="spellEnd"/>
      <w:r w:rsidRPr="00490298">
        <w:rPr>
          <w:i/>
          <w:sz w:val="16"/>
          <w:szCs w:val="16"/>
        </w:rPr>
        <w:t>, Creative License:</w:t>
      </w:r>
      <w:r w:rsidRPr="00490298">
        <w:rPr>
          <w:sz w:val="16"/>
          <w:szCs w:val="16"/>
        </w:rPr>
        <w:t xml:space="preserve"> </w:t>
      </w:r>
      <w:r w:rsidRPr="00490298">
        <w:rPr>
          <w:i/>
          <w:sz w:val="16"/>
          <w:szCs w:val="16"/>
        </w:rPr>
        <w:t>The law and culture of digital sampling</w:t>
      </w:r>
      <w:r w:rsidRPr="00490298">
        <w:rPr>
          <w:sz w:val="16"/>
          <w:szCs w:val="16"/>
        </w:rPr>
        <w:t xml:space="preserve"> (Duke University Press, 2011) 220.</w:t>
      </w:r>
    </w:p>
  </w:footnote>
  <w:footnote w:id="87">
    <w:p w14:paraId="4832609F"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K. </w:t>
      </w:r>
      <w:proofErr w:type="spellStart"/>
      <w:r w:rsidRPr="00490298">
        <w:rPr>
          <w:sz w:val="16"/>
          <w:szCs w:val="16"/>
        </w:rPr>
        <w:t>Mcleod</w:t>
      </w:r>
      <w:proofErr w:type="spellEnd"/>
      <w:r w:rsidRPr="00490298">
        <w:rPr>
          <w:sz w:val="16"/>
          <w:szCs w:val="16"/>
        </w:rPr>
        <w:t xml:space="preserve"> &amp; P. </w:t>
      </w:r>
      <w:proofErr w:type="spellStart"/>
      <w:r w:rsidRPr="00490298">
        <w:rPr>
          <w:sz w:val="16"/>
          <w:szCs w:val="16"/>
        </w:rPr>
        <w:t>Dicola</w:t>
      </w:r>
      <w:proofErr w:type="spellEnd"/>
      <w:r w:rsidRPr="00490298">
        <w:rPr>
          <w:i/>
          <w:sz w:val="16"/>
          <w:szCs w:val="16"/>
        </w:rPr>
        <w:t>, Creative License:</w:t>
      </w:r>
      <w:r w:rsidRPr="00490298">
        <w:rPr>
          <w:sz w:val="16"/>
          <w:szCs w:val="16"/>
        </w:rPr>
        <w:t xml:space="preserve"> </w:t>
      </w:r>
      <w:r w:rsidRPr="00490298">
        <w:rPr>
          <w:i/>
          <w:sz w:val="16"/>
          <w:szCs w:val="16"/>
        </w:rPr>
        <w:t>The law and culture of digital sampling</w:t>
      </w:r>
      <w:r w:rsidRPr="00490298">
        <w:rPr>
          <w:sz w:val="16"/>
          <w:szCs w:val="16"/>
        </w:rPr>
        <w:t xml:space="preserve"> (Duke University Press, 2011) 234.</w:t>
      </w:r>
    </w:p>
  </w:footnote>
  <w:footnote w:id="88">
    <w:p w14:paraId="4FB1891B"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http://www.sampleclearance.com/</w:t>
      </w:r>
    </w:p>
  </w:footnote>
  <w:footnote w:id="89">
    <w:p w14:paraId="68E5A660"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Beta version can be accessed at http://www.copyrighthub.co.uk/</w:t>
      </w:r>
    </w:p>
  </w:footnote>
  <w:footnote w:id="90">
    <w:p w14:paraId="4D2C9B59"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Hargreaves I, ‘Digital Opportunity: A Review of Intellectual Property and Growth’ (2011) 33.</w:t>
      </w:r>
    </w:p>
  </w:footnote>
  <w:footnote w:id="91">
    <w:p w14:paraId="130D7B4E" w14:textId="65DBC67F" w:rsidR="006E2E7F" w:rsidRPr="00490298" w:rsidRDefault="006E2E7F"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Right-holders are able to set up a relatively simple licensing menu, which sets a fee depending upon the type of use and length of use. </w:t>
      </w:r>
    </w:p>
  </w:footnote>
  <w:footnote w:id="92">
    <w:p w14:paraId="43508371" w14:textId="77777777" w:rsidR="00680FB4" w:rsidRPr="00490298" w:rsidRDefault="00680FB4"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A suggestion is to allow songwriters and right-holders to be able to license for 100% of the song irrelevantly of whether they only own part of the song. Similarly to the current proposal from the US Department of Justice: see </w:t>
      </w:r>
      <w:hyperlink r:id="rId3" w:history="1">
        <w:r w:rsidRPr="00490298">
          <w:rPr>
            <w:rStyle w:val="Hyperlink"/>
            <w:sz w:val="16"/>
            <w:szCs w:val="16"/>
          </w:rPr>
          <w:t>http://www.billboard.com/articles/business/6649208/the-dept-of-justice-said-to-be-considering-a-baffling-new-rule-change-for</w:t>
        </w:r>
      </w:hyperlink>
      <w:r w:rsidRPr="00490298">
        <w:rPr>
          <w:sz w:val="16"/>
          <w:szCs w:val="16"/>
        </w:rPr>
        <w:t xml:space="preserve"> (last accessed on 07/08/2015)</w:t>
      </w:r>
    </w:p>
  </w:footnote>
  <w:footnote w:id="93">
    <w:p w14:paraId="5ED2BD31" w14:textId="78AF7DB1" w:rsidR="002B7868" w:rsidRPr="00490298" w:rsidRDefault="002B7868" w:rsidP="00490298">
      <w:pPr>
        <w:pStyle w:val="FootnoteText"/>
        <w:jc w:val="both"/>
        <w:rPr>
          <w:sz w:val="16"/>
          <w:szCs w:val="16"/>
        </w:rPr>
      </w:pPr>
      <w:r w:rsidRPr="00490298">
        <w:rPr>
          <w:rStyle w:val="FootnoteReference"/>
          <w:sz w:val="16"/>
          <w:szCs w:val="16"/>
        </w:rPr>
        <w:footnoteRef/>
      </w:r>
      <w:r w:rsidRPr="00490298">
        <w:rPr>
          <w:sz w:val="16"/>
          <w:szCs w:val="16"/>
        </w:rPr>
        <w:t xml:space="preserve"> </w:t>
      </w:r>
      <w:r w:rsidRPr="00490298">
        <w:rPr>
          <w:sz w:val="16"/>
          <w:szCs w:val="16"/>
        </w:rPr>
        <w:tab/>
        <w:t xml:space="preserve">Like the birth of Hip-Hop, Jazz and Blues musical genres. See L </w:t>
      </w:r>
      <w:proofErr w:type="spellStart"/>
      <w:proofErr w:type="gramStart"/>
      <w:r w:rsidRPr="00490298">
        <w:rPr>
          <w:sz w:val="16"/>
          <w:szCs w:val="16"/>
        </w:rPr>
        <w:t>McDonagh</w:t>
      </w:r>
      <w:proofErr w:type="spellEnd"/>
      <w:r w:rsidRPr="00490298">
        <w:rPr>
          <w:sz w:val="16"/>
          <w:szCs w:val="16"/>
        </w:rPr>
        <w:t>,</w:t>
      </w:r>
      <w:proofErr w:type="gramEnd"/>
      <w:r w:rsidRPr="00490298">
        <w:rPr>
          <w:sz w:val="16"/>
          <w:szCs w:val="16"/>
        </w:rPr>
        <w:t xml:space="preserve"> “Is the Creative Use of Musical Works without a Licence Acceptable under Copyright Law?” (2012) 43 </w:t>
      </w:r>
      <w:r w:rsidRPr="00490298">
        <w:rPr>
          <w:i/>
          <w:sz w:val="16"/>
          <w:szCs w:val="16"/>
        </w:rPr>
        <w:t>International Review of Intellectual Property and Competition Law</w:t>
      </w:r>
      <w:r w:rsidRPr="00490298">
        <w:rPr>
          <w:sz w:val="16"/>
          <w:szCs w:val="16"/>
        </w:rPr>
        <w:t xml:space="preserve"> 401, 403; I Monson, ‘</w:t>
      </w:r>
      <w:proofErr w:type="spellStart"/>
      <w:r w:rsidRPr="00490298">
        <w:rPr>
          <w:sz w:val="16"/>
          <w:szCs w:val="16"/>
        </w:rPr>
        <w:t>Doubleness</w:t>
      </w:r>
      <w:proofErr w:type="spellEnd"/>
      <w:r w:rsidRPr="00490298">
        <w:rPr>
          <w:sz w:val="16"/>
          <w:szCs w:val="16"/>
        </w:rPr>
        <w:t xml:space="preserve"> and Jazz Improvisation: Irony, Parody and Ethnomusicology’ (1994) 20(2) </w:t>
      </w:r>
      <w:r w:rsidRPr="00490298">
        <w:rPr>
          <w:i/>
          <w:sz w:val="16"/>
          <w:szCs w:val="16"/>
        </w:rPr>
        <w:t>Critical Inquiry</w:t>
      </w:r>
      <w:r w:rsidRPr="00490298">
        <w:rPr>
          <w:sz w:val="16"/>
          <w:szCs w:val="16"/>
        </w:rPr>
        <w:t xml:space="preserve"> 283, 283-292.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4FB7" w14:textId="77777777" w:rsidR="00680FB4" w:rsidRDefault="00680FB4">
    <w:pPr>
      <w:pStyle w:val="Header"/>
    </w:pPr>
    <w:r>
      <w:t xml:space="preserve">Draft for the </w:t>
    </w:r>
    <w:r w:rsidRPr="00D12672">
      <w:rPr>
        <w:i/>
      </w:rPr>
      <w:t>Entertainment Law Review</w:t>
    </w:r>
    <w:r>
      <w:t xml:space="preserve"> (Sweet &amp; Maxwell)</w:t>
    </w:r>
  </w:p>
  <w:p w14:paraId="6332DB45" w14:textId="77777777" w:rsidR="00680FB4" w:rsidRDefault="00680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2AA5"/>
    <w:multiLevelType w:val="hybridMultilevel"/>
    <w:tmpl w:val="BB0C648C"/>
    <w:lvl w:ilvl="0" w:tplc="882EEF16">
      <w:start w:val="1"/>
      <w:numFmt w:val="lowerLetter"/>
      <w:lvlText w:val="(%1)"/>
      <w:lvlJc w:val="left"/>
      <w:pPr>
        <w:ind w:left="360" w:hanging="360"/>
      </w:pPr>
      <w:rPr>
        <w:rFonts w:eastAsia="Times New Roman" w:cs="Aria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3D257809"/>
    <w:multiLevelType w:val="multilevel"/>
    <w:tmpl w:val="E63AC54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Verdana" w:eastAsia="Times New Roman" w:hAnsi="Verdana"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91263B"/>
    <w:multiLevelType w:val="hybridMultilevel"/>
    <w:tmpl w:val="6EBEE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452A93"/>
    <w:multiLevelType w:val="multilevel"/>
    <w:tmpl w:val="FB92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17E3E"/>
    <w:multiLevelType w:val="multilevel"/>
    <w:tmpl w:val="ED08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1F"/>
    <w:rsid w:val="00000546"/>
    <w:rsid w:val="00002948"/>
    <w:rsid w:val="00025F63"/>
    <w:rsid w:val="0003114C"/>
    <w:rsid w:val="00035BA4"/>
    <w:rsid w:val="00037ABD"/>
    <w:rsid w:val="00042EDC"/>
    <w:rsid w:val="000446A2"/>
    <w:rsid w:val="00046B40"/>
    <w:rsid w:val="00066197"/>
    <w:rsid w:val="00074AA3"/>
    <w:rsid w:val="00076AB9"/>
    <w:rsid w:val="00076F48"/>
    <w:rsid w:val="00077E3D"/>
    <w:rsid w:val="000B5D3D"/>
    <w:rsid w:val="000E13C8"/>
    <w:rsid w:val="000E426A"/>
    <w:rsid w:val="000E77D5"/>
    <w:rsid w:val="0011376D"/>
    <w:rsid w:val="00120597"/>
    <w:rsid w:val="00126B05"/>
    <w:rsid w:val="00136883"/>
    <w:rsid w:val="00144949"/>
    <w:rsid w:val="0015204D"/>
    <w:rsid w:val="0016137D"/>
    <w:rsid w:val="00162AF7"/>
    <w:rsid w:val="00163932"/>
    <w:rsid w:val="00166B0D"/>
    <w:rsid w:val="00166EF4"/>
    <w:rsid w:val="0017502D"/>
    <w:rsid w:val="001778E5"/>
    <w:rsid w:val="001839BA"/>
    <w:rsid w:val="001940E5"/>
    <w:rsid w:val="0019756C"/>
    <w:rsid w:val="001A1CEC"/>
    <w:rsid w:val="001A2B81"/>
    <w:rsid w:val="001B18CA"/>
    <w:rsid w:val="001B1E99"/>
    <w:rsid w:val="001B245F"/>
    <w:rsid w:val="001B64E4"/>
    <w:rsid w:val="001B71D3"/>
    <w:rsid w:val="001B74E1"/>
    <w:rsid w:val="001C5A1C"/>
    <w:rsid w:val="001D46BD"/>
    <w:rsid w:val="001E3E20"/>
    <w:rsid w:val="001E722D"/>
    <w:rsid w:val="00204934"/>
    <w:rsid w:val="00205720"/>
    <w:rsid w:val="00206D85"/>
    <w:rsid w:val="0021202A"/>
    <w:rsid w:val="00223108"/>
    <w:rsid w:val="00223C8C"/>
    <w:rsid w:val="00237718"/>
    <w:rsid w:val="00243C6B"/>
    <w:rsid w:val="002552BC"/>
    <w:rsid w:val="0026760D"/>
    <w:rsid w:val="00282557"/>
    <w:rsid w:val="0028530B"/>
    <w:rsid w:val="00297CA0"/>
    <w:rsid w:val="002A137F"/>
    <w:rsid w:val="002A6EE2"/>
    <w:rsid w:val="002B27FA"/>
    <w:rsid w:val="002B7868"/>
    <w:rsid w:val="002B7AC8"/>
    <w:rsid w:val="002C0122"/>
    <w:rsid w:val="002E0A04"/>
    <w:rsid w:val="002E1BF6"/>
    <w:rsid w:val="002E3E57"/>
    <w:rsid w:val="002E5081"/>
    <w:rsid w:val="002F032E"/>
    <w:rsid w:val="002F447B"/>
    <w:rsid w:val="002F67B9"/>
    <w:rsid w:val="002F7899"/>
    <w:rsid w:val="0030695E"/>
    <w:rsid w:val="0031281B"/>
    <w:rsid w:val="00313D2B"/>
    <w:rsid w:val="00327AA4"/>
    <w:rsid w:val="00334069"/>
    <w:rsid w:val="00344620"/>
    <w:rsid w:val="003534E0"/>
    <w:rsid w:val="0035592E"/>
    <w:rsid w:val="00361576"/>
    <w:rsid w:val="00373E97"/>
    <w:rsid w:val="00387B38"/>
    <w:rsid w:val="00391121"/>
    <w:rsid w:val="00397427"/>
    <w:rsid w:val="003A0CC0"/>
    <w:rsid w:val="003A5207"/>
    <w:rsid w:val="003B07F7"/>
    <w:rsid w:val="003B2756"/>
    <w:rsid w:val="003B5995"/>
    <w:rsid w:val="003B7CBC"/>
    <w:rsid w:val="003C5A3A"/>
    <w:rsid w:val="003C63B7"/>
    <w:rsid w:val="003D2B0A"/>
    <w:rsid w:val="003D3B04"/>
    <w:rsid w:val="003E17C3"/>
    <w:rsid w:val="003E423A"/>
    <w:rsid w:val="003E5C23"/>
    <w:rsid w:val="0041389F"/>
    <w:rsid w:val="0042066B"/>
    <w:rsid w:val="00425339"/>
    <w:rsid w:val="00425C9A"/>
    <w:rsid w:val="00425FEB"/>
    <w:rsid w:val="00427671"/>
    <w:rsid w:val="004326FC"/>
    <w:rsid w:val="004351FD"/>
    <w:rsid w:val="0043592C"/>
    <w:rsid w:val="004401CE"/>
    <w:rsid w:val="0044103F"/>
    <w:rsid w:val="004444F4"/>
    <w:rsid w:val="00444B8D"/>
    <w:rsid w:val="004502B7"/>
    <w:rsid w:val="00456474"/>
    <w:rsid w:val="004828CC"/>
    <w:rsid w:val="00490298"/>
    <w:rsid w:val="004B56CF"/>
    <w:rsid w:val="004C1DBC"/>
    <w:rsid w:val="004C435D"/>
    <w:rsid w:val="004C7CD1"/>
    <w:rsid w:val="004D397E"/>
    <w:rsid w:val="004D3E0A"/>
    <w:rsid w:val="004D4AFE"/>
    <w:rsid w:val="004E724A"/>
    <w:rsid w:val="004F5B28"/>
    <w:rsid w:val="00507EBE"/>
    <w:rsid w:val="00510ED9"/>
    <w:rsid w:val="005138DC"/>
    <w:rsid w:val="00516C0F"/>
    <w:rsid w:val="00522C19"/>
    <w:rsid w:val="0052338F"/>
    <w:rsid w:val="005245B6"/>
    <w:rsid w:val="00531714"/>
    <w:rsid w:val="0053338F"/>
    <w:rsid w:val="0053346A"/>
    <w:rsid w:val="00537E9C"/>
    <w:rsid w:val="00547B1A"/>
    <w:rsid w:val="00556CF2"/>
    <w:rsid w:val="00557805"/>
    <w:rsid w:val="00580C4B"/>
    <w:rsid w:val="0058429D"/>
    <w:rsid w:val="00587181"/>
    <w:rsid w:val="00592969"/>
    <w:rsid w:val="005B0364"/>
    <w:rsid w:val="005B0993"/>
    <w:rsid w:val="005B27F6"/>
    <w:rsid w:val="005E3B2B"/>
    <w:rsid w:val="00605323"/>
    <w:rsid w:val="006075F1"/>
    <w:rsid w:val="00614B4E"/>
    <w:rsid w:val="00617836"/>
    <w:rsid w:val="006179F3"/>
    <w:rsid w:val="006463FA"/>
    <w:rsid w:val="00646A1F"/>
    <w:rsid w:val="006600C0"/>
    <w:rsid w:val="00675BDB"/>
    <w:rsid w:val="00680C82"/>
    <w:rsid w:val="00680FB4"/>
    <w:rsid w:val="006903C4"/>
    <w:rsid w:val="00690B6B"/>
    <w:rsid w:val="00696BC5"/>
    <w:rsid w:val="006A2F23"/>
    <w:rsid w:val="006B1864"/>
    <w:rsid w:val="006C2F04"/>
    <w:rsid w:val="006E08B9"/>
    <w:rsid w:val="006E0F49"/>
    <w:rsid w:val="006E2156"/>
    <w:rsid w:val="006E2E7F"/>
    <w:rsid w:val="006E6E42"/>
    <w:rsid w:val="006F3CD2"/>
    <w:rsid w:val="007008AF"/>
    <w:rsid w:val="00701137"/>
    <w:rsid w:val="0070517C"/>
    <w:rsid w:val="00705A6A"/>
    <w:rsid w:val="007157BA"/>
    <w:rsid w:val="0072644E"/>
    <w:rsid w:val="00731E3E"/>
    <w:rsid w:val="0074105A"/>
    <w:rsid w:val="0074251D"/>
    <w:rsid w:val="007448D9"/>
    <w:rsid w:val="00772EAA"/>
    <w:rsid w:val="00773110"/>
    <w:rsid w:val="00785023"/>
    <w:rsid w:val="00792932"/>
    <w:rsid w:val="007A0159"/>
    <w:rsid w:val="007A45D1"/>
    <w:rsid w:val="007A73C9"/>
    <w:rsid w:val="007A7DEC"/>
    <w:rsid w:val="007B39A9"/>
    <w:rsid w:val="007C1C92"/>
    <w:rsid w:val="007C540E"/>
    <w:rsid w:val="007D4CC8"/>
    <w:rsid w:val="007D6A67"/>
    <w:rsid w:val="007E1EA8"/>
    <w:rsid w:val="007E6163"/>
    <w:rsid w:val="007F0DC9"/>
    <w:rsid w:val="007F0FCA"/>
    <w:rsid w:val="007F3F2A"/>
    <w:rsid w:val="00820BCB"/>
    <w:rsid w:val="0083484B"/>
    <w:rsid w:val="00836FD3"/>
    <w:rsid w:val="00853F2A"/>
    <w:rsid w:val="008608FD"/>
    <w:rsid w:val="008846D6"/>
    <w:rsid w:val="00885DB9"/>
    <w:rsid w:val="008925BE"/>
    <w:rsid w:val="0089617C"/>
    <w:rsid w:val="008A462F"/>
    <w:rsid w:val="008B5315"/>
    <w:rsid w:val="008C1EFE"/>
    <w:rsid w:val="008D24A1"/>
    <w:rsid w:val="008E1ED5"/>
    <w:rsid w:val="008E251A"/>
    <w:rsid w:val="008E5F4A"/>
    <w:rsid w:val="008F305B"/>
    <w:rsid w:val="008F4F38"/>
    <w:rsid w:val="008F66D5"/>
    <w:rsid w:val="00901B72"/>
    <w:rsid w:val="009114BA"/>
    <w:rsid w:val="00917126"/>
    <w:rsid w:val="00917912"/>
    <w:rsid w:val="00923F5F"/>
    <w:rsid w:val="00947A6F"/>
    <w:rsid w:val="00947B7D"/>
    <w:rsid w:val="00955FC1"/>
    <w:rsid w:val="00962AB3"/>
    <w:rsid w:val="009650EB"/>
    <w:rsid w:val="00965206"/>
    <w:rsid w:val="009824F5"/>
    <w:rsid w:val="009A4EBB"/>
    <w:rsid w:val="009C126D"/>
    <w:rsid w:val="009C1699"/>
    <w:rsid w:val="009C2E6E"/>
    <w:rsid w:val="009D3A3E"/>
    <w:rsid w:val="009D625C"/>
    <w:rsid w:val="009F2A67"/>
    <w:rsid w:val="00A0041E"/>
    <w:rsid w:val="00A02078"/>
    <w:rsid w:val="00A020D2"/>
    <w:rsid w:val="00A15FF9"/>
    <w:rsid w:val="00A164CD"/>
    <w:rsid w:val="00A25D53"/>
    <w:rsid w:val="00A26D95"/>
    <w:rsid w:val="00A357ED"/>
    <w:rsid w:val="00A40206"/>
    <w:rsid w:val="00A4060B"/>
    <w:rsid w:val="00A74240"/>
    <w:rsid w:val="00A75426"/>
    <w:rsid w:val="00A91539"/>
    <w:rsid w:val="00A9399F"/>
    <w:rsid w:val="00A93AF5"/>
    <w:rsid w:val="00AA1876"/>
    <w:rsid w:val="00AA4556"/>
    <w:rsid w:val="00AB5C99"/>
    <w:rsid w:val="00AD496C"/>
    <w:rsid w:val="00AD4AE0"/>
    <w:rsid w:val="00AD58C0"/>
    <w:rsid w:val="00B036BB"/>
    <w:rsid w:val="00B06C72"/>
    <w:rsid w:val="00B100BB"/>
    <w:rsid w:val="00B224EC"/>
    <w:rsid w:val="00B4012C"/>
    <w:rsid w:val="00B43AA0"/>
    <w:rsid w:val="00B44A16"/>
    <w:rsid w:val="00B5332F"/>
    <w:rsid w:val="00B55BFE"/>
    <w:rsid w:val="00B721EA"/>
    <w:rsid w:val="00B76F23"/>
    <w:rsid w:val="00B87110"/>
    <w:rsid w:val="00B91B99"/>
    <w:rsid w:val="00B92DB8"/>
    <w:rsid w:val="00B94D07"/>
    <w:rsid w:val="00B96068"/>
    <w:rsid w:val="00BA0AF2"/>
    <w:rsid w:val="00BA12DB"/>
    <w:rsid w:val="00BA1CB4"/>
    <w:rsid w:val="00BA5174"/>
    <w:rsid w:val="00BB36DC"/>
    <w:rsid w:val="00BD00F4"/>
    <w:rsid w:val="00BD2350"/>
    <w:rsid w:val="00BD3465"/>
    <w:rsid w:val="00BE6324"/>
    <w:rsid w:val="00BF0D54"/>
    <w:rsid w:val="00BF103F"/>
    <w:rsid w:val="00BF38A1"/>
    <w:rsid w:val="00BF67E4"/>
    <w:rsid w:val="00C15083"/>
    <w:rsid w:val="00C32AAA"/>
    <w:rsid w:val="00C5421F"/>
    <w:rsid w:val="00C66FBE"/>
    <w:rsid w:val="00C70C83"/>
    <w:rsid w:val="00CA4B2B"/>
    <w:rsid w:val="00CA6161"/>
    <w:rsid w:val="00CB3BC5"/>
    <w:rsid w:val="00CB7A50"/>
    <w:rsid w:val="00CC3BC3"/>
    <w:rsid w:val="00CC76FB"/>
    <w:rsid w:val="00CD6C5E"/>
    <w:rsid w:val="00CE46D3"/>
    <w:rsid w:val="00CE6FA4"/>
    <w:rsid w:val="00CF0FBF"/>
    <w:rsid w:val="00CF3018"/>
    <w:rsid w:val="00CF53CD"/>
    <w:rsid w:val="00CF751B"/>
    <w:rsid w:val="00D11FC3"/>
    <w:rsid w:val="00D121D3"/>
    <w:rsid w:val="00D12672"/>
    <w:rsid w:val="00D21227"/>
    <w:rsid w:val="00D371D9"/>
    <w:rsid w:val="00D40F5F"/>
    <w:rsid w:val="00D43691"/>
    <w:rsid w:val="00D51B1C"/>
    <w:rsid w:val="00D54A64"/>
    <w:rsid w:val="00D61FDF"/>
    <w:rsid w:val="00D672C5"/>
    <w:rsid w:val="00D72633"/>
    <w:rsid w:val="00D748EC"/>
    <w:rsid w:val="00D807A6"/>
    <w:rsid w:val="00D814CC"/>
    <w:rsid w:val="00D84F12"/>
    <w:rsid w:val="00D854BB"/>
    <w:rsid w:val="00D859D5"/>
    <w:rsid w:val="00D9535C"/>
    <w:rsid w:val="00DB03D3"/>
    <w:rsid w:val="00DC25CE"/>
    <w:rsid w:val="00DC5634"/>
    <w:rsid w:val="00DC7CFA"/>
    <w:rsid w:val="00DF144B"/>
    <w:rsid w:val="00DF4427"/>
    <w:rsid w:val="00DF5341"/>
    <w:rsid w:val="00DF7701"/>
    <w:rsid w:val="00E0212B"/>
    <w:rsid w:val="00E26DD7"/>
    <w:rsid w:val="00E3591D"/>
    <w:rsid w:val="00E40FA8"/>
    <w:rsid w:val="00E64A1C"/>
    <w:rsid w:val="00E654F5"/>
    <w:rsid w:val="00E661BB"/>
    <w:rsid w:val="00E725AF"/>
    <w:rsid w:val="00E7423D"/>
    <w:rsid w:val="00E86BB8"/>
    <w:rsid w:val="00E91933"/>
    <w:rsid w:val="00E93F71"/>
    <w:rsid w:val="00E97F45"/>
    <w:rsid w:val="00EB17BF"/>
    <w:rsid w:val="00ED308C"/>
    <w:rsid w:val="00ED573A"/>
    <w:rsid w:val="00ED5A3F"/>
    <w:rsid w:val="00EE2D7E"/>
    <w:rsid w:val="00F067E3"/>
    <w:rsid w:val="00F1591A"/>
    <w:rsid w:val="00F248A4"/>
    <w:rsid w:val="00F27562"/>
    <w:rsid w:val="00F4212D"/>
    <w:rsid w:val="00F46A34"/>
    <w:rsid w:val="00F5256E"/>
    <w:rsid w:val="00F52E5F"/>
    <w:rsid w:val="00F5668A"/>
    <w:rsid w:val="00F651F1"/>
    <w:rsid w:val="00F66584"/>
    <w:rsid w:val="00F66F7C"/>
    <w:rsid w:val="00F73925"/>
    <w:rsid w:val="00F77A1E"/>
    <w:rsid w:val="00F83C40"/>
    <w:rsid w:val="00FB29F0"/>
    <w:rsid w:val="00FC1EBB"/>
    <w:rsid w:val="00FC41DA"/>
    <w:rsid w:val="00FC6D67"/>
    <w:rsid w:val="00FE7121"/>
    <w:rsid w:val="00FF0E43"/>
    <w:rsid w:val="00FF1BBD"/>
    <w:rsid w:val="00FF4312"/>
    <w:rsid w:val="00FF66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BF30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E3"/>
    <w:rPr>
      <w:rFonts w:ascii="Verdana" w:hAnsi="Verdana" w:cs="Arial"/>
      <w:szCs w:val="22"/>
      <w:lang w:eastAsia="en-US"/>
    </w:rPr>
  </w:style>
  <w:style w:type="paragraph" w:styleId="Heading1">
    <w:name w:val="heading 1"/>
    <w:basedOn w:val="Normal"/>
    <w:next w:val="Normal"/>
    <w:link w:val="Heading1Char"/>
    <w:uiPriority w:val="9"/>
    <w:qFormat/>
    <w:rsid w:val="00C5421F"/>
    <w:pPr>
      <w:keepNext/>
      <w:keepLines/>
      <w:spacing w:before="480"/>
      <w:outlineLvl w:val="0"/>
    </w:pPr>
    <w:rPr>
      <w:rFonts w:ascii="Calibri Light" w:eastAsia="SimSun" w:hAnsi="Calibri Light" w:cs="Times New Roman"/>
      <w:b/>
      <w:bCs/>
      <w:color w:val="527D55"/>
      <w:sz w:val="28"/>
      <w:szCs w:val="28"/>
    </w:rPr>
  </w:style>
  <w:style w:type="paragraph" w:styleId="Heading2">
    <w:name w:val="heading 2"/>
    <w:basedOn w:val="Normal"/>
    <w:next w:val="Normal"/>
    <w:link w:val="Heading2Char"/>
    <w:uiPriority w:val="9"/>
    <w:unhideWhenUsed/>
    <w:qFormat/>
    <w:rsid w:val="00035BA4"/>
    <w:pPr>
      <w:keepNext/>
      <w:keepLines/>
      <w:spacing w:before="200"/>
      <w:outlineLvl w:val="1"/>
    </w:pPr>
    <w:rPr>
      <w:rFonts w:ascii="Calibri Light" w:eastAsia="SimSun" w:hAnsi="Calibri Light" w:cs="Times New Roman"/>
      <w:b/>
      <w:bCs/>
      <w:color w:val="72A376"/>
      <w:sz w:val="26"/>
      <w:szCs w:val="26"/>
    </w:rPr>
  </w:style>
  <w:style w:type="paragraph" w:styleId="Heading3">
    <w:name w:val="heading 3"/>
    <w:basedOn w:val="Normal"/>
    <w:next w:val="Normal"/>
    <w:link w:val="Heading3Char"/>
    <w:uiPriority w:val="9"/>
    <w:unhideWhenUsed/>
    <w:qFormat/>
    <w:rsid w:val="00361576"/>
    <w:pPr>
      <w:keepNext/>
      <w:keepLines/>
      <w:spacing w:before="200"/>
      <w:outlineLvl w:val="2"/>
    </w:pPr>
    <w:rPr>
      <w:rFonts w:ascii="Calibri Light" w:eastAsia="SimSun" w:hAnsi="Calibri Light" w:cs="Times New Roman"/>
      <w:b/>
      <w:bCs/>
      <w:color w:val="72A3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5421F"/>
    <w:rPr>
      <w:rFonts w:ascii="Calibri Light" w:eastAsia="SimSun" w:hAnsi="Calibri Light"/>
      <w:b/>
      <w:color w:val="527D55"/>
      <w:sz w:val="28"/>
    </w:rPr>
  </w:style>
  <w:style w:type="character" w:customStyle="1" w:styleId="Heading2Char">
    <w:name w:val="Heading 2 Char"/>
    <w:link w:val="Heading2"/>
    <w:uiPriority w:val="9"/>
    <w:locked/>
    <w:rsid w:val="00035BA4"/>
    <w:rPr>
      <w:rFonts w:ascii="Calibri Light" w:eastAsia="SimSun" w:hAnsi="Calibri Light"/>
      <w:b/>
      <w:color w:val="72A376"/>
      <w:sz w:val="26"/>
    </w:rPr>
  </w:style>
  <w:style w:type="character" w:customStyle="1" w:styleId="Heading3Char">
    <w:name w:val="Heading 3 Char"/>
    <w:link w:val="Heading3"/>
    <w:uiPriority w:val="9"/>
    <w:locked/>
    <w:rsid w:val="00361576"/>
    <w:rPr>
      <w:rFonts w:ascii="Calibri Light" w:eastAsia="SimSun" w:hAnsi="Calibri Light"/>
      <w:b/>
      <w:color w:val="72A376"/>
      <w:sz w:val="20"/>
    </w:rPr>
  </w:style>
  <w:style w:type="paragraph" w:styleId="Title">
    <w:name w:val="Title"/>
    <w:basedOn w:val="Normal"/>
    <w:next w:val="Normal"/>
    <w:link w:val="TitleChar"/>
    <w:uiPriority w:val="10"/>
    <w:qFormat/>
    <w:rsid w:val="00C5421F"/>
    <w:pPr>
      <w:pBdr>
        <w:bottom w:val="single" w:sz="8" w:space="4" w:color="72A376"/>
      </w:pBdr>
      <w:spacing w:after="300"/>
      <w:contextualSpacing/>
    </w:pPr>
    <w:rPr>
      <w:rFonts w:ascii="Calibri Light" w:eastAsia="SimSun" w:hAnsi="Calibri Light" w:cs="Times New Roman"/>
      <w:color w:val="4D4F3F"/>
      <w:spacing w:val="5"/>
      <w:kern w:val="28"/>
      <w:sz w:val="52"/>
      <w:szCs w:val="52"/>
    </w:rPr>
  </w:style>
  <w:style w:type="character" w:customStyle="1" w:styleId="TitleChar">
    <w:name w:val="Title Char"/>
    <w:link w:val="Title"/>
    <w:uiPriority w:val="10"/>
    <w:locked/>
    <w:rsid w:val="00C5421F"/>
    <w:rPr>
      <w:rFonts w:ascii="Calibri Light" w:eastAsia="SimSun" w:hAnsi="Calibri Light"/>
      <w:color w:val="4D4F3F"/>
      <w:spacing w:val="5"/>
      <w:kern w:val="28"/>
      <w:sz w:val="52"/>
    </w:rPr>
  </w:style>
  <w:style w:type="paragraph" w:styleId="Subtitle">
    <w:name w:val="Subtitle"/>
    <w:basedOn w:val="Normal"/>
    <w:next w:val="Normal"/>
    <w:link w:val="SubtitleChar"/>
    <w:uiPriority w:val="11"/>
    <w:qFormat/>
    <w:rsid w:val="00C5421F"/>
    <w:pPr>
      <w:numPr>
        <w:ilvl w:val="1"/>
      </w:numPr>
    </w:pPr>
    <w:rPr>
      <w:rFonts w:ascii="Calibri Light" w:eastAsia="SimSun" w:hAnsi="Calibri Light" w:cs="Times New Roman"/>
      <w:i/>
      <w:iCs/>
      <w:color w:val="72A376"/>
      <w:spacing w:val="15"/>
      <w:sz w:val="24"/>
      <w:szCs w:val="24"/>
    </w:rPr>
  </w:style>
  <w:style w:type="character" w:customStyle="1" w:styleId="SubtitleChar">
    <w:name w:val="Subtitle Char"/>
    <w:link w:val="Subtitle"/>
    <w:uiPriority w:val="11"/>
    <w:locked/>
    <w:rsid w:val="00C5421F"/>
    <w:rPr>
      <w:rFonts w:ascii="Calibri Light" w:eastAsia="SimSun" w:hAnsi="Calibri Light"/>
      <w:i/>
      <w:color w:val="72A376"/>
      <w:spacing w:val="15"/>
      <w:sz w:val="24"/>
    </w:rPr>
  </w:style>
  <w:style w:type="paragraph" w:styleId="FootnoteText">
    <w:name w:val="footnote text"/>
    <w:basedOn w:val="Normal"/>
    <w:link w:val="FootnoteTextChar"/>
    <w:uiPriority w:val="99"/>
    <w:unhideWhenUsed/>
    <w:rsid w:val="00D371D9"/>
    <w:rPr>
      <w:szCs w:val="20"/>
    </w:rPr>
  </w:style>
  <w:style w:type="character" w:customStyle="1" w:styleId="FootnoteTextChar">
    <w:name w:val="Footnote Text Char"/>
    <w:link w:val="FootnoteText"/>
    <w:uiPriority w:val="99"/>
    <w:locked/>
    <w:rsid w:val="00D371D9"/>
    <w:rPr>
      <w:rFonts w:ascii="Verdana" w:hAnsi="Verdana"/>
      <w:sz w:val="20"/>
    </w:rPr>
  </w:style>
  <w:style w:type="character" w:styleId="FootnoteReference">
    <w:name w:val="footnote reference"/>
    <w:uiPriority w:val="99"/>
    <w:unhideWhenUsed/>
    <w:rsid w:val="00D371D9"/>
    <w:rPr>
      <w:vertAlign w:val="superscript"/>
    </w:rPr>
  </w:style>
  <w:style w:type="character" w:styleId="Hyperlink">
    <w:name w:val="Hyperlink"/>
    <w:uiPriority w:val="99"/>
    <w:unhideWhenUsed/>
    <w:rsid w:val="000446A2"/>
    <w:rPr>
      <w:color w:val="0000FF"/>
      <w:u w:val="single"/>
    </w:rPr>
  </w:style>
  <w:style w:type="paragraph" w:styleId="Header">
    <w:name w:val="header"/>
    <w:basedOn w:val="Normal"/>
    <w:link w:val="HeaderChar"/>
    <w:uiPriority w:val="99"/>
    <w:unhideWhenUsed/>
    <w:rsid w:val="008608FD"/>
    <w:pPr>
      <w:tabs>
        <w:tab w:val="center" w:pos="4513"/>
        <w:tab w:val="right" w:pos="9026"/>
      </w:tabs>
    </w:pPr>
  </w:style>
  <w:style w:type="character" w:customStyle="1" w:styleId="HeaderChar">
    <w:name w:val="Header Char"/>
    <w:link w:val="Header"/>
    <w:uiPriority w:val="99"/>
    <w:locked/>
    <w:rsid w:val="008608FD"/>
    <w:rPr>
      <w:rFonts w:ascii="Verdana" w:hAnsi="Verdana"/>
      <w:sz w:val="20"/>
    </w:rPr>
  </w:style>
  <w:style w:type="paragraph" w:styleId="Footer">
    <w:name w:val="footer"/>
    <w:basedOn w:val="Normal"/>
    <w:link w:val="FooterChar"/>
    <w:uiPriority w:val="99"/>
    <w:unhideWhenUsed/>
    <w:rsid w:val="008608FD"/>
    <w:pPr>
      <w:tabs>
        <w:tab w:val="center" w:pos="4513"/>
        <w:tab w:val="right" w:pos="9026"/>
      </w:tabs>
    </w:pPr>
  </w:style>
  <w:style w:type="character" w:customStyle="1" w:styleId="FooterChar">
    <w:name w:val="Footer Char"/>
    <w:link w:val="Footer"/>
    <w:uiPriority w:val="99"/>
    <w:locked/>
    <w:rsid w:val="008608FD"/>
    <w:rPr>
      <w:rFonts w:ascii="Verdana" w:hAnsi="Verdana"/>
      <w:sz w:val="20"/>
    </w:rPr>
  </w:style>
  <w:style w:type="character" w:customStyle="1" w:styleId="legds">
    <w:name w:val="legds"/>
    <w:rsid w:val="00F651F1"/>
    <w:rPr>
      <w:rFonts w:cs="Times New Roman"/>
    </w:rPr>
  </w:style>
  <w:style w:type="paragraph" w:styleId="BalloonText">
    <w:name w:val="Balloon Text"/>
    <w:basedOn w:val="Normal"/>
    <w:link w:val="BalloonTextChar"/>
    <w:uiPriority w:val="99"/>
    <w:semiHidden/>
    <w:unhideWhenUsed/>
    <w:rsid w:val="00D12672"/>
    <w:rPr>
      <w:rFonts w:ascii="Tahoma" w:hAnsi="Tahoma" w:cs="Tahoma"/>
      <w:sz w:val="16"/>
      <w:szCs w:val="16"/>
    </w:rPr>
  </w:style>
  <w:style w:type="character" w:customStyle="1" w:styleId="BalloonTextChar">
    <w:name w:val="Balloon Text Char"/>
    <w:link w:val="BalloonText"/>
    <w:uiPriority w:val="99"/>
    <w:semiHidden/>
    <w:locked/>
    <w:rsid w:val="00D12672"/>
    <w:rPr>
      <w:rFonts w:ascii="Tahoma" w:hAnsi="Tahoma"/>
      <w:sz w:val="16"/>
    </w:rPr>
  </w:style>
  <w:style w:type="character" w:styleId="Emphasis">
    <w:name w:val="Emphasis"/>
    <w:uiPriority w:val="20"/>
    <w:qFormat/>
    <w:rsid w:val="002E5081"/>
    <w:rPr>
      <w:i/>
    </w:rPr>
  </w:style>
  <w:style w:type="character" w:customStyle="1" w:styleId="personname">
    <w:name w:val="person_name"/>
    <w:rsid w:val="00BA1CB4"/>
    <w:rPr>
      <w:rFonts w:cs="Times New Roman"/>
    </w:rPr>
  </w:style>
  <w:style w:type="character" w:customStyle="1" w:styleId="apple-converted-space">
    <w:name w:val="apple-converted-space"/>
    <w:rsid w:val="00BA1CB4"/>
    <w:rPr>
      <w:rFonts w:cs="Times New Roman"/>
    </w:rPr>
  </w:style>
  <w:style w:type="paragraph" w:styleId="ListParagraph">
    <w:name w:val="List Paragraph"/>
    <w:basedOn w:val="Normal"/>
    <w:uiPriority w:val="34"/>
    <w:qFormat/>
    <w:rsid w:val="00D72633"/>
    <w:pPr>
      <w:ind w:left="720"/>
      <w:contextualSpacing/>
    </w:pPr>
  </w:style>
  <w:style w:type="character" w:styleId="CommentReference">
    <w:name w:val="annotation reference"/>
    <w:uiPriority w:val="99"/>
    <w:semiHidden/>
    <w:unhideWhenUsed/>
    <w:rsid w:val="00F248A4"/>
    <w:rPr>
      <w:sz w:val="16"/>
      <w:szCs w:val="16"/>
    </w:rPr>
  </w:style>
  <w:style w:type="paragraph" w:styleId="CommentText">
    <w:name w:val="annotation text"/>
    <w:basedOn w:val="Normal"/>
    <w:link w:val="CommentTextChar"/>
    <w:uiPriority w:val="99"/>
    <w:semiHidden/>
    <w:unhideWhenUsed/>
    <w:rsid w:val="00F248A4"/>
    <w:rPr>
      <w:szCs w:val="20"/>
    </w:rPr>
  </w:style>
  <w:style w:type="character" w:customStyle="1" w:styleId="CommentTextChar">
    <w:name w:val="Comment Text Char"/>
    <w:link w:val="CommentText"/>
    <w:uiPriority w:val="99"/>
    <w:semiHidden/>
    <w:rsid w:val="00F248A4"/>
    <w:rPr>
      <w:rFonts w:ascii="Verdana" w:hAnsi="Verdana" w:cs="Arial"/>
      <w:lang w:eastAsia="en-US"/>
    </w:rPr>
  </w:style>
  <w:style w:type="paragraph" w:styleId="CommentSubject">
    <w:name w:val="annotation subject"/>
    <w:basedOn w:val="CommentText"/>
    <w:next w:val="CommentText"/>
    <w:link w:val="CommentSubjectChar"/>
    <w:uiPriority w:val="99"/>
    <w:semiHidden/>
    <w:unhideWhenUsed/>
    <w:rsid w:val="00F248A4"/>
    <w:rPr>
      <w:b/>
      <w:bCs/>
    </w:rPr>
  </w:style>
  <w:style w:type="character" w:customStyle="1" w:styleId="CommentSubjectChar">
    <w:name w:val="Comment Subject Char"/>
    <w:link w:val="CommentSubject"/>
    <w:uiPriority w:val="99"/>
    <w:semiHidden/>
    <w:rsid w:val="00F248A4"/>
    <w:rPr>
      <w:rFonts w:ascii="Verdana" w:hAnsi="Verdana"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E3"/>
    <w:rPr>
      <w:rFonts w:ascii="Verdana" w:hAnsi="Verdana" w:cs="Arial"/>
      <w:szCs w:val="22"/>
      <w:lang w:eastAsia="en-US"/>
    </w:rPr>
  </w:style>
  <w:style w:type="paragraph" w:styleId="Heading1">
    <w:name w:val="heading 1"/>
    <w:basedOn w:val="Normal"/>
    <w:next w:val="Normal"/>
    <w:link w:val="Heading1Char"/>
    <w:uiPriority w:val="9"/>
    <w:qFormat/>
    <w:rsid w:val="00C5421F"/>
    <w:pPr>
      <w:keepNext/>
      <w:keepLines/>
      <w:spacing w:before="480"/>
      <w:outlineLvl w:val="0"/>
    </w:pPr>
    <w:rPr>
      <w:rFonts w:ascii="Calibri Light" w:eastAsia="SimSun" w:hAnsi="Calibri Light" w:cs="Times New Roman"/>
      <w:b/>
      <w:bCs/>
      <w:color w:val="527D55"/>
      <w:sz w:val="28"/>
      <w:szCs w:val="28"/>
    </w:rPr>
  </w:style>
  <w:style w:type="paragraph" w:styleId="Heading2">
    <w:name w:val="heading 2"/>
    <w:basedOn w:val="Normal"/>
    <w:next w:val="Normal"/>
    <w:link w:val="Heading2Char"/>
    <w:uiPriority w:val="9"/>
    <w:unhideWhenUsed/>
    <w:qFormat/>
    <w:rsid w:val="00035BA4"/>
    <w:pPr>
      <w:keepNext/>
      <w:keepLines/>
      <w:spacing w:before="200"/>
      <w:outlineLvl w:val="1"/>
    </w:pPr>
    <w:rPr>
      <w:rFonts w:ascii="Calibri Light" w:eastAsia="SimSun" w:hAnsi="Calibri Light" w:cs="Times New Roman"/>
      <w:b/>
      <w:bCs/>
      <w:color w:val="72A376"/>
      <w:sz w:val="26"/>
      <w:szCs w:val="26"/>
    </w:rPr>
  </w:style>
  <w:style w:type="paragraph" w:styleId="Heading3">
    <w:name w:val="heading 3"/>
    <w:basedOn w:val="Normal"/>
    <w:next w:val="Normal"/>
    <w:link w:val="Heading3Char"/>
    <w:uiPriority w:val="9"/>
    <w:unhideWhenUsed/>
    <w:qFormat/>
    <w:rsid w:val="00361576"/>
    <w:pPr>
      <w:keepNext/>
      <w:keepLines/>
      <w:spacing w:before="200"/>
      <w:outlineLvl w:val="2"/>
    </w:pPr>
    <w:rPr>
      <w:rFonts w:ascii="Calibri Light" w:eastAsia="SimSun" w:hAnsi="Calibri Light" w:cs="Times New Roman"/>
      <w:b/>
      <w:bCs/>
      <w:color w:val="72A3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5421F"/>
    <w:rPr>
      <w:rFonts w:ascii="Calibri Light" w:eastAsia="SimSun" w:hAnsi="Calibri Light"/>
      <w:b/>
      <w:color w:val="527D55"/>
      <w:sz w:val="28"/>
    </w:rPr>
  </w:style>
  <w:style w:type="character" w:customStyle="1" w:styleId="Heading2Char">
    <w:name w:val="Heading 2 Char"/>
    <w:link w:val="Heading2"/>
    <w:uiPriority w:val="9"/>
    <w:locked/>
    <w:rsid w:val="00035BA4"/>
    <w:rPr>
      <w:rFonts w:ascii="Calibri Light" w:eastAsia="SimSun" w:hAnsi="Calibri Light"/>
      <w:b/>
      <w:color w:val="72A376"/>
      <w:sz w:val="26"/>
    </w:rPr>
  </w:style>
  <w:style w:type="character" w:customStyle="1" w:styleId="Heading3Char">
    <w:name w:val="Heading 3 Char"/>
    <w:link w:val="Heading3"/>
    <w:uiPriority w:val="9"/>
    <w:locked/>
    <w:rsid w:val="00361576"/>
    <w:rPr>
      <w:rFonts w:ascii="Calibri Light" w:eastAsia="SimSun" w:hAnsi="Calibri Light"/>
      <w:b/>
      <w:color w:val="72A376"/>
      <w:sz w:val="20"/>
    </w:rPr>
  </w:style>
  <w:style w:type="paragraph" w:styleId="Title">
    <w:name w:val="Title"/>
    <w:basedOn w:val="Normal"/>
    <w:next w:val="Normal"/>
    <w:link w:val="TitleChar"/>
    <w:uiPriority w:val="10"/>
    <w:qFormat/>
    <w:rsid w:val="00C5421F"/>
    <w:pPr>
      <w:pBdr>
        <w:bottom w:val="single" w:sz="8" w:space="4" w:color="72A376"/>
      </w:pBdr>
      <w:spacing w:after="300"/>
      <w:contextualSpacing/>
    </w:pPr>
    <w:rPr>
      <w:rFonts w:ascii="Calibri Light" w:eastAsia="SimSun" w:hAnsi="Calibri Light" w:cs="Times New Roman"/>
      <w:color w:val="4D4F3F"/>
      <w:spacing w:val="5"/>
      <w:kern w:val="28"/>
      <w:sz w:val="52"/>
      <w:szCs w:val="52"/>
    </w:rPr>
  </w:style>
  <w:style w:type="character" w:customStyle="1" w:styleId="TitleChar">
    <w:name w:val="Title Char"/>
    <w:link w:val="Title"/>
    <w:uiPriority w:val="10"/>
    <w:locked/>
    <w:rsid w:val="00C5421F"/>
    <w:rPr>
      <w:rFonts w:ascii="Calibri Light" w:eastAsia="SimSun" w:hAnsi="Calibri Light"/>
      <w:color w:val="4D4F3F"/>
      <w:spacing w:val="5"/>
      <w:kern w:val="28"/>
      <w:sz w:val="52"/>
    </w:rPr>
  </w:style>
  <w:style w:type="paragraph" w:styleId="Subtitle">
    <w:name w:val="Subtitle"/>
    <w:basedOn w:val="Normal"/>
    <w:next w:val="Normal"/>
    <w:link w:val="SubtitleChar"/>
    <w:uiPriority w:val="11"/>
    <w:qFormat/>
    <w:rsid w:val="00C5421F"/>
    <w:pPr>
      <w:numPr>
        <w:ilvl w:val="1"/>
      </w:numPr>
    </w:pPr>
    <w:rPr>
      <w:rFonts w:ascii="Calibri Light" w:eastAsia="SimSun" w:hAnsi="Calibri Light" w:cs="Times New Roman"/>
      <w:i/>
      <w:iCs/>
      <w:color w:val="72A376"/>
      <w:spacing w:val="15"/>
      <w:sz w:val="24"/>
      <w:szCs w:val="24"/>
    </w:rPr>
  </w:style>
  <w:style w:type="character" w:customStyle="1" w:styleId="SubtitleChar">
    <w:name w:val="Subtitle Char"/>
    <w:link w:val="Subtitle"/>
    <w:uiPriority w:val="11"/>
    <w:locked/>
    <w:rsid w:val="00C5421F"/>
    <w:rPr>
      <w:rFonts w:ascii="Calibri Light" w:eastAsia="SimSun" w:hAnsi="Calibri Light"/>
      <w:i/>
      <w:color w:val="72A376"/>
      <w:spacing w:val="15"/>
      <w:sz w:val="24"/>
    </w:rPr>
  </w:style>
  <w:style w:type="paragraph" w:styleId="FootnoteText">
    <w:name w:val="footnote text"/>
    <w:basedOn w:val="Normal"/>
    <w:link w:val="FootnoteTextChar"/>
    <w:uiPriority w:val="99"/>
    <w:unhideWhenUsed/>
    <w:rsid w:val="00D371D9"/>
    <w:rPr>
      <w:szCs w:val="20"/>
    </w:rPr>
  </w:style>
  <w:style w:type="character" w:customStyle="1" w:styleId="FootnoteTextChar">
    <w:name w:val="Footnote Text Char"/>
    <w:link w:val="FootnoteText"/>
    <w:uiPriority w:val="99"/>
    <w:locked/>
    <w:rsid w:val="00D371D9"/>
    <w:rPr>
      <w:rFonts w:ascii="Verdana" w:hAnsi="Verdana"/>
      <w:sz w:val="20"/>
    </w:rPr>
  </w:style>
  <w:style w:type="character" w:styleId="FootnoteReference">
    <w:name w:val="footnote reference"/>
    <w:uiPriority w:val="99"/>
    <w:unhideWhenUsed/>
    <w:rsid w:val="00D371D9"/>
    <w:rPr>
      <w:vertAlign w:val="superscript"/>
    </w:rPr>
  </w:style>
  <w:style w:type="character" w:styleId="Hyperlink">
    <w:name w:val="Hyperlink"/>
    <w:uiPriority w:val="99"/>
    <w:unhideWhenUsed/>
    <w:rsid w:val="000446A2"/>
    <w:rPr>
      <w:color w:val="0000FF"/>
      <w:u w:val="single"/>
    </w:rPr>
  </w:style>
  <w:style w:type="paragraph" w:styleId="Header">
    <w:name w:val="header"/>
    <w:basedOn w:val="Normal"/>
    <w:link w:val="HeaderChar"/>
    <w:uiPriority w:val="99"/>
    <w:unhideWhenUsed/>
    <w:rsid w:val="008608FD"/>
    <w:pPr>
      <w:tabs>
        <w:tab w:val="center" w:pos="4513"/>
        <w:tab w:val="right" w:pos="9026"/>
      </w:tabs>
    </w:pPr>
  </w:style>
  <w:style w:type="character" w:customStyle="1" w:styleId="HeaderChar">
    <w:name w:val="Header Char"/>
    <w:link w:val="Header"/>
    <w:uiPriority w:val="99"/>
    <w:locked/>
    <w:rsid w:val="008608FD"/>
    <w:rPr>
      <w:rFonts w:ascii="Verdana" w:hAnsi="Verdana"/>
      <w:sz w:val="20"/>
    </w:rPr>
  </w:style>
  <w:style w:type="paragraph" w:styleId="Footer">
    <w:name w:val="footer"/>
    <w:basedOn w:val="Normal"/>
    <w:link w:val="FooterChar"/>
    <w:uiPriority w:val="99"/>
    <w:unhideWhenUsed/>
    <w:rsid w:val="008608FD"/>
    <w:pPr>
      <w:tabs>
        <w:tab w:val="center" w:pos="4513"/>
        <w:tab w:val="right" w:pos="9026"/>
      </w:tabs>
    </w:pPr>
  </w:style>
  <w:style w:type="character" w:customStyle="1" w:styleId="FooterChar">
    <w:name w:val="Footer Char"/>
    <w:link w:val="Footer"/>
    <w:uiPriority w:val="99"/>
    <w:locked/>
    <w:rsid w:val="008608FD"/>
    <w:rPr>
      <w:rFonts w:ascii="Verdana" w:hAnsi="Verdana"/>
      <w:sz w:val="20"/>
    </w:rPr>
  </w:style>
  <w:style w:type="character" w:customStyle="1" w:styleId="legds">
    <w:name w:val="legds"/>
    <w:rsid w:val="00F651F1"/>
    <w:rPr>
      <w:rFonts w:cs="Times New Roman"/>
    </w:rPr>
  </w:style>
  <w:style w:type="paragraph" w:styleId="BalloonText">
    <w:name w:val="Balloon Text"/>
    <w:basedOn w:val="Normal"/>
    <w:link w:val="BalloonTextChar"/>
    <w:uiPriority w:val="99"/>
    <w:semiHidden/>
    <w:unhideWhenUsed/>
    <w:rsid w:val="00D12672"/>
    <w:rPr>
      <w:rFonts w:ascii="Tahoma" w:hAnsi="Tahoma" w:cs="Tahoma"/>
      <w:sz w:val="16"/>
      <w:szCs w:val="16"/>
    </w:rPr>
  </w:style>
  <w:style w:type="character" w:customStyle="1" w:styleId="BalloonTextChar">
    <w:name w:val="Balloon Text Char"/>
    <w:link w:val="BalloonText"/>
    <w:uiPriority w:val="99"/>
    <w:semiHidden/>
    <w:locked/>
    <w:rsid w:val="00D12672"/>
    <w:rPr>
      <w:rFonts w:ascii="Tahoma" w:hAnsi="Tahoma"/>
      <w:sz w:val="16"/>
    </w:rPr>
  </w:style>
  <w:style w:type="character" w:styleId="Emphasis">
    <w:name w:val="Emphasis"/>
    <w:uiPriority w:val="20"/>
    <w:qFormat/>
    <w:rsid w:val="002E5081"/>
    <w:rPr>
      <w:i/>
    </w:rPr>
  </w:style>
  <w:style w:type="character" w:customStyle="1" w:styleId="personname">
    <w:name w:val="person_name"/>
    <w:rsid w:val="00BA1CB4"/>
    <w:rPr>
      <w:rFonts w:cs="Times New Roman"/>
    </w:rPr>
  </w:style>
  <w:style w:type="character" w:customStyle="1" w:styleId="apple-converted-space">
    <w:name w:val="apple-converted-space"/>
    <w:rsid w:val="00BA1CB4"/>
    <w:rPr>
      <w:rFonts w:cs="Times New Roman"/>
    </w:rPr>
  </w:style>
  <w:style w:type="paragraph" w:styleId="ListParagraph">
    <w:name w:val="List Paragraph"/>
    <w:basedOn w:val="Normal"/>
    <w:uiPriority w:val="34"/>
    <w:qFormat/>
    <w:rsid w:val="00D72633"/>
    <w:pPr>
      <w:ind w:left="720"/>
      <w:contextualSpacing/>
    </w:pPr>
  </w:style>
  <w:style w:type="character" w:styleId="CommentReference">
    <w:name w:val="annotation reference"/>
    <w:uiPriority w:val="99"/>
    <w:semiHidden/>
    <w:unhideWhenUsed/>
    <w:rsid w:val="00F248A4"/>
    <w:rPr>
      <w:sz w:val="16"/>
      <w:szCs w:val="16"/>
    </w:rPr>
  </w:style>
  <w:style w:type="paragraph" w:styleId="CommentText">
    <w:name w:val="annotation text"/>
    <w:basedOn w:val="Normal"/>
    <w:link w:val="CommentTextChar"/>
    <w:uiPriority w:val="99"/>
    <w:semiHidden/>
    <w:unhideWhenUsed/>
    <w:rsid w:val="00F248A4"/>
    <w:rPr>
      <w:szCs w:val="20"/>
    </w:rPr>
  </w:style>
  <w:style w:type="character" w:customStyle="1" w:styleId="CommentTextChar">
    <w:name w:val="Comment Text Char"/>
    <w:link w:val="CommentText"/>
    <w:uiPriority w:val="99"/>
    <w:semiHidden/>
    <w:rsid w:val="00F248A4"/>
    <w:rPr>
      <w:rFonts w:ascii="Verdana" w:hAnsi="Verdana" w:cs="Arial"/>
      <w:lang w:eastAsia="en-US"/>
    </w:rPr>
  </w:style>
  <w:style w:type="paragraph" w:styleId="CommentSubject">
    <w:name w:val="annotation subject"/>
    <w:basedOn w:val="CommentText"/>
    <w:next w:val="CommentText"/>
    <w:link w:val="CommentSubjectChar"/>
    <w:uiPriority w:val="99"/>
    <w:semiHidden/>
    <w:unhideWhenUsed/>
    <w:rsid w:val="00F248A4"/>
    <w:rPr>
      <w:b/>
      <w:bCs/>
    </w:rPr>
  </w:style>
  <w:style w:type="character" w:customStyle="1" w:styleId="CommentSubjectChar">
    <w:name w:val="Comment Subject Char"/>
    <w:link w:val="CommentSubject"/>
    <w:uiPriority w:val="99"/>
    <w:semiHidden/>
    <w:rsid w:val="00F248A4"/>
    <w:rPr>
      <w:rFonts w:ascii="Verdana" w:hAnsi="Verdana"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02718">
      <w:marLeft w:val="0"/>
      <w:marRight w:val="0"/>
      <w:marTop w:val="0"/>
      <w:marBottom w:val="0"/>
      <w:divBdr>
        <w:top w:val="none" w:sz="0" w:space="0" w:color="auto"/>
        <w:left w:val="none" w:sz="0" w:space="0" w:color="auto"/>
        <w:bottom w:val="none" w:sz="0" w:space="0" w:color="auto"/>
        <w:right w:val="none" w:sz="0" w:space="0" w:color="auto"/>
      </w:divBdr>
    </w:div>
    <w:div w:id="561402719">
      <w:marLeft w:val="0"/>
      <w:marRight w:val="0"/>
      <w:marTop w:val="0"/>
      <w:marBottom w:val="0"/>
      <w:divBdr>
        <w:top w:val="none" w:sz="0" w:space="0" w:color="auto"/>
        <w:left w:val="none" w:sz="0" w:space="0" w:color="auto"/>
        <w:bottom w:val="none" w:sz="0" w:space="0" w:color="auto"/>
        <w:right w:val="none" w:sz="0" w:space="0" w:color="auto"/>
      </w:divBdr>
    </w:div>
    <w:div w:id="561402720">
      <w:marLeft w:val="0"/>
      <w:marRight w:val="0"/>
      <w:marTop w:val="0"/>
      <w:marBottom w:val="0"/>
      <w:divBdr>
        <w:top w:val="none" w:sz="0" w:space="0" w:color="auto"/>
        <w:left w:val="none" w:sz="0" w:space="0" w:color="auto"/>
        <w:bottom w:val="none" w:sz="0" w:space="0" w:color="auto"/>
        <w:right w:val="none" w:sz="0" w:space="0" w:color="auto"/>
      </w:divBdr>
    </w:div>
    <w:div w:id="561402721">
      <w:marLeft w:val="0"/>
      <w:marRight w:val="0"/>
      <w:marTop w:val="0"/>
      <w:marBottom w:val="0"/>
      <w:divBdr>
        <w:top w:val="none" w:sz="0" w:space="0" w:color="auto"/>
        <w:left w:val="none" w:sz="0" w:space="0" w:color="auto"/>
        <w:bottom w:val="none" w:sz="0" w:space="0" w:color="auto"/>
        <w:right w:val="none" w:sz="0" w:space="0" w:color="auto"/>
      </w:divBdr>
    </w:div>
    <w:div w:id="561402722">
      <w:marLeft w:val="0"/>
      <w:marRight w:val="0"/>
      <w:marTop w:val="0"/>
      <w:marBottom w:val="0"/>
      <w:divBdr>
        <w:top w:val="none" w:sz="0" w:space="0" w:color="auto"/>
        <w:left w:val="none" w:sz="0" w:space="0" w:color="auto"/>
        <w:bottom w:val="none" w:sz="0" w:space="0" w:color="auto"/>
        <w:right w:val="none" w:sz="0" w:space="0" w:color="auto"/>
      </w:divBdr>
    </w:div>
    <w:div w:id="561402723">
      <w:marLeft w:val="0"/>
      <w:marRight w:val="0"/>
      <w:marTop w:val="0"/>
      <w:marBottom w:val="0"/>
      <w:divBdr>
        <w:top w:val="none" w:sz="0" w:space="0" w:color="auto"/>
        <w:left w:val="none" w:sz="0" w:space="0" w:color="auto"/>
        <w:bottom w:val="none" w:sz="0" w:space="0" w:color="auto"/>
        <w:right w:val="none" w:sz="0" w:space="0" w:color="auto"/>
      </w:divBdr>
    </w:div>
    <w:div w:id="561402724">
      <w:marLeft w:val="0"/>
      <w:marRight w:val="0"/>
      <w:marTop w:val="0"/>
      <w:marBottom w:val="0"/>
      <w:divBdr>
        <w:top w:val="none" w:sz="0" w:space="0" w:color="auto"/>
        <w:left w:val="none" w:sz="0" w:space="0" w:color="auto"/>
        <w:bottom w:val="none" w:sz="0" w:space="0" w:color="auto"/>
        <w:right w:val="none" w:sz="0" w:space="0" w:color="auto"/>
      </w:divBdr>
    </w:div>
    <w:div w:id="5614027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ottingham.ac.uk/law/people/llxsmj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illboard.com/articles/business/6649208/the-dept-of-justice-said-to-be-considering-a-baffling-new-rule-change-for" TargetMode="External"/><Relationship Id="rId2" Type="http://schemas.openxmlformats.org/officeDocument/2006/relationships/hyperlink" Target="https://www.gov.uk/government/uploads/system/uploads/attachment_data/file/375951/Education_and_Teaching.pdf" TargetMode="External"/><Relationship Id="rId1" Type="http://schemas.openxmlformats.org/officeDocument/2006/relationships/hyperlink" Target="http://www.legislation.gov.uk/ukpga/198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103E9DF-9590-4708-ADA7-AD7591FB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4861</Words>
  <Characters>27713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32509</CharactersWithSpaces>
  <SharedDoc>false</SharedDoc>
  <HLinks>
    <vt:vector size="18" baseType="variant">
      <vt:variant>
        <vt:i4>917579</vt:i4>
      </vt:variant>
      <vt:variant>
        <vt:i4>6</vt:i4>
      </vt:variant>
      <vt:variant>
        <vt:i4>0</vt:i4>
      </vt:variant>
      <vt:variant>
        <vt:i4>5</vt:i4>
      </vt:variant>
      <vt:variant>
        <vt:lpwstr>http://www.billboard.com/articles/business/6649208/the-dept-of-justice-said-to-be-considering-a-baffling-new-rule-change-for</vt:lpwstr>
      </vt:variant>
      <vt:variant>
        <vt:lpwstr/>
      </vt:variant>
      <vt:variant>
        <vt:i4>524322</vt:i4>
      </vt:variant>
      <vt:variant>
        <vt:i4>3</vt:i4>
      </vt:variant>
      <vt:variant>
        <vt:i4>0</vt:i4>
      </vt:variant>
      <vt:variant>
        <vt:i4>5</vt:i4>
      </vt:variant>
      <vt:variant>
        <vt:lpwstr>https://www.gov.uk/government/uploads/system/uploads/attachment_data/file/375951/Education_and_Teaching.pdf</vt:lpwstr>
      </vt:variant>
      <vt:variant>
        <vt:lpwstr/>
      </vt:variant>
      <vt:variant>
        <vt:i4>6815853</vt:i4>
      </vt:variant>
      <vt:variant>
        <vt:i4>0</vt:i4>
      </vt:variant>
      <vt:variant>
        <vt:i4>0</vt:i4>
      </vt:variant>
      <vt:variant>
        <vt:i4>5</vt:i4>
      </vt:variant>
      <vt:variant>
        <vt:lpwstr>http://www.legislation.gov.uk/ukpga/1988/48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Chave</dc:creator>
  <cp:keywords/>
  <dc:description/>
  <cp:lastModifiedBy>UoN User</cp:lastModifiedBy>
  <cp:revision>4</cp:revision>
  <dcterms:created xsi:type="dcterms:W3CDTF">2015-08-18T13:27:00Z</dcterms:created>
  <dcterms:modified xsi:type="dcterms:W3CDTF">2015-10-22T14:45:00Z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topus75@hotmail.com@www.mendeley.com</vt:lpwstr>
  </property>
</Properties>
</file>