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3D" w:rsidRDefault="00A6553D" w:rsidP="0099652D">
      <w:pPr>
        <w:ind w:firstLine="567"/>
        <w:jc w:val="center"/>
        <w:rPr>
          <w:smallCaps/>
        </w:rPr>
      </w:pPr>
      <w:r>
        <w:rPr>
          <w:smallCaps/>
        </w:rPr>
        <w:t>What Wyatt Really Did to Aretino</w:t>
      </w:r>
      <w:r w:rsidR="00763B21">
        <w:rPr>
          <w:smallCaps/>
        </w:rPr>
        <w:t>’</w:t>
      </w:r>
      <w:r>
        <w:rPr>
          <w:smallCaps/>
        </w:rPr>
        <w:t xml:space="preserve">s </w:t>
      </w:r>
      <w:r w:rsidRPr="00656634">
        <w:rPr>
          <w:i/>
          <w:iCs/>
          <w:smallCaps/>
        </w:rPr>
        <w:t xml:space="preserve">I </w:t>
      </w:r>
      <w:proofErr w:type="spellStart"/>
      <w:r w:rsidRPr="00656634">
        <w:rPr>
          <w:i/>
          <w:iCs/>
          <w:smallCaps/>
        </w:rPr>
        <w:t>Sette</w:t>
      </w:r>
      <w:proofErr w:type="spellEnd"/>
      <w:r w:rsidRPr="00656634">
        <w:rPr>
          <w:i/>
          <w:iCs/>
          <w:smallCaps/>
        </w:rPr>
        <w:t xml:space="preserve"> </w:t>
      </w:r>
      <w:proofErr w:type="spellStart"/>
      <w:r w:rsidRPr="00656634">
        <w:rPr>
          <w:i/>
          <w:iCs/>
          <w:smallCaps/>
        </w:rPr>
        <w:t>Salmi</w:t>
      </w:r>
      <w:proofErr w:type="spellEnd"/>
    </w:p>
    <w:p w:rsidR="00A6553D" w:rsidRDefault="00A6553D" w:rsidP="0099652D">
      <w:pPr>
        <w:ind w:firstLine="567"/>
        <w:jc w:val="center"/>
        <w:rPr>
          <w:smallCaps/>
        </w:rPr>
      </w:pPr>
    </w:p>
    <w:p w:rsidR="00A6553D" w:rsidRPr="00A6553D" w:rsidRDefault="00A6553D" w:rsidP="0099652D">
      <w:pPr>
        <w:ind w:firstLine="567"/>
        <w:jc w:val="center"/>
        <w:rPr>
          <w:rFonts w:ascii="Times New Roman Italic" w:hAnsi="Times New Roman Italic" w:cs="Times New Roman Italic"/>
          <w:i/>
          <w:iCs/>
        </w:rPr>
      </w:pPr>
      <w:r w:rsidRPr="00A6553D">
        <w:rPr>
          <w:rFonts w:ascii="Times New Roman Italic" w:hAnsi="Times New Roman Italic" w:cs="Times New Roman Italic"/>
          <w:i/>
          <w:iCs/>
        </w:rPr>
        <w:t>Introduction: Catholic/Protestant = Medieval/Early Modern?</w:t>
      </w:r>
    </w:p>
    <w:p w:rsidR="006B0D48" w:rsidRDefault="00463046" w:rsidP="00656634">
      <w:pPr>
        <w:spacing w:line="480" w:lineRule="auto"/>
        <w:jc w:val="both"/>
      </w:pPr>
      <w:r>
        <w:t xml:space="preserve">I have of course, in the spirit of </w:t>
      </w:r>
      <w:proofErr w:type="spellStart"/>
      <w:r w:rsidRPr="00463046">
        <w:rPr>
          <w:i/>
        </w:rPr>
        <w:t>imitatio</w:t>
      </w:r>
      <w:proofErr w:type="spellEnd"/>
      <w:r>
        <w:t>, borrowed the title of my paper from C.S. Lewis</w:t>
      </w:r>
      <w:r w:rsidR="00763B21">
        <w:t>’</w:t>
      </w:r>
      <w:r>
        <w:t xml:space="preserve">s essay </w:t>
      </w:r>
      <w:r w:rsidR="00763B21">
        <w:t>‘</w:t>
      </w:r>
      <w:r>
        <w:t xml:space="preserve">What Chaucer Really Did to </w:t>
      </w:r>
      <w:r w:rsidRPr="00C57FDB">
        <w:rPr>
          <w:i/>
        </w:rPr>
        <w:t xml:space="preserve">Il </w:t>
      </w:r>
      <w:proofErr w:type="spellStart"/>
      <w:r w:rsidRPr="00C57FDB">
        <w:rPr>
          <w:i/>
        </w:rPr>
        <w:t>Filostrato</w:t>
      </w:r>
      <w:proofErr w:type="spellEnd"/>
      <w:r w:rsidR="00763B21">
        <w:t>’</w:t>
      </w:r>
      <w:r>
        <w:t xml:space="preserve">. Lewis famously claimed that Chaucer </w:t>
      </w:r>
      <w:r w:rsidR="00763B21">
        <w:t>‘</w:t>
      </w:r>
      <w:proofErr w:type="spellStart"/>
      <w:r>
        <w:t>medievalized</w:t>
      </w:r>
      <w:proofErr w:type="spellEnd"/>
      <w:r w:rsidR="00763B21">
        <w:t>’</w:t>
      </w:r>
      <w:r>
        <w:t xml:space="preserve"> </w:t>
      </w:r>
      <w:r w:rsidR="00C57FDB">
        <w:t>Boccaccio</w:t>
      </w:r>
      <w:r w:rsidR="00763B21">
        <w:t>’</w:t>
      </w:r>
      <w:r w:rsidR="00C57FDB">
        <w:t xml:space="preserve">s proto-Renaissance poem, as </w:t>
      </w:r>
      <w:r w:rsidR="00763B21">
        <w:t>‘</w:t>
      </w:r>
      <w:r w:rsidR="00C57FDB">
        <w:t>Boccaccio […] wrote for an audience who were beginning to look at poetry in our own way</w:t>
      </w:r>
      <w:r w:rsidR="00763B21">
        <w:t>’</w:t>
      </w:r>
      <w:r w:rsidR="00C57FDB">
        <w:t xml:space="preserve"> whereas </w:t>
      </w:r>
      <w:r w:rsidR="00763B21">
        <w:t>‘</w:t>
      </w:r>
      <w:r w:rsidR="00C57FDB">
        <w:t>Chaucer wrote for an audience who still looked at poetry in the medieval fashion – a fashion for which the real literary units were “matters”, “stories”, and the like, rather than individual authors</w:t>
      </w:r>
      <w:r w:rsidR="00763B21">
        <w:t>’</w:t>
      </w:r>
      <w:r w:rsidR="00C57FDB">
        <w:t>.</w:t>
      </w:r>
      <w:r w:rsidR="00C57FDB">
        <w:rPr>
          <w:rStyle w:val="FootnoteReference"/>
        </w:rPr>
        <w:footnoteReference w:id="1"/>
      </w:r>
      <w:r w:rsidR="00C57FDB">
        <w:t xml:space="preserve"> This alleged process is an inversion of what a number of</w:t>
      </w:r>
      <w:r w:rsidR="003D46A9">
        <w:t xml:space="preserve"> </w:t>
      </w:r>
      <w:r w:rsidR="00C57FDB">
        <w:t>commentators have claimed for Wyatt</w:t>
      </w:r>
      <w:r w:rsidR="00763B21">
        <w:t>’</w:t>
      </w:r>
      <w:r w:rsidR="00C57FDB">
        <w:t>s translation of Pietro Aretino</w:t>
      </w:r>
      <w:r w:rsidR="00763B21">
        <w:t>’</w:t>
      </w:r>
      <w:r w:rsidR="00C57FDB">
        <w:t>s prose paraphrase of the Penitential Psalms – that is, that Wyatt</w:t>
      </w:r>
      <w:r w:rsidR="00763B21">
        <w:t>’</w:t>
      </w:r>
      <w:r w:rsidR="00C57FDB">
        <w:t xml:space="preserve">s translation is a </w:t>
      </w:r>
      <w:proofErr w:type="gramStart"/>
      <w:r w:rsidR="00C57FDB">
        <w:t>Protestant  reforming</w:t>
      </w:r>
      <w:proofErr w:type="gramEnd"/>
      <w:r w:rsidR="00C57FDB">
        <w:t xml:space="preserve"> of Aretino</w:t>
      </w:r>
      <w:r w:rsidR="00763B21">
        <w:t>’</w:t>
      </w:r>
      <w:r w:rsidR="00C57FDB">
        <w:t>s paraphrase, which is part of a long-established Catholic tradition</w:t>
      </w:r>
      <w:r w:rsidR="003D46A9">
        <w:t xml:space="preserve"> of rewriting the seven psalms. </w:t>
      </w:r>
    </w:p>
    <w:p w:rsidR="00FD4911" w:rsidRDefault="003D46A9" w:rsidP="00656634">
      <w:pPr>
        <w:spacing w:line="480" w:lineRule="auto"/>
        <w:ind w:firstLine="567"/>
        <w:jc w:val="both"/>
      </w:pPr>
      <w:r>
        <w:t xml:space="preserve">For example, </w:t>
      </w:r>
      <w:r w:rsidR="00363128">
        <w:t xml:space="preserve">Harold </w:t>
      </w:r>
      <w:r>
        <w:t xml:space="preserve">Mason </w:t>
      </w:r>
      <w:proofErr w:type="gramStart"/>
      <w:r>
        <w:t>claims</w:t>
      </w:r>
      <w:r w:rsidR="00763B21">
        <w:t xml:space="preserve">  that</w:t>
      </w:r>
      <w:proofErr w:type="gramEnd"/>
      <w:r>
        <w:t xml:space="preserve"> </w:t>
      </w:r>
      <w:r w:rsidR="00763B21">
        <w:t>‘</w:t>
      </w:r>
      <w:r w:rsidR="00A462D5">
        <w:t>we can see in what spirit Wyatt handled Aretino. There is no doubt that a full and faithful translation of Aretino would seem to us a sickening performance, offensive alike to literary and religious taste</w:t>
      </w:r>
      <w:r w:rsidR="00763B21">
        <w:t>’</w:t>
      </w:r>
      <w:r w:rsidR="00A462D5">
        <w:t>.</w:t>
      </w:r>
      <w:r w:rsidR="00A462D5">
        <w:rPr>
          <w:rStyle w:val="FootnoteReference"/>
        </w:rPr>
        <w:footnoteReference w:id="2"/>
      </w:r>
      <w:r w:rsidR="00A462D5">
        <w:t xml:space="preserve"> What exactly is meant by </w:t>
      </w:r>
      <w:r w:rsidR="00763B21">
        <w:t>‘</w:t>
      </w:r>
      <w:r w:rsidR="00A462D5">
        <w:t>religious taste</w:t>
      </w:r>
      <w:r w:rsidR="00763B21">
        <w:t>’</w:t>
      </w:r>
      <w:r w:rsidR="00A462D5">
        <w:t xml:space="preserve"> is not clear, but Mason does confirm that Wyatt </w:t>
      </w:r>
      <w:r w:rsidR="00763B21">
        <w:t>‘</w:t>
      </w:r>
      <w:r>
        <w:t>a</w:t>
      </w:r>
      <w:r w:rsidRPr="003D46A9">
        <w:t xml:space="preserve">voids all that is </w:t>
      </w:r>
      <w:r>
        <w:t>characteristic o</w:t>
      </w:r>
      <w:r w:rsidRPr="003D46A9">
        <w:t>f the Catholic account</w:t>
      </w:r>
      <w:r w:rsidR="00763B21">
        <w:t>’</w:t>
      </w:r>
      <w:r w:rsidR="007A0969">
        <w:t>.</w:t>
      </w:r>
      <w:r w:rsidR="007A0969">
        <w:rPr>
          <w:rStyle w:val="FootnoteReference"/>
        </w:rPr>
        <w:footnoteReference w:id="3"/>
      </w:r>
      <w:r w:rsidR="007A0969">
        <w:t xml:space="preserve"> </w:t>
      </w:r>
      <w:r w:rsidR="00363128">
        <w:t xml:space="preserve">R.A. </w:t>
      </w:r>
      <w:proofErr w:type="spellStart"/>
      <w:r w:rsidR="006B0D48">
        <w:t>Rebholz</w:t>
      </w:r>
      <w:proofErr w:type="spellEnd"/>
      <w:r w:rsidR="007A0969">
        <w:t xml:space="preserve"> </w:t>
      </w:r>
      <w:r w:rsidR="00937A07">
        <w:t>judiciously translates</w:t>
      </w:r>
      <w:r w:rsidR="007A0969">
        <w:t xml:space="preserve"> Mason</w:t>
      </w:r>
      <w:r w:rsidR="00763B21">
        <w:t>’</w:t>
      </w:r>
      <w:r w:rsidR="007A0969">
        <w:t xml:space="preserve">s </w:t>
      </w:r>
      <w:r w:rsidR="00763B21">
        <w:t>‘</w:t>
      </w:r>
      <w:r w:rsidR="007A0969">
        <w:t>sickening performance</w:t>
      </w:r>
      <w:r w:rsidR="00763B21">
        <w:t>’</w:t>
      </w:r>
      <w:r w:rsidR="007A0969">
        <w:t xml:space="preserve"> when he says that Wyatt </w:t>
      </w:r>
      <w:r w:rsidR="00763B21">
        <w:t>‘</w:t>
      </w:r>
      <w:r w:rsidR="007A0969">
        <w:t>draws away from Aretino partly because of the Italian</w:t>
      </w:r>
      <w:r w:rsidR="00763B21">
        <w:t>’</w:t>
      </w:r>
      <w:r w:rsidR="007A0969">
        <w:t>s verbosity</w:t>
      </w:r>
      <w:r w:rsidR="00763B21">
        <w:t>’</w:t>
      </w:r>
      <w:r w:rsidR="007A0969">
        <w:t xml:space="preserve">, which is undoubtedly true. </w:t>
      </w:r>
      <w:r w:rsidR="001F6B0E">
        <w:t xml:space="preserve">Following Mason, </w:t>
      </w:r>
      <w:proofErr w:type="spellStart"/>
      <w:r w:rsidR="001F6B0E">
        <w:t>Rebholz</w:t>
      </w:r>
      <w:proofErr w:type="spellEnd"/>
      <w:r w:rsidR="001F6B0E">
        <w:t xml:space="preserve"> </w:t>
      </w:r>
      <w:r w:rsidR="006B0D48">
        <w:t xml:space="preserve">claims that </w:t>
      </w:r>
      <w:r w:rsidR="00763B21">
        <w:lastRenderedPageBreak/>
        <w:t>‘</w:t>
      </w:r>
      <w:r w:rsidR="006B0D48">
        <w:t>Wyatt departs from Aretino in order […] to create a shape for the whole work that presents a Reformed Christian</w:t>
      </w:r>
      <w:r w:rsidR="00763B21">
        <w:t>’</w:t>
      </w:r>
      <w:r w:rsidR="006B0D48">
        <w:t>s view of the individual</w:t>
      </w:r>
      <w:r w:rsidR="00763B21">
        <w:t>’</w:t>
      </w:r>
      <w:r w:rsidR="006B0D48">
        <w:t>s experience of redemption rather than a Roman Catholic</w:t>
      </w:r>
      <w:r w:rsidR="00763B21">
        <w:t>’</w:t>
      </w:r>
      <w:r w:rsidR="006B0D48">
        <w:t>s</w:t>
      </w:r>
      <w:r w:rsidR="00763B21">
        <w:t>’</w:t>
      </w:r>
      <w:r w:rsidR="001F6B0E">
        <w:t>, clarifying</w:t>
      </w:r>
      <w:r w:rsidR="00FD4911">
        <w:t xml:space="preserve"> the Reformed Christian</w:t>
      </w:r>
      <w:r w:rsidR="00763B21">
        <w:t>’</w:t>
      </w:r>
      <w:r w:rsidR="00FD4911">
        <w:t xml:space="preserve">s view by arguing that Wyatt attempts  </w:t>
      </w:r>
    </w:p>
    <w:p w:rsidR="00FD4911" w:rsidRDefault="00FD4911" w:rsidP="00656634">
      <w:pPr>
        <w:tabs>
          <w:tab w:val="left" w:pos="8505"/>
        </w:tabs>
        <w:spacing w:after="0" w:line="240" w:lineRule="auto"/>
        <w:ind w:left="567" w:right="521"/>
        <w:jc w:val="both"/>
      </w:pPr>
      <w:r>
        <w:t>to make David the type of Reformed Christian who experiences the genuinely profound, almost despairing sense of his sinfulness only once before the critical act of believing that God forgives him, justifies him by imputing righteousness to him, loves him, and will make him holy.</w:t>
      </w:r>
      <w:r w:rsidR="007A0969">
        <w:rPr>
          <w:rStyle w:val="FootnoteReference"/>
        </w:rPr>
        <w:footnoteReference w:id="4"/>
      </w:r>
    </w:p>
    <w:p w:rsidR="00FD4911" w:rsidRDefault="00FD4911" w:rsidP="0099652D">
      <w:pPr>
        <w:spacing w:after="0" w:line="240" w:lineRule="auto"/>
        <w:ind w:left="284" w:right="284" w:firstLine="567"/>
        <w:jc w:val="both"/>
      </w:pPr>
    </w:p>
    <w:p w:rsidR="005B3613" w:rsidRDefault="00415365" w:rsidP="00656634">
      <w:pPr>
        <w:spacing w:line="360" w:lineRule="auto"/>
        <w:jc w:val="both"/>
      </w:pPr>
      <w:r>
        <w:t>Indeed, Wyatt</w:t>
      </w:r>
      <w:r w:rsidR="00763B21">
        <w:t>’</w:t>
      </w:r>
      <w:r>
        <w:t xml:space="preserve">s David proclaims in the </w:t>
      </w:r>
      <w:r w:rsidRPr="00763B21">
        <w:rPr>
          <w:i/>
          <w:iCs/>
        </w:rPr>
        <w:t xml:space="preserve">De </w:t>
      </w:r>
      <w:proofErr w:type="spellStart"/>
      <w:r w:rsidRPr="00763B21">
        <w:rPr>
          <w:i/>
          <w:iCs/>
        </w:rPr>
        <w:t>profundis</w:t>
      </w:r>
      <w:proofErr w:type="spellEnd"/>
      <w:r>
        <w:t xml:space="preserve"> </w:t>
      </w:r>
      <w:r w:rsidR="00763B21">
        <w:t>(Ps. 130</w:t>
      </w:r>
      <w:r w:rsidR="0005798A">
        <w:t>.4-5</w:t>
      </w:r>
      <w:r w:rsidR="00763B21">
        <w:t xml:space="preserve">) </w:t>
      </w:r>
      <w:r>
        <w:t xml:space="preserve">that because </w:t>
      </w:r>
      <w:r w:rsidR="00763B21">
        <w:t>‘</w:t>
      </w:r>
      <w:r>
        <w:t xml:space="preserve">in </w:t>
      </w:r>
      <w:proofErr w:type="spellStart"/>
      <w:r>
        <w:t>thi</w:t>
      </w:r>
      <w:proofErr w:type="spellEnd"/>
      <w:r>
        <w:t xml:space="preserve"> hand is </w:t>
      </w:r>
      <w:proofErr w:type="spellStart"/>
      <w:r>
        <w:t>mercys</w:t>
      </w:r>
      <w:proofErr w:type="spellEnd"/>
      <w:r>
        <w:t xml:space="preserve"> </w:t>
      </w:r>
      <w:proofErr w:type="spellStart"/>
      <w:r>
        <w:t>resedence</w:t>
      </w:r>
      <w:proofErr w:type="spellEnd"/>
      <w:r>
        <w:t xml:space="preserve"> / By hope </w:t>
      </w:r>
      <w:proofErr w:type="spellStart"/>
      <w:proofErr w:type="gramStart"/>
      <w:r>
        <w:t>whe</w:t>
      </w:r>
      <w:proofErr w:type="spellEnd"/>
      <w:r w:rsidR="0005798A">
        <w:t>[</w:t>
      </w:r>
      <w:proofErr w:type="gramEnd"/>
      <w:r>
        <w:t>re</w:t>
      </w:r>
      <w:r w:rsidR="0005798A">
        <w:t>]</w:t>
      </w:r>
      <w:r>
        <w:t xml:space="preserve">off thou </w:t>
      </w:r>
      <w:proofErr w:type="spellStart"/>
      <w:r>
        <w:t>dost</w:t>
      </w:r>
      <w:proofErr w:type="spellEnd"/>
      <w:r>
        <w:t xml:space="preserve"> our </w:t>
      </w:r>
      <w:proofErr w:type="spellStart"/>
      <w:r>
        <w:t>hertes</w:t>
      </w:r>
      <w:proofErr w:type="spellEnd"/>
      <w:r>
        <w:t xml:space="preserve"> move; / I in the, lord, have set </w:t>
      </w:r>
      <w:r w:rsidRPr="00C96B0E">
        <w:rPr>
          <w:i/>
          <w:iCs/>
        </w:rPr>
        <w:t xml:space="preserve">my </w:t>
      </w:r>
      <w:proofErr w:type="spellStart"/>
      <w:r w:rsidRPr="00C96B0E">
        <w:rPr>
          <w:i/>
          <w:iCs/>
        </w:rPr>
        <w:t>confydence</w:t>
      </w:r>
      <w:proofErr w:type="spellEnd"/>
      <w:r w:rsidR="00763B21">
        <w:t>’</w:t>
      </w:r>
      <w:r>
        <w:t xml:space="preserve"> (681-3</w:t>
      </w:r>
      <w:r w:rsidR="00C96B0E">
        <w:t>, emphasis added</w:t>
      </w:r>
      <w:r>
        <w:t>).</w:t>
      </w:r>
      <w:r w:rsidR="00763B21">
        <w:rPr>
          <w:rStyle w:val="FootnoteReference"/>
        </w:rPr>
        <w:footnoteReference w:id="5"/>
      </w:r>
      <w:r>
        <w:t xml:space="preserve"> Yet Aretino also enacts the movement from despair to assured hope in his </w:t>
      </w:r>
      <w:r w:rsidR="00B60E85">
        <w:t xml:space="preserve">extended </w:t>
      </w:r>
      <w:r>
        <w:t xml:space="preserve">paraphrase of the same lines: </w:t>
      </w:r>
      <w:r w:rsidR="00763B21">
        <w:t>‘</w:t>
      </w:r>
      <w:proofErr w:type="spellStart"/>
      <w:r>
        <w:t>sempre</w:t>
      </w:r>
      <w:proofErr w:type="spellEnd"/>
      <w:r>
        <w:t xml:space="preserve"> </w:t>
      </w:r>
      <w:proofErr w:type="spellStart"/>
      <w:r>
        <w:t>sperai</w:t>
      </w:r>
      <w:proofErr w:type="spellEnd"/>
      <w:r>
        <w:t xml:space="preserve"> in </w:t>
      </w:r>
      <w:proofErr w:type="spellStart"/>
      <w:r>
        <w:t>lui</w:t>
      </w:r>
      <w:proofErr w:type="spellEnd"/>
      <w:r>
        <w:t xml:space="preserve">, e </w:t>
      </w:r>
      <w:proofErr w:type="spellStart"/>
      <w:r>
        <w:t>sempre</w:t>
      </w:r>
      <w:proofErr w:type="spellEnd"/>
      <w:r>
        <w:t xml:space="preserve"> </w:t>
      </w:r>
      <w:r w:rsidRPr="00C96B0E">
        <w:rPr>
          <w:i/>
          <w:iCs/>
        </w:rPr>
        <w:t>mi co</w:t>
      </w:r>
      <w:r w:rsidR="00462F2B">
        <w:rPr>
          <w:i/>
          <w:iCs/>
        </w:rPr>
        <w:t>[</w:t>
      </w:r>
      <w:r w:rsidRPr="00C96B0E">
        <w:rPr>
          <w:i/>
          <w:iCs/>
        </w:rPr>
        <w:t>n</w:t>
      </w:r>
      <w:r w:rsidR="00462F2B">
        <w:rPr>
          <w:i/>
          <w:iCs/>
        </w:rPr>
        <w:t>]</w:t>
      </w:r>
      <w:proofErr w:type="spellStart"/>
      <w:r w:rsidRPr="00C96B0E">
        <w:rPr>
          <w:i/>
          <w:iCs/>
        </w:rPr>
        <w:t>fidai</w:t>
      </w:r>
      <w:proofErr w:type="spellEnd"/>
      <w:r>
        <w:t xml:space="preserve"> ne lo </w:t>
      </w:r>
      <w:proofErr w:type="spellStart"/>
      <w:r>
        <w:t>ammendarmi</w:t>
      </w:r>
      <w:proofErr w:type="spellEnd"/>
      <w:r>
        <w:t xml:space="preserve"> [...]. </w:t>
      </w:r>
      <w:r w:rsidRPr="00C96B0E">
        <w:t>E p[</w:t>
      </w:r>
      <w:proofErr w:type="spellStart"/>
      <w:r w:rsidRPr="00C96B0E">
        <w:t>er</w:t>
      </w:r>
      <w:proofErr w:type="spellEnd"/>
      <w:proofErr w:type="gramStart"/>
      <w:r w:rsidRPr="00C96B0E">
        <w:t>]</w:t>
      </w:r>
      <w:proofErr w:type="spellStart"/>
      <w:r w:rsidRPr="00C96B0E">
        <w:t>che</w:t>
      </w:r>
      <w:proofErr w:type="spellEnd"/>
      <w:proofErr w:type="gramEnd"/>
      <w:r w:rsidRPr="00C96B0E">
        <w:t xml:space="preserve"> </w:t>
      </w:r>
      <w:proofErr w:type="spellStart"/>
      <w:r w:rsidRPr="00C96B0E">
        <w:t>io</w:t>
      </w:r>
      <w:proofErr w:type="spellEnd"/>
      <w:r w:rsidRPr="00C96B0E">
        <w:t xml:space="preserve"> so </w:t>
      </w:r>
      <w:proofErr w:type="spellStart"/>
      <w:r w:rsidRPr="00C96B0E">
        <w:t>senza</w:t>
      </w:r>
      <w:proofErr w:type="spellEnd"/>
      <w:r w:rsidRPr="00C96B0E">
        <w:t xml:space="preserve"> </w:t>
      </w:r>
      <w:proofErr w:type="spellStart"/>
      <w:r w:rsidRPr="00C96B0E">
        <w:t>alcun</w:t>
      </w:r>
      <w:proofErr w:type="spellEnd"/>
      <w:r w:rsidRPr="00C96B0E">
        <w:t xml:space="preserve"> </w:t>
      </w:r>
      <w:proofErr w:type="spellStart"/>
      <w:r w:rsidRPr="00C96B0E">
        <w:t>dubbio</w:t>
      </w:r>
      <w:proofErr w:type="spellEnd"/>
      <w:r w:rsidRPr="00C96B0E">
        <w:t xml:space="preserve"> di </w:t>
      </w:r>
      <w:proofErr w:type="spellStart"/>
      <w:r w:rsidRPr="00C96B0E">
        <w:t>hauere</w:t>
      </w:r>
      <w:proofErr w:type="spellEnd"/>
      <w:r w:rsidRPr="00C96B0E">
        <w:t xml:space="preserve"> a </w:t>
      </w:r>
      <w:proofErr w:type="spellStart"/>
      <w:r w:rsidRPr="00C96B0E">
        <w:t>trovare</w:t>
      </w:r>
      <w:proofErr w:type="spellEnd"/>
      <w:r w:rsidRPr="00C96B0E">
        <w:t xml:space="preserve"> pace </w:t>
      </w:r>
      <w:proofErr w:type="spellStart"/>
      <w:r w:rsidRPr="00C96B0E">
        <w:t>seco</w:t>
      </w:r>
      <w:proofErr w:type="spellEnd"/>
      <w:r w:rsidRPr="00C96B0E">
        <w:t xml:space="preserve"> ... </w:t>
      </w:r>
      <w:proofErr w:type="spellStart"/>
      <w:r w:rsidRPr="00C96B0E">
        <w:t>voglio</w:t>
      </w:r>
      <w:proofErr w:type="spellEnd"/>
      <w:r w:rsidRPr="00C96B0E">
        <w:t xml:space="preserve"> </w:t>
      </w:r>
      <w:proofErr w:type="spellStart"/>
      <w:r w:rsidRPr="00C96B0E">
        <w:t>rallegrarmi</w:t>
      </w:r>
      <w:proofErr w:type="spellEnd"/>
      <w:r w:rsidRPr="00C96B0E">
        <w:t xml:space="preserve"> in me</w:t>
      </w:r>
      <w:r w:rsidR="00C96B0E">
        <w:t>[z]</w:t>
      </w:r>
      <w:proofErr w:type="spellStart"/>
      <w:r w:rsidRPr="00C96B0E">
        <w:t>zo</w:t>
      </w:r>
      <w:proofErr w:type="spellEnd"/>
      <w:r w:rsidRPr="00C96B0E">
        <w:t xml:space="preserve"> e la </w:t>
      </w:r>
      <w:proofErr w:type="spellStart"/>
      <w:r w:rsidRPr="00C96B0E">
        <w:t>mia</w:t>
      </w:r>
      <w:proofErr w:type="spellEnd"/>
      <w:r w:rsidRPr="00C96B0E">
        <w:t xml:space="preserve"> </w:t>
      </w:r>
      <w:proofErr w:type="spellStart"/>
      <w:r w:rsidRPr="00C96B0E">
        <w:t>tristitia</w:t>
      </w:r>
      <w:proofErr w:type="spellEnd"/>
      <w:r w:rsidR="00763B21" w:rsidRPr="00C96B0E">
        <w:t>’</w:t>
      </w:r>
      <w:r w:rsidR="00C96B0E" w:rsidRPr="00C96B0E">
        <w:t xml:space="preserve"> (emphasis added</w:t>
      </w:r>
      <w:r w:rsidRPr="00C96B0E">
        <w:t>)</w:t>
      </w:r>
      <w:r w:rsidR="00B60E85" w:rsidRPr="00C96B0E">
        <w:t xml:space="preserve"> (‘</w:t>
      </w:r>
      <w:r w:rsidR="00C96B0E" w:rsidRPr="00C96B0E">
        <w:t xml:space="preserve">always </w:t>
      </w:r>
      <w:r w:rsidR="00B60E85" w:rsidRPr="00C96B0E">
        <w:t xml:space="preserve">I will have hope in him, and always have confidence in his amendment of me [...] And because I know, without any doubt, </w:t>
      </w:r>
      <w:r w:rsidR="00C96B0E" w:rsidRPr="00C96B0E">
        <w:t>that I</w:t>
      </w:r>
      <w:r w:rsidR="00C96B0E">
        <w:t xml:space="preserve"> will find peace with him [...] I will rejoice even in the midst of my tears’)</w:t>
      </w:r>
      <w:r w:rsidRPr="00C96B0E">
        <w:t>.</w:t>
      </w:r>
      <w:r w:rsidR="00C96B0E">
        <w:rPr>
          <w:rStyle w:val="FootnoteReference"/>
        </w:rPr>
        <w:footnoteReference w:id="6"/>
      </w:r>
      <w:r w:rsidRPr="00C96B0E">
        <w:t xml:space="preserve"> </w:t>
      </w:r>
      <w:r>
        <w:t>Does this make Aretino a Reformed Christian? Or are both authors responding to the soteriology of the sequence itself? Stephen Greenblatt</w:t>
      </w:r>
      <w:r w:rsidR="00763B21">
        <w:t>’</w:t>
      </w:r>
      <w:r>
        <w:t>s reading of the sequence points us towards an</w:t>
      </w:r>
      <w:r w:rsidR="00462F2B">
        <w:t xml:space="preserve"> answer to the second question, following which I will turn to the first. </w:t>
      </w:r>
    </w:p>
    <w:p w:rsidR="005B3613" w:rsidRDefault="00415365" w:rsidP="00656634">
      <w:pPr>
        <w:tabs>
          <w:tab w:val="left" w:pos="567"/>
        </w:tabs>
        <w:spacing w:line="480" w:lineRule="auto"/>
        <w:ind w:firstLine="567"/>
        <w:jc w:val="both"/>
        <w:rPr>
          <w:rStyle w:val="FootnoteReference"/>
        </w:rPr>
      </w:pPr>
      <w:r>
        <w:t xml:space="preserve">Greenblatt, echoing Mason and </w:t>
      </w:r>
      <w:proofErr w:type="spellStart"/>
      <w:r>
        <w:t>Rebholz</w:t>
      </w:r>
      <w:proofErr w:type="spellEnd"/>
      <w:r>
        <w:t xml:space="preserve">, claims that </w:t>
      </w:r>
      <w:r w:rsidR="00763B21">
        <w:t>‘</w:t>
      </w:r>
      <w:r>
        <w:t xml:space="preserve">Wyatt captures the authentic voice of early English Protestantism, its mingled humility and militancy, its desire to submit </w:t>
      </w:r>
      <w:r>
        <w:lastRenderedPageBreak/>
        <w:t>without intermediary directly to God</w:t>
      </w:r>
      <w:r w:rsidR="00763B21">
        <w:t>’</w:t>
      </w:r>
      <w:r>
        <w:t>s will, and above all its inwardness</w:t>
      </w:r>
      <w:r w:rsidR="00763B21">
        <w:t>’</w:t>
      </w:r>
      <w:r>
        <w:t>.</w:t>
      </w:r>
      <w:r>
        <w:rPr>
          <w:rStyle w:val="FootnoteReference"/>
        </w:rPr>
        <w:footnoteReference w:id="7"/>
      </w:r>
      <w:r>
        <w:t xml:space="preserve"> However, he adds a significant codicil: </w:t>
      </w:r>
      <w:r w:rsidR="00763B21">
        <w:t>‘</w:t>
      </w:r>
      <w:r w:rsidR="00470F66">
        <w:t>Though Wyatt gives it both a personal and markedly Protestant cast, the inwardness of the penitential psalms is by no means either his own innovation or the invention of the early sixteenth-century Reformers. It is embedded in the poems themselves</w:t>
      </w:r>
      <w:r w:rsidR="00763B21">
        <w:t>’</w:t>
      </w:r>
      <w:r w:rsidR="00470F66">
        <w:t>.</w:t>
      </w:r>
      <w:r w:rsidR="00470F66">
        <w:rPr>
          <w:rStyle w:val="FootnoteReference"/>
        </w:rPr>
        <w:footnoteReference w:id="8"/>
      </w:r>
      <w:r w:rsidR="00470F66">
        <w:t xml:space="preserve"> The </w:t>
      </w:r>
      <w:r w:rsidR="00763B21">
        <w:t>‘</w:t>
      </w:r>
      <w:r w:rsidR="00470F66">
        <w:t>inwardness</w:t>
      </w:r>
      <w:r w:rsidR="00763B21">
        <w:t>’</w:t>
      </w:r>
      <w:r w:rsidR="00470F66">
        <w:t xml:space="preserve"> which is the primary characteristic of Wyatt</w:t>
      </w:r>
      <w:r w:rsidR="00763B21">
        <w:t>’</w:t>
      </w:r>
      <w:r w:rsidR="00470F66">
        <w:t xml:space="preserve">s </w:t>
      </w:r>
      <w:r w:rsidR="00462F2B">
        <w:t xml:space="preserve">allegedly evangelized </w:t>
      </w:r>
      <w:r w:rsidR="00470F66">
        <w:t>Penitential Psalms</w:t>
      </w:r>
      <w:r>
        <w:t xml:space="preserve"> is found inwardly, as always-already within the sequence, which had been a mainstay of medieval Catholicism.</w:t>
      </w:r>
      <w:r w:rsidR="00462F2B">
        <w:rPr>
          <w:rStyle w:val="FootnoteReference"/>
        </w:rPr>
        <w:footnoteReference w:id="9"/>
      </w:r>
      <w:r>
        <w:t xml:space="preserve"> Even Mason notes that </w:t>
      </w:r>
      <w:r w:rsidR="00763B21">
        <w:t>‘</w:t>
      </w:r>
      <w:r>
        <w:t>Wyatt had a detailed exposition before him in Fisher of the stages of penance</w:t>
      </w:r>
      <w:r w:rsidR="00763B21">
        <w:t>’</w:t>
      </w:r>
      <w:r>
        <w:t>.</w:t>
      </w:r>
      <w:r w:rsidR="00462F2B">
        <w:rPr>
          <w:rStyle w:val="FootnoteReference"/>
        </w:rPr>
        <w:footnoteReference w:id="10"/>
      </w:r>
      <w:r>
        <w:rPr>
          <w:vertAlign w:val="superscript"/>
        </w:rPr>
        <w:t xml:space="preserve"> </w:t>
      </w:r>
      <w:r>
        <w:t>Wyatt</w:t>
      </w:r>
      <w:r w:rsidR="00763B21">
        <w:t>’</w:t>
      </w:r>
      <w:r>
        <w:t>s reformation of Aretino</w:t>
      </w:r>
      <w:r w:rsidR="00763B21">
        <w:t>’</w:t>
      </w:r>
      <w:r>
        <w:t xml:space="preserve">s text must then take place at the basic verbal level. The verbosity </w:t>
      </w:r>
      <w:proofErr w:type="spellStart"/>
      <w:r w:rsidR="00470F66">
        <w:t>Rebholz</w:t>
      </w:r>
      <w:proofErr w:type="spellEnd"/>
      <w:r w:rsidR="00470F66">
        <w:t xml:space="preserve"> notes, which Mason found </w:t>
      </w:r>
      <w:r w:rsidR="00763B21">
        <w:t>‘</w:t>
      </w:r>
      <w:r w:rsidR="00470F66">
        <w:t>sickening</w:t>
      </w:r>
      <w:r w:rsidR="00763B21">
        <w:t>’</w:t>
      </w:r>
      <w:r w:rsidR="00470F66">
        <w:t xml:space="preserve">, is – according to this critical tradition – to be torn away in a linguistic </w:t>
      </w:r>
      <w:r w:rsidR="0099652D" w:rsidRPr="0099652D">
        <w:rPr>
          <w:iCs/>
        </w:rPr>
        <w:t>corollary to</w:t>
      </w:r>
      <w:r>
        <w:t xml:space="preserve"> the stripping of the altars (to use Duffy</w:t>
      </w:r>
      <w:r w:rsidR="00763B21">
        <w:t>’</w:t>
      </w:r>
      <w:r w:rsidR="0099652D">
        <w:t>s phrase</w:t>
      </w:r>
      <w:r>
        <w:t xml:space="preserve">), as Thomas Greene argues: </w:t>
      </w:r>
      <w:r w:rsidR="00763B21">
        <w:t>‘</w:t>
      </w:r>
      <w:r w:rsidR="00470F66">
        <w:t>This suppression of ornament and [...] imagistic asceticism, is essential to Wyatt</w:t>
      </w:r>
      <w:r w:rsidR="00763B21">
        <w:t>’</w:t>
      </w:r>
      <w:r w:rsidR="00470F66">
        <w:t xml:space="preserve">s language because it strips the word of its </w:t>
      </w:r>
      <w:r w:rsidR="0099652D">
        <w:t>a</w:t>
      </w:r>
      <w:r w:rsidR="00470F66">
        <w:t>esthetic pretentiousness and leaves it as a</w:t>
      </w:r>
      <w:r w:rsidR="00812541">
        <w:t xml:space="preserve"> naked gauge of </w:t>
      </w:r>
      <w:r w:rsidR="00812541">
        <w:lastRenderedPageBreak/>
        <w:t>integrity</w:t>
      </w:r>
      <w:r w:rsidR="00763B21">
        <w:t>’</w:t>
      </w:r>
      <w:r w:rsidR="00470F66">
        <w:t>.</w:t>
      </w:r>
      <w:r w:rsidR="00812541">
        <w:rPr>
          <w:rStyle w:val="FootnoteReference"/>
        </w:rPr>
        <w:footnoteReference w:id="11"/>
      </w:r>
      <w:r>
        <w:rPr>
          <w:rStyle w:val="FootnoteReference"/>
        </w:rPr>
        <w:t xml:space="preserve"> </w:t>
      </w:r>
      <w:r>
        <w:rPr>
          <w:rStyle w:val="FootnoteReference"/>
          <w:vertAlign w:val="baseline"/>
        </w:rPr>
        <w:t>This argument is on safer ground, although Wyatt</w:t>
      </w:r>
      <w:r w:rsidR="00763B21">
        <w:rPr>
          <w:rStyle w:val="FootnoteReference"/>
          <w:vertAlign w:val="baseline"/>
        </w:rPr>
        <w:t>’</w:t>
      </w:r>
      <w:r>
        <w:rPr>
          <w:rStyle w:val="FootnoteReference"/>
          <w:vertAlign w:val="baseline"/>
        </w:rPr>
        <w:t>s sparseness is a characteristic of his overall poetic output – we find it for example in his divestment of Petrarch</w:t>
      </w:r>
      <w:r w:rsidR="00763B21">
        <w:rPr>
          <w:rStyle w:val="FootnoteReference"/>
          <w:vertAlign w:val="baseline"/>
        </w:rPr>
        <w:t>’</w:t>
      </w:r>
      <w:r>
        <w:rPr>
          <w:rStyle w:val="FootnoteReference"/>
          <w:vertAlign w:val="baseline"/>
        </w:rPr>
        <w:t xml:space="preserve">s rich </w:t>
      </w:r>
      <w:proofErr w:type="spellStart"/>
      <w:r>
        <w:rPr>
          <w:rStyle w:val="FootnoteReference"/>
          <w:i/>
          <w:vertAlign w:val="baseline"/>
        </w:rPr>
        <w:t>integumenta</w:t>
      </w:r>
      <w:proofErr w:type="spellEnd"/>
      <w:r>
        <w:rPr>
          <w:rStyle w:val="FootnoteReference"/>
          <w:i/>
          <w:vertAlign w:val="baseline"/>
        </w:rPr>
        <w:t xml:space="preserve"> </w:t>
      </w:r>
      <w:r>
        <w:rPr>
          <w:rStyle w:val="FootnoteReference"/>
          <w:vertAlign w:val="baseline"/>
        </w:rPr>
        <w:t>– and not an exclusive characteristic of his translation of the psalms.</w:t>
      </w:r>
    </w:p>
    <w:p w:rsidR="005B3613" w:rsidRDefault="00812541" w:rsidP="00656634">
      <w:pPr>
        <w:spacing w:line="480" w:lineRule="auto"/>
        <w:ind w:firstLine="567"/>
        <w:jc w:val="both"/>
      </w:pPr>
      <w:r w:rsidRPr="00812541">
        <w:t xml:space="preserve">Through this critical accumulation we become aware of the shortcomings of the </w:t>
      </w:r>
      <w:r w:rsidR="00763B21">
        <w:t>‘</w:t>
      </w:r>
      <w:r w:rsidRPr="00812541">
        <w:t>Protestant Poetics</w:t>
      </w:r>
      <w:r w:rsidR="00763B21">
        <w:t>’</w:t>
      </w:r>
      <w:r w:rsidRPr="00812541">
        <w:t xml:space="preserve"> narrative that has become the mainstay of commentary upon Wyatt</w:t>
      </w:r>
      <w:r w:rsidR="00763B21">
        <w:t>’</w:t>
      </w:r>
      <w:r w:rsidRPr="00812541">
        <w:t>s sequence.</w:t>
      </w:r>
      <w:r w:rsidR="0099652D">
        <w:rPr>
          <w:rStyle w:val="FootnoteReference"/>
        </w:rPr>
        <w:footnoteReference w:id="12"/>
      </w:r>
      <w:r w:rsidRPr="00812541">
        <w:t xml:space="preserve"> It is a narrative underpinned by a periodization that privileges the early modern at the expense of a denigrated </w:t>
      </w:r>
      <w:proofErr w:type="gramStart"/>
      <w:r w:rsidRPr="00812541">
        <w:t>Middle</w:t>
      </w:r>
      <w:proofErr w:type="gramEnd"/>
      <w:r w:rsidRPr="00812541">
        <w:t xml:space="preserve"> Ages by means of a Protestant/Catholic </w:t>
      </w:r>
      <w:r w:rsidR="0099652D">
        <w:t>dividing line</w:t>
      </w:r>
      <w:r w:rsidRPr="00812541">
        <w:t xml:space="preserve"> that was </w:t>
      </w:r>
      <w:r w:rsidR="0099652D">
        <w:t>still blurred</w:t>
      </w:r>
      <w:r w:rsidRPr="00812541">
        <w:t xml:space="preserve"> in the mid-1530s. As we shall see when discussing Aretino</w:t>
      </w:r>
      <w:r w:rsidR="00763B21">
        <w:t>’</w:t>
      </w:r>
      <w:r w:rsidRPr="00812541">
        <w:t xml:space="preserve">s doctrinal position, the distinction between </w:t>
      </w:r>
      <w:r w:rsidR="00763B21">
        <w:t>‘</w:t>
      </w:r>
      <w:r w:rsidRPr="00812541">
        <w:t>Reformed Christian</w:t>
      </w:r>
      <w:r w:rsidR="00763B21">
        <w:t>’</w:t>
      </w:r>
      <w:r w:rsidRPr="00812541">
        <w:t xml:space="preserve"> and </w:t>
      </w:r>
      <w:r w:rsidR="00763B21">
        <w:t>‘</w:t>
      </w:r>
      <w:r w:rsidRPr="00812541">
        <w:t>Roman Catholic</w:t>
      </w:r>
      <w:r w:rsidR="00763B21">
        <w:t>’</w:t>
      </w:r>
      <w:r w:rsidRPr="00812541">
        <w:t xml:space="preserve"> is a false dichotomy – Aretino was a Catholic in f</w:t>
      </w:r>
      <w:r>
        <w:t xml:space="preserve">avour of reforming the Church, who associated with </w:t>
      </w:r>
      <w:r w:rsidR="00415365">
        <w:t xml:space="preserve">leading Italian reformers or </w:t>
      </w:r>
      <w:proofErr w:type="spellStart"/>
      <w:r w:rsidR="00415365">
        <w:rPr>
          <w:i/>
        </w:rPr>
        <w:t>spirituali</w:t>
      </w:r>
      <w:proofErr w:type="spellEnd"/>
      <w:r w:rsidR="0099652D">
        <w:rPr>
          <w:i/>
        </w:rPr>
        <w:t xml:space="preserve"> </w:t>
      </w:r>
      <w:r w:rsidR="0099652D" w:rsidRPr="0099652D">
        <w:rPr>
          <w:iCs/>
        </w:rPr>
        <w:t>who supported Luther</w:t>
      </w:r>
      <w:r w:rsidR="00415365" w:rsidRPr="0099652D">
        <w:rPr>
          <w:iCs/>
        </w:rPr>
        <w:t>.</w:t>
      </w:r>
    </w:p>
    <w:p w:rsidR="00DD2E62" w:rsidRDefault="00FD4911" w:rsidP="00656634">
      <w:pPr>
        <w:spacing w:line="480" w:lineRule="auto"/>
        <w:ind w:firstLine="567"/>
        <w:jc w:val="both"/>
      </w:pPr>
      <w:r>
        <w:t xml:space="preserve">The </w:t>
      </w:r>
      <w:r w:rsidR="00DD2E62">
        <w:t xml:space="preserve">critical commonplace </w:t>
      </w:r>
      <w:r>
        <w:t xml:space="preserve">that </w:t>
      </w:r>
      <w:r w:rsidR="00E54AD9">
        <w:t xml:space="preserve">in the </w:t>
      </w:r>
      <w:r w:rsidR="00086E74">
        <w:t xml:space="preserve">Penitential </w:t>
      </w:r>
      <w:r w:rsidR="00E54AD9">
        <w:t xml:space="preserve">Psalms </w:t>
      </w:r>
      <w:r w:rsidR="00763B21">
        <w:t>‘</w:t>
      </w:r>
      <w:r>
        <w:t>Wyatt captures the authentic voice of early English Protestantism</w:t>
      </w:r>
      <w:r w:rsidR="00763B21">
        <w:t>’</w:t>
      </w:r>
      <w:r>
        <w:t xml:space="preserve"> </w:t>
      </w:r>
      <w:r w:rsidR="0099652D">
        <w:t xml:space="preserve">stems </w:t>
      </w:r>
      <w:r>
        <w:t xml:space="preserve">in part from Wyatt himself. In the </w:t>
      </w:r>
      <w:r w:rsidRPr="00DD2E62">
        <w:rPr>
          <w:i/>
        </w:rPr>
        <w:t>Defence</w:t>
      </w:r>
      <w:r>
        <w:t xml:space="preserve"> which he composed in 1541 following </w:t>
      </w:r>
      <w:r w:rsidR="00E54AD9">
        <w:t>allegations</w:t>
      </w:r>
      <w:r>
        <w:t xml:space="preserve"> of treason made against him by Bishop Edmund Bonner and Dr Simon </w:t>
      </w:r>
      <w:proofErr w:type="spellStart"/>
      <w:r>
        <w:t>Heynes</w:t>
      </w:r>
      <w:proofErr w:type="spellEnd"/>
      <w:r>
        <w:t xml:space="preserve">, </w:t>
      </w:r>
      <w:r w:rsidR="00E54AD9">
        <w:t xml:space="preserve">as part of which Wyatt was accused of </w:t>
      </w:r>
      <w:r w:rsidR="00DD2E62">
        <w:t>consorting with</w:t>
      </w:r>
      <w:r w:rsidR="00E54AD9">
        <w:t xml:space="preserve"> Catholic</w:t>
      </w:r>
      <w:r w:rsidR="00DD2E62">
        <w:t>s</w:t>
      </w:r>
      <w:r w:rsidR="00E54AD9">
        <w:t xml:space="preserve">, he claimed that </w:t>
      </w:r>
      <w:r w:rsidR="00763B21">
        <w:t>‘</w:t>
      </w:r>
      <w:r w:rsidR="00E54AD9">
        <w:t xml:space="preserve">I </w:t>
      </w:r>
      <w:proofErr w:type="spellStart"/>
      <w:r w:rsidR="00E54AD9">
        <w:t>thynke</w:t>
      </w:r>
      <w:proofErr w:type="spellEnd"/>
      <w:r w:rsidR="00E54AD9">
        <w:t xml:space="preserve"> I </w:t>
      </w:r>
      <w:proofErr w:type="spellStart"/>
      <w:r w:rsidR="00E54AD9">
        <w:t>shulde</w:t>
      </w:r>
      <w:proofErr w:type="spellEnd"/>
      <w:r w:rsidR="00E54AD9">
        <w:t xml:space="preserve"> have more </w:t>
      </w:r>
      <w:proofErr w:type="spellStart"/>
      <w:r w:rsidR="00E54AD9">
        <w:t>adoe</w:t>
      </w:r>
      <w:proofErr w:type="spellEnd"/>
      <w:r w:rsidR="00E54AD9">
        <w:t xml:space="preserve"> with a great </w:t>
      </w:r>
      <w:proofErr w:type="spellStart"/>
      <w:r w:rsidR="00E54AD9">
        <w:t>sorte</w:t>
      </w:r>
      <w:proofErr w:type="spellEnd"/>
      <w:r w:rsidR="00E54AD9">
        <w:t xml:space="preserve"> in </w:t>
      </w:r>
      <w:proofErr w:type="spellStart"/>
      <w:r w:rsidR="00E54AD9">
        <w:t>Inglande</w:t>
      </w:r>
      <w:proofErr w:type="spellEnd"/>
      <w:r w:rsidR="00E54AD9">
        <w:t xml:space="preserve"> to purge my </w:t>
      </w:r>
      <w:proofErr w:type="spellStart"/>
      <w:r w:rsidR="00E54AD9">
        <w:t>selffe</w:t>
      </w:r>
      <w:proofErr w:type="spellEnd"/>
      <w:r w:rsidR="00E54AD9">
        <w:t xml:space="preserve"> of </w:t>
      </w:r>
      <w:proofErr w:type="spellStart"/>
      <w:r w:rsidR="00E54AD9">
        <w:t>suspecte</w:t>
      </w:r>
      <w:proofErr w:type="spellEnd"/>
      <w:r w:rsidR="00E54AD9">
        <w:t xml:space="preserve"> of a </w:t>
      </w:r>
      <w:proofErr w:type="spellStart"/>
      <w:r w:rsidR="00E54AD9">
        <w:t>Lutherane</w:t>
      </w:r>
      <w:proofErr w:type="spellEnd"/>
      <w:r w:rsidR="00E54AD9">
        <w:t xml:space="preserve"> then of a </w:t>
      </w:r>
      <w:proofErr w:type="spellStart"/>
      <w:r w:rsidR="00E54AD9">
        <w:t>Papyst</w:t>
      </w:r>
      <w:proofErr w:type="spellEnd"/>
      <w:r w:rsidR="00763B21">
        <w:t>’</w:t>
      </w:r>
      <w:r w:rsidR="00E54AD9">
        <w:t>.</w:t>
      </w:r>
      <w:r w:rsidR="00086E74">
        <w:rPr>
          <w:rStyle w:val="FootnoteReference"/>
        </w:rPr>
        <w:footnoteReference w:id="13"/>
      </w:r>
      <w:r w:rsidR="00E54AD9">
        <w:t xml:space="preserve"> Indeed, Wyatt was known</w:t>
      </w:r>
      <w:r w:rsidR="00DD2E62">
        <w:t xml:space="preserve"> on </w:t>
      </w:r>
      <w:r w:rsidR="00DD2E62">
        <w:lastRenderedPageBreak/>
        <w:t>occasion</w:t>
      </w:r>
      <w:r w:rsidR="00E54AD9">
        <w:t xml:space="preserve"> to fraternize with the evangelicals who frequented Queen Anne</w:t>
      </w:r>
      <w:r w:rsidR="00763B21">
        <w:t>’</w:t>
      </w:r>
      <w:r w:rsidR="00E54AD9">
        <w:t>s court</w:t>
      </w:r>
      <w:r w:rsidR="00DD2E62">
        <w:t>.</w:t>
      </w:r>
      <w:r w:rsidR="00DD2E62">
        <w:rPr>
          <w:rStyle w:val="FootnoteReference"/>
        </w:rPr>
        <w:footnoteReference w:id="14"/>
      </w:r>
      <w:r w:rsidR="00DD2E62">
        <w:t xml:space="preserve"> </w:t>
      </w:r>
      <w:r w:rsidR="00086E74">
        <w:t>However, Wyatt</w:t>
      </w:r>
      <w:r w:rsidR="00763B21">
        <w:t>’</w:t>
      </w:r>
      <w:r w:rsidR="00086E74">
        <w:t xml:space="preserve">s statement clearly shows that he aligns himself with neither extreme – his way is the via media, and in this he was entirely consonant with early Anglican doctrine. </w:t>
      </w:r>
    </w:p>
    <w:p w:rsidR="005B3613" w:rsidRDefault="00DD2E62" w:rsidP="00656634">
      <w:pPr>
        <w:spacing w:line="480" w:lineRule="auto"/>
        <w:ind w:firstLine="567"/>
        <w:jc w:val="both"/>
      </w:pPr>
      <w:r>
        <w:t>The image of Wyatt as The Protestant Poet is also partly the responsibility of the Earl of Surrey, who in an elegiac sonnet which prefaces the Psalms in Wyatt</w:t>
      </w:r>
      <w:r w:rsidR="00763B21">
        <w:t>’</w:t>
      </w:r>
      <w:r>
        <w:t xml:space="preserve">s holograph, the Egerton MS, notes how Wyatt </w:t>
      </w:r>
    </w:p>
    <w:p w:rsidR="00063CFD" w:rsidRPr="00063CFD" w:rsidRDefault="00063CFD" w:rsidP="00063CFD">
      <w:pPr>
        <w:spacing w:after="0" w:line="240" w:lineRule="auto"/>
        <w:ind w:left="567"/>
        <w:jc w:val="both"/>
        <w:rPr>
          <w:szCs w:val="24"/>
        </w:rPr>
      </w:pPr>
      <w:proofErr w:type="spellStart"/>
      <w:proofErr w:type="gramStart"/>
      <w:r w:rsidRPr="00063CFD">
        <w:rPr>
          <w:szCs w:val="24"/>
        </w:rPr>
        <w:t>dothe</w:t>
      </w:r>
      <w:proofErr w:type="spellEnd"/>
      <w:proofErr w:type="gramEnd"/>
      <w:r w:rsidRPr="00063CFD">
        <w:rPr>
          <w:szCs w:val="24"/>
        </w:rPr>
        <w:t xml:space="preserve"> </w:t>
      </w:r>
      <w:proofErr w:type="spellStart"/>
      <w:r w:rsidRPr="00063CFD">
        <w:rPr>
          <w:szCs w:val="24"/>
        </w:rPr>
        <w:t>paynte</w:t>
      </w:r>
      <w:proofErr w:type="spellEnd"/>
      <w:r w:rsidRPr="00063CFD">
        <w:rPr>
          <w:szCs w:val="24"/>
        </w:rPr>
        <w:t xml:space="preserve"> the </w:t>
      </w:r>
      <w:proofErr w:type="spellStart"/>
      <w:r w:rsidRPr="00063CFD">
        <w:rPr>
          <w:szCs w:val="24"/>
        </w:rPr>
        <w:t>lyvely</w:t>
      </w:r>
      <w:proofErr w:type="spellEnd"/>
      <w:r w:rsidRPr="00063CFD">
        <w:rPr>
          <w:szCs w:val="24"/>
        </w:rPr>
        <w:t xml:space="preserve"> </w:t>
      </w:r>
      <w:proofErr w:type="spellStart"/>
      <w:r w:rsidRPr="00063CFD">
        <w:rPr>
          <w:szCs w:val="24"/>
        </w:rPr>
        <w:t>faythe</w:t>
      </w:r>
      <w:proofErr w:type="spellEnd"/>
      <w:r w:rsidRPr="00063CFD">
        <w:rPr>
          <w:szCs w:val="24"/>
        </w:rPr>
        <w:t xml:space="preserve"> and pure, </w:t>
      </w:r>
    </w:p>
    <w:p w:rsidR="00063CFD" w:rsidRPr="00063CFD" w:rsidRDefault="00063CFD" w:rsidP="00063CFD">
      <w:pPr>
        <w:spacing w:after="0" w:line="240" w:lineRule="auto"/>
        <w:ind w:left="567"/>
        <w:jc w:val="both"/>
        <w:rPr>
          <w:szCs w:val="24"/>
        </w:rPr>
      </w:pPr>
      <w:r w:rsidRPr="00063CFD">
        <w:rPr>
          <w:szCs w:val="24"/>
        </w:rPr>
        <w:t xml:space="preserve">The </w:t>
      </w:r>
      <w:proofErr w:type="spellStart"/>
      <w:r w:rsidRPr="00063CFD">
        <w:rPr>
          <w:szCs w:val="24"/>
        </w:rPr>
        <w:t>stedfast</w:t>
      </w:r>
      <w:proofErr w:type="spellEnd"/>
      <w:r w:rsidRPr="00063CFD">
        <w:rPr>
          <w:szCs w:val="24"/>
        </w:rPr>
        <w:t xml:space="preserve"> </w:t>
      </w:r>
      <w:proofErr w:type="spellStart"/>
      <w:r w:rsidRPr="00063CFD">
        <w:rPr>
          <w:szCs w:val="24"/>
        </w:rPr>
        <w:t>hoope</w:t>
      </w:r>
      <w:proofErr w:type="spellEnd"/>
      <w:r w:rsidRPr="00063CFD">
        <w:rPr>
          <w:szCs w:val="24"/>
        </w:rPr>
        <w:t xml:space="preserve">, the </w:t>
      </w:r>
      <w:proofErr w:type="spellStart"/>
      <w:r w:rsidRPr="00063CFD">
        <w:rPr>
          <w:szCs w:val="24"/>
        </w:rPr>
        <w:t>swete</w:t>
      </w:r>
      <w:proofErr w:type="spellEnd"/>
      <w:r w:rsidRPr="00063CFD">
        <w:rPr>
          <w:szCs w:val="24"/>
        </w:rPr>
        <w:t xml:space="preserve"> </w:t>
      </w:r>
      <w:proofErr w:type="spellStart"/>
      <w:r w:rsidRPr="00063CFD">
        <w:rPr>
          <w:szCs w:val="24"/>
        </w:rPr>
        <w:t>returne</w:t>
      </w:r>
      <w:proofErr w:type="spellEnd"/>
      <w:r w:rsidRPr="00063CFD">
        <w:rPr>
          <w:szCs w:val="24"/>
        </w:rPr>
        <w:t xml:space="preserve"> to grace</w:t>
      </w:r>
    </w:p>
    <w:p w:rsidR="00063CFD" w:rsidRPr="00063CFD" w:rsidRDefault="00063CFD" w:rsidP="00063CFD">
      <w:pPr>
        <w:spacing w:after="0" w:line="240" w:lineRule="auto"/>
        <w:ind w:left="567"/>
        <w:jc w:val="both"/>
        <w:rPr>
          <w:szCs w:val="24"/>
        </w:rPr>
      </w:pPr>
    </w:p>
    <w:p w:rsidR="00063CFD" w:rsidRPr="00063CFD" w:rsidRDefault="00063CFD" w:rsidP="00063CFD">
      <w:pPr>
        <w:spacing w:after="0" w:line="240" w:lineRule="auto"/>
        <w:ind w:left="567"/>
        <w:jc w:val="both"/>
        <w:rPr>
          <w:szCs w:val="24"/>
        </w:rPr>
      </w:pPr>
      <w:r w:rsidRPr="00063CFD">
        <w:rPr>
          <w:szCs w:val="24"/>
        </w:rPr>
        <w:t xml:space="preserve">Of </w:t>
      </w:r>
      <w:proofErr w:type="spellStart"/>
      <w:r w:rsidRPr="00063CFD">
        <w:rPr>
          <w:szCs w:val="24"/>
        </w:rPr>
        <w:t>iust</w:t>
      </w:r>
      <w:proofErr w:type="spellEnd"/>
      <w:r w:rsidRPr="00063CFD">
        <w:rPr>
          <w:szCs w:val="24"/>
        </w:rPr>
        <w:t xml:space="preserve"> </w:t>
      </w:r>
      <w:proofErr w:type="spellStart"/>
      <w:r w:rsidRPr="00063CFD">
        <w:rPr>
          <w:szCs w:val="24"/>
        </w:rPr>
        <w:t>Dauyd</w:t>
      </w:r>
      <w:proofErr w:type="spellEnd"/>
      <w:r w:rsidRPr="00063CFD">
        <w:rPr>
          <w:szCs w:val="24"/>
        </w:rPr>
        <w:t xml:space="preserve"> by </w:t>
      </w:r>
      <w:proofErr w:type="spellStart"/>
      <w:r w:rsidRPr="00063CFD">
        <w:rPr>
          <w:szCs w:val="24"/>
        </w:rPr>
        <w:t>parfite</w:t>
      </w:r>
      <w:proofErr w:type="spellEnd"/>
      <w:r w:rsidRPr="00063CFD">
        <w:rPr>
          <w:szCs w:val="24"/>
        </w:rPr>
        <w:t xml:space="preserve"> </w:t>
      </w:r>
      <w:proofErr w:type="spellStart"/>
      <w:r w:rsidRPr="00063CFD">
        <w:rPr>
          <w:szCs w:val="24"/>
        </w:rPr>
        <w:t>penytence</w:t>
      </w:r>
      <w:proofErr w:type="spellEnd"/>
      <w:r w:rsidRPr="00063CFD">
        <w:rPr>
          <w:szCs w:val="24"/>
        </w:rPr>
        <w:t>,</w:t>
      </w:r>
    </w:p>
    <w:p w:rsidR="00063CFD" w:rsidRPr="00063CFD" w:rsidRDefault="00063CFD" w:rsidP="00063CFD">
      <w:pPr>
        <w:spacing w:after="0" w:line="240" w:lineRule="auto"/>
        <w:ind w:left="567"/>
        <w:jc w:val="both"/>
        <w:rPr>
          <w:szCs w:val="24"/>
        </w:rPr>
      </w:pPr>
      <w:r w:rsidRPr="00063CFD">
        <w:rPr>
          <w:szCs w:val="24"/>
        </w:rPr>
        <w:t xml:space="preserve">Where </w:t>
      </w:r>
      <w:proofErr w:type="spellStart"/>
      <w:r w:rsidRPr="00063CFD">
        <w:rPr>
          <w:szCs w:val="24"/>
        </w:rPr>
        <w:t>Rewlers</w:t>
      </w:r>
      <w:proofErr w:type="spellEnd"/>
      <w:r w:rsidRPr="00063CFD">
        <w:rPr>
          <w:szCs w:val="24"/>
        </w:rPr>
        <w:t xml:space="preserve"> may </w:t>
      </w:r>
      <w:proofErr w:type="spellStart"/>
      <w:r w:rsidRPr="00063CFD">
        <w:rPr>
          <w:szCs w:val="24"/>
        </w:rPr>
        <w:t>se</w:t>
      </w:r>
      <w:proofErr w:type="spellEnd"/>
      <w:r w:rsidRPr="00063CFD">
        <w:rPr>
          <w:szCs w:val="24"/>
        </w:rPr>
        <w:t xml:space="preserve"> in a </w:t>
      </w:r>
      <w:proofErr w:type="spellStart"/>
      <w:r w:rsidRPr="00063CFD">
        <w:rPr>
          <w:szCs w:val="24"/>
        </w:rPr>
        <w:t>myrrour</w:t>
      </w:r>
      <w:proofErr w:type="spellEnd"/>
      <w:r w:rsidRPr="00063CFD">
        <w:rPr>
          <w:szCs w:val="24"/>
        </w:rPr>
        <w:t xml:space="preserve"> </w:t>
      </w:r>
      <w:proofErr w:type="spellStart"/>
      <w:r w:rsidRPr="00063CFD">
        <w:rPr>
          <w:szCs w:val="24"/>
        </w:rPr>
        <w:t>clere</w:t>
      </w:r>
      <w:proofErr w:type="spellEnd"/>
    </w:p>
    <w:p w:rsidR="00063CFD" w:rsidRPr="00063CFD" w:rsidRDefault="00063CFD" w:rsidP="00063CFD">
      <w:pPr>
        <w:spacing w:after="0" w:line="240" w:lineRule="auto"/>
        <w:ind w:left="567"/>
        <w:jc w:val="both"/>
        <w:rPr>
          <w:szCs w:val="24"/>
        </w:rPr>
      </w:pPr>
      <w:proofErr w:type="gramStart"/>
      <w:r w:rsidRPr="00063CFD">
        <w:rPr>
          <w:szCs w:val="24"/>
        </w:rPr>
        <w:t xml:space="preserve">The bitter </w:t>
      </w:r>
      <w:proofErr w:type="spellStart"/>
      <w:r w:rsidRPr="00063CFD">
        <w:rPr>
          <w:szCs w:val="24"/>
        </w:rPr>
        <w:t>frewte</w:t>
      </w:r>
      <w:proofErr w:type="spellEnd"/>
      <w:r w:rsidRPr="00063CFD">
        <w:rPr>
          <w:szCs w:val="24"/>
        </w:rPr>
        <w:t xml:space="preserve"> of false </w:t>
      </w:r>
      <w:proofErr w:type="spellStart"/>
      <w:r w:rsidRPr="00063CFD">
        <w:rPr>
          <w:szCs w:val="24"/>
        </w:rPr>
        <w:t>concupicense</w:t>
      </w:r>
      <w:proofErr w:type="spellEnd"/>
      <w:r w:rsidRPr="00063CFD">
        <w:rPr>
          <w:szCs w:val="24"/>
        </w:rPr>
        <w:t>.</w:t>
      </w:r>
      <w:proofErr w:type="gramEnd"/>
      <w:r w:rsidRPr="00063CFD">
        <w:rPr>
          <w:rStyle w:val="FootnoteReference"/>
          <w:szCs w:val="24"/>
        </w:rPr>
        <w:footnoteReference w:id="15"/>
      </w:r>
      <w:r w:rsidRPr="00063CFD">
        <w:rPr>
          <w:szCs w:val="24"/>
        </w:rPr>
        <w:t xml:space="preserve"> </w:t>
      </w:r>
    </w:p>
    <w:p w:rsidR="00DD2E62" w:rsidRDefault="00DD2E62" w:rsidP="0099652D">
      <w:pPr>
        <w:spacing w:after="0" w:line="240" w:lineRule="auto"/>
        <w:ind w:firstLine="567"/>
        <w:jc w:val="both"/>
      </w:pPr>
    </w:p>
    <w:p w:rsidR="00CD4489" w:rsidRDefault="00DD2E62" w:rsidP="00656634">
      <w:pPr>
        <w:spacing w:after="0" w:line="480" w:lineRule="auto"/>
        <w:jc w:val="both"/>
      </w:pPr>
      <w:r>
        <w:t xml:space="preserve">However, </w:t>
      </w:r>
      <w:r w:rsidR="00086E74">
        <w:t>against the</w:t>
      </w:r>
      <w:r w:rsidR="004B67E8">
        <w:t xml:space="preserve"> critical tradition</w:t>
      </w:r>
      <w:r w:rsidR="00086E74">
        <w:t xml:space="preserve"> which</w:t>
      </w:r>
      <w:r w:rsidR="00B55012">
        <w:t xml:space="preserve"> is founded upon </w:t>
      </w:r>
      <w:r w:rsidR="00086E74">
        <w:t>these two statements</w:t>
      </w:r>
      <w:r w:rsidR="004B67E8">
        <w:t xml:space="preserve"> I </w:t>
      </w:r>
      <w:r w:rsidR="00063CFD">
        <w:t>recommend</w:t>
      </w:r>
      <w:r w:rsidR="004B67E8">
        <w:t xml:space="preserve"> </w:t>
      </w:r>
      <w:proofErr w:type="spellStart"/>
      <w:r w:rsidR="004B67E8">
        <w:t>Rivkah</w:t>
      </w:r>
      <w:proofErr w:type="spellEnd"/>
      <w:r w:rsidR="004B67E8">
        <w:t xml:space="preserve"> </w:t>
      </w:r>
      <w:proofErr w:type="spellStart"/>
      <w:r w:rsidR="004B67E8">
        <w:t>Zim</w:t>
      </w:r>
      <w:r w:rsidR="00763B21">
        <w:t>’</w:t>
      </w:r>
      <w:r w:rsidR="004B67E8">
        <w:t>s</w:t>
      </w:r>
      <w:proofErr w:type="spellEnd"/>
      <w:r w:rsidR="004B67E8">
        <w:t xml:space="preserve"> very sensible point that whereas early modern imitation of classical texts emphasize</w:t>
      </w:r>
      <w:r w:rsidR="00B55012">
        <w:t>s rupture and</w:t>
      </w:r>
      <w:r w:rsidR="004B67E8">
        <w:t xml:space="preserve"> </w:t>
      </w:r>
      <w:proofErr w:type="spellStart"/>
      <w:r w:rsidR="004B67E8">
        <w:t>alterity</w:t>
      </w:r>
      <w:proofErr w:type="spellEnd"/>
      <w:r w:rsidR="004B67E8">
        <w:t xml:space="preserve">, </w:t>
      </w:r>
      <w:r w:rsidR="00763B21">
        <w:t>‘</w:t>
      </w:r>
      <w:r w:rsidR="004B67E8">
        <w:t>in the case of psalm versions we should emphasize rather familiarity and continuity-in-change. Despite the doctrinal upheavals of the period sixteenth-century readers and writers continued to participate in a long and relatively stable tradi</w:t>
      </w:r>
      <w:r w:rsidR="00B55012">
        <w:t>tion of Christian devotion</w:t>
      </w:r>
      <w:r w:rsidR="00763B21">
        <w:t>’</w:t>
      </w:r>
      <w:r w:rsidR="004B67E8">
        <w:t>.</w:t>
      </w:r>
      <w:r w:rsidR="00086E74">
        <w:rPr>
          <w:rStyle w:val="FootnoteReference"/>
        </w:rPr>
        <w:footnoteReference w:id="16"/>
      </w:r>
      <w:r w:rsidR="004B67E8">
        <w:t xml:space="preserve"> </w:t>
      </w:r>
      <w:r w:rsidR="00154B9B">
        <w:t>Raymond Southa</w:t>
      </w:r>
      <w:r w:rsidR="0099652D">
        <w:t>ll also tempers the ‘</w:t>
      </w:r>
      <w:r w:rsidR="00BC36C2">
        <w:t xml:space="preserve">Protestant </w:t>
      </w:r>
      <w:r w:rsidR="0099652D">
        <w:t>P</w:t>
      </w:r>
      <w:r w:rsidR="00154B9B">
        <w:t>oetics</w:t>
      </w:r>
      <w:r w:rsidR="0099652D">
        <w:t>’</w:t>
      </w:r>
      <w:r w:rsidR="00154B9B">
        <w:t xml:space="preserve"> reading, arguing instead that </w:t>
      </w:r>
      <w:r w:rsidR="00763B21">
        <w:t>‘</w:t>
      </w:r>
      <w:r w:rsidR="00154B9B">
        <w:t xml:space="preserve">In Wyatt, then, can be perceived that impulse which was forming itself into a movement of reformation and in his poetry is revealed something of that crisis of consciousness which must have had a catalytic effect upon the diverse elements </w:t>
      </w:r>
      <w:r w:rsidR="00154B9B">
        <w:lastRenderedPageBreak/>
        <w:t>of the new civiliza</w:t>
      </w:r>
      <w:r w:rsidR="0032467D">
        <w:t>tion which were appearing</w:t>
      </w:r>
      <w:r w:rsidR="00763B21">
        <w:t>’</w:t>
      </w:r>
      <w:r w:rsidR="00154B9B">
        <w:t xml:space="preserve">, a view echoed by Susan </w:t>
      </w:r>
      <w:proofErr w:type="spellStart"/>
      <w:r w:rsidR="00154B9B">
        <w:t>Brigden</w:t>
      </w:r>
      <w:proofErr w:type="spellEnd"/>
      <w:r w:rsidR="00154B9B">
        <w:t xml:space="preserve"> i</w:t>
      </w:r>
      <w:r w:rsidR="0032467D">
        <w:t>n her recent biography of Wyatt</w:t>
      </w:r>
      <w:r w:rsidR="00CD4489">
        <w:t>.</w:t>
      </w:r>
      <w:r w:rsidR="0032467D">
        <w:rPr>
          <w:rStyle w:val="FootnoteReference"/>
        </w:rPr>
        <w:footnoteReference w:id="17"/>
      </w:r>
      <w:r w:rsidR="00CD4489">
        <w:t xml:space="preserve"> </w:t>
      </w:r>
      <w:r w:rsidR="00063CFD">
        <w:t xml:space="preserve">The process of division was not yet complete. </w:t>
      </w:r>
    </w:p>
    <w:p w:rsidR="00DD2E62" w:rsidRDefault="00063CFD" w:rsidP="00656634">
      <w:pPr>
        <w:spacing w:after="0" w:line="480" w:lineRule="auto"/>
        <w:ind w:firstLine="567"/>
        <w:jc w:val="both"/>
      </w:pPr>
      <w:r>
        <w:t>Indeed,</w:t>
      </w:r>
      <w:r w:rsidR="00CD4489">
        <w:t xml:space="preserve"> many of the </w:t>
      </w:r>
      <w:r>
        <w:t>evangelical</w:t>
      </w:r>
      <w:r w:rsidR="00CD4489">
        <w:t xml:space="preserve"> elements in Wyatt</w:t>
      </w:r>
      <w:r w:rsidR="00763B21">
        <w:t>’</w:t>
      </w:r>
      <w:r w:rsidR="00CD4489">
        <w:t>s poem are to be found in his principal Italian source, Aretino</w:t>
      </w:r>
      <w:r w:rsidR="00763B21">
        <w:t>’</w:t>
      </w:r>
      <w:r w:rsidR="00CD4489">
        <w:t xml:space="preserve">s </w:t>
      </w:r>
      <w:r>
        <w:rPr>
          <w:i/>
        </w:rPr>
        <w:t xml:space="preserve">I </w:t>
      </w:r>
      <w:proofErr w:type="spellStart"/>
      <w:r>
        <w:rPr>
          <w:i/>
        </w:rPr>
        <w:t>s</w:t>
      </w:r>
      <w:r w:rsidR="00CD4489">
        <w:rPr>
          <w:i/>
        </w:rPr>
        <w:t>ette</w:t>
      </w:r>
      <w:proofErr w:type="spellEnd"/>
      <w:r w:rsidR="00CD4489">
        <w:rPr>
          <w:i/>
        </w:rPr>
        <w:t xml:space="preserve"> </w:t>
      </w:r>
      <w:proofErr w:type="spellStart"/>
      <w:r>
        <w:rPr>
          <w:i/>
        </w:rPr>
        <w:t>s</w:t>
      </w:r>
      <w:r w:rsidR="00CD4489">
        <w:rPr>
          <w:i/>
        </w:rPr>
        <w:t>almi</w:t>
      </w:r>
      <w:proofErr w:type="spellEnd"/>
      <w:r w:rsidR="00CD4489">
        <w:rPr>
          <w:i/>
        </w:rPr>
        <w:t xml:space="preserve"> de la </w:t>
      </w:r>
      <w:proofErr w:type="spellStart"/>
      <w:r>
        <w:rPr>
          <w:i/>
        </w:rPr>
        <w:t>p</w:t>
      </w:r>
      <w:r w:rsidR="00CD4489">
        <w:rPr>
          <w:i/>
        </w:rPr>
        <w:t>enitentia</w:t>
      </w:r>
      <w:proofErr w:type="spellEnd"/>
      <w:r w:rsidR="00CD4489">
        <w:rPr>
          <w:i/>
        </w:rPr>
        <w:t xml:space="preserve"> di David</w:t>
      </w:r>
      <w:r>
        <w:rPr>
          <w:iCs/>
        </w:rPr>
        <w:t xml:space="preserve"> (1534)</w:t>
      </w:r>
      <w:r w:rsidR="00CD4489">
        <w:t xml:space="preserve">, which is not as conservatively Catholic as </w:t>
      </w:r>
      <w:r w:rsidR="0032467D">
        <w:t>certain commentators would</w:t>
      </w:r>
      <w:r w:rsidR="00CD4489">
        <w:t xml:space="preserve"> like to think. If Chaucer </w:t>
      </w:r>
      <w:proofErr w:type="spellStart"/>
      <w:r w:rsidR="00CD4489">
        <w:t>medievalized</w:t>
      </w:r>
      <w:proofErr w:type="spellEnd"/>
      <w:r w:rsidR="00CD4489">
        <w:t xml:space="preserve"> Boccaccio</w:t>
      </w:r>
      <w:r w:rsidR="00BC36C2">
        <w:t xml:space="preserve"> (which I am not at all </w:t>
      </w:r>
      <w:r w:rsidR="0032467D">
        <w:t>convinced</w:t>
      </w:r>
      <w:r w:rsidR="00BC36C2">
        <w:t xml:space="preserve"> he did)</w:t>
      </w:r>
      <w:r w:rsidR="00CD4489">
        <w:t>, then Wyatt politicized Aretino, but – and it is a significant but – in doing so Wyatt was drawing on an established late medieval tradition in English rewritings of the Penitential Psalms, as Lynn Staley, amongst others, has pointed out, just as Wyatt</w:t>
      </w:r>
      <w:r w:rsidR="00763B21">
        <w:t>’</w:t>
      </w:r>
      <w:r w:rsidR="00CD4489">
        <w:t xml:space="preserve">s lyrics drew on the fourteenth-century </w:t>
      </w:r>
      <w:r w:rsidR="00BC36C2">
        <w:t>politicized</w:t>
      </w:r>
      <w:r w:rsidR="00975014">
        <w:t xml:space="preserve"> love elegy, as has been discussed by James</w:t>
      </w:r>
      <w:r>
        <w:t xml:space="preserve"> Simpson</w:t>
      </w:r>
      <w:r w:rsidR="00975014">
        <w:t>.</w:t>
      </w:r>
      <w:r>
        <w:rPr>
          <w:rStyle w:val="FootnoteReference"/>
        </w:rPr>
        <w:footnoteReference w:id="18"/>
      </w:r>
      <w:r w:rsidR="00975014">
        <w:t xml:space="preserve"> </w:t>
      </w:r>
      <w:r w:rsidR="0032467D" w:rsidRPr="0032467D">
        <w:t>Wyatt</w:t>
      </w:r>
      <w:r w:rsidR="00763B21">
        <w:t>’</w:t>
      </w:r>
      <w:r w:rsidR="0032467D" w:rsidRPr="0032467D">
        <w:t>s sequence balances traditional and evangelical theology primarily because the early Anglican Church did the same. Again, the clear distinction between Catholic Aretino and Protestant Wyatt is more indebted to a literary history which seeks to divorce early modern England from its medieval inheritance than it is to a radical break enacted by Wyatt</w:t>
      </w:r>
      <w:r w:rsidR="00763B21">
        <w:t>’</w:t>
      </w:r>
      <w:r w:rsidR="0032467D" w:rsidRPr="0032467D">
        <w:t>s sequence. I argue here that Wyatt uses Aretino</w:t>
      </w:r>
      <w:r w:rsidR="00763B21">
        <w:t>’</w:t>
      </w:r>
      <w:r w:rsidR="0032467D" w:rsidRPr="0032467D">
        <w:t xml:space="preserve">s paraphrase, and Antonio </w:t>
      </w:r>
      <w:proofErr w:type="spellStart"/>
      <w:r w:rsidR="0032467D" w:rsidRPr="0032467D">
        <w:t>Brucioli</w:t>
      </w:r>
      <w:r w:rsidR="00763B21">
        <w:t>’</w:t>
      </w:r>
      <w:r w:rsidR="0032467D" w:rsidRPr="0032467D">
        <w:t>s</w:t>
      </w:r>
      <w:proofErr w:type="spellEnd"/>
      <w:r w:rsidR="0032467D" w:rsidRPr="0032467D">
        <w:t xml:space="preserve"> 1534 commentary – a source previously unidentified – to correct the doctrinal inconsistencies of the Ten Articles of 1536 and the Bishops</w:t>
      </w:r>
      <w:r w:rsidR="00763B21">
        <w:t>’</w:t>
      </w:r>
      <w:r w:rsidR="0032467D" w:rsidRPr="0032467D">
        <w:t xml:space="preserve"> Book of the following year.  </w:t>
      </w:r>
    </w:p>
    <w:p w:rsidR="005B3613" w:rsidRDefault="005B3613" w:rsidP="0099652D">
      <w:pPr>
        <w:spacing w:after="0" w:line="240" w:lineRule="auto"/>
        <w:ind w:firstLine="567"/>
        <w:jc w:val="both"/>
      </w:pPr>
    </w:p>
    <w:p w:rsidR="00CD2A15" w:rsidRDefault="00CD2A15" w:rsidP="00CD2A15">
      <w:pPr>
        <w:spacing w:after="0" w:line="240" w:lineRule="auto"/>
        <w:ind w:firstLine="567"/>
        <w:jc w:val="center"/>
        <w:rPr>
          <w:bCs/>
          <w:i/>
          <w:iCs/>
        </w:rPr>
      </w:pPr>
    </w:p>
    <w:p w:rsidR="005B3613" w:rsidRPr="00CD2A15" w:rsidRDefault="00415365" w:rsidP="00CD2A15">
      <w:pPr>
        <w:spacing w:after="0" w:line="240" w:lineRule="auto"/>
        <w:ind w:firstLine="567"/>
        <w:jc w:val="center"/>
        <w:rPr>
          <w:bCs/>
          <w:i/>
          <w:iCs/>
        </w:rPr>
      </w:pPr>
      <w:r w:rsidRPr="00CD2A15">
        <w:rPr>
          <w:bCs/>
          <w:i/>
          <w:iCs/>
        </w:rPr>
        <w:lastRenderedPageBreak/>
        <w:t xml:space="preserve">Wyatt, </w:t>
      </w:r>
      <w:proofErr w:type="gramStart"/>
      <w:r w:rsidRPr="00CD2A15">
        <w:rPr>
          <w:bCs/>
          <w:i/>
          <w:iCs/>
        </w:rPr>
        <w:t>The</w:t>
      </w:r>
      <w:proofErr w:type="gramEnd"/>
      <w:r w:rsidRPr="00CD2A15">
        <w:rPr>
          <w:bCs/>
          <w:i/>
          <w:iCs/>
        </w:rPr>
        <w:t xml:space="preserve"> Bishops</w:t>
      </w:r>
      <w:r w:rsidR="00763B21" w:rsidRPr="00CD2A15">
        <w:rPr>
          <w:bCs/>
          <w:i/>
          <w:iCs/>
        </w:rPr>
        <w:t>’</w:t>
      </w:r>
      <w:r w:rsidRPr="00CD2A15">
        <w:rPr>
          <w:bCs/>
          <w:i/>
          <w:iCs/>
        </w:rPr>
        <w:t xml:space="preserve"> Book and Dating</w:t>
      </w:r>
    </w:p>
    <w:p w:rsidR="005B3613" w:rsidRDefault="005B3613" w:rsidP="0099652D">
      <w:pPr>
        <w:spacing w:after="0" w:line="240" w:lineRule="auto"/>
        <w:ind w:firstLine="567"/>
        <w:jc w:val="both"/>
        <w:rPr>
          <w:i/>
        </w:rPr>
      </w:pPr>
    </w:p>
    <w:p w:rsidR="005B3613" w:rsidRDefault="00415365" w:rsidP="00656634">
      <w:pPr>
        <w:spacing w:after="0" w:line="480" w:lineRule="auto"/>
        <w:jc w:val="both"/>
      </w:pPr>
      <w:r>
        <w:t xml:space="preserve">In October 1537 Thomas </w:t>
      </w:r>
      <w:proofErr w:type="spellStart"/>
      <w:r>
        <w:t>Wriothesley</w:t>
      </w:r>
      <w:proofErr w:type="spellEnd"/>
      <w:r>
        <w:t xml:space="preserve"> responded to a letter he had received from Wyatt, who was then Henry VIII</w:t>
      </w:r>
      <w:r w:rsidR="00763B21">
        <w:t>’</w:t>
      </w:r>
      <w:r>
        <w:t xml:space="preserve">s resident ambassador at the court of Charles V. </w:t>
      </w:r>
      <w:proofErr w:type="spellStart"/>
      <w:r>
        <w:t>Wriothesley</w:t>
      </w:r>
      <w:proofErr w:type="spellEnd"/>
      <w:r>
        <w:t xml:space="preserve">, in addition to jovially upbraiding Wyatt for persistently writing in cipher, adds that </w:t>
      </w:r>
      <w:r w:rsidR="00763B21">
        <w:t>‘</w:t>
      </w:r>
      <w:r>
        <w:t>The Book of the Bishops I send not because the same shall be reformed, as it had need in many points</w:t>
      </w:r>
      <w:r w:rsidR="00763B21">
        <w:t>’</w:t>
      </w:r>
      <w:r>
        <w:t>.</w:t>
      </w:r>
      <w:r w:rsidR="00A6220E">
        <w:rPr>
          <w:rStyle w:val="FootnoteReference"/>
        </w:rPr>
        <w:footnoteReference w:id="19"/>
      </w:r>
      <w:r>
        <w:t xml:space="preserve"> The Bishops</w:t>
      </w:r>
      <w:r w:rsidR="00763B21">
        <w:t>’</w:t>
      </w:r>
      <w:r>
        <w:t xml:space="preserve"> Book is of course the formulary entitled </w:t>
      </w:r>
      <w:r w:rsidR="00367A55">
        <w:rPr>
          <w:i/>
        </w:rPr>
        <w:t xml:space="preserve">The </w:t>
      </w:r>
      <w:proofErr w:type="spellStart"/>
      <w:r w:rsidR="00367A55">
        <w:rPr>
          <w:i/>
        </w:rPr>
        <w:t>Institvtion</w:t>
      </w:r>
      <w:proofErr w:type="spellEnd"/>
      <w:r w:rsidR="00367A55">
        <w:rPr>
          <w:i/>
        </w:rPr>
        <w:t xml:space="preserve"> of a Christen</w:t>
      </w:r>
      <w:r>
        <w:rPr>
          <w:i/>
        </w:rPr>
        <w:t xml:space="preserve"> Man</w:t>
      </w:r>
      <w:r>
        <w:t>, which Henry had required in 1537 as a means of expounding the Ten Articles of 1536, and was partly a response to the Pilgrimage of Grace.</w:t>
      </w:r>
      <w:r w:rsidR="007A7518">
        <w:rPr>
          <w:rStyle w:val="FootnoteReference"/>
        </w:rPr>
        <w:footnoteReference w:id="20"/>
      </w:r>
      <w:r>
        <w:t xml:space="preserve"> It was, as </w:t>
      </w:r>
      <w:proofErr w:type="spellStart"/>
      <w:r>
        <w:t>Wriothesley</w:t>
      </w:r>
      <w:proofErr w:type="spellEnd"/>
      <w:r>
        <w:t xml:space="preserve"> says, in need in many points. Its primary failing is its equivocation, which at times becomes outright self-contradiction. This contradiction stems from the fact that the bishops who composed the book were a mixture of older conservatives (such as </w:t>
      </w:r>
      <w:proofErr w:type="spellStart"/>
      <w:r>
        <w:t>Stokesley</w:t>
      </w:r>
      <w:proofErr w:type="spellEnd"/>
      <w:r>
        <w:t>) and younger, more reform-minded theologians (such as Cranmer), not to mention that the King added his own amendments, which accorded with his traditionalist r</w:t>
      </w:r>
      <w:r w:rsidR="007A7518">
        <w:t>eligious sympathies</w:t>
      </w:r>
      <w:r w:rsidR="001716B2">
        <w:t>. As George Bernard argues,</w:t>
      </w:r>
      <w:r w:rsidR="007A7518">
        <w:t xml:space="preserve"> ‘</w:t>
      </w:r>
      <w:r w:rsidR="001716B2">
        <w:t>[w]</w:t>
      </w:r>
      <w:r w:rsidR="007A7518">
        <w:t>hat the king sought was a search for a middle way between Rome and Wittenberg, between Rome and Zurich’.</w:t>
      </w:r>
      <w:r w:rsidR="007A7518">
        <w:rPr>
          <w:rStyle w:val="FootnoteReference"/>
        </w:rPr>
        <w:footnoteReference w:id="21"/>
      </w:r>
    </w:p>
    <w:p w:rsidR="005B3613" w:rsidRDefault="005B3613" w:rsidP="00656634">
      <w:pPr>
        <w:spacing w:after="0" w:line="480" w:lineRule="auto"/>
        <w:ind w:firstLine="567"/>
        <w:jc w:val="both"/>
      </w:pPr>
    </w:p>
    <w:p w:rsidR="005B3613" w:rsidRDefault="00415365" w:rsidP="00656634">
      <w:pPr>
        <w:spacing w:after="0" w:line="480" w:lineRule="auto"/>
        <w:ind w:firstLine="567"/>
        <w:jc w:val="both"/>
      </w:pPr>
      <w:r>
        <w:t xml:space="preserve">And so </w:t>
      </w:r>
      <w:r w:rsidR="001716B2">
        <w:t>the Book contains</w:t>
      </w:r>
      <w:r>
        <w:t xml:space="preserve"> </w:t>
      </w:r>
      <w:r w:rsidR="001716B2">
        <w:t xml:space="preserve">evangelical </w:t>
      </w:r>
      <w:r>
        <w:t xml:space="preserve">statements which approach the Lutheran position of </w:t>
      </w:r>
      <w:r>
        <w:rPr>
          <w:i/>
        </w:rPr>
        <w:t>sola fide:</w:t>
      </w:r>
    </w:p>
    <w:p w:rsidR="005B3613" w:rsidRDefault="005B3613" w:rsidP="0099652D">
      <w:pPr>
        <w:spacing w:after="0" w:line="240" w:lineRule="auto"/>
        <w:ind w:firstLine="567"/>
        <w:jc w:val="both"/>
      </w:pPr>
    </w:p>
    <w:p w:rsidR="005B3613" w:rsidRPr="001716B2" w:rsidRDefault="00415365" w:rsidP="000F4C07">
      <w:pPr>
        <w:spacing w:after="0" w:line="240" w:lineRule="auto"/>
        <w:ind w:left="567" w:right="521"/>
        <w:jc w:val="both"/>
        <w:rPr>
          <w:bCs/>
        </w:rPr>
      </w:pPr>
      <w:proofErr w:type="gramStart"/>
      <w:r w:rsidRPr="001716B2">
        <w:rPr>
          <w:bCs/>
        </w:rPr>
        <w:t>the</w:t>
      </w:r>
      <w:proofErr w:type="gramEnd"/>
      <w:r w:rsidRPr="001716B2">
        <w:rPr>
          <w:bCs/>
        </w:rPr>
        <w:t xml:space="preserve"> </w:t>
      </w:r>
      <w:proofErr w:type="spellStart"/>
      <w:r w:rsidRPr="001716B2">
        <w:rPr>
          <w:bCs/>
        </w:rPr>
        <w:t>penitent</w:t>
      </w:r>
      <w:r w:rsidR="000F4C07">
        <w:rPr>
          <w:bCs/>
        </w:rPr>
        <w:t>e</w:t>
      </w:r>
      <w:proofErr w:type="spellEnd"/>
      <w:r w:rsidRPr="001716B2">
        <w:rPr>
          <w:bCs/>
        </w:rPr>
        <w:t xml:space="preserve"> </w:t>
      </w:r>
      <w:proofErr w:type="spellStart"/>
      <w:r w:rsidRPr="001716B2">
        <w:rPr>
          <w:bCs/>
        </w:rPr>
        <w:t>must</w:t>
      </w:r>
      <w:r w:rsidR="000F4C07">
        <w:rPr>
          <w:bCs/>
        </w:rPr>
        <w:t>e</w:t>
      </w:r>
      <w:proofErr w:type="spellEnd"/>
      <w:r w:rsidR="000F4C07">
        <w:rPr>
          <w:bCs/>
        </w:rPr>
        <w:t xml:space="preserve"> </w:t>
      </w:r>
      <w:proofErr w:type="spellStart"/>
      <w:r w:rsidR="000F4C07">
        <w:rPr>
          <w:bCs/>
        </w:rPr>
        <w:t>conceyue</w:t>
      </w:r>
      <w:proofErr w:type="spellEnd"/>
      <w:r w:rsidR="000F4C07">
        <w:rPr>
          <w:bCs/>
        </w:rPr>
        <w:t xml:space="preserve"> </w:t>
      </w:r>
      <w:proofErr w:type="spellStart"/>
      <w:r w:rsidR="000F4C07">
        <w:rPr>
          <w:bCs/>
        </w:rPr>
        <w:t>certay</w:t>
      </w:r>
      <w:r w:rsidRPr="001716B2">
        <w:rPr>
          <w:bCs/>
        </w:rPr>
        <w:t>n</w:t>
      </w:r>
      <w:r w:rsidR="000F4C07">
        <w:rPr>
          <w:bCs/>
        </w:rPr>
        <w:t>e</w:t>
      </w:r>
      <w:proofErr w:type="spellEnd"/>
      <w:r w:rsidRPr="001716B2">
        <w:rPr>
          <w:bCs/>
        </w:rPr>
        <w:t xml:space="preserve"> hope and </w:t>
      </w:r>
      <w:proofErr w:type="spellStart"/>
      <w:r w:rsidRPr="001716B2">
        <w:rPr>
          <w:bCs/>
        </w:rPr>
        <w:t>faith</w:t>
      </w:r>
      <w:r w:rsidR="000F4C07">
        <w:rPr>
          <w:bCs/>
        </w:rPr>
        <w:t>e</w:t>
      </w:r>
      <w:proofErr w:type="spellEnd"/>
      <w:r w:rsidR="000F4C07">
        <w:rPr>
          <w:bCs/>
        </w:rPr>
        <w:t>, that g</w:t>
      </w:r>
      <w:r w:rsidRPr="001716B2">
        <w:rPr>
          <w:bCs/>
        </w:rPr>
        <w:t xml:space="preserve">od </w:t>
      </w:r>
      <w:proofErr w:type="spellStart"/>
      <w:r w:rsidRPr="001716B2">
        <w:rPr>
          <w:bCs/>
        </w:rPr>
        <w:t>w</w:t>
      </w:r>
      <w:r w:rsidR="000F4C07">
        <w:rPr>
          <w:bCs/>
        </w:rPr>
        <w:t>yll</w:t>
      </w:r>
      <w:proofErr w:type="spellEnd"/>
      <w:r w:rsidR="000F4C07">
        <w:rPr>
          <w:bCs/>
        </w:rPr>
        <w:t xml:space="preserve"> </w:t>
      </w:r>
      <w:proofErr w:type="spellStart"/>
      <w:r w:rsidR="000F4C07">
        <w:rPr>
          <w:bCs/>
        </w:rPr>
        <w:t>forgyue</w:t>
      </w:r>
      <w:proofErr w:type="spellEnd"/>
      <w:r w:rsidR="000F4C07">
        <w:rPr>
          <w:bCs/>
        </w:rPr>
        <w:t xml:space="preserve"> </w:t>
      </w:r>
      <w:proofErr w:type="spellStart"/>
      <w:r w:rsidR="000F4C07">
        <w:rPr>
          <w:bCs/>
        </w:rPr>
        <w:t>hym</w:t>
      </w:r>
      <w:proofErr w:type="spellEnd"/>
      <w:r w:rsidR="000F4C07">
        <w:rPr>
          <w:bCs/>
        </w:rPr>
        <w:t xml:space="preserve"> his </w:t>
      </w:r>
      <w:proofErr w:type="spellStart"/>
      <w:r w:rsidR="000F4C07">
        <w:rPr>
          <w:bCs/>
        </w:rPr>
        <w:t>sy</w:t>
      </w:r>
      <w:r w:rsidRPr="001716B2">
        <w:rPr>
          <w:bCs/>
        </w:rPr>
        <w:t>n</w:t>
      </w:r>
      <w:r w:rsidR="000F4C07">
        <w:rPr>
          <w:bCs/>
        </w:rPr>
        <w:t>ne</w:t>
      </w:r>
      <w:r w:rsidRPr="001716B2">
        <w:rPr>
          <w:bCs/>
        </w:rPr>
        <w:t>s</w:t>
      </w:r>
      <w:proofErr w:type="spellEnd"/>
      <w:r w:rsidR="000F4C07">
        <w:rPr>
          <w:bCs/>
        </w:rPr>
        <w:t xml:space="preserve">, and repute </w:t>
      </w:r>
      <w:proofErr w:type="spellStart"/>
      <w:r w:rsidR="000F4C07">
        <w:rPr>
          <w:bCs/>
        </w:rPr>
        <w:t>hy</w:t>
      </w:r>
      <w:r w:rsidRPr="001716B2">
        <w:rPr>
          <w:bCs/>
        </w:rPr>
        <w:t>m</w:t>
      </w:r>
      <w:proofErr w:type="spellEnd"/>
      <w:r w:rsidRPr="001716B2">
        <w:rPr>
          <w:bCs/>
        </w:rPr>
        <w:t xml:space="preserve"> </w:t>
      </w:r>
      <w:proofErr w:type="spellStart"/>
      <w:r w:rsidR="000F4C07">
        <w:rPr>
          <w:bCs/>
        </w:rPr>
        <w:t>iustify</w:t>
      </w:r>
      <w:r w:rsidRPr="001716B2">
        <w:rPr>
          <w:bCs/>
        </w:rPr>
        <w:t>ed</w:t>
      </w:r>
      <w:proofErr w:type="spellEnd"/>
      <w:r w:rsidRPr="001716B2">
        <w:rPr>
          <w:bCs/>
        </w:rPr>
        <w:t xml:space="preserve">, and of the </w:t>
      </w:r>
      <w:proofErr w:type="spellStart"/>
      <w:r w:rsidR="000F4C07">
        <w:rPr>
          <w:bCs/>
        </w:rPr>
        <w:t>nombre</w:t>
      </w:r>
      <w:proofErr w:type="spellEnd"/>
      <w:r w:rsidRPr="001716B2">
        <w:rPr>
          <w:bCs/>
        </w:rPr>
        <w:t xml:space="preserve"> of his </w:t>
      </w:r>
      <w:proofErr w:type="spellStart"/>
      <w:r w:rsidRPr="001716B2">
        <w:rPr>
          <w:bCs/>
        </w:rPr>
        <w:t>elect</w:t>
      </w:r>
      <w:r w:rsidR="000F4C07">
        <w:rPr>
          <w:bCs/>
        </w:rPr>
        <w:t>e</w:t>
      </w:r>
      <w:proofErr w:type="spellEnd"/>
      <w:r w:rsidR="000F4C07">
        <w:rPr>
          <w:bCs/>
        </w:rPr>
        <w:t xml:space="preserve"> </w:t>
      </w:r>
      <w:proofErr w:type="spellStart"/>
      <w:r w:rsidR="000F4C07">
        <w:rPr>
          <w:bCs/>
        </w:rPr>
        <w:t>chy</w:t>
      </w:r>
      <w:r w:rsidRPr="001716B2">
        <w:rPr>
          <w:bCs/>
        </w:rPr>
        <w:t>ldren</w:t>
      </w:r>
      <w:proofErr w:type="spellEnd"/>
      <w:r w:rsidRPr="001716B2">
        <w:rPr>
          <w:bCs/>
        </w:rPr>
        <w:t xml:space="preserve">, not for the </w:t>
      </w:r>
      <w:proofErr w:type="spellStart"/>
      <w:r w:rsidRPr="001716B2">
        <w:rPr>
          <w:bCs/>
        </w:rPr>
        <w:t>wort</w:t>
      </w:r>
      <w:r w:rsidR="000F4C07">
        <w:rPr>
          <w:bCs/>
        </w:rPr>
        <w:t>hynes</w:t>
      </w:r>
      <w:proofErr w:type="spellEnd"/>
      <w:r w:rsidRPr="001716B2">
        <w:rPr>
          <w:bCs/>
        </w:rPr>
        <w:t xml:space="preserve"> of any </w:t>
      </w:r>
      <w:proofErr w:type="spellStart"/>
      <w:r w:rsidRPr="001716B2">
        <w:rPr>
          <w:bCs/>
        </w:rPr>
        <w:t>merit</w:t>
      </w:r>
      <w:r w:rsidR="000F4C07">
        <w:rPr>
          <w:bCs/>
        </w:rPr>
        <w:t>e</w:t>
      </w:r>
      <w:proofErr w:type="spellEnd"/>
      <w:r w:rsidRPr="001716B2">
        <w:rPr>
          <w:bCs/>
        </w:rPr>
        <w:t xml:space="preserve"> or </w:t>
      </w:r>
      <w:proofErr w:type="spellStart"/>
      <w:r w:rsidRPr="001716B2">
        <w:rPr>
          <w:bCs/>
        </w:rPr>
        <w:t>work</w:t>
      </w:r>
      <w:r w:rsidR="000F4C07">
        <w:rPr>
          <w:bCs/>
        </w:rPr>
        <w:t>e</w:t>
      </w:r>
      <w:proofErr w:type="spellEnd"/>
      <w:r w:rsidRPr="001716B2">
        <w:rPr>
          <w:bCs/>
        </w:rPr>
        <w:t xml:space="preserve"> done by the penitent, but </w:t>
      </w:r>
      <w:r w:rsidR="000F4C07">
        <w:rPr>
          <w:bCs/>
        </w:rPr>
        <w:t xml:space="preserve">for the </w:t>
      </w:r>
      <w:proofErr w:type="spellStart"/>
      <w:r w:rsidR="000F4C07">
        <w:rPr>
          <w:bCs/>
        </w:rPr>
        <w:t>onely</w:t>
      </w:r>
      <w:proofErr w:type="spellEnd"/>
      <w:r w:rsidRPr="001716B2">
        <w:rPr>
          <w:bCs/>
        </w:rPr>
        <w:t xml:space="preserve"> </w:t>
      </w:r>
      <w:proofErr w:type="spellStart"/>
      <w:r w:rsidRPr="001716B2">
        <w:rPr>
          <w:bCs/>
        </w:rPr>
        <w:t>merit</w:t>
      </w:r>
      <w:r w:rsidR="000F4C07">
        <w:rPr>
          <w:bCs/>
        </w:rPr>
        <w:t>es</w:t>
      </w:r>
      <w:proofErr w:type="spellEnd"/>
      <w:r w:rsidR="000F4C07">
        <w:rPr>
          <w:bCs/>
        </w:rPr>
        <w:t xml:space="preserve"> of the </w:t>
      </w:r>
      <w:proofErr w:type="spellStart"/>
      <w:r w:rsidR="000F4C07">
        <w:rPr>
          <w:bCs/>
        </w:rPr>
        <w:t>blo</w:t>
      </w:r>
      <w:r w:rsidRPr="001716B2">
        <w:rPr>
          <w:bCs/>
        </w:rPr>
        <w:t>d</w:t>
      </w:r>
      <w:r w:rsidR="000F4C07">
        <w:rPr>
          <w:bCs/>
        </w:rPr>
        <w:t>e</w:t>
      </w:r>
      <w:proofErr w:type="spellEnd"/>
      <w:r w:rsidR="000F4C07">
        <w:rPr>
          <w:bCs/>
        </w:rPr>
        <w:t xml:space="preserve"> and passion of our </w:t>
      </w:r>
      <w:proofErr w:type="spellStart"/>
      <w:r w:rsidR="000F4C07">
        <w:rPr>
          <w:bCs/>
        </w:rPr>
        <w:t>savy</w:t>
      </w:r>
      <w:r w:rsidRPr="001716B2">
        <w:rPr>
          <w:bCs/>
        </w:rPr>
        <w:t>our</w:t>
      </w:r>
      <w:proofErr w:type="spellEnd"/>
      <w:r w:rsidRPr="001716B2">
        <w:rPr>
          <w:bCs/>
        </w:rPr>
        <w:t xml:space="preserve"> </w:t>
      </w:r>
      <w:proofErr w:type="spellStart"/>
      <w:r w:rsidRPr="001716B2">
        <w:rPr>
          <w:bCs/>
        </w:rPr>
        <w:t>Jesu</w:t>
      </w:r>
      <w:proofErr w:type="spellEnd"/>
      <w:r w:rsidRPr="001716B2">
        <w:rPr>
          <w:bCs/>
        </w:rPr>
        <w:t xml:space="preserve"> </w:t>
      </w:r>
      <w:proofErr w:type="spellStart"/>
      <w:r w:rsidRPr="001716B2">
        <w:rPr>
          <w:bCs/>
        </w:rPr>
        <w:t>Christ</w:t>
      </w:r>
      <w:r w:rsidR="000F4C07">
        <w:rPr>
          <w:bCs/>
        </w:rPr>
        <w:t>e</w:t>
      </w:r>
      <w:proofErr w:type="spellEnd"/>
      <w:r w:rsidRPr="001716B2">
        <w:rPr>
          <w:bCs/>
        </w:rPr>
        <w:t>.</w:t>
      </w:r>
      <w:r w:rsidR="001716B2">
        <w:rPr>
          <w:rStyle w:val="FootnoteReference"/>
          <w:bCs/>
        </w:rPr>
        <w:footnoteReference w:id="22"/>
      </w:r>
      <w:r w:rsidRPr="001716B2">
        <w:rPr>
          <w:bCs/>
        </w:rPr>
        <w:t xml:space="preserve">  </w:t>
      </w:r>
    </w:p>
    <w:p w:rsidR="005B3613" w:rsidRDefault="005B3613" w:rsidP="0099652D">
      <w:pPr>
        <w:spacing w:after="0" w:line="240" w:lineRule="auto"/>
        <w:ind w:firstLine="567"/>
        <w:jc w:val="both"/>
      </w:pPr>
    </w:p>
    <w:p w:rsidR="005B3613" w:rsidRDefault="00415365" w:rsidP="00656634">
      <w:pPr>
        <w:spacing w:after="0" w:line="480" w:lineRule="auto"/>
        <w:jc w:val="both"/>
      </w:pPr>
      <w:r>
        <w:t>Yet such statements are undermined by those which depend upon a more traditional formulation of penance (such as that detailed by the recently executed Bishop Fisher in his 1509 Treatise, discussed below):</w:t>
      </w:r>
    </w:p>
    <w:p w:rsidR="005B3613" w:rsidRDefault="005B3613" w:rsidP="0099652D">
      <w:pPr>
        <w:spacing w:after="0" w:line="240" w:lineRule="auto"/>
        <w:ind w:firstLine="567"/>
        <w:jc w:val="both"/>
      </w:pPr>
    </w:p>
    <w:p w:rsidR="005B3613" w:rsidRPr="00DF1711" w:rsidRDefault="000F4C07" w:rsidP="008837E1">
      <w:pPr>
        <w:spacing w:after="0" w:line="240" w:lineRule="auto"/>
        <w:ind w:left="567" w:right="521"/>
        <w:jc w:val="both"/>
        <w:rPr>
          <w:bCs/>
        </w:rPr>
      </w:pPr>
      <w:r w:rsidRPr="00DF1711">
        <w:rPr>
          <w:bCs/>
        </w:rPr>
        <w:t xml:space="preserve">although </w:t>
      </w:r>
      <w:proofErr w:type="spellStart"/>
      <w:r w:rsidRPr="00DF1711">
        <w:rPr>
          <w:bCs/>
        </w:rPr>
        <w:t>Chry</w:t>
      </w:r>
      <w:r w:rsidR="00415365" w:rsidRPr="00DF1711">
        <w:rPr>
          <w:bCs/>
        </w:rPr>
        <w:t>st</w:t>
      </w:r>
      <w:r w:rsidRPr="00DF1711">
        <w:rPr>
          <w:bCs/>
        </w:rPr>
        <w:t>e</w:t>
      </w:r>
      <w:proofErr w:type="spellEnd"/>
      <w:r w:rsidR="00415365" w:rsidRPr="00DF1711">
        <w:rPr>
          <w:bCs/>
        </w:rPr>
        <w:t xml:space="preserve"> and his </w:t>
      </w:r>
      <w:proofErr w:type="spellStart"/>
      <w:r w:rsidR="00415365" w:rsidRPr="00DF1711">
        <w:rPr>
          <w:bCs/>
        </w:rPr>
        <w:t>death</w:t>
      </w:r>
      <w:r w:rsidRPr="00DF1711">
        <w:rPr>
          <w:bCs/>
        </w:rPr>
        <w:t>e</w:t>
      </w:r>
      <w:proofErr w:type="spellEnd"/>
      <w:r w:rsidR="00415365" w:rsidRPr="00DF1711">
        <w:rPr>
          <w:bCs/>
        </w:rPr>
        <w:t xml:space="preserve"> be</w:t>
      </w:r>
      <w:r w:rsidRPr="00DF1711">
        <w:rPr>
          <w:bCs/>
        </w:rPr>
        <w:t xml:space="preserve"> the</w:t>
      </w:r>
      <w:r w:rsidR="00415365" w:rsidRPr="00DF1711">
        <w:rPr>
          <w:bCs/>
        </w:rPr>
        <w:t xml:space="preserve"> sufficient oblation, sacrifice, satisfaction, and recompense, for the </w:t>
      </w:r>
      <w:proofErr w:type="spellStart"/>
      <w:r w:rsidR="00415365" w:rsidRPr="00DF1711">
        <w:rPr>
          <w:bCs/>
        </w:rPr>
        <w:t>which</w:t>
      </w:r>
      <w:r w:rsidRPr="00DF1711">
        <w:rPr>
          <w:bCs/>
        </w:rPr>
        <w:t>e</w:t>
      </w:r>
      <w:proofErr w:type="spellEnd"/>
      <w:r w:rsidRPr="00DF1711">
        <w:rPr>
          <w:bCs/>
        </w:rPr>
        <w:t xml:space="preserve"> god the f</w:t>
      </w:r>
      <w:r w:rsidR="00415365" w:rsidRPr="00DF1711">
        <w:rPr>
          <w:bCs/>
        </w:rPr>
        <w:t xml:space="preserve">ather </w:t>
      </w:r>
      <w:proofErr w:type="spellStart"/>
      <w:r w:rsidR="00415365" w:rsidRPr="00DF1711">
        <w:rPr>
          <w:bCs/>
        </w:rPr>
        <w:t>forg</w:t>
      </w:r>
      <w:r w:rsidRPr="00DF1711">
        <w:rPr>
          <w:bCs/>
        </w:rPr>
        <w:t>yu</w:t>
      </w:r>
      <w:r w:rsidR="00415365" w:rsidRPr="00DF1711">
        <w:rPr>
          <w:bCs/>
        </w:rPr>
        <w:t>eth</w:t>
      </w:r>
      <w:proofErr w:type="spellEnd"/>
      <w:r w:rsidR="00415365" w:rsidRPr="00DF1711">
        <w:rPr>
          <w:bCs/>
        </w:rPr>
        <w:t xml:space="preserve"> and </w:t>
      </w:r>
      <w:proofErr w:type="spellStart"/>
      <w:r w:rsidR="00415365" w:rsidRPr="00DF1711">
        <w:rPr>
          <w:bCs/>
        </w:rPr>
        <w:t>rem</w:t>
      </w:r>
      <w:r w:rsidRPr="00DF1711">
        <w:rPr>
          <w:bCs/>
        </w:rPr>
        <w:t>ytteth</w:t>
      </w:r>
      <w:proofErr w:type="spellEnd"/>
      <w:r w:rsidRPr="00DF1711">
        <w:rPr>
          <w:bCs/>
        </w:rPr>
        <w:t xml:space="preserve"> to all </w:t>
      </w:r>
      <w:proofErr w:type="spellStart"/>
      <w:r w:rsidRPr="00DF1711">
        <w:rPr>
          <w:bCs/>
        </w:rPr>
        <w:t>sy</w:t>
      </w:r>
      <w:r w:rsidR="00415365" w:rsidRPr="00DF1711">
        <w:rPr>
          <w:bCs/>
        </w:rPr>
        <w:t>nners</w:t>
      </w:r>
      <w:proofErr w:type="spellEnd"/>
      <w:r w:rsidR="00415365" w:rsidRPr="00DF1711">
        <w:rPr>
          <w:bCs/>
        </w:rPr>
        <w:t xml:space="preserve"> not </w:t>
      </w:r>
      <w:proofErr w:type="spellStart"/>
      <w:r w:rsidR="00415365" w:rsidRPr="00DF1711">
        <w:rPr>
          <w:bCs/>
        </w:rPr>
        <w:t>on</w:t>
      </w:r>
      <w:r w:rsidRPr="00DF1711">
        <w:rPr>
          <w:bCs/>
        </w:rPr>
        <w:t>e</w:t>
      </w:r>
      <w:r w:rsidR="00415365" w:rsidRPr="00DF1711">
        <w:rPr>
          <w:bCs/>
        </w:rPr>
        <w:t>ly</w:t>
      </w:r>
      <w:proofErr w:type="spellEnd"/>
      <w:r w:rsidR="00415365" w:rsidRPr="00DF1711">
        <w:rPr>
          <w:bCs/>
        </w:rPr>
        <w:t xml:space="preserve"> </w:t>
      </w:r>
      <w:proofErr w:type="spellStart"/>
      <w:r w:rsidR="00415365" w:rsidRPr="00DF1711">
        <w:rPr>
          <w:bCs/>
        </w:rPr>
        <w:t>the</w:t>
      </w:r>
      <w:r w:rsidRPr="00DF1711">
        <w:rPr>
          <w:bCs/>
        </w:rPr>
        <w:t>yr</w:t>
      </w:r>
      <w:proofErr w:type="spellEnd"/>
      <w:r w:rsidRPr="00DF1711">
        <w:rPr>
          <w:bCs/>
        </w:rPr>
        <w:t xml:space="preserve"> </w:t>
      </w:r>
      <w:proofErr w:type="spellStart"/>
      <w:r w:rsidRPr="00DF1711">
        <w:rPr>
          <w:bCs/>
        </w:rPr>
        <w:t>synne</w:t>
      </w:r>
      <w:r w:rsidR="00415365" w:rsidRPr="00DF1711">
        <w:rPr>
          <w:bCs/>
        </w:rPr>
        <w:t>s</w:t>
      </w:r>
      <w:proofErr w:type="spellEnd"/>
      <w:r w:rsidR="00415365" w:rsidRPr="00DF1711">
        <w:rPr>
          <w:bCs/>
        </w:rPr>
        <w:t xml:space="preserve">, but also </w:t>
      </w:r>
      <w:proofErr w:type="spellStart"/>
      <w:r w:rsidR="00415365" w:rsidRPr="00DF1711">
        <w:rPr>
          <w:bCs/>
        </w:rPr>
        <w:t>eterna</w:t>
      </w:r>
      <w:r w:rsidRPr="00DF1711">
        <w:rPr>
          <w:bCs/>
        </w:rPr>
        <w:t>l</w:t>
      </w:r>
      <w:r w:rsidR="00415365" w:rsidRPr="00DF1711">
        <w:rPr>
          <w:bCs/>
        </w:rPr>
        <w:t>l</w:t>
      </w:r>
      <w:proofErr w:type="spellEnd"/>
      <w:r w:rsidR="00415365" w:rsidRPr="00DF1711">
        <w:rPr>
          <w:bCs/>
        </w:rPr>
        <w:t xml:space="preserve"> </w:t>
      </w:r>
      <w:proofErr w:type="spellStart"/>
      <w:r w:rsidRPr="00DF1711">
        <w:rPr>
          <w:bCs/>
        </w:rPr>
        <w:t>peyne</w:t>
      </w:r>
      <w:proofErr w:type="spellEnd"/>
      <w:r w:rsidRPr="00DF1711">
        <w:rPr>
          <w:bCs/>
        </w:rPr>
        <w:t xml:space="preserve"> due for the same:</w:t>
      </w:r>
      <w:r w:rsidR="00415365" w:rsidRPr="00DF1711">
        <w:rPr>
          <w:bCs/>
        </w:rPr>
        <w:t xml:space="preserve"> yet all men </w:t>
      </w:r>
      <w:proofErr w:type="spellStart"/>
      <w:r w:rsidR="00415365" w:rsidRPr="00DF1711">
        <w:rPr>
          <w:bCs/>
        </w:rPr>
        <w:t>tru</w:t>
      </w:r>
      <w:r w:rsidRPr="00DF1711">
        <w:rPr>
          <w:bCs/>
        </w:rPr>
        <w:t>ely</w:t>
      </w:r>
      <w:proofErr w:type="spellEnd"/>
      <w:r w:rsidRPr="00DF1711">
        <w:rPr>
          <w:bCs/>
        </w:rPr>
        <w:t xml:space="preserve"> </w:t>
      </w:r>
      <w:proofErr w:type="spellStart"/>
      <w:r w:rsidRPr="00DF1711">
        <w:rPr>
          <w:bCs/>
        </w:rPr>
        <w:t>pen</w:t>
      </w:r>
      <w:r w:rsidR="00415365" w:rsidRPr="00DF1711">
        <w:rPr>
          <w:bCs/>
        </w:rPr>
        <w:t>i</w:t>
      </w:r>
      <w:r w:rsidRPr="00DF1711">
        <w:rPr>
          <w:bCs/>
        </w:rPr>
        <w:t>t</w:t>
      </w:r>
      <w:r w:rsidR="00415365" w:rsidRPr="00DF1711">
        <w:rPr>
          <w:bCs/>
        </w:rPr>
        <w:t>ent</w:t>
      </w:r>
      <w:r w:rsidRPr="00DF1711">
        <w:rPr>
          <w:bCs/>
        </w:rPr>
        <w:t>e</w:t>
      </w:r>
      <w:proofErr w:type="spellEnd"/>
      <w:r w:rsidR="00415365" w:rsidRPr="00DF1711">
        <w:rPr>
          <w:bCs/>
        </w:rPr>
        <w:t>, contrite, and confessed</w:t>
      </w:r>
      <w:r w:rsidRPr="00DF1711">
        <w:rPr>
          <w:bCs/>
        </w:rPr>
        <w:t xml:space="preserve"> </w:t>
      </w:r>
      <w:proofErr w:type="spellStart"/>
      <w:r w:rsidRPr="00DF1711">
        <w:rPr>
          <w:bCs/>
        </w:rPr>
        <w:t>muste</w:t>
      </w:r>
      <w:proofErr w:type="spellEnd"/>
      <w:r w:rsidRPr="00DF1711">
        <w:rPr>
          <w:bCs/>
        </w:rPr>
        <w:t xml:space="preserve"> </w:t>
      </w:r>
      <w:proofErr w:type="spellStart"/>
      <w:r w:rsidRPr="00DF1711">
        <w:rPr>
          <w:bCs/>
        </w:rPr>
        <w:t>ne</w:t>
      </w:r>
      <w:r w:rsidR="00415365" w:rsidRPr="00DF1711">
        <w:rPr>
          <w:bCs/>
        </w:rPr>
        <w:t>d</w:t>
      </w:r>
      <w:r w:rsidRPr="00DF1711">
        <w:rPr>
          <w:bCs/>
        </w:rPr>
        <w:t>es</w:t>
      </w:r>
      <w:proofErr w:type="spellEnd"/>
      <w:r w:rsidRPr="00DF1711">
        <w:rPr>
          <w:bCs/>
        </w:rPr>
        <w:t xml:space="preserve"> also </w:t>
      </w:r>
      <w:proofErr w:type="spellStart"/>
      <w:r w:rsidRPr="00DF1711">
        <w:rPr>
          <w:bCs/>
        </w:rPr>
        <w:t>bry</w:t>
      </w:r>
      <w:r w:rsidR="00415365" w:rsidRPr="00DF1711">
        <w:rPr>
          <w:bCs/>
        </w:rPr>
        <w:t>ng</w:t>
      </w:r>
      <w:r w:rsidRPr="00DF1711">
        <w:rPr>
          <w:bCs/>
        </w:rPr>
        <w:t>e</w:t>
      </w:r>
      <w:proofErr w:type="spellEnd"/>
      <w:r w:rsidR="00415365" w:rsidRPr="00DF1711">
        <w:rPr>
          <w:bCs/>
        </w:rPr>
        <w:t xml:space="preserve"> </w:t>
      </w:r>
      <w:proofErr w:type="spellStart"/>
      <w:r w:rsidR="00415365" w:rsidRPr="00DF1711">
        <w:rPr>
          <w:bCs/>
        </w:rPr>
        <w:t>forth</w:t>
      </w:r>
      <w:r w:rsidRPr="00DF1711">
        <w:rPr>
          <w:bCs/>
        </w:rPr>
        <w:t>e</w:t>
      </w:r>
      <w:proofErr w:type="spellEnd"/>
      <w:r w:rsidR="00415365" w:rsidRPr="00DF1711">
        <w:rPr>
          <w:bCs/>
        </w:rPr>
        <w:t xml:space="preserve"> the </w:t>
      </w:r>
      <w:proofErr w:type="spellStart"/>
      <w:r w:rsidR="00415365" w:rsidRPr="00DF1711">
        <w:rPr>
          <w:bCs/>
        </w:rPr>
        <w:t>fruit</w:t>
      </w:r>
      <w:r w:rsidRPr="00DF1711">
        <w:rPr>
          <w:bCs/>
        </w:rPr>
        <w:t>e</w:t>
      </w:r>
      <w:r w:rsidR="00415365" w:rsidRPr="00DF1711">
        <w:rPr>
          <w:bCs/>
        </w:rPr>
        <w:t>s</w:t>
      </w:r>
      <w:proofErr w:type="spellEnd"/>
      <w:r w:rsidR="00415365" w:rsidRPr="00DF1711">
        <w:rPr>
          <w:bCs/>
        </w:rPr>
        <w:t xml:space="preserve"> of </w:t>
      </w:r>
      <w:proofErr w:type="spellStart"/>
      <w:r w:rsidR="00415365" w:rsidRPr="00DF1711">
        <w:rPr>
          <w:bCs/>
        </w:rPr>
        <w:t>pena</w:t>
      </w:r>
      <w:r w:rsidRPr="00DF1711">
        <w:rPr>
          <w:bCs/>
        </w:rPr>
        <w:t>unce</w:t>
      </w:r>
      <w:proofErr w:type="spellEnd"/>
      <w:r w:rsidRPr="00DF1711">
        <w:rPr>
          <w:bCs/>
        </w:rPr>
        <w:t>, T</w:t>
      </w:r>
      <w:r w:rsidR="00415365" w:rsidRPr="00DF1711">
        <w:rPr>
          <w:bCs/>
        </w:rPr>
        <w:t xml:space="preserve">hat is to </w:t>
      </w:r>
      <w:proofErr w:type="spellStart"/>
      <w:r w:rsidR="00415365" w:rsidRPr="00DF1711">
        <w:rPr>
          <w:bCs/>
        </w:rPr>
        <w:t>say</w:t>
      </w:r>
      <w:r w:rsidRPr="00DF1711">
        <w:rPr>
          <w:bCs/>
        </w:rPr>
        <w:t>e</w:t>
      </w:r>
      <w:proofErr w:type="spellEnd"/>
      <w:r w:rsidR="00D22E63" w:rsidRPr="00DF1711">
        <w:rPr>
          <w:bCs/>
        </w:rPr>
        <w:t xml:space="preserve">, prayer, </w:t>
      </w:r>
      <w:proofErr w:type="spellStart"/>
      <w:r w:rsidR="00D22E63" w:rsidRPr="00DF1711">
        <w:rPr>
          <w:bCs/>
        </w:rPr>
        <w:t>fasty</w:t>
      </w:r>
      <w:r w:rsidR="00415365" w:rsidRPr="00DF1711">
        <w:rPr>
          <w:bCs/>
        </w:rPr>
        <w:t>ng</w:t>
      </w:r>
      <w:r w:rsidR="00D22E63" w:rsidRPr="00DF1711">
        <w:rPr>
          <w:bCs/>
        </w:rPr>
        <w:t>e</w:t>
      </w:r>
      <w:proofErr w:type="spellEnd"/>
      <w:r w:rsidR="00415365" w:rsidRPr="00DF1711">
        <w:rPr>
          <w:bCs/>
        </w:rPr>
        <w:t xml:space="preserve">, and </w:t>
      </w:r>
      <w:proofErr w:type="spellStart"/>
      <w:r w:rsidR="00415365" w:rsidRPr="00DF1711">
        <w:rPr>
          <w:bCs/>
        </w:rPr>
        <w:t>alm</w:t>
      </w:r>
      <w:r w:rsidR="00D22E63" w:rsidRPr="00DF1711">
        <w:rPr>
          <w:bCs/>
        </w:rPr>
        <w:t>e</w:t>
      </w:r>
      <w:r w:rsidR="00415365" w:rsidRPr="00DF1711">
        <w:rPr>
          <w:bCs/>
        </w:rPr>
        <w:t>s</w:t>
      </w:r>
      <w:proofErr w:type="spellEnd"/>
      <w:r w:rsidR="00D22E63" w:rsidRPr="00DF1711">
        <w:rPr>
          <w:bCs/>
        </w:rPr>
        <w:t xml:space="preserve"> </w:t>
      </w:r>
      <w:proofErr w:type="spellStart"/>
      <w:r w:rsidR="00415365" w:rsidRPr="00DF1711">
        <w:rPr>
          <w:bCs/>
        </w:rPr>
        <w:t>ded</w:t>
      </w:r>
      <w:r w:rsidR="00D22E63" w:rsidRPr="00DF1711">
        <w:rPr>
          <w:bCs/>
        </w:rPr>
        <w:t>e</w:t>
      </w:r>
      <w:proofErr w:type="spellEnd"/>
      <w:r w:rsidR="00415365" w:rsidRPr="00DF1711">
        <w:rPr>
          <w:bCs/>
        </w:rPr>
        <w:t xml:space="preserve">, with </w:t>
      </w:r>
      <w:proofErr w:type="spellStart"/>
      <w:r w:rsidR="00415365" w:rsidRPr="00DF1711">
        <w:rPr>
          <w:bCs/>
        </w:rPr>
        <w:t>m</w:t>
      </w:r>
      <w:r w:rsidR="00D22E63" w:rsidRPr="00DF1711">
        <w:rPr>
          <w:bCs/>
        </w:rPr>
        <w:t>o</w:t>
      </w:r>
      <w:r w:rsidR="00415365" w:rsidRPr="00DF1711">
        <w:rPr>
          <w:bCs/>
        </w:rPr>
        <w:t>ch</w:t>
      </w:r>
      <w:r w:rsidR="00D22E63" w:rsidRPr="00DF1711">
        <w:rPr>
          <w:bCs/>
        </w:rPr>
        <w:t>e</w:t>
      </w:r>
      <w:proofErr w:type="spellEnd"/>
      <w:r w:rsidR="00415365" w:rsidRPr="00DF1711">
        <w:rPr>
          <w:bCs/>
        </w:rPr>
        <w:t xml:space="preserve"> </w:t>
      </w:r>
      <w:proofErr w:type="spellStart"/>
      <w:r w:rsidR="00415365" w:rsidRPr="00DF1711">
        <w:rPr>
          <w:bCs/>
        </w:rPr>
        <w:t>mourn</w:t>
      </w:r>
      <w:r w:rsidR="00D22E63" w:rsidRPr="00DF1711">
        <w:rPr>
          <w:bCs/>
        </w:rPr>
        <w:t>y</w:t>
      </w:r>
      <w:r w:rsidR="00415365" w:rsidRPr="00DF1711">
        <w:rPr>
          <w:bCs/>
        </w:rPr>
        <w:t>ng</w:t>
      </w:r>
      <w:r w:rsidR="00D22E63" w:rsidRPr="00DF1711">
        <w:rPr>
          <w:bCs/>
        </w:rPr>
        <w:t>e</w:t>
      </w:r>
      <w:proofErr w:type="spellEnd"/>
      <w:r w:rsidR="00D22E63" w:rsidRPr="00DF1711">
        <w:rPr>
          <w:bCs/>
        </w:rPr>
        <w:t xml:space="preserve"> and </w:t>
      </w:r>
      <w:proofErr w:type="spellStart"/>
      <w:r w:rsidR="00D22E63" w:rsidRPr="00DF1711">
        <w:rPr>
          <w:bCs/>
        </w:rPr>
        <w:t>lamenty</w:t>
      </w:r>
      <w:r w:rsidR="00415365" w:rsidRPr="00DF1711">
        <w:rPr>
          <w:bCs/>
        </w:rPr>
        <w:t>ng</w:t>
      </w:r>
      <w:proofErr w:type="spellEnd"/>
      <w:r w:rsidR="00415365" w:rsidRPr="00DF1711">
        <w:rPr>
          <w:bCs/>
        </w:rPr>
        <w:t xml:space="preserve"> for </w:t>
      </w:r>
      <w:proofErr w:type="spellStart"/>
      <w:r w:rsidR="00415365" w:rsidRPr="00DF1711">
        <w:rPr>
          <w:bCs/>
        </w:rPr>
        <w:t>th</w:t>
      </w:r>
      <w:r w:rsidR="00D22E63" w:rsidRPr="00DF1711">
        <w:rPr>
          <w:bCs/>
        </w:rPr>
        <w:t>ey</w:t>
      </w:r>
      <w:r w:rsidR="00415365" w:rsidRPr="00DF1711">
        <w:rPr>
          <w:bCs/>
        </w:rPr>
        <w:t>r</w:t>
      </w:r>
      <w:proofErr w:type="spellEnd"/>
      <w:r w:rsidR="00415365" w:rsidRPr="00DF1711">
        <w:rPr>
          <w:bCs/>
        </w:rPr>
        <w:t xml:space="preserve"> </w:t>
      </w:r>
      <w:proofErr w:type="spellStart"/>
      <w:r w:rsidR="00415365" w:rsidRPr="00DF1711">
        <w:rPr>
          <w:bCs/>
        </w:rPr>
        <w:t>s</w:t>
      </w:r>
      <w:r w:rsidR="00D22E63" w:rsidRPr="00DF1711">
        <w:rPr>
          <w:bCs/>
        </w:rPr>
        <w:t>y</w:t>
      </w:r>
      <w:r w:rsidR="00415365" w:rsidRPr="00DF1711">
        <w:rPr>
          <w:bCs/>
        </w:rPr>
        <w:t>n</w:t>
      </w:r>
      <w:r w:rsidR="00D22E63" w:rsidRPr="00DF1711">
        <w:rPr>
          <w:bCs/>
        </w:rPr>
        <w:t>ne</w:t>
      </w:r>
      <w:r w:rsidR="00415365" w:rsidRPr="00DF1711">
        <w:rPr>
          <w:bCs/>
        </w:rPr>
        <w:t>s</w:t>
      </w:r>
      <w:proofErr w:type="spellEnd"/>
      <w:r w:rsidR="00415365" w:rsidRPr="00DF1711">
        <w:rPr>
          <w:bCs/>
        </w:rPr>
        <w:t xml:space="preserve"> before </w:t>
      </w:r>
      <w:proofErr w:type="spellStart"/>
      <w:r w:rsidR="00415365" w:rsidRPr="00DF1711">
        <w:rPr>
          <w:bCs/>
        </w:rPr>
        <w:t>comm</w:t>
      </w:r>
      <w:r w:rsidR="00D22E63" w:rsidRPr="00DF1711">
        <w:rPr>
          <w:bCs/>
        </w:rPr>
        <w:t>y</w:t>
      </w:r>
      <w:r w:rsidR="00415365" w:rsidRPr="00DF1711">
        <w:rPr>
          <w:bCs/>
        </w:rPr>
        <w:t>tted</w:t>
      </w:r>
      <w:proofErr w:type="spellEnd"/>
      <w:r w:rsidR="00415365" w:rsidRPr="00DF1711">
        <w:rPr>
          <w:bCs/>
        </w:rPr>
        <w:t xml:space="preserve">. And they </w:t>
      </w:r>
      <w:proofErr w:type="spellStart"/>
      <w:r w:rsidR="00415365" w:rsidRPr="00DF1711">
        <w:rPr>
          <w:bCs/>
        </w:rPr>
        <w:t>must</w:t>
      </w:r>
      <w:r w:rsidR="00D22E63" w:rsidRPr="00DF1711">
        <w:rPr>
          <w:bCs/>
        </w:rPr>
        <w:t>e</w:t>
      </w:r>
      <w:proofErr w:type="spellEnd"/>
      <w:r w:rsidR="00415365" w:rsidRPr="00DF1711">
        <w:rPr>
          <w:bCs/>
        </w:rPr>
        <w:t xml:space="preserve"> also make restitution or satisfaction in </w:t>
      </w:r>
      <w:proofErr w:type="spellStart"/>
      <w:r w:rsidR="00415365" w:rsidRPr="00DF1711">
        <w:rPr>
          <w:bCs/>
        </w:rPr>
        <w:t>w</w:t>
      </w:r>
      <w:r w:rsidR="00D22E63" w:rsidRPr="00DF1711">
        <w:rPr>
          <w:bCs/>
        </w:rPr>
        <w:t>yll</w:t>
      </w:r>
      <w:proofErr w:type="spellEnd"/>
      <w:r w:rsidR="00D22E63" w:rsidRPr="00DF1711">
        <w:rPr>
          <w:bCs/>
        </w:rPr>
        <w:t xml:space="preserve"> and </w:t>
      </w:r>
      <w:proofErr w:type="spellStart"/>
      <w:r w:rsidR="00D22E63" w:rsidRPr="00DF1711">
        <w:rPr>
          <w:bCs/>
        </w:rPr>
        <w:t>de</w:t>
      </w:r>
      <w:r w:rsidR="00415365" w:rsidRPr="00DF1711">
        <w:rPr>
          <w:bCs/>
        </w:rPr>
        <w:t>d</w:t>
      </w:r>
      <w:r w:rsidR="00D22E63" w:rsidRPr="00DF1711">
        <w:rPr>
          <w:bCs/>
        </w:rPr>
        <w:t>e</w:t>
      </w:r>
      <w:proofErr w:type="spellEnd"/>
      <w:r w:rsidR="00D22E63" w:rsidRPr="00DF1711">
        <w:rPr>
          <w:bCs/>
        </w:rPr>
        <w:t xml:space="preserve"> to </w:t>
      </w:r>
      <w:proofErr w:type="spellStart"/>
      <w:r w:rsidR="00D22E63" w:rsidRPr="00DF1711">
        <w:rPr>
          <w:bCs/>
        </w:rPr>
        <w:t>theyr</w:t>
      </w:r>
      <w:proofErr w:type="spellEnd"/>
      <w:r w:rsidR="00D22E63" w:rsidRPr="00DF1711">
        <w:rPr>
          <w:bCs/>
        </w:rPr>
        <w:t xml:space="preserve"> </w:t>
      </w:r>
      <w:proofErr w:type="spellStart"/>
      <w:r w:rsidR="00D22E63" w:rsidRPr="00DF1711">
        <w:rPr>
          <w:bCs/>
        </w:rPr>
        <w:t>ney</w:t>
      </w:r>
      <w:r w:rsidR="00415365" w:rsidRPr="00DF1711">
        <w:rPr>
          <w:bCs/>
        </w:rPr>
        <w:t>ghbours</w:t>
      </w:r>
      <w:proofErr w:type="spellEnd"/>
      <w:r w:rsidR="00415365" w:rsidRPr="00DF1711">
        <w:rPr>
          <w:bCs/>
        </w:rPr>
        <w:t xml:space="preserve">, in </w:t>
      </w:r>
      <w:proofErr w:type="spellStart"/>
      <w:r w:rsidR="00415365" w:rsidRPr="00DF1711">
        <w:rPr>
          <w:bCs/>
        </w:rPr>
        <w:t>such</w:t>
      </w:r>
      <w:r w:rsidR="00D22E63" w:rsidRPr="00DF1711">
        <w:rPr>
          <w:bCs/>
        </w:rPr>
        <w:t>e</w:t>
      </w:r>
      <w:proofErr w:type="spellEnd"/>
      <w:r w:rsidR="00415365" w:rsidRPr="00DF1711">
        <w:rPr>
          <w:bCs/>
        </w:rPr>
        <w:t xml:space="preserve"> </w:t>
      </w:r>
      <w:proofErr w:type="spellStart"/>
      <w:r w:rsidR="00415365" w:rsidRPr="00DF1711">
        <w:rPr>
          <w:bCs/>
        </w:rPr>
        <w:t>th</w:t>
      </w:r>
      <w:r w:rsidR="00D22E63" w:rsidRPr="00DF1711">
        <w:rPr>
          <w:bCs/>
        </w:rPr>
        <w:t>y</w:t>
      </w:r>
      <w:r w:rsidR="00415365" w:rsidRPr="00DF1711">
        <w:rPr>
          <w:bCs/>
        </w:rPr>
        <w:t>ng</w:t>
      </w:r>
      <w:r w:rsidR="00D22E63" w:rsidRPr="00DF1711">
        <w:rPr>
          <w:bCs/>
        </w:rPr>
        <w:t>e</w:t>
      </w:r>
      <w:r w:rsidR="00415365" w:rsidRPr="00DF1711">
        <w:rPr>
          <w:bCs/>
        </w:rPr>
        <w:t>s</w:t>
      </w:r>
      <w:proofErr w:type="spellEnd"/>
      <w:r w:rsidR="00415365" w:rsidRPr="00DF1711">
        <w:rPr>
          <w:bCs/>
        </w:rPr>
        <w:t xml:space="preserve"> as they have done them </w:t>
      </w:r>
      <w:proofErr w:type="spellStart"/>
      <w:r w:rsidR="00415365" w:rsidRPr="00DF1711">
        <w:rPr>
          <w:bCs/>
        </w:rPr>
        <w:t>w</w:t>
      </w:r>
      <w:r w:rsidR="00D22E63" w:rsidRPr="00DF1711">
        <w:rPr>
          <w:bCs/>
        </w:rPr>
        <w:t>o</w:t>
      </w:r>
      <w:r w:rsidR="00415365" w:rsidRPr="00DF1711">
        <w:rPr>
          <w:bCs/>
        </w:rPr>
        <w:t>rong</w:t>
      </w:r>
      <w:r w:rsidR="00D22E63" w:rsidRPr="00DF1711">
        <w:rPr>
          <w:bCs/>
        </w:rPr>
        <w:t>e</w:t>
      </w:r>
      <w:proofErr w:type="spellEnd"/>
      <w:r w:rsidR="00D22E63" w:rsidRPr="00DF1711">
        <w:rPr>
          <w:bCs/>
        </w:rPr>
        <w:t xml:space="preserve"> and </w:t>
      </w:r>
      <w:proofErr w:type="spellStart"/>
      <w:r w:rsidR="00D22E63" w:rsidRPr="00DF1711">
        <w:rPr>
          <w:bCs/>
        </w:rPr>
        <w:t>ini</w:t>
      </w:r>
      <w:r w:rsidR="00415365" w:rsidRPr="00DF1711">
        <w:rPr>
          <w:bCs/>
        </w:rPr>
        <w:t>ur</w:t>
      </w:r>
      <w:r w:rsidR="00D22E63" w:rsidRPr="00DF1711">
        <w:rPr>
          <w:bCs/>
        </w:rPr>
        <w:t>ie</w:t>
      </w:r>
      <w:proofErr w:type="spellEnd"/>
      <w:r w:rsidR="00D22E63" w:rsidRPr="00DF1711">
        <w:rPr>
          <w:bCs/>
        </w:rPr>
        <w:t xml:space="preserve"> in. And </w:t>
      </w:r>
      <w:proofErr w:type="spellStart"/>
      <w:r w:rsidR="00D22E63" w:rsidRPr="00DF1711">
        <w:rPr>
          <w:bCs/>
        </w:rPr>
        <w:t>fy</w:t>
      </w:r>
      <w:r w:rsidR="00415365" w:rsidRPr="00DF1711">
        <w:rPr>
          <w:bCs/>
        </w:rPr>
        <w:t>nally</w:t>
      </w:r>
      <w:proofErr w:type="spellEnd"/>
      <w:r w:rsidR="00415365" w:rsidRPr="00DF1711">
        <w:rPr>
          <w:bCs/>
        </w:rPr>
        <w:t xml:space="preserve"> they </w:t>
      </w:r>
      <w:proofErr w:type="spellStart"/>
      <w:r w:rsidR="00415365" w:rsidRPr="00DF1711">
        <w:rPr>
          <w:bCs/>
        </w:rPr>
        <w:t>must</w:t>
      </w:r>
      <w:r w:rsidR="00D22E63" w:rsidRPr="00DF1711">
        <w:rPr>
          <w:bCs/>
        </w:rPr>
        <w:t>e</w:t>
      </w:r>
      <w:proofErr w:type="spellEnd"/>
      <w:r w:rsidR="00415365" w:rsidRPr="00DF1711">
        <w:rPr>
          <w:bCs/>
        </w:rPr>
        <w:t xml:space="preserve"> do all other good </w:t>
      </w:r>
      <w:proofErr w:type="spellStart"/>
      <w:r w:rsidR="00415365" w:rsidRPr="00DF1711">
        <w:rPr>
          <w:bCs/>
        </w:rPr>
        <w:t>work</w:t>
      </w:r>
      <w:r w:rsidR="00D22E63" w:rsidRPr="00DF1711">
        <w:rPr>
          <w:bCs/>
        </w:rPr>
        <w:t>e</w:t>
      </w:r>
      <w:r w:rsidR="00415365" w:rsidRPr="00DF1711">
        <w:rPr>
          <w:bCs/>
        </w:rPr>
        <w:t>s</w:t>
      </w:r>
      <w:proofErr w:type="spellEnd"/>
      <w:r w:rsidR="00415365" w:rsidRPr="00DF1711">
        <w:rPr>
          <w:bCs/>
        </w:rPr>
        <w:t xml:space="preserve"> of </w:t>
      </w:r>
      <w:proofErr w:type="spellStart"/>
      <w:r w:rsidR="00415365" w:rsidRPr="00DF1711">
        <w:rPr>
          <w:bCs/>
        </w:rPr>
        <w:t>mercy</w:t>
      </w:r>
      <w:r w:rsidR="00D22E63" w:rsidRPr="00DF1711">
        <w:rPr>
          <w:bCs/>
        </w:rPr>
        <w:t>e</w:t>
      </w:r>
      <w:proofErr w:type="spellEnd"/>
      <w:r w:rsidR="00D22E63" w:rsidRPr="00DF1711">
        <w:rPr>
          <w:bCs/>
        </w:rPr>
        <w:t xml:space="preserve"> and </w:t>
      </w:r>
      <w:proofErr w:type="spellStart"/>
      <w:r w:rsidR="00D22E63" w:rsidRPr="00DF1711">
        <w:rPr>
          <w:bCs/>
        </w:rPr>
        <w:t>charitie</w:t>
      </w:r>
      <w:proofErr w:type="spellEnd"/>
      <w:r w:rsidR="00415365" w:rsidRPr="00DF1711">
        <w:rPr>
          <w:bCs/>
        </w:rPr>
        <w:t xml:space="preserve">, and </w:t>
      </w:r>
      <w:proofErr w:type="spellStart"/>
      <w:r w:rsidR="00415365" w:rsidRPr="00DF1711">
        <w:rPr>
          <w:bCs/>
        </w:rPr>
        <w:t>express</w:t>
      </w:r>
      <w:r w:rsidR="00D22E63" w:rsidRPr="00DF1711">
        <w:rPr>
          <w:bCs/>
        </w:rPr>
        <w:t>e</w:t>
      </w:r>
      <w:proofErr w:type="spellEnd"/>
      <w:r w:rsidR="00415365" w:rsidRPr="00DF1711">
        <w:rPr>
          <w:bCs/>
        </w:rPr>
        <w:t xml:space="preserve"> </w:t>
      </w:r>
      <w:proofErr w:type="spellStart"/>
      <w:r w:rsidR="00D22E63" w:rsidRPr="00DF1711">
        <w:rPr>
          <w:bCs/>
        </w:rPr>
        <w:t>they</w:t>
      </w:r>
      <w:r w:rsidR="00415365" w:rsidRPr="00DF1711">
        <w:rPr>
          <w:bCs/>
        </w:rPr>
        <w:t>r</w:t>
      </w:r>
      <w:proofErr w:type="spellEnd"/>
      <w:r w:rsidR="00415365" w:rsidRPr="00DF1711">
        <w:rPr>
          <w:bCs/>
        </w:rPr>
        <w:t xml:space="preserve"> </w:t>
      </w:r>
      <w:proofErr w:type="spellStart"/>
      <w:r w:rsidR="00415365" w:rsidRPr="00DF1711">
        <w:rPr>
          <w:bCs/>
        </w:rPr>
        <w:t>obedient</w:t>
      </w:r>
      <w:r w:rsidR="00D22E63" w:rsidRPr="00DF1711">
        <w:rPr>
          <w:bCs/>
        </w:rPr>
        <w:t>e</w:t>
      </w:r>
      <w:proofErr w:type="spellEnd"/>
      <w:r w:rsidR="00D22E63" w:rsidRPr="00DF1711">
        <w:rPr>
          <w:bCs/>
        </w:rPr>
        <w:t xml:space="preserve"> </w:t>
      </w:r>
      <w:proofErr w:type="spellStart"/>
      <w:r w:rsidR="00D22E63" w:rsidRPr="00DF1711">
        <w:rPr>
          <w:bCs/>
        </w:rPr>
        <w:t>wyll</w:t>
      </w:r>
      <w:proofErr w:type="spellEnd"/>
      <w:r w:rsidR="00D22E63" w:rsidRPr="00DF1711">
        <w:rPr>
          <w:bCs/>
        </w:rPr>
        <w:t xml:space="preserve"> in the </w:t>
      </w:r>
      <w:proofErr w:type="spellStart"/>
      <w:r w:rsidR="00D22E63" w:rsidRPr="00DF1711">
        <w:rPr>
          <w:bCs/>
        </w:rPr>
        <w:t>executy</w:t>
      </w:r>
      <w:r w:rsidR="00415365" w:rsidRPr="00DF1711">
        <w:rPr>
          <w:bCs/>
        </w:rPr>
        <w:t>ng</w:t>
      </w:r>
      <w:r w:rsidR="00D22E63" w:rsidRPr="00DF1711">
        <w:rPr>
          <w:bCs/>
        </w:rPr>
        <w:t>e</w:t>
      </w:r>
      <w:proofErr w:type="spellEnd"/>
      <w:r w:rsidR="00415365" w:rsidRPr="00DF1711">
        <w:rPr>
          <w:bCs/>
        </w:rPr>
        <w:t xml:space="preserve"> and </w:t>
      </w:r>
      <w:proofErr w:type="spellStart"/>
      <w:r w:rsidR="00415365" w:rsidRPr="00DF1711">
        <w:rPr>
          <w:bCs/>
        </w:rPr>
        <w:t>fulf</w:t>
      </w:r>
      <w:r w:rsidR="00D22E63" w:rsidRPr="00DF1711">
        <w:rPr>
          <w:bCs/>
        </w:rPr>
        <w:t>y</w:t>
      </w:r>
      <w:r w:rsidR="00415365" w:rsidRPr="00DF1711">
        <w:rPr>
          <w:bCs/>
        </w:rPr>
        <w:t>lling</w:t>
      </w:r>
      <w:r w:rsidR="00D22E63" w:rsidRPr="00DF1711">
        <w:rPr>
          <w:bCs/>
        </w:rPr>
        <w:t>e</w:t>
      </w:r>
      <w:proofErr w:type="spellEnd"/>
      <w:r w:rsidR="00415365" w:rsidRPr="00DF1711">
        <w:rPr>
          <w:bCs/>
        </w:rPr>
        <w:t xml:space="preserve"> of </w:t>
      </w:r>
      <w:proofErr w:type="spellStart"/>
      <w:r w:rsidR="00D22E63" w:rsidRPr="00DF1711">
        <w:rPr>
          <w:bCs/>
        </w:rPr>
        <w:t>goddis</w:t>
      </w:r>
      <w:proofErr w:type="spellEnd"/>
      <w:r w:rsidR="00415365" w:rsidRPr="00DF1711">
        <w:rPr>
          <w:bCs/>
        </w:rPr>
        <w:t xml:space="preserve"> </w:t>
      </w:r>
      <w:proofErr w:type="spellStart"/>
      <w:r w:rsidR="00415365" w:rsidRPr="00DF1711">
        <w:rPr>
          <w:bCs/>
        </w:rPr>
        <w:t>comma</w:t>
      </w:r>
      <w:r w:rsidR="00D22E63" w:rsidRPr="00DF1711">
        <w:rPr>
          <w:bCs/>
        </w:rPr>
        <w:t>u</w:t>
      </w:r>
      <w:r w:rsidR="00415365" w:rsidRPr="00DF1711">
        <w:rPr>
          <w:bCs/>
        </w:rPr>
        <w:t>ndment</w:t>
      </w:r>
      <w:proofErr w:type="spellEnd"/>
      <w:r w:rsidR="00415365" w:rsidRPr="00DF1711">
        <w:rPr>
          <w:bCs/>
        </w:rPr>
        <w:t xml:space="preserve"> </w:t>
      </w:r>
      <w:proofErr w:type="spellStart"/>
      <w:r w:rsidR="00415365" w:rsidRPr="00DF1711">
        <w:rPr>
          <w:bCs/>
        </w:rPr>
        <w:t>o</w:t>
      </w:r>
      <w:r w:rsidR="008837E1">
        <w:rPr>
          <w:bCs/>
        </w:rPr>
        <w:t>v</w:t>
      </w:r>
      <w:r w:rsidR="00415365" w:rsidRPr="00DF1711">
        <w:rPr>
          <w:bCs/>
        </w:rPr>
        <w:t>tward</w:t>
      </w:r>
      <w:r w:rsidR="00D22E63" w:rsidRPr="00DF1711">
        <w:rPr>
          <w:bCs/>
        </w:rPr>
        <w:t>e</w:t>
      </w:r>
      <w:r w:rsidR="00415365" w:rsidRPr="00DF1711">
        <w:rPr>
          <w:bCs/>
        </w:rPr>
        <w:t>ly</w:t>
      </w:r>
      <w:proofErr w:type="spellEnd"/>
      <w:r w:rsidR="00415365" w:rsidRPr="00DF1711">
        <w:rPr>
          <w:bCs/>
        </w:rPr>
        <w:t xml:space="preserve">, </w:t>
      </w:r>
      <w:proofErr w:type="spellStart"/>
      <w:r w:rsidR="00415365" w:rsidRPr="00DF1711">
        <w:rPr>
          <w:bCs/>
        </w:rPr>
        <w:t>wh</w:t>
      </w:r>
      <w:r w:rsidR="00D22E63" w:rsidRPr="00DF1711">
        <w:rPr>
          <w:bCs/>
        </w:rPr>
        <w:t>a</w:t>
      </w:r>
      <w:r w:rsidR="00415365" w:rsidRPr="00DF1711">
        <w:rPr>
          <w:bCs/>
        </w:rPr>
        <w:t>n</w:t>
      </w:r>
      <w:proofErr w:type="spellEnd"/>
      <w:r w:rsidR="00415365" w:rsidRPr="00DF1711">
        <w:rPr>
          <w:bCs/>
        </w:rPr>
        <w:t xml:space="preserve"> </w:t>
      </w:r>
      <w:proofErr w:type="spellStart"/>
      <w:r w:rsidR="00415365" w:rsidRPr="00DF1711">
        <w:rPr>
          <w:bCs/>
        </w:rPr>
        <w:t>t</w:t>
      </w:r>
      <w:r w:rsidR="00D22E63" w:rsidRPr="00DF1711">
        <w:rPr>
          <w:bCs/>
        </w:rPr>
        <w:t>y</w:t>
      </w:r>
      <w:r w:rsidR="00415365" w:rsidRPr="00DF1711">
        <w:rPr>
          <w:bCs/>
        </w:rPr>
        <w:t>me</w:t>
      </w:r>
      <w:proofErr w:type="spellEnd"/>
      <w:r w:rsidR="00415365" w:rsidRPr="00DF1711">
        <w:rPr>
          <w:bCs/>
        </w:rPr>
        <w:t>, powe</w:t>
      </w:r>
      <w:r w:rsidR="00D22E63" w:rsidRPr="00DF1711">
        <w:rPr>
          <w:bCs/>
        </w:rPr>
        <w:t xml:space="preserve">r, and occasion shall be </w:t>
      </w:r>
      <w:proofErr w:type="spellStart"/>
      <w:r w:rsidR="00D22E63" w:rsidRPr="00DF1711">
        <w:rPr>
          <w:bCs/>
        </w:rPr>
        <w:t>ministred</w:t>
      </w:r>
      <w:proofErr w:type="spellEnd"/>
      <w:r w:rsidR="00D22E63" w:rsidRPr="00DF1711">
        <w:rPr>
          <w:bCs/>
        </w:rPr>
        <w:t xml:space="preserve"> </w:t>
      </w:r>
      <w:proofErr w:type="spellStart"/>
      <w:r w:rsidR="00D22E63" w:rsidRPr="00DF1711">
        <w:rPr>
          <w:bCs/>
        </w:rPr>
        <w:t>vnto</w:t>
      </w:r>
      <w:proofErr w:type="spellEnd"/>
      <w:r w:rsidR="00D22E63" w:rsidRPr="00DF1711">
        <w:rPr>
          <w:bCs/>
        </w:rPr>
        <w:t xml:space="preserve"> them, or </w:t>
      </w:r>
      <w:proofErr w:type="spellStart"/>
      <w:r w:rsidR="00D22E63" w:rsidRPr="00DF1711">
        <w:rPr>
          <w:bCs/>
        </w:rPr>
        <w:t>elles</w:t>
      </w:r>
      <w:proofErr w:type="spellEnd"/>
      <w:r w:rsidR="00415365" w:rsidRPr="00DF1711">
        <w:rPr>
          <w:bCs/>
        </w:rPr>
        <w:t xml:space="preserve"> they shall </w:t>
      </w:r>
      <w:proofErr w:type="spellStart"/>
      <w:r w:rsidR="00415365" w:rsidRPr="00DF1711">
        <w:rPr>
          <w:bCs/>
        </w:rPr>
        <w:t>ne</w:t>
      </w:r>
      <w:r w:rsidR="00D22E63" w:rsidRPr="00DF1711">
        <w:rPr>
          <w:bCs/>
        </w:rPr>
        <w:t>uer</w:t>
      </w:r>
      <w:proofErr w:type="spellEnd"/>
      <w:r w:rsidR="00D22E63" w:rsidRPr="00DF1711">
        <w:rPr>
          <w:bCs/>
        </w:rPr>
        <w:t xml:space="preserve"> be </w:t>
      </w:r>
      <w:proofErr w:type="spellStart"/>
      <w:r w:rsidR="00D22E63" w:rsidRPr="00DF1711">
        <w:rPr>
          <w:bCs/>
        </w:rPr>
        <w:t>sau</w:t>
      </w:r>
      <w:r w:rsidR="00DF1711">
        <w:rPr>
          <w:bCs/>
        </w:rPr>
        <w:t>ed</w:t>
      </w:r>
      <w:proofErr w:type="spellEnd"/>
      <w:r w:rsidR="00DF1711">
        <w:rPr>
          <w:bCs/>
        </w:rPr>
        <w:t>.</w:t>
      </w:r>
      <w:r w:rsidR="00DF1711">
        <w:rPr>
          <w:rStyle w:val="FootnoteReference"/>
          <w:bCs/>
        </w:rPr>
        <w:footnoteReference w:id="23"/>
      </w:r>
    </w:p>
    <w:p w:rsidR="005B3613" w:rsidRDefault="005B3613" w:rsidP="0099652D">
      <w:pPr>
        <w:spacing w:after="0" w:line="240" w:lineRule="auto"/>
        <w:ind w:firstLine="567"/>
        <w:jc w:val="both"/>
      </w:pPr>
    </w:p>
    <w:p w:rsidR="005B3613" w:rsidRDefault="00763B21" w:rsidP="00656634">
      <w:pPr>
        <w:spacing w:after="0" w:line="480" w:lineRule="auto"/>
        <w:jc w:val="both"/>
      </w:pPr>
      <w:r>
        <w:t>‘</w:t>
      </w:r>
      <w:r w:rsidR="00415365">
        <w:t xml:space="preserve">Good </w:t>
      </w:r>
      <w:proofErr w:type="spellStart"/>
      <w:r w:rsidR="00415365">
        <w:t>work</w:t>
      </w:r>
      <w:r w:rsidR="00DF1711">
        <w:t>e</w:t>
      </w:r>
      <w:r w:rsidR="00415365">
        <w:t>s</w:t>
      </w:r>
      <w:proofErr w:type="spellEnd"/>
      <w:r>
        <w:t>’</w:t>
      </w:r>
      <w:r w:rsidR="00415365">
        <w:t xml:space="preserve"> are acts of contrition by any other name. Exactly why the penitent </w:t>
      </w:r>
      <w:r>
        <w:t>‘</w:t>
      </w:r>
      <w:proofErr w:type="spellStart"/>
      <w:r w:rsidR="00DF1711" w:rsidRPr="00DF1711">
        <w:rPr>
          <w:bCs/>
        </w:rPr>
        <w:t>muste</w:t>
      </w:r>
      <w:proofErr w:type="spellEnd"/>
      <w:r w:rsidR="00DF1711" w:rsidRPr="00DF1711">
        <w:rPr>
          <w:bCs/>
        </w:rPr>
        <w:t xml:space="preserve"> do all other good </w:t>
      </w:r>
      <w:proofErr w:type="spellStart"/>
      <w:r w:rsidR="00DF1711" w:rsidRPr="00DF1711">
        <w:rPr>
          <w:bCs/>
        </w:rPr>
        <w:t>workes</w:t>
      </w:r>
      <w:proofErr w:type="spellEnd"/>
      <w:r w:rsidR="00415365">
        <w:t xml:space="preserve"> </w:t>
      </w:r>
      <w:r w:rsidR="00DF1711">
        <w:t>[</w:t>
      </w:r>
      <w:r w:rsidR="00415365">
        <w:t>...</w:t>
      </w:r>
      <w:r w:rsidR="00DF1711">
        <w:t>]</w:t>
      </w:r>
      <w:r w:rsidR="00415365">
        <w:t xml:space="preserve"> </w:t>
      </w:r>
      <w:r w:rsidR="00DF1711" w:rsidRPr="00DF1711">
        <w:rPr>
          <w:bCs/>
        </w:rPr>
        <w:t xml:space="preserve">or </w:t>
      </w:r>
      <w:proofErr w:type="spellStart"/>
      <w:r w:rsidR="00DF1711" w:rsidRPr="00DF1711">
        <w:rPr>
          <w:bCs/>
        </w:rPr>
        <w:t>elles</w:t>
      </w:r>
      <w:proofErr w:type="spellEnd"/>
      <w:r w:rsidR="00DF1711" w:rsidRPr="00DF1711">
        <w:rPr>
          <w:bCs/>
        </w:rPr>
        <w:t xml:space="preserve"> they shall </w:t>
      </w:r>
      <w:proofErr w:type="spellStart"/>
      <w:r w:rsidR="00DF1711" w:rsidRPr="00DF1711">
        <w:rPr>
          <w:bCs/>
        </w:rPr>
        <w:t>neuer</w:t>
      </w:r>
      <w:proofErr w:type="spellEnd"/>
      <w:r w:rsidR="00DF1711" w:rsidRPr="00DF1711">
        <w:rPr>
          <w:bCs/>
        </w:rPr>
        <w:t xml:space="preserve"> be </w:t>
      </w:r>
      <w:proofErr w:type="spellStart"/>
      <w:r w:rsidR="00DF1711" w:rsidRPr="00DF1711">
        <w:rPr>
          <w:bCs/>
        </w:rPr>
        <w:t>sau</w:t>
      </w:r>
      <w:r w:rsidR="00DF1711">
        <w:rPr>
          <w:bCs/>
        </w:rPr>
        <w:t>ed</w:t>
      </w:r>
      <w:proofErr w:type="spellEnd"/>
      <w:r>
        <w:t>’</w:t>
      </w:r>
      <w:r w:rsidR="00415365">
        <w:t xml:space="preserve"> when </w:t>
      </w:r>
      <w:r>
        <w:t>‘</w:t>
      </w:r>
      <w:r w:rsidR="00DF1711" w:rsidRPr="001716B2">
        <w:rPr>
          <w:bCs/>
        </w:rPr>
        <w:t xml:space="preserve">the </w:t>
      </w:r>
      <w:proofErr w:type="spellStart"/>
      <w:r w:rsidR="00DF1711" w:rsidRPr="001716B2">
        <w:rPr>
          <w:bCs/>
        </w:rPr>
        <w:t>wort</w:t>
      </w:r>
      <w:r w:rsidR="00DF1711">
        <w:rPr>
          <w:bCs/>
        </w:rPr>
        <w:t>hynes</w:t>
      </w:r>
      <w:proofErr w:type="spellEnd"/>
      <w:r w:rsidR="00DF1711" w:rsidRPr="001716B2">
        <w:rPr>
          <w:bCs/>
        </w:rPr>
        <w:t xml:space="preserve"> of any </w:t>
      </w:r>
      <w:proofErr w:type="spellStart"/>
      <w:r w:rsidR="00DF1711" w:rsidRPr="001716B2">
        <w:rPr>
          <w:bCs/>
        </w:rPr>
        <w:t>merit</w:t>
      </w:r>
      <w:r w:rsidR="00DF1711">
        <w:rPr>
          <w:bCs/>
        </w:rPr>
        <w:t>e</w:t>
      </w:r>
      <w:proofErr w:type="spellEnd"/>
      <w:r w:rsidR="00DF1711" w:rsidRPr="001716B2">
        <w:rPr>
          <w:bCs/>
        </w:rPr>
        <w:t xml:space="preserve"> or </w:t>
      </w:r>
      <w:proofErr w:type="spellStart"/>
      <w:r w:rsidR="00DF1711" w:rsidRPr="001716B2">
        <w:rPr>
          <w:bCs/>
        </w:rPr>
        <w:t>work</w:t>
      </w:r>
      <w:r w:rsidR="00DF1711">
        <w:rPr>
          <w:bCs/>
        </w:rPr>
        <w:t>e</w:t>
      </w:r>
      <w:proofErr w:type="spellEnd"/>
      <w:r w:rsidR="00DF1711" w:rsidRPr="001716B2">
        <w:rPr>
          <w:bCs/>
        </w:rPr>
        <w:t xml:space="preserve"> done by the penitent</w:t>
      </w:r>
      <w:r>
        <w:t>’</w:t>
      </w:r>
      <w:r w:rsidR="00415365">
        <w:t xml:space="preserve"> was previously confirmed as having no influence upon his or her salvation confirms </w:t>
      </w:r>
      <w:proofErr w:type="spellStart"/>
      <w:r w:rsidR="00415365">
        <w:t>Wriothesley</w:t>
      </w:r>
      <w:r>
        <w:t>’</w:t>
      </w:r>
      <w:r w:rsidR="00415365">
        <w:t>s</w:t>
      </w:r>
      <w:proofErr w:type="spellEnd"/>
      <w:r w:rsidR="00415365">
        <w:t xml:space="preserve"> criticism. Wyatt needed to reform the Reformers</w:t>
      </w:r>
      <w:r>
        <w:t>’</w:t>
      </w:r>
      <w:r w:rsidR="00415365">
        <w:t xml:space="preserve"> book if his sequence was to adhere to official doctrine without tying itself in knots. </w:t>
      </w:r>
    </w:p>
    <w:p w:rsidR="005B3613" w:rsidRDefault="005B3613" w:rsidP="00656634">
      <w:pPr>
        <w:spacing w:after="0" w:line="480" w:lineRule="auto"/>
        <w:ind w:firstLine="567"/>
        <w:jc w:val="both"/>
      </w:pPr>
    </w:p>
    <w:p w:rsidR="005B3613" w:rsidRPr="00D5052C" w:rsidRDefault="00415365" w:rsidP="00656634">
      <w:pPr>
        <w:spacing w:after="0" w:line="480" w:lineRule="auto"/>
        <w:ind w:firstLine="567"/>
        <w:jc w:val="both"/>
      </w:pPr>
      <w:r>
        <w:tab/>
        <w:t xml:space="preserve">Wyatt evidently obtained a copy of the Bishops Book somehow as one of the catchphrases of the treatise – echoed from the Ten Articles of the previous year – is </w:t>
      </w:r>
      <w:r w:rsidR="00763B21">
        <w:t>‘</w:t>
      </w:r>
      <w:r>
        <w:t>grace and favour</w:t>
      </w:r>
      <w:r w:rsidR="00763B21">
        <w:t>’</w:t>
      </w:r>
      <w:r>
        <w:t>, which finds its way into Wyatt</w:t>
      </w:r>
      <w:r w:rsidR="00763B21">
        <w:t>’</w:t>
      </w:r>
      <w:r>
        <w:t xml:space="preserve">s Penitential Psalms: </w:t>
      </w:r>
      <w:r w:rsidR="00763B21">
        <w:t>‘</w:t>
      </w:r>
      <w:r>
        <w:t xml:space="preserve">Let </w:t>
      </w:r>
      <w:proofErr w:type="spellStart"/>
      <w:r>
        <w:t>Israell</w:t>
      </w:r>
      <w:proofErr w:type="spellEnd"/>
      <w:r>
        <w:t xml:space="preserve"> trust </w:t>
      </w:r>
      <w:proofErr w:type="spellStart"/>
      <w:r>
        <w:t>vnto</w:t>
      </w:r>
      <w:proofErr w:type="spellEnd"/>
      <w:r>
        <w:t xml:space="preserve"> the </w:t>
      </w:r>
      <w:r>
        <w:lastRenderedPageBreak/>
        <w:t xml:space="preserve">lord </w:t>
      </w:r>
      <w:proofErr w:type="spellStart"/>
      <w:r>
        <w:t>allway</w:t>
      </w:r>
      <w:proofErr w:type="spellEnd"/>
      <w:r>
        <w:t xml:space="preserve">, / </w:t>
      </w:r>
      <w:proofErr w:type="spellStart"/>
      <w:r>
        <w:t>Ffor</w:t>
      </w:r>
      <w:proofErr w:type="spellEnd"/>
      <w:r>
        <w:t xml:space="preserve"> grace and </w:t>
      </w:r>
      <w:proofErr w:type="spellStart"/>
      <w:r>
        <w:t>fauour</w:t>
      </w:r>
      <w:proofErr w:type="spellEnd"/>
      <w:r>
        <w:t xml:space="preserve"> </w:t>
      </w:r>
      <w:proofErr w:type="spellStart"/>
      <w:r>
        <w:t>arn</w:t>
      </w:r>
      <w:proofErr w:type="spellEnd"/>
      <w:r>
        <w:t xml:space="preserve"> his </w:t>
      </w:r>
      <w:proofErr w:type="spellStart"/>
      <w:r>
        <w:t>propertie</w:t>
      </w:r>
      <w:proofErr w:type="spellEnd"/>
      <w:r w:rsidR="00763B21">
        <w:t>’</w:t>
      </w:r>
      <w:r>
        <w:t xml:space="preserve"> (691-2).</w:t>
      </w:r>
      <w:r w:rsidR="00DF1711">
        <w:rPr>
          <w:rStyle w:val="FootnoteReference"/>
        </w:rPr>
        <w:footnoteReference w:id="24"/>
      </w:r>
      <w:r>
        <w:t xml:space="preserve"> The phrase, thought to be an English cognate of </w:t>
      </w:r>
      <w:proofErr w:type="spellStart"/>
      <w:r>
        <w:t>Machiaelli</w:t>
      </w:r>
      <w:r w:rsidR="00763B21">
        <w:t>’</w:t>
      </w:r>
      <w:r>
        <w:t>s</w:t>
      </w:r>
      <w:proofErr w:type="spellEnd"/>
      <w:r>
        <w:t xml:space="preserve"> </w:t>
      </w:r>
      <w:r w:rsidR="00763B21">
        <w:t>‘</w:t>
      </w:r>
      <w:proofErr w:type="spellStart"/>
      <w:r>
        <w:t>grazia</w:t>
      </w:r>
      <w:proofErr w:type="spellEnd"/>
      <w:r>
        <w:t xml:space="preserve"> e </w:t>
      </w:r>
      <w:proofErr w:type="spellStart"/>
      <w:r>
        <w:t>concessione</w:t>
      </w:r>
      <w:proofErr w:type="spellEnd"/>
      <w:r w:rsidR="00763B21">
        <w:t>’</w:t>
      </w:r>
      <w:r>
        <w:rPr>
          <w:vertAlign w:val="superscript"/>
        </w:rPr>
        <w:t xml:space="preserve"> </w:t>
      </w:r>
      <w:r>
        <w:t>was still a neologism, suggesting Wyatt</w:t>
      </w:r>
      <w:r w:rsidR="00763B21">
        <w:t>’</w:t>
      </w:r>
      <w:r>
        <w:t>s encountered it either via the Ten Articles or the Bishops</w:t>
      </w:r>
      <w:r w:rsidR="00763B21">
        <w:t>’</w:t>
      </w:r>
      <w:r>
        <w:t xml:space="preserve"> Book.</w:t>
      </w:r>
      <w:r w:rsidR="00D5052C">
        <w:rPr>
          <w:rStyle w:val="FootnoteReference"/>
        </w:rPr>
        <w:footnoteReference w:id="25"/>
      </w:r>
      <w:r>
        <w:t> </w:t>
      </w:r>
    </w:p>
    <w:p w:rsidR="005B3613" w:rsidRPr="00D5052C" w:rsidRDefault="005B3613" w:rsidP="00656634">
      <w:pPr>
        <w:spacing w:after="0" w:line="480" w:lineRule="auto"/>
        <w:ind w:firstLine="567"/>
        <w:jc w:val="both"/>
      </w:pPr>
    </w:p>
    <w:p w:rsidR="005B3613" w:rsidRDefault="00415365" w:rsidP="00656634">
      <w:pPr>
        <w:spacing w:after="0" w:line="480" w:lineRule="auto"/>
        <w:ind w:firstLine="567"/>
        <w:jc w:val="both"/>
        <w:rPr>
          <w:i/>
        </w:rPr>
      </w:pPr>
      <w:r>
        <w:t>It is my view that Wyatt had requested the Bishops</w:t>
      </w:r>
      <w:r w:rsidR="00763B21">
        <w:t>’</w:t>
      </w:r>
      <w:r>
        <w:t xml:space="preserve"> Book of </w:t>
      </w:r>
      <w:proofErr w:type="spellStart"/>
      <w:r>
        <w:t>Wriothesley</w:t>
      </w:r>
      <w:proofErr w:type="spellEnd"/>
      <w:r>
        <w:t xml:space="preserve"> as he was already planning on writing his Penitential Psalms. </w:t>
      </w:r>
      <w:r w:rsidR="00D5052C">
        <w:t>However, t</w:t>
      </w:r>
      <w:r>
        <w:t>he contradictions within the Bishops</w:t>
      </w:r>
      <w:r w:rsidR="00763B21">
        <w:t>’</w:t>
      </w:r>
      <w:r>
        <w:t xml:space="preserve"> Book caused Wyatt some problems if he was to </w:t>
      </w:r>
      <w:r w:rsidR="00763B21">
        <w:t>‘</w:t>
      </w:r>
      <w:proofErr w:type="spellStart"/>
      <w:r>
        <w:t>paynte</w:t>
      </w:r>
      <w:proofErr w:type="spellEnd"/>
      <w:r>
        <w:t xml:space="preserve"> the </w:t>
      </w:r>
      <w:proofErr w:type="spellStart"/>
      <w:r>
        <w:t>lyvely</w:t>
      </w:r>
      <w:proofErr w:type="spellEnd"/>
      <w:r>
        <w:t xml:space="preserve"> </w:t>
      </w:r>
      <w:proofErr w:type="spellStart"/>
      <w:r>
        <w:t>faythe</w:t>
      </w:r>
      <w:proofErr w:type="spellEnd"/>
      <w:r>
        <w:t xml:space="preserve"> and pure</w:t>
      </w:r>
      <w:r w:rsidR="00763B21">
        <w:t>’</w:t>
      </w:r>
      <w:r>
        <w:t xml:space="preserve">. </w:t>
      </w:r>
      <w:r w:rsidR="00D5052C">
        <w:t>As such,</w:t>
      </w:r>
      <w:r>
        <w:t xml:space="preserve"> Wyatt turned to the work of a reform-minded Catholic, Pietro Aretino, and one of the foremost Italian </w:t>
      </w:r>
      <w:r w:rsidR="00D5052C">
        <w:t>reformers</w:t>
      </w:r>
      <w:r>
        <w:t xml:space="preserve">, Antonio </w:t>
      </w:r>
      <w:proofErr w:type="spellStart"/>
      <w:r>
        <w:t>Brucioli</w:t>
      </w:r>
      <w:proofErr w:type="spellEnd"/>
      <w:r>
        <w:t xml:space="preserve">, whose </w:t>
      </w:r>
      <w:r w:rsidR="00D5052C">
        <w:t>combined</w:t>
      </w:r>
      <w:r>
        <w:t xml:space="preserve"> theology coincided with the mixture of tradition and reform which is the primary characteristic of the Bishops</w:t>
      </w:r>
      <w:r w:rsidR="00763B21">
        <w:t>’</w:t>
      </w:r>
      <w:r>
        <w:t xml:space="preserve"> Book, and by drawing on these Italian texts Wyatt was enabled to move beyond doctrinal contradiction towards a more consistent poetics of grace. Nobody has yet made the case for </w:t>
      </w:r>
      <w:proofErr w:type="spellStart"/>
      <w:r>
        <w:t>Brucioli</w:t>
      </w:r>
      <w:r w:rsidR="00763B21">
        <w:t>’</w:t>
      </w:r>
      <w:r>
        <w:t>s</w:t>
      </w:r>
      <w:proofErr w:type="spellEnd"/>
      <w:r>
        <w:t xml:space="preserve"> influence on Wyatt.</w:t>
      </w:r>
      <w:r w:rsidR="00D5052C">
        <w:rPr>
          <w:rStyle w:val="FootnoteReference"/>
        </w:rPr>
        <w:footnoteReference w:id="26"/>
      </w:r>
      <w:r>
        <w:t xml:space="preserve"> Indeed, Aretino</w:t>
      </w:r>
      <w:r w:rsidR="00763B21">
        <w:t>’</w:t>
      </w:r>
      <w:r>
        <w:t xml:space="preserve">s own reading of </w:t>
      </w:r>
      <w:proofErr w:type="spellStart"/>
      <w:r>
        <w:t>Brucioli</w:t>
      </w:r>
      <w:proofErr w:type="spellEnd"/>
      <w:r>
        <w:t xml:space="preserve"> has been doubted by the leading contemporary Aretino scholar.</w:t>
      </w:r>
      <w:r w:rsidR="0065384E">
        <w:rPr>
          <w:rStyle w:val="FootnoteReference"/>
        </w:rPr>
        <w:footnoteReference w:id="27"/>
      </w:r>
      <w:r>
        <w:t xml:space="preserve"> </w:t>
      </w:r>
    </w:p>
    <w:p w:rsidR="005B3613" w:rsidRDefault="005B3613" w:rsidP="00656634">
      <w:pPr>
        <w:spacing w:after="0" w:line="480" w:lineRule="auto"/>
        <w:ind w:firstLine="567"/>
        <w:jc w:val="both"/>
        <w:rPr>
          <w:i/>
        </w:rPr>
      </w:pPr>
    </w:p>
    <w:p w:rsidR="00975014" w:rsidRDefault="00975014" w:rsidP="00656634">
      <w:pPr>
        <w:spacing w:after="0" w:line="480" w:lineRule="auto"/>
        <w:ind w:firstLine="567"/>
        <w:jc w:val="both"/>
      </w:pPr>
      <w:r>
        <w:t>However, before I attempt to determine what Wyatt did to Aretino</w:t>
      </w:r>
      <w:r w:rsidR="00763B21">
        <w:t>’</w:t>
      </w:r>
      <w:r>
        <w:t xml:space="preserve">s </w:t>
      </w:r>
      <w:proofErr w:type="spellStart"/>
      <w:r>
        <w:t>Sette</w:t>
      </w:r>
      <w:proofErr w:type="spellEnd"/>
      <w:r>
        <w:t xml:space="preserve"> </w:t>
      </w:r>
      <w:proofErr w:type="spellStart"/>
      <w:r>
        <w:t>Salmi</w:t>
      </w:r>
      <w:proofErr w:type="spellEnd"/>
      <w:r>
        <w:t>, I should briefly mention the issue which has dogged so many studies of Wyatt</w:t>
      </w:r>
      <w:r w:rsidR="00763B21">
        <w:t>’</w:t>
      </w:r>
      <w:r>
        <w:t xml:space="preserve">s </w:t>
      </w:r>
      <w:r w:rsidRPr="00BC36C2">
        <w:rPr>
          <w:i/>
        </w:rPr>
        <w:t>Psalms</w:t>
      </w:r>
      <w:r>
        <w:t xml:space="preserve"> – the date of compo</w:t>
      </w:r>
      <w:r w:rsidR="00BC36C2">
        <w:t>sition. Wyatt</w:t>
      </w:r>
      <w:r w:rsidR="00763B21">
        <w:t>’</w:t>
      </w:r>
      <w:r w:rsidR="00BC36C2">
        <w:t>s request for the Bishops</w:t>
      </w:r>
      <w:r w:rsidR="00763B21">
        <w:t>’</w:t>
      </w:r>
      <w:r w:rsidR="00BC36C2">
        <w:t xml:space="preserve"> Book whilst in embassy suggests, but does not confirm, that he began work on the sequence whilst in Spain. </w:t>
      </w:r>
      <w:r>
        <w:t>Wyatt</w:t>
      </w:r>
      <w:r w:rsidR="00763B21">
        <w:t>’</w:t>
      </w:r>
      <w:r>
        <w:t>s sequence would appear to have been influenced by the 1538 publication of Luther</w:t>
      </w:r>
      <w:r w:rsidR="00763B21">
        <w:t>’</w:t>
      </w:r>
      <w:r>
        <w:t>s paraphrase upon the Penitential Psalms – Luther</w:t>
      </w:r>
      <w:r w:rsidR="00763B21">
        <w:t>’</w:t>
      </w:r>
      <w:r>
        <w:t xml:space="preserve">s </w:t>
      </w:r>
      <w:proofErr w:type="spellStart"/>
      <w:r>
        <w:t>polyptoton</w:t>
      </w:r>
      <w:proofErr w:type="spellEnd"/>
      <w:r>
        <w:t xml:space="preserve">, </w:t>
      </w:r>
      <w:r w:rsidR="00763B21">
        <w:t>‘</w:t>
      </w:r>
      <w:r>
        <w:t xml:space="preserve">sum Justus et </w:t>
      </w:r>
      <w:proofErr w:type="spellStart"/>
      <w:r>
        <w:t>justificatus</w:t>
      </w:r>
      <w:proofErr w:type="spellEnd"/>
      <w:r>
        <w:t xml:space="preserve"> per </w:t>
      </w:r>
      <w:proofErr w:type="spellStart"/>
      <w:r>
        <w:t>justum</w:t>
      </w:r>
      <w:proofErr w:type="spellEnd"/>
      <w:r>
        <w:t xml:space="preserve"> et </w:t>
      </w:r>
      <w:proofErr w:type="spellStart"/>
      <w:r>
        <w:t>justificantem</w:t>
      </w:r>
      <w:proofErr w:type="spellEnd"/>
      <w:r>
        <w:t xml:space="preserve"> Christum</w:t>
      </w:r>
      <w:r w:rsidR="00763B21">
        <w:t>’</w:t>
      </w:r>
      <w:r>
        <w:t xml:space="preserve"> (</w:t>
      </w:r>
      <w:r w:rsidR="00763B21">
        <w:t>‘</w:t>
      </w:r>
      <w:r>
        <w:t>I am just and justified by a just and justifying Christ</w:t>
      </w:r>
      <w:r w:rsidR="00763B21">
        <w:t>’</w:t>
      </w:r>
      <w:r>
        <w:t>) is seemingly echoed by Wyatt</w:t>
      </w:r>
      <w:r w:rsidR="00763B21">
        <w:t>’</w:t>
      </w:r>
      <w:r>
        <w:t xml:space="preserve">s </w:t>
      </w:r>
      <w:r w:rsidR="00763B21">
        <w:t>‘</w:t>
      </w:r>
      <w:r>
        <w:t xml:space="preserve">then forthwith justly able, / Just I am, </w:t>
      </w:r>
      <w:proofErr w:type="spellStart"/>
      <w:r>
        <w:t>jugd</w:t>
      </w:r>
      <w:proofErr w:type="spellEnd"/>
      <w:r>
        <w:t xml:space="preserve"> by justice off thy grace</w:t>
      </w:r>
      <w:r w:rsidR="00763B21">
        <w:t>’</w:t>
      </w:r>
      <w:r>
        <w:t xml:space="preserve"> (454-5).</w:t>
      </w:r>
      <w:r w:rsidR="002327FB">
        <w:rPr>
          <w:rStyle w:val="FootnoteReference"/>
        </w:rPr>
        <w:footnoteReference w:id="28"/>
      </w:r>
      <w:r>
        <w:t xml:space="preserve"> Luther</w:t>
      </w:r>
      <w:r w:rsidR="00763B21">
        <w:t>’</w:t>
      </w:r>
      <w:r>
        <w:t>s line informs Southall</w:t>
      </w:r>
      <w:r w:rsidR="00763B21">
        <w:t>’</w:t>
      </w:r>
      <w:r>
        <w:t>s revised dating of Wyatt</w:t>
      </w:r>
      <w:r w:rsidR="00763B21">
        <w:t>’</w:t>
      </w:r>
      <w:r>
        <w:t xml:space="preserve">s sequence, as part of which he </w:t>
      </w:r>
      <w:r>
        <w:lastRenderedPageBreak/>
        <w:t xml:space="preserve">claims that the psalms were not composed directly into Egerton but transcribed from an earlier draft: </w:t>
      </w:r>
      <w:r w:rsidR="00763B21">
        <w:t>‘</w:t>
      </w:r>
      <w:r>
        <w:t>Consequently, the composition of the Psalms could have begun as early as 1536, the echo of Luther</w:t>
      </w:r>
      <w:r w:rsidR="00763B21">
        <w:t>’</w:t>
      </w:r>
      <w:r>
        <w:t>s commentary being the result of a later emendation, with Wyatt returning to the task in earnest in 1540, which appears the most likely date of their entry in E</w:t>
      </w:r>
      <w:r w:rsidR="00763B21">
        <w:t>’</w:t>
      </w:r>
      <w:r>
        <w:t>.</w:t>
      </w:r>
      <w:r>
        <w:rPr>
          <w:vertAlign w:val="superscript"/>
        </w:rPr>
        <w:t xml:space="preserve"> </w:t>
      </w:r>
      <w:r>
        <w:t xml:space="preserve"> However, the fact that Egerton had degraded from a fair-copy manuscript to a working manuscript into which poems were directly composed during the Imperial embassy somewhat undermines Southall</w:t>
      </w:r>
      <w:r w:rsidR="00763B21">
        <w:t>’</w:t>
      </w:r>
      <w:r>
        <w:t xml:space="preserve">s revised thesis, especially given the emendations made to those very lines which echo Luther . If we look at the lines in Egerton we can see that Wyatt has altered them in the process of transcription, which does not suggest the use of an initial draft: </w:t>
      </w:r>
    </w:p>
    <w:p w:rsidR="005B3613" w:rsidRDefault="005B3613" w:rsidP="0099652D">
      <w:pPr>
        <w:spacing w:after="0" w:line="480" w:lineRule="auto"/>
        <w:ind w:firstLine="567"/>
        <w:jc w:val="both"/>
      </w:pPr>
    </w:p>
    <w:p w:rsidR="005B3613" w:rsidRDefault="002327FB" w:rsidP="002327FB">
      <w:pPr>
        <w:spacing w:after="0" w:line="240" w:lineRule="auto"/>
        <w:ind w:left="284" w:firstLine="567"/>
        <w:jc w:val="both"/>
        <w:rPr>
          <w:sz w:val="20"/>
        </w:rPr>
      </w:pPr>
      <w:r>
        <w:tab/>
      </w:r>
      <w:r>
        <w:tab/>
      </w:r>
      <w:proofErr w:type="gramStart"/>
      <w:r w:rsidR="00415365">
        <w:rPr>
          <w:sz w:val="20"/>
        </w:rPr>
        <w:t>then</w:t>
      </w:r>
      <w:proofErr w:type="gramEnd"/>
    </w:p>
    <w:p w:rsidR="005B3613" w:rsidRDefault="002327FB" w:rsidP="002327FB">
      <w:pPr>
        <w:spacing w:after="0" w:line="240" w:lineRule="auto"/>
        <w:ind w:left="284" w:firstLine="567"/>
        <w:jc w:val="both"/>
        <w:rPr>
          <w:sz w:val="20"/>
        </w:rPr>
      </w:pPr>
      <w:r>
        <w:rPr>
          <w:sz w:val="20"/>
        </w:rPr>
        <w:tab/>
      </w:r>
      <w:r>
        <w:rPr>
          <w:sz w:val="20"/>
        </w:rPr>
        <w:tab/>
      </w:r>
      <w:proofErr w:type="gramStart"/>
      <w:r w:rsidR="00415365">
        <w:rPr>
          <w:strike/>
          <w:sz w:val="20"/>
        </w:rPr>
        <w:t>and</w:t>
      </w:r>
      <w:proofErr w:type="gramEnd"/>
      <w:r w:rsidR="00415365">
        <w:rPr>
          <w:sz w:val="20"/>
        </w:rPr>
        <w:t xml:space="preserve"> </w:t>
      </w:r>
      <w:proofErr w:type="spellStart"/>
      <w:r w:rsidR="00415365">
        <w:rPr>
          <w:sz w:val="20"/>
        </w:rPr>
        <w:t>forthw</w:t>
      </w:r>
      <w:r w:rsidR="00415365">
        <w:rPr>
          <w:sz w:val="20"/>
          <w:vertAlign w:val="superscript"/>
        </w:rPr>
        <w:t>t</w:t>
      </w:r>
      <w:proofErr w:type="spellEnd"/>
      <w:r w:rsidR="00415365">
        <w:rPr>
          <w:sz w:val="20"/>
        </w:rPr>
        <w:t xml:space="preserve"> </w:t>
      </w:r>
      <w:proofErr w:type="spellStart"/>
      <w:r w:rsidR="00415365">
        <w:rPr>
          <w:sz w:val="20"/>
        </w:rPr>
        <w:t>Iustly</w:t>
      </w:r>
      <w:proofErr w:type="spellEnd"/>
      <w:r w:rsidR="00415365">
        <w:rPr>
          <w:sz w:val="20"/>
        </w:rPr>
        <w:t xml:space="preserve"> able</w:t>
      </w:r>
    </w:p>
    <w:p w:rsidR="005B3613" w:rsidRDefault="00415365" w:rsidP="0099652D">
      <w:pPr>
        <w:spacing w:after="0" w:line="240" w:lineRule="auto"/>
        <w:ind w:left="284" w:firstLine="567"/>
        <w:jc w:val="both"/>
        <w:rPr>
          <w:sz w:val="20"/>
        </w:rPr>
      </w:pPr>
      <w:r>
        <w:rPr>
          <w:sz w:val="20"/>
        </w:rPr>
        <w:tab/>
        <w:t xml:space="preserve">       I </w:t>
      </w:r>
      <w:proofErr w:type="spellStart"/>
      <w:r>
        <w:rPr>
          <w:sz w:val="20"/>
        </w:rPr>
        <w:t>ame</w:t>
      </w:r>
      <w:proofErr w:type="spellEnd"/>
    </w:p>
    <w:p w:rsidR="005B3613" w:rsidRDefault="00415365" w:rsidP="002327FB">
      <w:pPr>
        <w:spacing w:after="0" w:line="240" w:lineRule="auto"/>
        <w:ind w:left="284" w:firstLine="567"/>
        <w:jc w:val="both"/>
        <w:rPr>
          <w:sz w:val="20"/>
        </w:rPr>
      </w:pPr>
      <w:r>
        <w:rPr>
          <w:sz w:val="20"/>
        </w:rPr>
        <w:tab/>
      </w:r>
      <w:proofErr w:type="spellStart"/>
      <w:r>
        <w:rPr>
          <w:sz w:val="20"/>
        </w:rPr>
        <w:t>Iust</w:t>
      </w:r>
      <w:proofErr w:type="spellEnd"/>
      <w:r>
        <w:rPr>
          <w:sz w:val="20"/>
        </w:rPr>
        <w:t xml:space="preserve"> </w:t>
      </w:r>
      <w:r>
        <w:rPr>
          <w:strike/>
          <w:sz w:val="20"/>
        </w:rPr>
        <w:t>to be</w:t>
      </w:r>
      <w:r>
        <w:rPr>
          <w:sz w:val="20"/>
        </w:rPr>
        <w:t xml:space="preserve"> </w:t>
      </w:r>
      <w:proofErr w:type="spellStart"/>
      <w:r>
        <w:rPr>
          <w:sz w:val="20"/>
        </w:rPr>
        <w:t>Iugd</w:t>
      </w:r>
      <w:proofErr w:type="spellEnd"/>
      <w:r>
        <w:rPr>
          <w:sz w:val="20"/>
        </w:rPr>
        <w:t xml:space="preserve"> / by </w:t>
      </w:r>
      <w:proofErr w:type="spellStart"/>
      <w:r>
        <w:rPr>
          <w:sz w:val="20"/>
        </w:rPr>
        <w:t>Iustice</w:t>
      </w:r>
      <w:proofErr w:type="spellEnd"/>
      <w:r>
        <w:rPr>
          <w:sz w:val="20"/>
        </w:rPr>
        <w:t xml:space="preserve"> off thy grace</w:t>
      </w:r>
      <w:r w:rsidR="002327FB">
        <w:rPr>
          <w:rStyle w:val="FootnoteReference"/>
          <w:sz w:val="20"/>
        </w:rPr>
        <w:footnoteReference w:id="29"/>
      </w:r>
    </w:p>
    <w:p w:rsidR="005B3613" w:rsidRDefault="005B3613" w:rsidP="0099652D">
      <w:pPr>
        <w:spacing w:after="0" w:line="480" w:lineRule="auto"/>
        <w:ind w:left="284" w:firstLine="567"/>
        <w:jc w:val="both"/>
      </w:pPr>
    </w:p>
    <w:p w:rsidR="005B3613" w:rsidRDefault="00415365" w:rsidP="00656634">
      <w:pPr>
        <w:spacing w:after="0" w:line="480" w:lineRule="auto"/>
        <w:jc w:val="both"/>
      </w:pPr>
      <w:r>
        <w:t xml:space="preserve">The emendations here suggest composition, not transcription from </w:t>
      </w:r>
      <w:r w:rsidR="002327FB">
        <w:t>foul papers</w:t>
      </w:r>
      <w:r>
        <w:t xml:space="preserve">. </w:t>
      </w:r>
      <w:r>
        <w:tab/>
      </w:r>
    </w:p>
    <w:p w:rsidR="005B3613" w:rsidRDefault="00415365" w:rsidP="00656634">
      <w:pPr>
        <w:spacing w:after="0" w:line="480" w:lineRule="auto"/>
        <w:ind w:firstLine="567"/>
        <w:jc w:val="both"/>
      </w:pPr>
      <w:r>
        <w:t>The poems composed during the Imperial embassy appear between folios 62</w:t>
      </w:r>
      <w:r w:rsidR="002327FB">
        <w:t>r</w:t>
      </w:r>
      <w:r>
        <w:t xml:space="preserve"> to 70</w:t>
      </w:r>
      <w:r w:rsidR="002327FB">
        <w:t>r</w:t>
      </w:r>
      <w:r>
        <w:t xml:space="preserve"> in Egerton.</w:t>
      </w:r>
      <w:r>
        <w:rPr>
          <w:vertAlign w:val="superscript"/>
        </w:rPr>
        <w:t xml:space="preserve"> </w:t>
      </w:r>
      <w:r>
        <w:t xml:space="preserve">  On folio 65</w:t>
      </w:r>
      <w:r w:rsidR="002327FB">
        <w:t>v</w:t>
      </w:r>
      <w:r>
        <w:t xml:space="preserve"> appears a partial translation of Psalm 37, </w:t>
      </w:r>
      <w:proofErr w:type="spellStart"/>
      <w:r>
        <w:rPr>
          <w:i/>
        </w:rPr>
        <w:t>Noli</w:t>
      </w:r>
      <w:proofErr w:type="spellEnd"/>
      <w:r>
        <w:rPr>
          <w:i/>
        </w:rPr>
        <w:t xml:space="preserve"> </w:t>
      </w:r>
      <w:proofErr w:type="spellStart"/>
      <w:r>
        <w:rPr>
          <w:i/>
        </w:rPr>
        <w:t>emulare</w:t>
      </w:r>
      <w:proofErr w:type="spellEnd"/>
      <w:r>
        <w:t>, in the hand of John Brereton (Egerton Hand D), who was part of Wyatt</w:t>
      </w:r>
      <w:r w:rsidR="00763B21">
        <w:t>’</w:t>
      </w:r>
      <w:r>
        <w:t xml:space="preserve">s ambassadorial family, and whose hand can also be observed in a letter of 23 June 1537 addressed to </w:t>
      </w:r>
      <w:proofErr w:type="spellStart"/>
      <w:r>
        <w:t>Wriothesley</w:t>
      </w:r>
      <w:proofErr w:type="spellEnd"/>
      <w:r>
        <w:t>.</w:t>
      </w:r>
      <w:r w:rsidR="002327FB">
        <w:rPr>
          <w:rStyle w:val="FootnoteReference"/>
        </w:rPr>
        <w:footnoteReference w:id="30"/>
      </w:r>
      <w:r>
        <w:rPr>
          <w:vertAlign w:val="superscript"/>
        </w:rPr>
        <w:t xml:space="preserve"> </w:t>
      </w:r>
      <w:r>
        <w:t xml:space="preserve"> This psalm is not part of the Penitential sequence but one of the Wisdom psalms, yet, like the Penitential </w:t>
      </w:r>
      <w:r>
        <w:lastRenderedPageBreak/>
        <w:t>Psalms, its authorship is ascribed to King David. It seems more likely that Wyatt was inspired to take on the Penitential Psalms following the successful translation of Psalm 37, rather than undertaking the relatively slighter translation following his completion of the penitential sequence, which from the perspective of the ordering of Egerton alone seems very unlikely. The Penitential Psalms themselves were entered in a blank port</w:t>
      </w:r>
      <w:r w:rsidR="0065384E">
        <w:t xml:space="preserve">ion of the manuscript from </w:t>
      </w:r>
      <w:proofErr w:type="spellStart"/>
      <w:r w:rsidR="0065384E">
        <w:t>fols</w:t>
      </w:r>
      <w:proofErr w:type="spellEnd"/>
      <w:r w:rsidR="0065384E">
        <w:t>.</w:t>
      </w:r>
      <w:r>
        <w:t xml:space="preserve"> 86</w:t>
      </w:r>
      <w:r w:rsidR="0065384E">
        <w:t>r</w:t>
      </w:r>
      <w:r>
        <w:t>-98</w:t>
      </w:r>
      <w:r w:rsidR="0065384E">
        <w:t>v</w:t>
      </w:r>
      <w:r>
        <w:t xml:space="preserve"> in Wyatt</w:t>
      </w:r>
      <w:r w:rsidR="00763B21">
        <w:t>’</w:t>
      </w:r>
      <w:r>
        <w:t>s own hand (Egerton Hand B). They are written in light brown ink until fol. 90</w:t>
      </w:r>
      <w:r w:rsidR="0065384E">
        <w:t>v</w:t>
      </w:r>
      <w:r>
        <w:t xml:space="preserve">, </w:t>
      </w:r>
      <w:proofErr w:type="gramStart"/>
      <w:r>
        <w:t>then</w:t>
      </w:r>
      <w:proofErr w:type="gramEnd"/>
      <w:r>
        <w:t xml:space="preserve"> darken for a period, before returning to brown on fol. 97</w:t>
      </w:r>
      <w:r w:rsidR="0065384E">
        <w:t>v</w:t>
      </w:r>
      <w:r>
        <w:t>. The brow</w:t>
      </w:r>
      <w:r w:rsidR="002327FB">
        <w:t xml:space="preserve">n ink-fade </w:t>
      </w:r>
      <w:r>
        <w:t xml:space="preserve">suggests the use of powdered ink such as one would use on board ship. The implication is, as </w:t>
      </w:r>
      <w:r w:rsidR="002327FB">
        <w:t xml:space="preserve">Jason </w:t>
      </w:r>
      <w:r>
        <w:t xml:space="preserve">Powell </w:t>
      </w:r>
      <w:r w:rsidR="002327FB">
        <w:t xml:space="preserve">convincingly </w:t>
      </w:r>
      <w:r>
        <w:t xml:space="preserve">argues, that </w:t>
      </w:r>
      <w:r w:rsidR="00763B21">
        <w:t>‘</w:t>
      </w:r>
      <w:r>
        <w:t>Wyatt began paraphrasing the Penitential Psalms in Spain or before</w:t>
      </w:r>
      <w:r w:rsidR="00763B21">
        <w:t>’</w:t>
      </w:r>
      <w:r>
        <w:t xml:space="preserve"> and completed them subsequently.</w:t>
      </w:r>
      <w:r w:rsidR="002327FB">
        <w:rPr>
          <w:rStyle w:val="FootnoteReference"/>
        </w:rPr>
        <w:footnoteReference w:id="31"/>
      </w:r>
      <w:r>
        <w:rPr>
          <w:vertAlign w:val="superscript"/>
        </w:rPr>
        <w:t xml:space="preserve"> </w:t>
      </w:r>
      <w:r>
        <w:t xml:space="preserve">The </w:t>
      </w:r>
      <w:r>
        <w:rPr>
          <w:i/>
        </w:rPr>
        <w:t xml:space="preserve">terminus ad </w:t>
      </w:r>
      <w:proofErr w:type="spellStart"/>
      <w:r>
        <w:rPr>
          <w:i/>
        </w:rPr>
        <w:t>quem</w:t>
      </w:r>
      <w:proofErr w:type="spellEnd"/>
      <w:r>
        <w:t xml:space="preserve"> for the composition of the sequence cannot be confirmed – they most likely began in embassy, but whether they were completed </w:t>
      </w:r>
      <w:r w:rsidR="0065384E">
        <w:t>there</w:t>
      </w:r>
      <w:r>
        <w:t xml:space="preserve"> remains to be seen. </w:t>
      </w:r>
      <w:r w:rsidR="0065384E">
        <w:t xml:space="preserve">They might have been completed during Wyatt’s second imprisonment in the Tower in 1541, but this is necessarily conjectural. </w:t>
      </w:r>
      <w:r w:rsidR="00417809">
        <w:t xml:space="preserve">This is not to say that the </w:t>
      </w:r>
      <w:r w:rsidR="0065384E">
        <w:t xml:space="preserve">1536 </w:t>
      </w:r>
      <w:r w:rsidR="00417809">
        <w:t xml:space="preserve">imprisonment did not play an important part in the decision to translate the </w:t>
      </w:r>
      <w:r w:rsidR="0065384E">
        <w:t xml:space="preserve">Penitential </w:t>
      </w:r>
      <w:r w:rsidR="00417809">
        <w:t xml:space="preserve">Psalms, </w:t>
      </w:r>
      <w:r w:rsidR="0065384E">
        <w:t>as the sequence</w:t>
      </w:r>
      <w:r w:rsidR="00417809">
        <w:t xml:space="preserve"> </w:t>
      </w:r>
      <w:r w:rsidR="0065384E">
        <w:t xml:space="preserve">was </w:t>
      </w:r>
      <w:r w:rsidR="00417809">
        <w:t>comm</w:t>
      </w:r>
      <w:r w:rsidR="0065384E">
        <w:t>only used as a supplement to the ritual of penance.</w:t>
      </w:r>
    </w:p>
    <w:p w:rsidR="005B3613" w:rsidRDefault="005B3613" w:rsidP="0099652D">
      <w:pPr>
        <w:spacing w:after="0" w:line="360" w:lineRule="auto"/>
        <w:ind w:firstLine="567"/>
        <w:jc w:val="both"/>
        <w:rPr>
          <w:i/>
        </w:rPr>
      </w:pPr>
    </w:p>
    <w:p w:rsidR="005B3613" w:rsidRPr="00CD2A15" w:rsidRDefault="00415365" w:rsidP="00CD2A15">
      <w:pPr>
        <w:spacing w:after="0" w:line="360" w:lineRule="auto"/>
        <w:ind w:firstLine="567"/>
        <w:jc w:val="center"/>
        <w:rPr>
          <w:bCs/>
          <w:i/>
          <w:iCs/>
        </w:rPr>
      </w:pPr>
      <w:r w:rsidRPr="00CD2A15">
        <w:rPr>
          <w:bCs/>
          <w:i/>
          <w:iCs/>
        </w:rPr>
        <w:t>Wyatt, Aretino and the Bishops</w:t>
      </w:r>
      <w:r w:rsidR="00763B21" w:rsidRPr="00CD2A15">
        <w:rPr>
          <w:bCs/>
          <w:i/>
          <w:iCs/>
        </w:rPr>
        <w:t>’</w:t>
      </w:r>
      <w:r w:rsidRPr="00CD2A15">
        <w:rPr>
          <w:bCs/>
          <w:i/>
          <w:iCs/>
        </w:rPr>
        <w:t xml:space="preserve"> Book</w:t>
      </w:r>
    </w:p>
    <w:p w:rsidR="00EA4B85" w:rsidRPr="0082745B" w:rsidRDefault="00417809" w:rsidP="00656634">
      <w:pPr>
        <w:spacing w:after="0" w:line="480" w:lineRule="auto"/>
        <w:jc w:val="both"/>
      </w:pPr>
      <w:r>
        <w:t xml:space="preserve">The theory that the unambiguously Protestant Wyatt translated the unambiguously Catholic Aretino is complicated by the fact that Aretino had reformist sympathies and moved in reformist circles. </w:t>
      </w:r>
      <w:r w:rsidR="003C3275">
        <w:t>Aretino</w:t>
      </w:r>
      <w:r w:rsidR="00763B21">
        <w:t>’</w:t>
      </w:r>
      <w:r w:rsidR="003C3275">
        <w:t xml:space="preserve">s paraphrase appeared in November 1534. In May of that year Antonio </w:t>
      </w:r>
      <w:proofErr w:type="spellStart"/>
      <w:r w:rsidR="003C3275">
        <w:t>Brucioli</w:t>
      </w:r>
      <w:proofErr w:type="spellEnd"/>
      <w:r w:rsidR="003C3275">
        <w:t xml:space="preserve"> published </w:t>
      </w:r>
      <w:r w:rsidR="003C3275" w:rsidRPr="0065384E">
        <w:rPr>
          <w:i/>
        </w:rPr>
        <w:t xml:space="preserve">I </w:t>
      </w:r>
      <w:proofErr w:type="spellStart"/>
      <w:r w:rsidR="003C3275" w:rsidRPr="0065384E">
        <w:rPr>
          <w:i/>
        </w:rPr>
        <w:t>Sacri</w:t>
      </w:r>
      <w:proofErr w:type="spellEnd"/>
      <w:r w:rsidR="003C3275" w:rsidRPr="0065384E">
        <w:rPr>
          <w:i/>
        </w:rPr>
        <w:t xml:space="preserve"> </w:t>
      </w:r>
      <w:proofErr w:type="spellStart"/>
      <w:r w:rsidR="003C3275" w:rsidRPr="0065384E">
        <w:rPr>
          <w:i/>
        </w:rPr>
        <w:t>Psalmi</w:t>
      </w:r>
      <w:proofErr w:type="spellEnd"/>
      <w:r w:rsidR="003C3275" w:rsidRPr="0065384E">
        <w:rPr>
          <w:i/>
        </w:rPr>
        <w:t xml:space="preserve"> di David </w:t>
      </w:r>
      <w:proofErr w:type="spellStart"/>
      <w:r w:rsidR="003C3275" w:rsidRPr="0065384E">
        <w:rPr>
          <w:i/>
        </w:rPr>
        <w:t>Distinti</w:t>
      </w:r>
      <w:proofErr w:type="spellEnd"/>
      <w:r w:rsidR="003C3275" w:rsidRPr="0065384E">
        <w:rPr>
          <w:i/>
        </w:rPr>
        <w:t xml:space="preserve"> in cinque </w:t>
      </w:r>
      <w:proofErr w:type="spellStart"/>
      <w:r w:rsidR="003C3275" w:rsidRPr="0065384E">
        <w:rPr>
          <w:i/>
        </w:rPr>
        <w:t>libri</w:t>
      </w:r>
      <w:proofErr w:type="spellEnd"/>
      <w:r w:rsidR="003C3275" w:rsidRPr="0065384E">
        <w:rPr>
          <w:i/>
        </w:rPr>
        <w:t xml:space="preserve">, </w:t>
      </w:r>
      <w:proofErr w:type="spellStart"/>
      <w:r w:rsidR="003C3275" w:rsidRPr="0065384E">
        <w:rPr>
          <w:i/>
        </w:rPr>
        <w:t>Tradotti</w:t>
      </w:r>
      <w:proofErr w:type="spellEnd"/>
      <w:r w:rsidR="003C3275" w:rsidRPr="0065384E">
        <w:rPr>
          <w:i/>
        </w:rPr>
        <w:t xml:space="preserve"> </w:t>
      </w:r>
      <w:r w:rsidR="0065384E">
        <w:rPr>
          <w:i/>
        </w:rPr>
        <w:t>[</w:t>
      </w:r>
      <w:r w:rsidR="003C3275" w:rsidRPr="0065384E">
        <w:rPr>
          <w:i/>
        </w:rPr>
        <w:t>…</w:t>
      </w:r>
      <w:r w:rsidR="0065384E">
        <w:rPr>
          <w:i/>
        </w:rPr>
        <w:t>]</w:t>
      </w:r>
      <w:r w:rsidR="003C3275" w:rsidRPr="0065384E">
        <w:rPr>
          <w:i/>
        </w:rPr>
        <w:t xml:space="preserve"> in lingua Toscana, &amp; con </w:t>
      </w:r>
      <w:proofErr w:type="spellStart"/>
      <w:r w:rsidR="003C3275" w:rsidRPr="0065384E">
        <w:rPr>
          <w:i/>
        </w:rPr>
        <w:t>nuovo</w:t>
      </w:r>
      <w:proofErr w:type="spellEnd"/>
      <w:r w:rsidR="003C3275" w:rsidRPr="0065384E">
        <w:rPr>
          <w:i/>
        </w:rPr>
        <w:t xml:space="preserve"> </w:t>
      </w:r>
      <w:proofErr w:type="spellStart"/>
      <w:r w:rsidR="003C3275" w:rsidRPr="0065384E">
        <w:rPr>
          <w:i/>
        </w:rPr>
        <w:t>commento</w:t>
      </w:r>
      <w:proofErr w:type="spellEnd"/>
      <w:r w:rsidR="003C3275" w:rsidRPr="0065384E">
        <w:rPr>
          <w:i/>
        </w:rPr>
        <w:t xml:space="preserve"> </w:t>
      </w:r>
      <w:proofErr w:type="spellStart"/>
      <w:r w:rsidR="003C3275" w:rsidRPr="0065384E">
        <w:rPr>
          <w:i/>
        </w:rPr>
        <w:t>dichiariti</w:t>
      </w:r>
      <w:proofErr w:type="spellEnd"/>
      <w:r w:rsidR="003C3275">
        <w:t xml:space="preserve">, which had been preceded by his 1531 edition of the Psalms. </w:t>
      </w:r>
      <w:proofErr w:type="spellStart"/>
      <w:r w:rsidR="003C3275">
        <w:t>Brucioli</w:t>
      </w:r>
      <w:r w:rsidR="00763B21">
        <w:t>’</w:t>
      </w:r>
      <w:r w:rsidR="003C3275">
        <w:t>s</w:t>
      </w:r>
      <w:proofErr w:type="spellEnd"/>
      <w:r w:rsidR="003C3275">
        <w:t xml:space="preserve"> commentaries, as Raymond Waddington has pointed out, </w:t>
      </w:r>
      <w:r w:rsidR="003C3275">
        <w:lastRenderedPageBreak/>
        <w:t xml:space="preserve">were </w:t>
      </w:r>
      <w:r w:rsidR="00763B21">
        <w:t>‘</w:t>
      </w:r>
      <w:r w:rsidR="003C3275">
        <w:t xml:space="preserve">largely translations and paraphrases of Martin </w:t>
      </w:r>
      <w:proofErr w:type="spellStart"/>
      <w:r w:rsidR="003C3275">
        <w:t>Bucer</w:t>
      </w:r>
      <w:r w:rsidR="00763B21">
        <w:t>’</w:t>
      </w:r>
      <w:r w:rsidR="003C3275">
        <w:t>s</w:t>
      </w:r>
      <w:proofErr w:type="spellEnd"/>
      <w:r w:rsidR="003C3275">
        <w:t xml:space="preserve"> and Marin Luther</w:t>
      </w:r>
      <w:r w:rsidR="00763B21">
        <w:t>’</w:t>
      </w:r>
      <w:r w:rsidR="003C3275">
        <w:t>s commentaries</w:t>
      </w:r>
      <w:r w:rsidR="00763B21">
        <w:t>’</w:t>
      </w:r>
      <w:r w:rsidR="003C3275">
        <w:t>.</w:t>
      </w:r>
      <w:r w:rsidR="0065384E">
        <w:rPr>
          <w:rStyle w:val="FootnoteReference"/>
        </w:rPr>
        <w:footnoteReference w:id="32"/>
      </w:r>
      <w:r w:rsidR="003C3275">
        <w:t xml:space="preserve"> </w:t>
      </w:r>
      <w:r w:rsidR="001F514B">
        <w:t xml:space="preserve">Moreover, </w:t>
      </w:r>
      <w:proofErr w:type="spellStart"/>
      <w:r w:rsidR="003C3275">
        <w:t>Brucioli</w:t>
      </w:r>
      <w:r w:rsidR="00763B21">
        <w:t>’</w:t>
      </w:r>
      <w:r w:rsidR="00FE77F0">
        <w:t>s</w:t>
      </w:r>
      <w:proofErr w:type="spellEnd"/>
      <w:r w:rsidR="00FE77F0">
        <w:t xml:space="preserve"> vernacular Bible of 1532 was arguably the most popular text </w:t>
      </w:r>
      <w:r w:rsidR="0065384E">
        <w:t>amongst</w:t>
      </w:r>
      <w:r w:rsidR="00FE77F0">
        <w:t xml:space="preserve"> the </w:t>
      </w:r>
      <w:proofErr w:type="spellStart"/>
      <w:r w:rsidR="0065384E">
        <w:rPr>
          <w:i/>
        </w:rPr>
        <w:t>spirituali</w:t>
      </w:r>
      <w:proofErr w:type="spellEnd"/>
      <w:r w:rsidR="00FE77F0">
        <w:t xml:space="preserve">. To indicate the bond between </w:t>
      </w:r>
      <w:proofErr w:type="spellStart"/>
      <w:r w:rsidR="00FE77F0">
        <w:t>Brucioli</w:t>
      </w:r>
      <w:proofErr w:type="spellEnd"/>
      <w:r w:rsidR="00FE77F0">
        <w:t xml:space="preserve"> and Aretino we need only point to the fact that Aretino was godfather to </w:t>
      </w:r>
      <w:proofErr w:type="spellStart"/>
      <w:r w:rsidR="00FE77F0">
        <w:t>Brucioli</w:t>
      </w:r>
      <w:r w:rsidR="00763B21">
        <w:t>’</w:t>
      </w:r>
      <w:r w:rsidR="00FE77F0">
        <w:t>s</w:t>
      </w:r>
      <w:proofErr w:type="spellEnd"/>
      <w:r w:rsidR="00FE77F0">
        <w:t xml:space="preserve"> two sons.</w:t>
      </w:r>
      <w:r w:rsidR="0031372F">
        <w:rPr>
          <w:rStyle w:val="FootnoteReference"/>
        </w:rPr>
        <w:footnoteReference w:id="33"/>
      </w:r>
      <w:r w:rsidR="00FE77F0">
        <w:t xml:space="preserve"> Others members of </w:t>
      </w:r>
      <w:r>
        <w:t>Aretino</w:t>
      </w:r>
      <w:r w:rsidR="00763B21">
        <w:t>’</w:t>
      </w:r>
      <w:r>
        <w:t xml:space="preserve">s circle included Pier Paolo </w:t>
      </w:r>
      <w:proofErr w:type="spellStart"/>
      <w:r w:rsidR="00FE77F0">
        <w:t>Vergerio</w:t>
      </w:r>
      <w:proofErr w:type="spellEnd"/>
      <w:r w:rsidR="00FE77F0">
        <w:t xml:space="preserve">, who was tried for heresy in 1546, fled to Geneva in 1549 and attempted to set up a Lutheran Church in Lithuania and Poland in the </w:t>
      </w:r>
      <w:proofErr w:type="spellStart"/>
      <w:r w:rsidR="00FE77F0">
        <w:t>mid 1550s</w:t>
      </w:r>
      <w:proofErr w:type="spellEnd"/>
      <w:r w:rsidR="00FE77F0">
        <w:t xml:space="preserve">, and the preacher Bernardino </w:t>
      </w:r>
      <w:proofErr w:type="spellStart"/>
      <w:r w:rsidR="00FE77F0">
        <w:t>Ochino</w:t>
      </w:r>
      <w:proofErr w:type="spellEnd"/>
      <w:r w:rsidR="00FE77F0">
        <w:t xml:space="preserve">, </w:t>
      </w:r>
      <w:r w:rsidR="00482725" w:rsidRPr="00EA4B85">
        <w:rPr>
          <w:i/>
        </w:rPr>
        <w:t>quondam</w:t>
      </w:r>
      <w:r w:rsidR="00482725">
        <w:t xml:space="preserve"> </w:t>
      </w:r>
      <w:r w:rsidR="00FE77F0">
        <w:t xml:space="preserve">tutor to the young Elizabeth I. Aretino himself always condemned Luther, but he also condemned Cardinal </w:t>
      </w:r>
      <w:proofErr w:type="spellStart"/>
      <w:r w:rsidR="00FE77F0">
        <w:t>Carafa</w:t>
      </w:r>
      <w:proofErr w:type="spellEnd"/>
      <w:r w:rsidR="00FE77F0">
        <w:t xml:space="preserve">, the head of the conservative Catholic movement known as the Theatines, who later became Pope Paul IV. In a letter to </w:t>
      </w:r>
      <w:proofErr w:type="spellStart"/>
      <w:r w:rsidR="00FE77F0">
        <w:t>Brucioli</w:t>
      </w:r>
      <w:proofErr w:type="spellEnd"/>
      <w:r w:rsidR="00FE77F0">
        <w:t xml:space="preserve"> of </w:t>
      </w:r>
      <w:r w:rsidR="00C7563C">
        <w:t xml:space="preserve">7 </w:t>
      </w:r>
      <w:r w:rsidR="00FE77F0">
        <w:t>November 1537, Aretino outlines his religious sympathies</w:t>
      </w:r>
      <w:r w:rsidR="00EA4B85">
        <w:t xml:space="preserve"> and views</w:t>
      </w:r>
      <w:r w:rsidR="004850EE">
        <w:t>. H</w:t>
      </w:r>
      <w:r w:rsidR="0031372F">
        <w:t xml:space="preserve">e inveighs against the </w:t>
      </w:r>
      <w:r w:rsidR="00C7563C">
        <w:t>corruption of friars and priests but also condemns the calumnies of Lutherans</w:t>
      </w:r>
      <w:r w:rsidR="00F418C4">
        <w:t xml:space="preserve"> who attack the most just and most Christian</w:t>
      </w:r>
      <w:r w:rsidR="00C7563C">
        <w:t xml:space="preserve"> (‘</w:t>
      </w:r>
      <w:proofErr w:type="spellStart"/>
      <w:r w:rsidR="0082745B">
        <w:t>molestano</w:t>
      </w:r>
      <w:proofErr w:type="spellEnd"/>
      <w:r w:rsidR="0082745B">
        <w:t xml:space="preserve"> con la</w:t>
      </w:r>
      <w:r w:rsidR="00C7563C">
        <w:t xml:space="preserve"> </w:t>
      </w:r>
      <w:proofErr w:type="spellStart"/>
      <w:r w:rsidR="0082745B">
        <w:t>calunnia</w:t>
      </w:r>
      <w:proofErr w:type="spellEnd"/>
      <w:r w:rsidR="002E2CE2">
        <w:t xml:space="preserve"> [</w:t>
      </w:r>
      <w:r w:rsidR="002E2CE2" w:rsidRPr="002E2CE2">
        <w:rPr>
          <w:i/>
          <w:iCs/>
        </w:rPr>
        <w:t>sic</w:t>
      </w:r>
      <w:r w:rsidR="002E2CE2">
        <w:t>]</w:t>
      </w:r>
      <w:r w:rsidR="00C7563C">
        <w:t xml:space="preserve"> di </w:t>
      </w:r>
      <w:proofErr w:type="spellStart"/>
      <w:r w:rsidR="0082745B">
        <w:t>L</w:t>
      </w:r>
      <w:r w:rsidR="00C7563C">
        <w:t>uterano</w:t>
      </w:r>
      <w:proofErr w:type="spellEnd"/>
      <w:r w:rsidR="00C7563C">
        <w:t xml:space="preserve"> </w:t>
      </w:r>
      <w:proofErr w:type="spellStart"/>
      <w:r w:rsidR="00C7563C">
        <w:t>i</w:t>
      </w:r>
      <w:proofErr w:type="spellEnd"/>
      <w:r w:rsidR="00C7563C">
        <w:t xml:space="preserve"> </w:t>
      </w:r>
      <w:proofErr w:type="spellStart"/>
      <w:r w:rsidR="00C7563C">
        <w:t>pi</w:t>
      </w:r>
      <w:r w:rsidR="0082745B">
        <w:t>u</w:t>
      </w:r>
      <w:proofErr w:type="spellEnd"/>
      <w:r w:rsidR="00C7563C">
        <w:t xml:space="preserve"> </w:t>
      </w:r>
      <w:proofErr w:type="spellStart"/>
      <w:r w:rsidR="00C7563C">
        <w:t>giusti</w:t>
      </w:r>
      <w:proofErr w:type="spellEnd"/>
      <w:r w:rsidR="002E2CE2">
        <w:t>,</w:t>
      </w:r>
      <w:r w:rsidR="00C7563C">
        <w:t xml:space="preserve"> </w:t>
      </w:r>
      <w:r w:rsidR="002E2CE2">
        <w:t xml:space="preserve">&amp; </w:t>
      </w:r>
      <w:proofErr w:type="spellStart"/>
      <w:r w:rsidR="00C7563C">
        <w:t>i</w:t>
      </w:r>
      <w:proofErr w:type="spellEnd"/>
      <w:r w:rsidR="00C7563C">
        <w:t xml:space="preserve"> </w:t>
      </w:r>
      <w:proofErr w:type="spellStart"/>
      <w:r w:rsidR="00C7563C">
        <w:t>pi</w:t>
      </w:r>
      <w:r w:rsidR="0082745B">
        <w:t>u</w:t>
      </w:r>
      <w:proofErr w:type="spellEnd"/>
      <w:r w:rsidR="0082745B">
        <w:t xml:space="preserve"> </w:t>
      </w:r>
      <w:proofErr w:type="spellStart"/>
      <w:r w:rsidR="0082745B">
        <w:t>Ch</w:t>
      </w:r>
      <w:r w:rsidR="00C7563C">
        <w:t>ristiani</w:t>
      </w:r>
      <w:proofErr w:type="spellEnd"/>
      <w:r w:rsidR="004850EE">
        <w:t>’).</w:t>
      </w:r>
      <w:r w:rsidR="0082745B">
        <w:rPr>
          <w:rStyle w:val="FootnoteReference"/>
        </w:rPr>
        <w:footnoteReference w:id="34"/>
      </w:r>
      <w:r w:rsidR="004850EE">
        <w:t xml:space="preserve"> As Waddington notes, Aretino </w:t>
      </w:r>
      <w:r w:rsidR="002E2CE2">
        <w:t xml:space="preserve">in this letter </w:t>
      </w:r>
      <w:r w:rsidR="004850EE">
        <w:t>confirms his adherence to ‘</w:t>
      </w:r>
      <w:r w:rsidR="004850EE" w:rsidRPr="004850EE">
        <w:t>the central tenets of Christianity – the Virgin birth, the immortality of the soul and the resurrection of the dead; and above all the priority he places on faith alone’.</w:t>
      </w:r>
      <w:r w:rsidR="004850EE">
        <w:rPr>
          <w:rStyle w:val="FootnoteReference"/>
        </w:rPr>
        <w:footnoteReference w:id="35"/>
      </w:r>
      <w:r w:rsidR="00EA4B85">
        <w:t xml:space="preserve"> Such sympathies might be interpreted as generally evangelical, and correspond to Wyatt</w:t>
      </w:r>
      <w:r w:rsidR="00763B21">
        <w:t>’</w:t>
      </w:r>
      <w:r w:rsidR="00EA4B85">
        <w:t xml:space="preserve">s own, insofar as we can glean them. They also underpin the </w:t>
      </w:r>
      <w:proofErr w:type="spellStart"/>
      <w:r w:rsidR="00EA4B85">
        <w:rPr>
          <w:i/>
        </w:rPr>
        <w:t>Sette</w:t>
      </w:r>
      <w:proofErr w:type="spellEnd"/>
      <w:r w:rsidR="00EA4B85">
        <w:rPr>
          <w:i/>
        </w:rPr>
        <w:t xml:space="preserve"> </w:t>
      </w:r>
      <w:proofErr w:type="spellStart"/>
      <w:r w:rsidR="00EA4B85">
        <w:rPr>
          <w:i/>
        </w:rPr>
        <w:t>Salmi</w:t>
      </w:r>
      <w:proofErr w:type="spellEnd"/>
      <w:r w:rsidR="00EA4B85">
        <w:t xml:space="preserve">. </w:t>
      </w:r>
      <w:r w:rsidR="00F418C4">
        <w:t xml:space="preserve">Interestingly, Aretino writes that </w:t>
      </w:r>
      <w:r w:rsidR="00F418C4" w:rsidRPr="00F418C4">
        <w:t xml:space="preserve">‘we [Aretino and </w:t>
      </w:r>
      <w:proofErr w:type="spellStart"/>
      <w:r w:rsidR="00F418C4" w:rsidRPr="00F418C4">
        <w:t>Brucioli</w:t>
      </w:r>
      <w:proofErr w:type="spellEnd"/>
      <w:r w:rsidR="00F418C4" w:rsidRPr="00F418C4">
        <w:t>] are defended by the faith which they [the corrupt clerics and Lutherans] have lost’</w:t>
      </w:r>
      <w:r w:rsidR="00F418C4">
        <w:t xml:space="preserve"> (‘</w:t>
      </w:r>
      <w:proofErr w:type="spellStart"/>
      <w:r w:rsidR="00F418C4">
        <w:t>siamo</w:t>
      </w:r>
      <w:proofErr w:type="spellEnd"/>
      <w:r w:rsidR="00F418C4">
        <w:t xml:space="preserve"> </w:t>
      </w:r>
      <w:proofErr w:type="spellStart"/>
      <w:r w:rsidR="00F418C4">
        <w:t>difesi</w:t>
      </w:r>
      <w:proofErr w:type="spellEnd"/>
      <w:r w:rsidR="00F418C4">
        <w:t xml:space="preserve"> dal </w:t>
      </w:r>
      <w:proofErr w:type="spellStart"/>
      <w:r w:rsidR="00F418C4">
        <w:t>credito</w:t>
      </w:r>
      <w:proofErr w:type="spellEnd"/>
      <w:r w:rsidR="002E2CE2">
        <w:t>;</w:t>
      </w:r>
      <w:r w:rsidR="00F418C4">
        <w:t xml:space="preserve"> </w:t>
      </w:r>
      <w:proofErr w:type="spellStart"/>
      <w:r w:rsidR="00F418C4">
        <w:t>che</w:t>
      </w:r>
      <w:proofErr w:type="spellEnd"/>
      <w:r w:rsidR="00F418C4">
        <w:t xml:space="preserve"> </w:t>
      </w:r>
      <w:proofErr w:type="spellStart"/>
      <w:r w:rsidR="00F418C4">
        <w:t>essi</w:t>
      </w:r>
      <w:proofErr w:type="spellEnd"/>
      <w:r w:rsidR="00F418C4">
        <w:t xml:space="preserve"> </w:t>
      </w:r>
      <w:proofErr w:type="spellStart"/>
      <w:proofErr w:type="gramStart"/>
      <w:r w:rsidR="00F418C4">
        <w:t>hanno</w:t>
      </w:r>
      <w:proofErr w:type="spellEnd"/>
      <w:proofErr w:type="gramEnd"/>
      <w:r w:rsidR="00F418C4">
        <w:t xml:space="preserve"> </w:t>
      </w:r>
      <w:proofErr w:type="spellStart"/>
      <w:r w:rsidR="00F418C4">
        <w:lastRenderedPageBreak/>
        <w:t>perduto</w:t>
      </w:r>
      <w:proofErr w:type="spellEnd"/>
      <w:r w:rsidR="00F418C4">
        <w:t xml:space="preserve">’), which suggests that he did not view </w:t>
      </w:r>
      <w:proofErr w:type="spellStart"/>
      <w:r w:rsidR="00F418C4">
        <w:t>Brucioli</w:t>
      </w:r>
      <w:proofErr w:type="spellEnd"/>
      <w:r w:rsidR="00F418C4">
        <w:t xml:space="preserve"> as being a Lutheran either. And yet he praises </w:t>
      </w:r>
      <w:proofErr w:type="spellStart"/>
      <w:r w:rsidR="00F418C4">
        <w:t>Brucioli’s</w:t>
      </w:r>
      <w:proofErr w:type="spellEnd"/>
      <w:r w:rsidR="00F418C4">
        <w:t xml:space="preserve"> translation and edition of the Psalms, which are distasteful to the corrupt Christians: ‘</w:t>
      </w:r>
      <w:r w:rsidR="00D62BB2">
        <w:t xml:space="preserve">la </w:t>
      </w:r>
      <w:proofErr w:type="spellStart"/>
      <w:r w:rsidR="00D62BB2">
        <w:t>Bibl</w:t>
      </w:r>
      <w:r w:rsidR="00F418C4">
        <w:t>ia</w:t>
      </w:r>
      <w:proofErr w:type="spellEnd"/>
      <w:r w:rsidR="00F418C4">
        <w:t xml:space="preserve">, </w:t>
      </w:r>
      <w:proofErr w:type="spellStart"/>
      <w:r w:rsidR="00F418C4">
        <w:t>i</w:t>
      </w:r>
      <w:proofErr w:type="spellEnd"/>
      <w:r w:rsidR="00F418C4">
        <w:t xml:space="preserve"> </w:t>
      </w:r>
      <w:proofErr w:type="spellStart"/>
      <w:r w:rsidR="00F418C4">
        <w:t>Salmi</w:t>
      </w:r>
      <w:proofErr w:type="spellEnd"/>
      <w:r w:rsidR="00F418C4">
        <w:t xml:space="preserve"> e </w:t>
      </w:r>
      <w:proofErr w:type="spellStart"/>
      <w:r w:rsidR="00F418C4">
        <w:t>gli</w:t>
      </w:r>
      <w:proofErr w:type="spellEnd"/>
      <w:r w:rsidR="00F418C4">
        <w:t xml:space="preserve"> </w:t>
      </w:r>
      <w:proofErr w:type="spellStart"/>
      <w:r w:rsidR="00F418C4">
        <w:t>altri</w:t>
      </w:r>
      <w:proofErr w:type="spellEnd"/>
      <w:r w:rsidR="00F418C4">
        <w:t xml:space="preserve"> </w:t>
      </w:r>
      <w:proofErr w:type="spellStart"/>
      <w:r w:rsidR="00F418C4">
        <w:t>immortali</w:t>
      </w:r>
      <w:proofErr w:type="spellEnd"/>
      <w:r w:rsidR="00F418C4">
        <w:t xml:space="preserve"> </w:t>
      </w:r>
      <w:proofErr w:type="spellStart"/>
      <w:r w:rsidR="00F418C4">
        <w:t>sudori</w:t>
      </w:r>
      <w:proofErr w:type="spellEnd"/>
      <w:r w:rsidR="00F418C4">
        <w:t xml:space="preserve"> </w:t>
      </w:r>
      <w:proofErr w:type="gramStart"/>
      <w:r w:rsidR="00F418C4">
        <w:t>del</w:t>
      </w:r>
      <w:proofErr w:type="gramEnd"/>
      <w:r w:rsidR="00F418C4">
        <w:t xml:space="preserve"> </w:t>
      </w:r>
      <w:proofErr w:type="spellStart"/>
      <w:r w:rsidR="00F418C4">
        <w:t>Bruciolo</w:t>
      </w:r>
      <w:proofErr w:type="spellEnd"/>
      <w:r w:rsidR="00F418C4">
        <w:t xml:space="preserve"> non son</w:t>
      </w:r>
      <w:r w:rsidR="00D62BB2">
        <w:t>’</w:t>
      </w:r>
      <w:r w:rsidR="00F418C4">
        <w:t xml:space="preserve"> </w:t>
      </w:r>
      <w:proofErr w:type="spellStart"/>
      <w:r w:rsidR="00F418C4">
        <w:t>cibi</w:t>
      </w:r>
      <w:proofErr w:type="spellEnd"/>
      <w:r w:rsidR="00F418C4">
        <w:t xml:space="preserve"> dal gusto di </w:t>
      </w:r>
      <w:proofErr w:type="spellStart"/>
      <w:r w:rsidR="00F418C4">
        <w:t>tali</w:t>
      </w:r>
      <w:proofErr w:type="spellEnd"/>
      <w:r w:rsidR="00F418C4">
        <w:t>’.</w:t>
      </w:r>
      <w:r w:rsidR="00D62BB2">
        <w:rPr>
          <w:rStyle w:val="FootnoteReference"/>
        </w:rPr>
        <w:footnoteReference w:id="36"/>
      </w:r>
      <w:r w:rsidR="00F418C4">
        <w:t xml:space="preserve"> Again, the Catholic/Protestant dichotomy does not appear. </w:t>
      </w:r>
      <w:r w:rsidR="00F418C4" w:rsidRPr="0082745B">
        <w:t>For Aretino there are true Christians (‘</w:t>
      </w:r>
      <w:proofErr w:type="spellStart"/>
      <w:r w:rsidR="0082745B" w:rsidRPr="0082745B">
        <w:t>i</w:t>
      </w:r>
      <w:proofErr w:type="spellEnd"/>
      <w:r w:rsidR="0082745B" w:rsidRPr="0082745B">
        <w:t xml:space="preserve"> </w:t>
      </w:r>
      <w:proofErr w:type="spellStart"/>
      <w:r w:rsidR="0082745B" w:rsidRPr="0082745B">
        <w:t>pi</w:t>
      </w:r>
      <w:r w:rsidR="00D62BB2">
        <w:t>u</w:t>
      </w:r>
      <w:proofErr w:type="spellEnd"/>
      <w:r w:rsidR="0082745B" w:rsidRPr="0082745B">
        <w:t xml:space="preserve"> </w:t>
      </w:r>
      <w:proofErr w:type="spellStart"/>
      <w:r w:rsidR="0082745B" w:rsidRPr="0082745B">
        <w:t>giusti</w:t>
      </w:r>
      <w:proofErr w:type="spellEnd"/>
      <w:r w:rsidR="0082745B" w:rsidRPr="0082745B">
        <w:t xml:space="preserve"> </w:t>
      </w:r>
      <w:proofErr w:type="spellStart"/>
      <w:proofErr w:type="gramStart"/>
      <w:r w:rsidR="0082745B" w:rsidRPr="0082745B">
        <w:t>ed</w:t>
      </w:r>
      <w:proofErr w:type="spellEnd"/>
      <w:proofErr w:type="gramEnd"/>
      <w:r w:rsidR="0082745B" w:rsidRPr="0082745B">
        <w:t xml:space="preserve"> </w:t>
      </w:r>
      <w:proofErr w:type="spellStart"/>
      <w:r w:rsidR="0082745B" w:rsidRPr="0082745B">
        <w:t>i</w:t>
      </w:r>
      <w:proofErr w:type="spellEnd"/>
      <w:r w:rsidR="0082745B" w:rsidRPr="0082745B">
        <w:t xml:space="preserve"> </w:t>
      </w:r>
      <w:proofErr w:type="spellStart"/>
      <w:r w:rsidR="0082745B" w:rsidRPr="0082745B">
        <w:t>pi</w:t>
      </w:r>
      <w:r w:rsidR="00D62BB2">
        <w:t>u</w:t>
      </w:r>
      <w:proofErr w:type="spellEnd"/>
      <w:r w:rsidR="00D62BB2">
        <w:t xml:space="preserve"> </w:t>
      </w:r>
      <w:proofErr w:type="spellStart"/>
      <w:r w:rsidR="00D62BB2">
        <w:t>Ch</w:t>
      </w:r>
      <w:r w:rsidR="0082745B" w:rsidRPr="0082745B">
        <w:t>ristiani</w:t>
      </w:r>
      <w:proofErr w:type="spellEnd"/>
      <w:r w:rsidR="0082745B" w:rsidRPr="0082745B">
        <w:t xml:space="preserve">’) and those </w:t>
      </w:r>
      <w:r w:rsidR="0082745B">
        <w:t xml:space="preserve">corrupt Christians </w:t>
      </w:r>
      <w:r w:rsidR="0082745B" w:rsidRPr="0082745B">
        <w:t xml:space="preserve">who attack with lies </w:t>
      </w:r>
      <w:r w:rsidR="0082745B">
        <w:t>(‘</w:t>
      </w:r>
      <w:proofErr w:type="spellStart"/>
      <w:r w:rsidR="00D62BB2">
        <w:t>molestano</w:t>
      </w:r>
      <w:proofErr w:type="spellEnd"/>
      <w:r w:rsidR="00D62BB2">
        <w:t xml:space="preserve"> con la </w:t>
      </w:r>
      <w:proofErr w:type="spellStart"/>
      <w:r w:rsidR="00D62BB2">
        <w:t>calunnia</w:t>
      </w:r>
      <w:proofErr w:type="spellEnd"/>
      <w:r w:rsidR="0082745B">
        <w:t xml:space="preserve">’). </w:t>
      </w:r>
    </w:p>
    <w:p w:rsidR="00E95C10" w:rsidRDefault="00E95C10" w:rsidP="00656634">
      <w:pPr>
        <w:spacing w:after="0" w:line="480" w:lineRule="auto"/>
        <w:ind w:firstLine="567"/>
        <w:jc w:val="both"/>
      </w:pPr>
      <w:r>
        <w:t>One of the earliest passages in Wyatt</w:t>
      </w:r>
      <w:r w:rsidR="00763B21">
        <w:t>’</w:t>
      </w:r>
      <w:r>
        <w:t xml:space="preserve">s paraphrase which commentators have read as indicative of his </w:t>
      </w:r>
      <w:r w:rsidR="00D62BB2">
        <w:t>Protestant</w:t>
      </w:r>
      <w:r>
        <w:t xml:space="preserve"> reformation of his Catholic source appears in the second Penitential Psalm (number 32 in the Vulgate): </w:t>
      </w:r>
    </w:p>
    <w:p w:rsidR="005B3613" w:rsidRDefault="00415365" w:rsidP="0099652D">
      <w:pPr>
        <w:spacing w:after="0" w:line="240" w:lineRule="auto"/>
        <w:ind w:firstLine="567"/>
        <w:jc w:val="both"/>
      </w:pPr>
      <w:r>
        <w:t xml:space="preserve">Oh happy </w:t>
      </w:r>
      <w:proofErr w:type="spellStart"/>
      <w:r>
        <w:t>ar</w:t>
      </w:r>
      <w:proofErr w:type="spellEnd"/>
      <w:r>
        <w:t xml:space="preserve"> they that have </w:t>
      </w:r>
      <w:proofErr w:type="spellStart"/>
      <w:r>
        <w:t>forgiffnes</w:t>
      </w:r>
      <w:proofErr w:type="spellEnd"/>
      <w:r>
        <w:t xml:space="preserve"> </w:t>
      </w:r>
      <w:proofErr w:type="spellStart"/>
      <w:r>
        <w:t>gott</w:t>
      </w:r>
      <w:proofErr w:type="spellEnd"/>
    </w:p>
    <w:p w:rsidR="005B3613" w:rsidRDefault="00415365" w:rsidP="0099652D">
      <w:pPr>
        <w:spacing w:after="0" w:line="240" w:lineRule="auto"/>
        <w:ind w:firstLine="567"/>
        <w:jc w:val="both"/>
      </w:pPr>
      <w:r>
        <w:tab/>
        <w:t xml:space="preserve">Off </w:t>
      </w:r>
      <w:proofErr w:type="spellStart"/>
      <w:r>
        <w:t>theire</w:t>
      </w:r>
      <w:proofErr w:type="spellEnd"/>
      <w:r>
        <w:t xml:space="preserve"> offence (not by their penitence</w:t>
      </w:r>
    </w:p>
    <w:p w:rsidR="005B3613" w:rsidRDefault="00415365" w:rsidP="0099652D">
      <w:pPr>
        <w:spacing w:after="0" w:line="240" w:lineRule="auto"/>
        <w:ind w:firstLine="567"/>
        <w:jc w:val="both"/>
      </w:pPr>
      <w:r>
        <w:tab/>
        <w:t xml:space="preserve">As by </w:t>
      </w:r>
      <w:proofErr w:type="spellStart"/>
      <w:r>
        <w:t>meryt</w:t>
      </w:r>
      <w:proofErr w:type="spellEnd"/>
      <w:r>
        <w:t xml:space="preserve"> </w:t>
      </w:r>
      <w:proofErr w:type="spellStart"/>
      <w:r>
        <w:t>wych</w:t>
      </w:r>
      <w:proofErr w:type="spellEnd"/>
      <w:r>
        <w:t xml:space="preserve"> </w:t>
      </w:r>
      <w:proofErr w:type="spellStart"/>
      <w:r>
        <w:t>recompensyth</w:t>
      </w:r>
      <w:proofErr w:type="spellEnd"/>
      <w:r>
        <w:t xml:space="preserve"> not </w:t>
      </w:r>
    </w:p>
    <w:p w:rsidR="005B3613" w:rsidRDefault="00415365" w:rsidP="0099652D">
      <w:pPr>
        <w:spacing w:after="0" w:line="240" w:lineRule="auto"/>
        <w:ind w:firstLine="567"/>
        <w:jc w:val="both"/>
      </w:pPr>
      <w:proofErr w:type="spellStart"/>
      <w:r>
        <w:t>Altho</w:t>
      </w:r>
      <w:proofErr w:type="spellEnd"/>
      <w:r>
        <w:t xml:space="preserve"> that yet </w:t>
      </w:r>
      <w:proofErr w:type="spellStart"/>
      <w:r>
        <w:t>pardone</w:t>
      </w:r>
      <w:proofErr w:type="spellEnd"/>
      <w:r>
        <w:t xml:space="preserve"> hath non offence</w:t>
      </w:r>
    </w:p>
    <w:p w:rsidR="005B3613" w:rsidRDefault="00415365" w:rsidP="0099652D">
      <w:pPr>
        <w:spacing w:after="0" w:line="240" w:lineRule="auto"/>
        <w:ind w:firstLine="567"/>
        <w:jc w:val="both"/>
      </w:pPr>
      <w:r>
        <w:tab/>
      </w:r>
      <w:proofErr w:type="spellStart"/>
      <w:r>
        <w:t>Withowte</w:t>
      </w:r>
      <w:proofErr w:type="spellEnd"/>
      <w:r>
        <w:t xml:space="preserve"> the same) but by the </w:t>
      </w:r>
      <w:proofErr w:type="spellStart"/>
      <w:r>
        <w:t>goodnes</w:t>
      </w:r>
      <w:proofErr w:type="spellEnd"/>
    </w:p>
    <w:p w:rsidR="005B3613" w:rsidRDefault="00415365" w:rsidP="0099652D">
      <w:pPr>
        <w:spacing w:after="0" w:line="240" w:lineRule="auto"/>
        <w:ind w:firstLine="567"/>
        <w:jc w:val="both"/>
      </w:pPr>
      <w:r>
        <w:tab/>
        <w:t xml:space="preserve">Off </w:t>
      </w:r>
      <w:proofErr w:type="spellStart"/>
      <w:r>
        <w:t>hym</w:t>
      </w:r>
      <w:proofErr w:type="spellEnd"/>
      <w:r>
        <w:t xml:space="preserve"> that hath perfect </w:t>
      </w:r>
      <w:proofErr w:type="spellStart"/>
      <w:r>
        <w:t>intelligens</w:t>
      </w:r>
      <w:proofErr w:type="spellEnd"/>
    </w:p>
    <w:p w:rsidR="005B3613" w:rsidRDefault="00415365" w:rsidP="0099652D">
      <w:pPr>
        <w:spacing w:after="0" w:line="240" w:lineRule="auto"/>
        <w:ind w:firstLine="567"/>
        <w:jc w:val="both"/>
      </w:pPr>
      <w:r>
        <w:t xml:space="preserve">Off </w:t>
      </w:r>
      <w:proofErr w:type="spellStart"/>
      <w:r>
        <w:t>hert</w:t>
      </w:r>
      <w:proofErr w:type="spellEnd"/>
      <w:r>
        <w:t xml:space="preserve"> contrite, and </w:t>
      </w:r>
      <w:proofErr w:type="spellStart"/>
      <w:r>
        <w:t>coverth</w:t>
      </w:r>
      <w:proofErr w:type="spellEnd"/>
      <w:r>
        <w:t xml:space="preserve"> the </w:t>
      </w:r>
      <w:proofErr w:type="spellStart"/>
      <w:r>
        <w:t>grettnes</w:t>
      </w:r>
      <w:proofErr w:type="spellEnd"/>
    </w:p>
    <w:p w:rsidR="005B3613" w:rsidRDefault="00415365" w:rsidP="0099652D">
      <w:pPr>
        <w:spacing w:after="0" w:line="240" w:lineRule="auto"/>
        <w:ind w:firstLine="567"/>
        <w:jc w:val="both"/>
      </w:pPr>
      <w:r>
        <w:tab/>
      </w:r>
      <w:proofErr w:type="gramStart"/>
      <w:r>
        <w:t xml:space="preserve">Off </w:t>
      </w:r>
      <w:proofErr w:type="spellStart"/>
      <w:r>
        <w:t>syn</w:t>
      </w:r>
      <w:proofErr w:type="spellEnd"/>
      <w:r>
        <w:t xml:space="preserve"> within a </w:t>
      </w:r>
      <w:proofErr w:type="spellStart"/>
      <w:r>
        <w:t>marcifull</w:t>
      </w:r>
      <w:proofErr w:type="spellEnd"/>
      <w:r>
        <w:t xml:space="preserve"> discharge.</w:t>
      </w:r>
      <w:proofErr w:type="gramEnd"/>
      <w:r>
        <w:t xml:space="preserve"> (217-24)</w:t>
      </w:r>
    </w:p>
    <w:p w:rsidR="00656634" w:rsidRDefault="00656634" w:rsidP="0099652D">
      <w:pPr>
        <w:spacing w:after="0" w:line="240" w:lineRule="auto"/>
        <w:ind w:firstLine="567"/>
        <w:jc w:val="both"/>
      </w:pPr>
    </w:p>
    <w:p w:rsidR="00E95C10" w:rsidRDefault="00E95C10" w:rsidP="0099652D">
      <w:pPr>
        <w:spacing w:after="0" w:line="240" w:lineRule="auto"/>
        <w:ind w:firstLine="567"/>
        <w:jc w:val="both"/>
      </w:pPr>
    </w:p>
    <w:p w:rsidR="00E95C10" w:rsidRDefault="00E95C10" w:rsidP="00656634">
      <w:pPr>
        <w:spacing w:after="0" w:line="480" w:lineRule="auto"/>
        <w:jc w:val="both"/>
      </w:pPr>
      <w:r>
        <w:t>The dismissal of penitence as the cause of forgiveness – although</w:t>
      </w:r>
      <w:r w:rsidR="001F514B">
        <w:t>,</w:t>
      </w:r>
      <w:r>
        <w:t xml:space="preserve"> as Wyatt notes, divine pardon entails penitence in the first instance – and the emphasis upon Divine mercy born of </w:t>
      </w:r>
      <w:r w:rsidR="00763B21">
        <w:t>‘</w:t>
      </w:r>
      <w:r>
        <w:t xml:space="preserve">perfect </w:t>
      </w:r>
      <w:proofErr w:type="spellStart"/>
      <w:r>
        <w:t>intelligens</w:t>
      </w:r>
      <w:proofErr w:type="spellEnd"/>
      <w:r>
        <w:t xml:space="preserve"> / Off </w:t>
      </w:r>
      <w:proofErr w:type="spellStart"/>
      <w:r>
        <w:t>hert</w:t>
      </w:r>
      <w:proofErr w:type="spellEnd"/>
      <w:r>
        <w:t xml:space="preserve"> contrite</w:t>
      </w:r>
      <w:r w:rsidR="00763B21">
        <w:t>’</w:t>
      </w:r>
      <w:r>
        <w:t xml:space="preserve"> as</w:t>
      </w:r>
      <w:r w:rsidR="001F514B">
        <w:t xml:space="preserve"> opposed to outward acts appear</w:t>
      </w:r>
      <w:r>
        <w:t xml:space="preserve"> to diverge from the doctrine of another of Wyatt</w:t>
      </w:r>
      <w:r w:rsidR="00763B21">
        <w:t>’</w:t>
      </w:r>
      <w:r>
        <w:t>s sources in the Psalms, namely John Fisher</w:t>
      </w:r>
      <w:r w:rsidR="00763B21">
        <w:t>’</w:t>
      </w:r>
      <w:r>
        <w:t xml:space="preserve">s </w:t>
      </w:r>
      <w:r w:rsidR="001F514B">
        <w:t xml:space="preserve">1509 </w:t>
      </w:r>
      <w:proofErr w:type="spellStart"/>
      <w:r w:rsidRPr="001F6DD3">
        <w:rPr>
          <w:i/>
          <w:iCs/>
        </w:rPr>
        <w:t>Treatyse</w:t>
      </w:r>
      <w:proofErr w:type="spellEnd"/>
      <w:r w:rsidR="001A5CBA">
        <w:t xml:space="preserve">, in which he discusses the three parts of penance in the Catholic tradition: </w:t>
      </w:r>
    </w:p>
    <w:p w:rsidR="00900080" w:rsidRDefault="00900080" w:rsidP="00D62BB2">
      <w:pPr>
        <w:spacing w:after="0" w:line="240" w:lineRule="auto"/>
        <w:ind w:left="567" w:right="521"/>
        <w:jc w:val="both"/>
        <w:rPr>
          <w:szCs w:val="24"/>
        </w:rPr>
      </w:pPr>
    </w:p>
    <w:p w:rsidR="001A5CBA" w:rsidRPr="00D62BB2" w:rsidRDefault="00D62BB2" w:rsidP="001F6DD3">
      <w:pPr>
        <w:spacing w:after="0" w:line="240" w:lineRule="auto"/>
        <w:ind w:left="567" w:right="521"/>
        <w:jc w:val="both"/>
        <w:rPr>
          <w:szCs w:val="24"/>
        </w:rPr>
      </w:pPr>
      <w:r w:rsidRPr="00D62BB2">
        <w:rPr>
          <w:szCs w:val="24"/>
        </w:rPr>
        <w:t>By [</w:t>
      </w:r>
      <w:proofErr w:type="spellStart"/>
      <w:r w:rsidRPr="00D62BB2">
        <w:rPr>
          <w:szCs w:val="24"/>
        </w:rPr>
        <w:t>th</w:t>
      </w:r>
      <w:proofErr w:type="spellEnd"/>
      <w:r w:rsidRPr="00D62BB2">
        <w:rPr>
          <w:szCs w:val="24"/>
        </w:rPr>
        <w:t>]e virtue of co[n]</w:t>
      </w:r>
      <w:proofErr w:type="spellStart"/>
      <w:r w:rsidRPr="00D62BB2">
        <w:rPr>
          <w:szCs w:val="24"/>
        </w:rPr>
        <w:t>trycyon</w:t>
      </w:r>
      <w:proofErr w:type="spellEnd"/>
      <w:r w:rsidRPr="00D62BB2">
        <w:rPr>
          <w:szCs w:val="24"/>
        </w:rPr>
        <w:t xml:space="preserve"> our </w:t>
      </w:r>
      <w:proofErr w:type="spellStart"/>
      <w:r w:rsidRPr="00D62BB2">
        <w:rPr>
          <w:szCs w:val="24"/>
        </w:rPr>
        <w:t>synnes</w:t>
      </w:r>
      <w:proofErr w:type="spellEnd"/>
      <w:r w:rsidRPr="00D62BB2">
        <w:rPr>
          <w:szCs w:val="24"/>
        </w:rPr>
        <w:t xml:space="preserve"> be </w:t>
      </w:r>
      <w:proofErr w:type="spellStart"/>
      <w:r w:rsidRPr="00D62BB2">
        <w:rPr>
          <w:szCs w:val="24"/>
        </w:rPr>
        <w:t>forgyuen</w:t>
      </w:r>
      <w:proofErr w:type="spellEnd"/>
      <w:r w:rsidRPr="00D62BB2">
        <w:rPr>
          <w:szCs w:val="24"/>
        </w:rPr>
        <w:t xml:space="preserve">/by </w:t>
      </w:r>
      <w:proofErr w:type="spellStart"/>
      <w:r w:rsidRPr="00D62BB2">
        <w:rPr>
          <w:szCs w:val="24"/>
        </w:rPr>
        <w:t>confessyon</w:t>
      </w:r>
      <w:proofErr w:type="spellEnd"/>
      <w:r w:rsidRPr="00D62BB2">
        <w:rPr>
          <w:szCs w:val="24"/>
        </w:rPr>
        <w:t xml:space="preserve"> they be </w:t>
      </w:r>
      <w:proofErr w:type="spellStart"/>
      <w:r w:rsidRPr="00D62BB2">
        <w:rPr>
          <w:szCs w:val="24"/>
        </w:rPr>
        <w:t>forgoten</w:t>
      </w:r>
      <w:proofErr w:type="spellEnd"/>
      <w:r w:rsidRPr="00D62BB2">
        <w:rPr>
          <w:szCs w:val="24"/>
        </w:rPr>
        <w:t xml:space="preserve">/but by </w:t>
      </w:r>
      <w:proofErr w:type="spellStart"/>
      <w:r w:rsidRPr="00D62BB2">
        <w:rPr>
          <w:szCs w:val="24"/>
        </w:rPr>
        <w:t>satisfaccyon</w:t>
      </w:r>
      <w:proofErr w:type="spellEnd"/>
      <w:r w:rsidRPr="00D62BB2">
        <w:rPr>
          <w:szCs w:val="24"/>
        </w:rPr>
        <w:t xml:space="preserve"> they be so </w:t>
      </w:r>
      <w:proofErr w:type="spellStart"/>
      <w:r w:rsidRPr="00D62BB2">
        <w:rPr>
          <w:szCs w:val="24"/>
        </w:rPr>
        <w:t>clene</w:t>
      </w:r>
      <w:proofErr w:type="spellEnd"/>
      <w:r w:rsidRPr="00D62BB2">
        <w:rPr>
          <w:szCs w:val="24"/>
        </w:rPr>
        <w:t xml:space="preserve"> done away [</w:t>
      </w:r>
      <w:proofErr w:type="spellStart"/>
      <w:r w:rsidRPr="00D62BB2">
        <w:rPr>
          <w:szCs w:val="24"/>
        </w:rPr>
        <w:t>tha</w:t>
      </w:r>
      <w:proofErr w:type="spellEnd"/>
      <w:r w:rsidRPr="00D62BB2">
        <w:rPr>
          <w:szCs w:val="24"/>
        </w:rPr>
        <w:t xml:space="preserve">]t no </w:t>
      </w:r>
      <w:proofErr w:type="spellStart"/>
      <w:r w:rsidRPr="00D62BB2">
        <w:rPr>
          <w:szCs w:val="24"/>
        </w:rPr>
        <w:t>sygne</w:t>
      </w:r>
      <w:proofErr w:type="spellEnd"/>
      <w:r w:rsidRPr="00D62BB2">
        <w:rPr>
          <w:szCs w:val="24"/>
        </w:rPr>
        <w:t xml:space="preserve"> or token </w:t>
      </w:r>
      <w:proofErr w:type="spellStart"/>
      <w:r w:rsidRPr="00D62BB2">
        <w:rPr>
          <w:szCs w:val="24"/>
        </w:rPr>
        <w:t>remayneth</w:t>
      </w:r>
      <w:proofErr w:type="spellEnd"/>
      <w:r w:rsidRPr="00D62BB2">
        <w:rPr>
          <w:szCs w:val="24"/>
        </w:rPr>
        <w:t xml:space="preserve"> in </w:t>
      </w:r>
      <w:proofErr w:type="spellStart"/>
      <w:r w:rsidRPr="00D62BB2">
        <w:rPr>
          <w:szCs w:val="24"/>
        </w:rPr>
        <w:t>ony</w:t>
      </w:r>
      <w:proofErr w:type="spellEnd"/>
      <w:r w:rsidRPr="00D62BB2">
        <w:rPr>
          <w:szCs w:val="24"/>
        </w:rPr>
        <w:t xml:space="preserve"> </w:t>
      </w:r>
      <w:proofErr w:type="spellStart"/>
      <w:r w:rsidRPr="00D62BB2">
        <w:rPr>
          <w:szCs w:val="24"/>
        </w:rPr>
        <w:t>condycyon</w:t>
      </w:r>
      <w:proofErr w:type="spellEnd"/>
      <w:r w:rsidRPr="00D62BB2">
        <w:rPr>
          <w:szCs w:val="24"/>
        </w:rPr>
        <w:t xml:space="preserve"> of them/but as </w:t>
      </w:r>
      <w:proofErr w:type="spellStart"/>
      <w:r w:rsidRPr="00D62BB2">
        <w:rPr>
          <w:szCs w:val="24"/>
        </w:rPr>
        <w:t>clene</w:t>
      </w:r>
      <w:proofErr w:type="spellEnd"/>
      <w:r w:rsidRPr="00D62BB2">
        <w:rPr>
          <w:szCs w:val="24"/>
        </w:rPr>
        <w:t xml:space="preserve"> as ever we were. </w:t>
      </w:r>
      <w:r>
        <w:rPr>
          <w:szCs w:val="24"/>
        </w:rPr>
        <w:t xml:space="preserve">[…] </w:t>
      </w:r>
      <w:r w:rsidR="001A5CBA" w:rsidRPr="00D62BB2">
        <w:rPr>
          <w:szCs w:val="24"/>
        </w:rPr>
        <w:t xml:space="preserve">Even </w:t>
      </w:r>
      <w:proofErr w:type="spellStart"/>
      <w:r w:rsidR="001A5CBA" w:rsidRPr="00D62BB2">
        <w:rPr>
          <w:szCs w:val="24"/>
        </w:rPr>
        <w:t>so</w:t>
      </w:r>
      <w:r w:rsidR="00900080">
        <w:rPr>
          <w:szCs w:val="24"/>
        </w:rPr>
        <w:t>o</w:t>
      </w:r>
      <w:proofErr w:type="spellEnd"/>
      <w:r w:rsidR="001A5CBA" w:rsidRPr="00D62BB2">
        <w:rPr>
          <w:szCs w:val="24"/>
        </w:rPr>
        <w:t xml:space="preserve"> in </w:t>
      </w:r>
      <w:proofErr w:type="spellStart"/>
      <w:proofErr w:type="gramStart"/>
      <w:r w:rsidR="001A5CBA" w:rsidRPr="00D62BB2">
        <w:rPr>
          <w:szCs w:val="24"/>
        </w:rPr>
        <w:t>man</w:t>
      </w:r>
      <w:r w:rsidR="00900080">
        <w:rPr>
          <w:szCs w:val="24"/>
        </w:rPr>
        <w:t>ne</w:t>
      </w:r>
      <w:r w:rsidR="001A5CBA" w:rsidRPr="00D62BB2">
        <w:rPr>
          <w:szCs w:val="24"/>
        </w:rPr>
        <w:t>s</w:t>
      </w:r>
      <w:proofErr w:type="spellEnd"/>
      <w:proofErr w:type="gramEnd"/>
      <w:r w:rsidR="001A5CBA" w:rsidRPr="00D62BB2">
        <w:rPr>
          <w:szCs w:val="24"/>
        </w:rPr>
        <w:t xml:space="preserve"> </w:t>
      </w:r>
      <w:proofErr w:type="spellStart"/>
      <w:r w:rsidR="001A5CBA" w:rsidRPr="00D62BB2">
        <w:rPr>
          <w:szCs w:val="24"/>
        </w:rPr>
        <w:t>soul</w:t>
      </w:r>
      <w:r w:rsidR="00900080">
        <w:rPr>
          <w:szCs w:val="24"/>
        </w:rPr>
        <w:t>e</w:t>
      </w:r>
      <w:proofErr w:type="spellEnd"/>
      <w:r w:rsidR="00900080">
        <w:rPr>
          <w:szCs w:val="24"/>
        </w:rPr>
        <w:t xml:space="preserve"> which </w:t>
      </w:r>
      <w:proofErr w:type="spellStart"/>
      <w:r w:rsidR="00900080">
        <w:rPr>
          <w:szCs w:val="24"/>
        </w:rPr>
        <w:t>fy</w:t>
      </w:r>
      <w:r w:rsidR="001A5CBA" w:rsidRPr="00D62BB2">
        <w:rPr>
          <w:szCs w:val="24"/>
        </w:rPr>
        <w:t>rst</w:t>
      </w:r>
      <w:proofErr w:type="spellEnd"/>
      <w:r w:rsidR="001A5CBA" w:rsidRPr="00D62BB2">
        <w:rPr>
          <w:szCs w:val="24"/>
        </w:rPr>
        <w:t xml:space="preserve"> hath brought forth the </w:t>
      </w:r>
      <w:proofErr w:type="spellStart"/>
      <w:r w:rsidR="001A5CBA" w:rsidRPr="00D62BB2">
        <w:rPr>
          <w:szCs w:val="24"/>
        </w:rPr>
        <w:t>bud</w:t>
      </w:r>
      <w:r w:rsidR="00900080">
        <w:rPr>
          <w:szCs w:val="24"/>
        </w:rPr>
        <w:t>de</w:t>
      </w:r>
      <w:proofErr w:type="spellEnd"/>
      <w:r w:rsidR="001A5CBA" w:rsidRPr="00D62BB2">
        <w:rPr>
          <w:szCs w:val="24"/>
        </w:rPr>
        <w:t xml:space="preserve"> of </w:t>
      </w:r>
      <w:proofErr w:type="spellStart"/>
      <w:r w:rsidR="001A5CBA" w:rsidRPr="00D62BB2">
        <w:rPr>
          <w:szCs w:val="24"/>
        </w:rPr>
        <w:t>contr</w:t>
      </w:r>
      <w:r w:rsidR="00900080">
        <w:rPr>
          <w:szCs w:val="24"/>
        </w:rPr>
        <w:t>ycyon</w:t>
      </w:r>
      <w:proofErr w:type="spellEnd"/>
      <w:r w:rsidR="00900080">
        <w:rPr>
          <w:szCs w:val="24"/>
        </w:rPr>
        <w:t>/</w:t>
      </w:r>
      <w:r w:rsidR="001A5CBA" w:rsidRPr="00D62BB2">
        <w:rPr>
          <w:szCs w:val="24"/>
        </w:rPr>
        <w:t xml:space="preserve">and after the </w:t>
      </w:r>
      <w:proofErr w:type="spellStart"/>
      <w:r w:rsidR="001F6DD3">
        <w:rPr>
          <w:szCs w:val="24"/>
        </w:rPr>
        <w:t>floure</w:t>
      </w:r>
      <w:proofErr w:type="spellEnd"/>
      <w:r w:rsidR="001F6DD3">
        <w:rPr>
          <w:szCs w:val="24"/>
        </w:rPr>
        <w:t xml:space="preserve"> </w:t>
      </w:r>
      <w:proofErr w:type="spellStart"/>
      <w:r w:rsidR="001F6DD3">
        <w:rPr>
          <w:szCs w:val="24"/>
        </w:rPr>
        <w:t>confessyon</w:t>
      </w:r>
      <w:proofErr w:type="spellEnd"/>
      <w:r w:rsidR="001F6DD3">
        <w:rPr>
          <w:szCs w:val="24"/>
        </w:rPr>
        <w:t xml:space="preserve"> </w:t>
      </w:r>
      <w:proofErr w:type="spellStart"/>
      <w:r w:rsidR="001F6DD3">
        <w:rPr>
          <w:szCs w:val="24"/>
        </w:rPr>
        <w:t>y</w:t>
      </w:r>
      <w:r w:rsidR="001A5CBA" w:rsidRPr="00D62BB2">
        <w:rPr>
          <w:szCs w:val="24"/>
        </w:rPr>
        <w:t>f</w:t>
      </w:r>
      <w:proofErr w:type="spellEnd"/>
      <w:r w:rsidR="001A5CBA" w:rsidRPr="00D62BB2">
        <w:rPr>
          <w:szCs w:val="24"/>
        </w:rPr>
        <w:t xml:space="preserve"> at the </w:t>
      </w:r>
      <w:proofErr w:type="spellStart"/>
      <w:r w:rsidR="001A5CBA" w:rsidRPr="00D62BB2">
        <w:rPr>
          <w:szCs w:val="24"/>
        </w:rPr>
        <w:t>last</w:t>
      </w:r>
      <w:r w:rsidR="001F6DD3">
        <w:rPr>
          <w:szCs w:val="24"/>
        </w:rPr>
        <w:t>e</w:t>
      </w:r>
      <w:proofErr w:type="spellEnd"/>
      <w:r w:rsidR="001F6DD3">
        <w:rPr>
          <w:szCs w:val="24"/>
        </w:rPr>
        <w:t xml:space="preserve"> it </w:t>
      </w:r>
      <w:proofErr w:type="spellStart"/>
      <w:r w:rsidR="001F6DD3">
        <w:rPr>
          <w:szCs w:val="24"/>
        </w:rPr>
        <w:t>bry</w:t>
      </w:r>
      <w:r w:rsidR="001A5CBA" w:rsidRPr="00D62BB2">
        <w:rPr>
          <w:szCs w:val="24"/>
        </w:rPr>
        <w:t>ng</w:t>
      </w:r>
      <w:r w:rsidR="001F6DD3">
        <w:rPr>
          <w:szCs w:val="24"/>
        </w:rPr>
        <w:t>e</w:t>
      </w:r>
      <w:proofErr w:type="spellEnd"/>
      <w:r w:rsidR="001A5CBA" w:rsidRPr="00D62BB2">
        <w:rPr>
          <w:szCs w:val="24"/>
        </w:rPr>
        <w:t xml:space="preserve"> not forth the good </w:t>
      </w:r>
      <w:proofErr w:type="spellStart"/>
      <w:r w:rsidR="001F6DD3">
        <w:rPr>
          <w:szCs w:val="24"/>
        </w:rPr>
        <w:t>werkes</w:t>
      </w:r>
      <w:proofErr w:type="spellEnd"/>
      <w:r w:rsidR="001A5CBA" w:rsidRPr="00D62BB2">
        <w:rPr>
          <w:szCs w:val="24"/>
        </w:rPr>
        <w:t xml:space="preserve"> of </w:t>
      </w:r>
      <w:proofErr w:type="spellStart"/>
      <w:r w:rsidR="001A5CBA" w:rsidRPr="00D62BB2">
        <w:rPr>
          <w:szCs w:val="24"/>
        </w:rPr>
        <w:t>satisfa</w:t>
      </w:r>
      <w:r w:rsidR="001F6DD3">
        <w:rPr>
          <w:szCs w:val="24"/>
        </w:rPr>
        <w:t>c</w:t>
      </w:r>
      <w:r w:rsidR="001A5CBA" w:rsidRPr="00D62BB2">
        <w:rPr>
          <w:szCs w:val="24"/>
        </w:rPr>
        <w:t>c</w:t>
      </w:r>
      <w:r w:rsidR="001F6DD3">
        <w:rPr>
          <w:szCs w:val="24"/>
        </w:rPr>
        <w:t>yon</w:t>
      </w:r>
      <w:proofErr w:type="spellEnd"/>
      <w:r w:rsidR="001A5CBA" w:rsidRPr="00D62BB2">
        <w:rPr>
          <w:szCs w:val="24"/>
        </w:rPr>
        <w:t xml:space="preserve"> it is to be </w:t>
      </w:r>
      <w:proofErr w:type="spellStart"/>
      <w:r w:rsidR="001F6DD3">
        <w:rPr>
          <w:szCs w:val="24"/>
        </w:rPr>
        <w:t>dredde</w:t>
      </w:r>
      <w:proofErr w:type="spellEnd"/>
      <w:r w:rsidR="001F6DD3">
        <w:rPr>
          <w:szCs w:val="24"/>
        </w:rPr>
        <w:t xml:space="preserve"> lest </w:t>
      </w:r>
      <w:proofErr w:type="spellStart"/>
      <w:r w:rsidR="001F6DD3">
        <w:rPr>
          <w:szCs w:val="24"/>
        </w:rPr>
        <w:t>ony</w:t>
      </w:r>
      <w:proofErr w:type="spellEnd"/>
      <w:r w:rsidR="001F6DD3">
        <w:rPr>
          <w:szCs w:val="24"/>
        </w:rPr>
        <w:t xml:space="preserve"> </w:t>
      </w:r>
      <w:proofErr w:type="spellStart"/>
      <w:r w:rsidR="001F6DD3">
        <w:rPr>
          <w:szCs w:val="24"/>
        </w:rPr>
        <w:t>preuy</w:t>
      </w:r>
      <w:proofErr w:type="spellEnd"/>
      <w:r w:rsidR="001F6DD3">
        <w:rPr>
          <w:szCs w:val="24"/>
        </w:rPr>
        <w:t xml:space="preserve"> </w:t>
      </w:r>
      <w:proofErr w:type="spellStart"/>
      <w:r w:rsidR="001F6DD3">
        <w:rPr>
          <w:szCs w:val="24"/>
        </w:rPr>
        <w:t>gy</w:t>
      </w:r>
      <w:r w:rsidR="001A5CBA" w:rsidRPr="00D62BB2">
        <w:rPr>
          <w:szCs w:val="24"/>
        </w:rPr>
        <w:t>le</w:t>
      </w:r>
      <w:proofErr w:type="spellEnd"/>
      <w:r w:rsidR="001A5CBA" w:rsidRPr="00D62BB2">
        <w:rPr>
          <w:szCs w:val="24"/>
        </w:rPr>
        <w:t xml:space="preserve"> or </w:t>
      </w:r>
      <w:proofErr w:type="spellStart"/>
      <w:r>
        <w:rPr>
          <w:szCs w:val="24"/>
        </w:rPr>
        <w:t>dece</w:t>
      </w:r>
      <w:r w:rsidR="001F6DD3">
        <w:rPr>
          <w:szCs w:val="24"/>
        </w:rPr>
        <w:t>y</w:t>
      </w:r>
      <w:r>
        <w:rPr>
          <w:szCs w:val="24"/>
        </w:rPr>
        <w:t>t</w:t>
      </w:r>
      <w:r w:rsidR="001F6DD3">
        <w:rPr>
          <w:szCs w:val="24"/>
        </w:rPr>
        <w:t>e</w:t>
      </w:r>
      <w:proofErr w:type="spellEnd"/>
      <w:r>
        <w:rPr>
          <w:szCs w:val="24"/>
        </w:rPr>
        <w:t xml:space="preserve"> </w:t>
      </w:r>
      <w:proofErr w:type="spellStart"/>
      <w:r>
        <w:rPr>
          <w:szCs w:val="24"/>
        </w:rPr>
        <w:t>rema</w:t>
      </w:r>
      <w:r w:rsidR="001F6DD3">
        <w:rPr>
          <w:szCs w:val="24"/>
        </w:rPr>
        <w:t>y</w:t>
      </w:r>
      <w:r>
        <w:rPr>
          <w:szCs w:val="24"/>
        </w:rPr>
        <w:t>n</w:t>
      </w:r>
      <w:r w:rsidR="001F6DD3">
        <w:rPr>
          <w:szCs w:val="24"/>
        </w:rPr>
        <w:t>e</w:t>
      </w:r>
      <w:proofErr w:type="spellEnd"/>
      <w:r w:rsidR="001F6DD3">
        <w:rPr>
          <w:szCs w:val="24"/>
        </w:rPr>
        <w:t xml:space="preserve"> </w:t>
      </w:r>
      <w:proofErr w:type="spellStart"/>
      <w:r w:rsidR="001F6DD3">
        <w:rPr>
          <w:szCs w:val="24"/>
        </w:rPr>
        <w:t>styll</w:t>
      </w:r>
      <w:proofErr w:type="spellEnd"/>
      <w:r>
        <w:rPr>
          <w:szCs w:val="24"/>
        </w:rPr>
        <w:t xml:space="preserve"> in the </w:t>
      </w:r>
      <w:proofErr w:type="spellStart"/>
      <w:r>
        <w:rPr>
          <w:szCs w:val="24"/>
        </w:rPr>
        <w:t>soul</w:t>
      </w:r>
      <w:r w:rsidR="001F6DD3">
        <w:rPr>
          <w:szCs w:val="24"/>
        </w:rPr>
        <w:t>e</w:t>
      </w:r>
      <w:proofErr w:type="spellEnd"/>
      <w:r>
        <w:rPr>
          <w:szCs w:val="24"/>
        </w:rPr>
        <w:t xml:space="preserve"> [...]</w:t>
      </w:r>
      <w:r w:rsidRPr="00D62BB2">
        <w:rPr>
          <w:szCs w:val="24"/>
        </w:rPr>
        <w:t xml:space="preserve">. It is not </w:t>
      </w:r>
      <w:proofErr w:type="spellStart"/>
      <w:r w:rsidRPr="00D62BB2">
        <w:rPr>
          <w:szCs w:val="24"/>
        </w:rPr>
        <w:t>ynough</w:t>
      </w:r>
      <w:proofErr w:type="spellEnd"/>
      <w:r w:rsidRPr="00D62BB2">
        <w:rPr>
          <w:szCs w:val="24"/>
        </w:rPr>
        <w:t xml:space="preserve"> for a </w:t>
      </w:r>
      <w:proofErr w:type="spellStart"/>
      <w:r w:rsidRPr="00D62BB2">
        <w:rPr>
          <w:szCs w:val="24"/>
        </w:rPr>
        <w:t>penytent</w:t>
      </w:r>
      <w:proofErr w:type="spellEnd"/>
      <w:r w:rsidRPr="00D62BB2">
        <w:rPr>
          <w:szCs w:val="24"/>
        </w:rPr>
        <w:t xml:space="preserve"> to be </w:t>
      </w:r>
      <w:proofErr w:type="spellStart"/>
      <w:r w:rsidRPr="00D62BB2">
        <w:rPr>
          <w:szCs w:val="24"/>
        </w:rPr>
        <w:t>contryte</w:t>
      </w:r>
      <w:proofErr w:type="spellEnd"/>
      <w:r w:rsidRPr="00D62BB2">
        <w:rPr>
          <w:szCs w:val="24"/>
        </w:rPr>
        <w:t xml:space="preserve"> for his </w:t>
      </w:r>
      <w:proofErr w:type="spellStart"/>
      <w:r w:rsidRPr="00D62BB2">
        <w:rPr>
          <w:szCs w:val="24"/>
        </w:rPr>
        <w:t>synnes</w:t>
      </w:r>
      <w:proofErr w:type="spellEnd"/>
      <w:r w:rsidRPr="00D62BB2">
        <w:rPr>
          <w:szCs w:val="24"/>
        </w:rPr>
        <w:t xml:space="preserve">/but also he </w:t>
      </w:r>
      <w:r w:rsidRPr="00D62BB2">
        <w:rPr>
          <w:szCs w:val="24"/>
        </w:rPr>
        <w:lastRenderedPageBreak/>
        <w:t xml:space="preserve">must </w:t>
      </w:r>
      <w:proofErr w:type="spellStart"/>
      <w:r w:rsidRPr="00D62BB2">
        <w:rPr>
          <w:szCs w:val="24"/>
        </w:rPr>
        <w:t>shewe</w:t>
      </w:r>
      <w:proofErr w:type="spellEnd"/>
      <w:r w:rsidRPr="00D62BB2">
        <w:rPr>
          <w:szCs w:val="24"/>
        </w:rPr>
        <w:t xml:space="preserve"> </w:t>
      </w:r>
      <w:proofErr w:type="spellStart"/>
      <w:r w:rsidRPr="00D62BB2">
        <w:rPr>
          <w:szCs w:val="24"/>
        </w:rPr>
        <w:t>the</w:t>
      </w:r>
      <w:r w:rsidR="001F6DD3">
        <w:rPr>
          <w:szCs w:val="24"/>
        </w:rPr>
        <w:t>y</w:t>
      </w:r>
      <w:r w:rsidRPr="00D62BB2">
        <w:rPr>
          <w:szCs w:val="24"/>
        </w:rPr>
        <w:t>m</w:t>
      </w:r>
      <w:proofErr w:type="spellEnd"/>
      <w:r w:rsidRPr="00D62BB2">
        <w:rPr>
          <w:szCs w:val="24"/>
        </w:rPr>
        <w:t xml:space="preserve"> all </w:t>
      </w:r>
      <w:proofErr w:type="spellStart"/>
      <w:r w:rsidRPr="00D62BB2">
        <w:rPr>
          <w:szCs w:val="24"/>
        </w:rPr>
        <w:t>vnto</w:t>
      </w:r>
      <w:proofErr w:type="spellEnd"/>
      <w:r w:rsidRPr="00D62BB2">
        <w:rPr>
          <w:szCs w:val="24"/>
        </w:rPr>
        <w:t xml:space="preserve"> a </w:t>
      </w:r>
      <w:proofErr w:type="spellStart"/>
      <w:r w:rsidRPr="00D62BB2">
        <w:rPr>
          <w:szCs w:val="24"/>
        </w:rPr>
        <w:t>preest</w:t>
      </w:r>
      <w:proofErr w:type="spellEnd"/>
      <w:r w:rsidRPr="00D62BB2">
        <w:rPr>
          <w:szCs w:val="24"/>
        </w:rPr>
        <w:t xml:space="preserve"> his ghostly fader/</w:t>
      </w:r>
      <w:proofErr w:type="spellStart"/>
      <w:r w:rsidRPr="00D62BB2">
        <w:rPr>
          <w:szCs w:val="24"/>
        </w:rPr>
        <w:t>whan</w:t>
      </w:r>
      <w:proofErr w:type="spellEnd"/>
      <w:r w:rsidRPr="00D62BB2">
        <w:rPr>
          <w:szCs w:val="24"/>
        </w:rPr>
        <w:t xml:space="preserve"> he hath </w:t>
      </w:r>
      <w:proofErr w:type="spellStart"/>
      <w:r w:rsidRPr="00D62BB2">
        <w:rPr>
          <w:szCs w:val="24"/>
        </w:rPr>
        <w:t>conuenyent</w:t>
      </w:r>
      <w:proofErr w:type="spellEnd"/>
      <w:r w:rsidRPr="00D62BB2">
        <w:rPr>
          <w:szCs w:val="24"/>
        </w:rPr>
        <w:t xml:space="preserve"> </w:t>
      </w:r>
      <w:proofErr w:type="spellStart"/>
      <w:r w:rsidRPr="00D62BB2">
        <w:rPr>
          <w:szCs w:val="24"/>
        </w:rPr>
        <w:t>tyme</w:t>
      </w:r>
      <w:proofErr w:type="spellEnd"/>
      <w:r w:rsidRPr="00D62BB2">
        <w:rPr>
          <w:szCs w:val="24"/>
        </w:rPr>
        <w:t xml:space="preserve"> and space so to do.</w:t>
      </w:r>
      <w:r w:rsidRPr="00D62BB2">
        <w:rPr>
          <w:rStyle w:val="FootnoteReference"/>
          <w:szCs w:val="24"/>
        </w:rPr>
        <w:t xml:space="preserve"> </w:t>
      </w:r>
      <w:r w:rsidRPr="00D62BB2">
        <w:rPr>
          <w:rStyle w:val="FootnoteReference"/>
          <w:szCs w:val="24"/>
        </w:rPr>
        <w:footnoteReference w:id="37"/>
      </w:r>
      <w:r w:rsidR="001A5CBA" w:rsidRPr="00D62BB2">
        <w:rPr>
          <w:szCs w:val="24"/>
        </w:rPr>
        <w:t xml:space="preserve"> </w:t>
      </w:r>
    </w:p>
    <w:p w:rsidR="001A5CBA" w:rsidRDefault="001A5CBA" w:rsidP="0099652D">
      <w:pPr>
        <w:spacing w:after="0" w:line="240" w:lineRule="auto"/>
        <w:ind w:firstLine="567"/>
        <w:jc w:val="both"/>
      </w:pPr>
    </w:p>
    <w:p w:rsidR="001A5CBA" w:rsidRDefault="001A5CBA" w:rsidP="00656634">
      <w:pPr>
        <w:spacing w:after="0" w:line="480" w:lineRule="auto"/>
        <w:jc w:val="both"/>
      </w:pPr>
      <w:r>
        <w:t>Wyatt, despite doctrinal divergences, does draw on Fisher</w:t>
      </w:r>
      <w:r w:rsidR="00763B21">
        <w:t>’</w:t>
      </w:r>
      <w:r>
        <w:t>s commentary</w:t>
      </w:r>
      <w:r w:rsidR="00526A91">
        <w:t xml:space="preserve"> repeatedly – more frequently than previous commentators have noted – which is not surprising given that Wyatt was educated at Christ</w:t>
      </w:r>
      <w:r w:rsidR="00763B21">
        <w:t>’</w:t>
      </w:r>
      <w:r w:rsidR="00526A91">
        <w:t>s</w:t>
      </w:r>
      <w:r w:rsidR="001F514B">
        <w:t xml:space="preserve"> College</w:t>
      </w:r>
      <w:r w:rsidR="00526A91">
        <w:t xml:space="preserve">, Cambridge, as Susan </w:t>
      </w:r>
      <w:proofErr w:type="spellStart"/>
      <w:r w:rsidR="00526A91">
        <w:t>Brigden</w:t>
      </w:r>
      <w:proofErr w:type="spellEnd"/>
      <w:r w:rsidR="00526A91">
        <w:t xml:space="preserve"> has recently shown, </w:t>
      </w:r>
      <w:r w:rsidR="000F5902">
        <w:t xml:space="preserve">which was </w:t>
      </w:r>
      <w:r w:rsidR="001F514B">
        <w:t>founded</w:t>
      </w:r>
      <w:r w:rsidR="000F5902">
        <w:t xml:space="preserve"> by </w:t>
      </w:r>
      <w:r w:rsidR="001F514B">
        <w:t xml:space="preserve">Lady Margaret Beaufort under the direction of </w:t>
      </w:r>
      <w:r w:rsidR="000F5902">
        <w:t>Fisher.</w:t>
      </w:r>
      <w:r w:rsidR="001F6DD3">
        <w:rPr>
          <w:rStyle w:val="FootnoteReference"/>
        </w:rPr>
        <w:footnoteReference w:id="38"/>
      </w:r>
      <w:r w:rsidR="001F6DD3">
        <w:t xml:space="preserve"> </w:t>
      </w:r>
    </w:p>
    <w:p w:rsidR="005B3613" w:rsidRDefault="00415365" w:rsidP="00656634">
      <w:pPr>
        <w:spacing w:after="0" w:line="480" w:lineRule="auto"/>
        <w:ind w:firstLine="567"/>
        <w:jc w:val="both"/>
      </w:pPr>
      <w:r>
        <w:t>Fisher</w:t>
      </w:r>
      <w:r w:rsidR="00763B21">
        <w:t>’</w:t>
      </w:r>
      <w:r>
        <w:t xml:space="preserve">s emphasis on </w:t>
      </w:r>
      <w:r w:rsidR="00763B21">
        <w:t>‘</w:t>
      </w:r>
      <w:r w:rsidR="001F6DD3" w:rsidRPr="00D62BB2">
        <w:rPr>
          <w:szCs w:val="24"/>
        </w:rPr>
        <w:t xml:space="preserve">the good </w:t>
      </w:r>
      <w:proofErr w:type="spellStart"/>
      <w:r w:rsidR="001F6DD3">
        <w:rPr>
          <w:szCs w:val="24"/>
        </w:rPr>
        <w:t>werkes</w:t>
      </w:r>
      <w:proofErr w:type="spellEnd"/>
      <w:r w:rsidR="001F6DD3" w:rsidRPr="00D62BB2">
        <w:rPr>
          <w:szCs w:val="24"/>
        </w:rPr>
        <w:t xml:space="preserve"> of </w:t>
      </w:r>
      <w:proofErr w:type="spellStart"/>
      <w:r w:rsidR="001F6DD3" w:rsidRPr="00D62BB2">
        <w:rPr>
          <w:szCs w:val="24"/>
        </w:rPr>
        <w:t>satisfa</w:t>
      </w:r>
      <w:r w:rsidR="001F6DD3">
        <w:rPr>
          <w:szCs w:val="24"/>
        </w:rPr>
        <w:t>c</w:t>
      </w:r>
      <w:r w:rsidR="001F6DD3" w:rsidRPr="00D62BB2">
        <w:rPr>
          <w:szCs w:val="24"/>
        </w:rPr>
        <w:t>c</w:t>
      </w:r>
      <w:r w:rsidR="001F6DD3">
        <w:rPr>
          <w:szCs w:val="24"/>
        </w:rPr>
        <w:t>yon</w:t>
      </w:r>
      <w:proofErr w:type="spellEnd"/>
      <w:r w:rsidR="00763B21">
        <w:t>’</w:t>
      </w:r>
      <w:r>
        <w:t xml:space="preserve"> and his statement that </w:t>
      </w:r>
      <w:r w:rsidR="00763B21">
        <w:t>‘</w:t>
      </w:r>
      <w:r w:rsidR="001F6DD3">
        <w:rPr>
          <w:szCs w:val="24"/>
        </w:rPr>
        <w:t>[</w:t>
      </w:r>
      <w:proofErr w:type="spellStart"/>
      <w:r w:rsidR="001F6DD3">
        <w:rPr>
          <w:szCs w:val="24"/>
        </w:rPr>
        <w:t>i</w:t>
      </w:r>
      <w:proofErr w:type="spellEnd"/>
      <w:r w:rsidR="001F6DD3">
        <w:rPr>
          <w:szCs w:val="24"/>
        </w:rPr>
        <w:t>]</w:t>
      </w:r>
      <w:r w:rsidR="001F6DD3" w:rsidRPr="00D62BB2">
        <w:rPr>
          <w:szCs w:val="24"/>
        </w:rPr>
        <w:t xml:space="preserve">t is not </w:t>
      </w:r>
      <w:proofErr w:type="spellStart"/>
      <w:r w:rsidR="001F6DD3" w:rsidRPr="00D62BB2">
        <w:rPr>
          <w:szCs w:val="24"/>
        </w:rPr>
        <w:t>ynough</w:t>
      </w:r>
      <w:proofErr w:type="spellEnd"/>
      <w:r w:rsidR="001F6DD3" w:rsidRPr="00D62BB2">
        <w:rPr>
          <w:szCs w:val="24"/>
        </w:rPr>
        <w:t xml:space="preserve"> for a </w:t>
      </w:r>
      <w:proofErr w:type="spellStart"/>
      <w:r w:rsidR="001F6DD3" w:rsidRPr="00D62BB2">
        <w:rPr>
          <w:szCs w:val="24"/>
        </w:rPr>
        <w:t>penytent</w:t>
      </w:r>
      <w:proofErr w:type="spellEnd"/>
      <w:r w:rsidR="001F6DD3" w:rsidRPr="00D62BB2">
        <w:rPr>
          <w:szCs w:val="24"/>
        </w:rPr>
        <w:t xml:space="preserve"> to be </w:t>
      </w:r>
      <w:proofErr w:type="spellStart"/>
      <w:r w:rsidR="001F6DD3" w:rsidRPr="00D62BB2">
        <w:rPr>
          <w:szCs w:val="24"/>
        </w:rPr>
        <w:t>contryte</w:t>
      </w:r>
      <w:proofErr w:type="spellEnd"/>
      <w:r w:rsidR="001F6DD3" w:rsidRPr="00D62BB2">
        <w:rPr>
          <w:szCs w:val="24"/>
        </w:rPr>
        <w:t xml:space="preserve"> for his </w:t>
      </w:r>
      <w:proofErr w:type="spellStart"/>
      <w:r w:rsidR="001F6DD3" w:rsidRPr="00D62BB2">
        <w:rPr>
          <w:szCs w:val="24"/>
        </w:rPr>
        <w:t>synnes</w:t>
      </w:r>
      <w:proofErr w:type="spellEnd"/>
      <w:r w:rsidR="00763B21">
        <w:t>’</w:t>
      </w:r>
      <w:r>
        <w:t xml:space="preserve"> is echoed by the Bishops</w:t>
      </w:r>
      <w:r w:rsidR="00763B21">
        <w:t>’</w:t>
      </w:r>
      <w:r>
        <w:t xml:space="preserve"> Book</w:t>
      </w:r>
      <w:r w:rsidR="001F6DD3">
        <w:t>’s</w:t>
      </w:r>
      <w:r>
        <w:t xml:space="preserve"> insistence on </w:t>
      </w:r>
      <w:r w:rsidR="00763B21">
        <w:t>‘</w:t>
      </w:r>
      <w:r w:rsidR="008837E1" w:rsidRPr="00DF1711">
        <w:rPr>
          <w:bCs/>
        </w:rPr>
        <w:t xml:space="preserve">good </w:t>
      </w:r>
      <w:proofErr w:type="spellStart"/>
      <w:r w:rsidR="008837E1" w:rsidRPr="00DF1711">
        <w:rPr>
          <w:bCs/>
        </w:rPr>
        <w:t>workes</w:t>
      </w:r>
      <w:proofErr w:type="spellEnd"/>
      <w:r w:rsidR="008837E1" w:rsidRPr="00DF1711">
        <w:rPr>
          <w:bCs/>
        </w:rPr>
        <w:t xml:space="preserve"> of </w:t>
      </w:r>
      <w:proofErr w:type="spellStart"/>
      <w:r w:rsidR="008837E1" w:rsidRPr="00DF1711">
        <w:rPr>
          <w:bCs/>
        </w:rPr>
        <w:t>mercye</w:t>
      </w:r>
      <w:proofErr w:type="spellEnd"/>
      <w:r w:rsidR="008837E1" w:rsidRPr="00DF1711">
        <w:rPr>
          <w:bCs/>
        </w:rPr>
        <w:t xml:space="preserve"> and </w:t>
      </w:r>
      <w:proofErr w:type="spellStart"/>
      <w:r w:rsidR="008837E1" w:rsidRPr="00DF1711">
        <w:rPr>
          <w:bCs/>
        </w:rPr>
        <w:t>charitie</w:t>
      </w:r>
      <w:proofErr w:type="spellEnd"/>
      <w:r w:rsidR="008837E1">
        <w:rPr>
          <w:bCs/>
        </w:rPr>
        <w:t>’</w:t>
      </w:r>
      <w:r w:rsidR="008837E1">
        <w:rPr>
          <w:b/>
        </w:rPr>
        <w:t xml:space="preserve"> </w:t>
      </w:r>
      <w:r w:rsidRPr="008837E1">
        <w:rPr>
          <w:bCs/>
        </w:rPr>
        <w:t>and the position that</w:t>
      </w:r>
      <w:r>
        <w:rPr>
          <w:b/>
        </w:rPr>
        <w:t xml:space="preserve"> </w:t>
      </w:r>
      <w:r w:rsidR="008837E1">
        <w:rPr>
          <w:b/>
        </w:rPr>
        <w:t>‘</w:t>
      </w:r>
      <w:r w:rsidR="008837E1" w:rsidRPr="00DF1711">
        <w:rPr>
          <w:bCs/>
        </w:rPr>
        <w:t xml:space="preserve">all men </w:t>
      </w:r>
      <w:proofErr w:type="spellStart"/>
      <w:r w:rsidR="008837E1" w:rsidRPr="00DF1711">
        <w:rPr>
          <w:bCs/>
        </w:rPr>
        <w:t>truely</w:t>
      </w:r>
      <w:proofErr w:type="spellEnd"/>
      <w:r w:rsidR="008837E1" w:rsidRPr="00DF1711">
        <w:rPr>
          <w:bCs/>
        </w:rPr>
        <w:t xml:space="preserve"> </w:t>
      </w:r>
      <w:proofErr w:type="spellStart"/>
      <w:r w:rsidR="008837E1" w:rsidRPr="00DF1711">
        <w:rPr>
          <w:bCs/>
        </w:rPr>
        <w:t>penitente</w:t>
      </w:r>
      <w:proofErr w:type="spellEnd"/>
      <w:r w:rsidR="008837E1" w:rsidRPr="00DF1711">
        <w:rPr>
          <w:bCs/>
        </w:rPr>
        <w:t xml:space="preserve">, contrite, and confessed </w:t>
      </w:r>
      <w:proofErr w:type="spellStart"/>
      <w:r w:rsidR="008837E1" w:rsidRPr="00DF1711">
        <w:rPr>
          <w:bCs/>
        </w:rPr>
        <w:t>muste</w:t>
      </w:r>
      <w:proofErr w:type="spellEnd"/>
      <w:r w:rsidR="008837E1" w:rsidRPr="00DF1711">
        <w:rPr>
          <w:bCs/>
        </w:rPr>
        <w:t xml:space="preserve"> </w:t>
      </w:r>
      <w:proofErr w:type="spellStart"/>
      <w:r w:rsidR="008837E1" w:rsidRPr="00DF1711">
        <w:rPr>
          <w:bCs/>
        </w:rPr>
        <w:t>nedes</w:t>
      </w:r>
      <w:proofErr w:type="spellEnd"/>
      <w:r w:rsidR="008837E1" w:rsidRPr="00DF1711">
        <w:rPr>
          <w:bCs/>
        </w:rPr>
        <w:t xml:space="preserve"> also </w:t>
      </w:r>
      <w:proofErr w:type="spellStart"/>
      <w:r w:rsidR="008837E1" w:rsidRPr="00DF1711">
        <w:rPr>
          <w:bCs/>
        </w:rPr>
        <w:t>brynge</w:t>
      </w:r>
      <w:proofErr w:type="spellEnd"/>
      <w:r w:rsidR="008837E1" w:rsidRPr="00DF1711">
        <w:rPr>
          <w:bCs/>
        </w:rPr>
        <w:t xml:space="preserve"> </w:t>
      </w:r>
      <w:proofErr w:type="spellStart"/>
      <w:r w:rsidR="008837E1" w:rsidRPr="00DF1711">
        <w:rPr>
          <w:bCs/>
        </w:rPr>
        <w:t>forthe</w:t>
      </w:r>
      <w:proofErr w:type="spellEnd"/>
      <w:r w:rsidR="008837E1" w:rsidRPr="00DF1711">
        <w:rPr>
          <w:bCs/>
        </w:rPr>
        <w:t xml:space="preserve"> the </w:t>
      </w:r>
      <w:proofErr w:type="spellStart"/>
      <w:r w:rsidR="008837E1" w:rsidRPr="00DF1711">
        <w:rPr>
          <w:bCs/>
        </w:rPr>
        <w:t>fruites</w:t>
      </w:r>
      <w:proofErr w:type="spellEnd"/>
      <w:r w:rsidR="008837E1" w:rsidRPr="00DF1711">
        <w:rPr>
          <w:bCs/>
        </w:rPr>
        <w:t xml:space="preserve"> of </w:t>
      </w:r>
      <w:proofErr w:type="spellStart"/>
      <w:r w:rsidR="008837E1" w:rsidRPr="00DF1711">
        <w:rPr>
          <w:bCs/>
        </w:rPr>
        <w:t>penaunce</w:t>
      </w:r>
      <w:proofErr w:type="spellEnd"/>
      <w:r w:rsidR="008837E1" w:rsidRPr="00DF1711">
        <w:rPr>
          <w:bCs/>
        </w:rPr>
        <w:t xml:space="preserve">, That is to </w:t>
      </w:r>
      <w:proofErr w:type="spellStart"/>
      <w:r w:rsidR="008837E1" w:rsidRPr="00DF1711">
        <w:rPr>
          <w:bCs/>
        </w:rPr>
        <w:t>saye</w:t>
      </w:r>
      <w:proofErr w:type="spellEnd"/>
      <w:r w:rsidR="008837E1" w:rsidRPr="00DF1711">
        <w:rPr>
          <w:bCs/>
        </w:rPr>
        <w:t xml:space="preserve">, prayer, </w:t>
      </w:r>
      <w:proofErr w:type="spellStart"/>
      <w:r w:rsidR="008837E1" w:rsidRPr="00DF1711">
        <w:rPr>
          <w:bCs/>
        </w:rPr>
        <w:t>fastynge</w:t>
      </w:r>
      <w:proofErr w:type="spellEnd"/>
      <w:r w:rsidR="008837E1" w:rsidRPr="00DF1711">
        <w:rPr>
          <w:bCs/>
        </w:rPr>
        <w:t xml:space="preserve">, and </w:t>
      </w:r>
      <w:proofErr w:type="spellStart"/>
      <w:r w:rsidR="008837E1" w:rsidRPr="00DF1711">
        <w:rPr>
          <w:bCs/>
        </w:rPr>
        <w:t>almes</w:t>
      </w:r>
      <w:proofErr w:type="spellEnd"/>
      <w:r w:rsidR="008837E1" w:rsidRPr="00DF1711">
        <w:rPr>
          <w:bCs/>
        </w:rPr>
        <w:t xml:space="preserve"> </w:t>
      </w:r>
      <w:proofErr w:type="spellStart"/>
      <w:r w:rsidR="008837E1" w:rsidRPr="00DF1711">
        <w:rPr>
          <w:bCs/>
        </w:rPr>
        <w:t>dede</w:t>
      </w:r>
      <w:proofErr w:type="spellEnd"/>
      <w:r w:rsidR="008837E1" w:rsidRPr="00DF1711">
        <w:rPr>
          <w:bCs/>
        </w:rPr>
        <w:t xml:space="preserve"> </w:t>
      </w:r>
      <w:r w:rsidR="008837E1">
        <w:rPr>
          <w:bCs/>
        </w:rPr>
        <w:t xml:space="preserve">[…]. </w:t>
      </w:r>
      <w:r w:rsidR="008837E1" w:rsidRPr="00DF1711">
        <w:rPr>
          <w:bCs/>
        </w:rPr>
        <w:t xml:space="preserve">And they </w:t>
      </w:r>
      <w:proofErr w:type="spellStart"/>
      <w:r w:rsidR="008837E1" w:rsidRPr="00DF1711">
        <w:rPr>
          <w:bCs/>
        </w:rPr>
        <w:t>muste</w:t>
      </w:r>
      <w:proofErr w:type="spellEnd"/>
      <w:r w:rsidR="008837E1" w:rsidRPr="00DF1711">
        <w:rPr>
          <w:bCs/>
        </w:rPr>
        <w:t xml:space="preserve"> also make restitution or satisfaction in </w:t>
      </w:r>
      <w:proofErr w:type="spellStart"/>
      <w:r w:rsidR="008837E1" w:rsidRPr="00DF1711">
        <w:rPr>
          <w:bCs/>
        </w:rPr>
        <w:t>wyll</w:t>
      </w:r>
      <w:proofErr w:type="spellEnd"/>
      <w:r w:rsidR="008837E1" w:rsidRPr="00DF1711">
        <w:rPr>
          <w:bCs/>
        </w:rPr>
        <w:t xml:space="preserve"> and </w:t>
      </w:r>
      <w:proofErr w:type="spellStart"/>
      <w:r w:rsidR="008837E1" w:rsidRPr="00DF1711">
        <w:rPr>
          <w:bCs/>
        </w:rPr>
        <w:t>dede</w:t>
      </w:r>
      <w:proofErr w:type="spellEnd"/>
      <w:r w:rsidR="008837E1" w:rsidRPr="00DF1711">
        <w:rPr>
          <w:bCs/>
        </w:rPr>
        <w:t xml:space="preserve"> to </w:t>
      </w:r>
      <w:proofErr w:type="spellStart"/>
      <w:r w:rsidR="008837E1" w:rsidRPr="00DF1711">
        <w:rPr>
          <w:bCs/>
        </w:rPr>
        <w:t>theyr</w:t>
      </w:r>
      <w:proofErr w:type="spellEnd"/>
      <w:r w:rsidR="008837E1" w:rsidRPr="00DF1711">
        <w:rPr>
          <w:bCs/>
        </w:rPr>
        <w:t xml:space="preserve"> </w:t>
      </w:r>
      <w:proofErr w:type="spellStart"/>
      <w:r w:rsidR="008837E1" w:rsidRPr="00DF1711">
        <w:rPr>
          <w:bCs/>
        </w:rPr>
        <w:t>ney</w:t>
      </w:r>
      <w:r w:rsidR="008837E1">
        <w:rPr>
          <w:bCs/>
        </w:rPr>
        <w:t>ghbours</w:t>
      </w:r>
      <w:proofErr w:type="spellEnd"/>
      <w:r w:rsidR="008837E1">
        <w:rPr>
          <w:bCs/>
        </w:rPr>
        <w:t>’</w:t>
      </w:r>
      <w:r>
        <w:t xml:space="preserve">. </w:t>
      </w:r>
      <w:proofErr w:type="gramStart"/>
      <w:r>
        <w:t>And this despite the immediat</w:t>
      </w:r>
      <w:r w:rsidR="008837E1">
        <w:t>ely preceding statement that</w:t>
      </w:r>
      <w:r>
        <w:t xml:space="preserve"> </w:t>
      </w:r>
      <w:r w:rsidR="00763B21">
        <w:t>‘</w:t>
      </w:r>
      <w:proofErr w:type="spellStart"/>
      <w:r w:rsidR="008837E1" w:rsidRPr="00DF1711">
        <w:rPr>
          <w:bCs/>
        </w:rPr>
        <w:t>Chryste</w:t>
      </w:r>
      <w:proofErr w:type="spellEnd"/>
      <w:r w:rsidR="008837E1" w:rsidRPr="00DF1711">
        <w:rPr>
          <w:bCs/>
        </w:rPr>
        <w:t xml:space="preserve"> and his </w:t>
      </w:r>
      <w:proofErr w:type="spellStart"/>
      <w:r w:rsidR="008837E1" w:rsidRPr="00DF1711">
        <w:rPr>
          <w:bCs/>
        </w:rPr>
        <w:t>deathe</w:t>
      </w:r>
      <w:proofErr w:type="spellEnd"/>
      <w:r w:rsidR="008837E1" w:rsidRPr="00DF1711">
        <w:rPr>
          <w:bCs/>
        </w:rPr>
        <w:t xml:space="preserve"> be the sufficient oblation, sacrifice, satisfaction, and recompense</w:t>
      </w:r>
      <w:r w:rsidR="00763B21">
        <w:t>’</w:t>
      </w:r>
      <w:r>
        <w:t>.</w:t>
      </w:r>
      <w:proofErr w:type="gramEnd"/>
      <w:r>
        <w:t xml:space="preserve"> </w:t>
      </w:r>
    </w:p>
    <w:p w:rsidR="005B3613" w:rsidRDefault="005B3613" w:rsidP="0099652D">
      <w:pPr>
        <w:spacing w:after="0" w:line="240" w:lineRule="auto"/>
        <w:ind w:firstLine="567"/>
        <w:jc w:val="both"/>
      </w:pPr>
    </w:p>
    <w:p w:rsidR="005B3613" w:rsidRDefault="00415365" w:rsidP="0099652D">
      <w:pPr>
        <w:spacing w:after="0" w:line="480" w:lineRule="auto"/>
        <w:ind w:firstLine="567"/>
        <w:jc w:val="both"/>
        <w:rPr>
          <w:b/>
        </w:rPr>
      </w:pPr>
      <w:r>
        <w:t>Wyatt</w:t>
      </w:r>
      <w:r w:rsidR="00763B21">
        <w:t>’</w:t>
      </w:r>
      <w:r>
        <w:t xml:space="preserve">s dismissal of penitence as the cause of forgiveness and the emphasis upon Divine mercy born of </w:t>
      </w:r>
      <w:r w:rsidR="00763B21">
        <w:t>‘</w:t>
      </w:r>
      <w:r>
        <w:t xml:space="preserve">perfect </w:t>
      </w:r>
      <w:proofErr w:type="spellStart"/>
      <w:r>
        <w:t>intelligens</w:t>
      </w:r>
      <w:proofErr w:type="spellEnd"/>
      <w:r>
        <w:t xml:space="preserve"> / Off </w:t>
      </w:r>
      <w:proofErr w:type="spellStart"/>
      <w:r>
        <w:t>hert</w:t>
      </w:r>
      <w:proofErr w:type="spellEnd"/>
      <w:r>
        <w:t xml:space="preserve"> contrite</w:t>
      </w:r>
      <w:r w:rsidR="00763B21">
        <w:t>’</w:t>
      </w:r>
      <w:r>
        <w:t xml:space="preserve"> as opposed to outward acts, good works or acts of contrition diverges from the self-contradiction of the Bishops</w:t>
      </w:r>
      <w:r w:rsidR="00763B21">
        <w:t>’</w:t>
      </w:r>
      <w:r>
        <w:t xml:space="preserve"> Book thanks to Aretino:</w:t>
      </w:r>
    </w:p>
    <w:p w:rsidR="005B3613" w:rsidRPr="00415365" w:rsidRDefault="00415365" w:rsidP="008837E1">
      <w:pPr>
        <w:spacing w:after="0" w:line="240" w:lineRule="auto"/>
        <w:ind w:left="567" w:right="567"/>
        <w:jc w:val="both"/>
        <w:rPr>
          <w:lang w:val="it-IT"/>
        </w:rPr>
      </w:pPr>
      <w:r w:rsidRPr="00415365">
        <w:rPr>
          <w:lang w:val="it-IT"/>
        </w:rPr>
        <w:t>O beati coloro le cui iniquità perdona Iddio, lasciandole impunite, non per le opere de la contritione, ne de la penitentia, se ben senza esse le colpe nostre non hanno remissione, ma per beneficio de la gratia sua; la bontà de la quale nel cor rintenerito riguarda, e per la compuntion sua moue a ricoprirgli i peccati col lembo de la misericordia.</w:t>
      </w:r>
      <w:r w:rsidRPr="00415365">
        <w:rPr>
          <w:vertAlign w:val="superscript"/>
          <w:lang w:val="it-IT"/>
        </w:rPr>
        <w:t xml:space="preserve"> </w:t>
      </w:r>
      <w:r w:rsidRPr="00415365">
        <w:rPr>
          <w:lang w:val="it-IT"/>
        </w:rPr>
        <w:t xml:space="preserve"> </w:t>
      </w:r>
    </w:p>
    <w:p w:rsidR="005B3613" w:rsidRPr="00415365" w:rsidRDefault="005B3613" w:rsidP="0099652D">
      <w:pPr>
        <w:spacing w:after="0" w:line="240" w:lineRule="auto"/>
        <w:ind w:left="284" w:right="567" w:firstLine="567"/>
        <w:jc w:val="both"/>
        <w:rPr>
          <w:lang w:val="it-IT"/>
        </w:rPr>
      </w:pPr>
    </w:p>
    <w:p w:rsidR="005B3613" w:rsidRDefault="00415365" w:rsidP="008837E1">
      <w:pPr>
        <w:tabs>
          <w:tab w:val="left" w:pos="8364"/>
        </w:tabs>
        <w:spacing w:after="0" w:line="240" w:lineRule="auto"/>
        <w:ind w:left="567" w:right="567"/>
        <w:jc w:val="both"/>
      </w:pPr>
      <w:r>
        <w:lastRenderedPageBreak/>
        <w:t>O blessed are they whose sins God pardons, leaving them unpunished, not through acts of contrition, nor through penitence – except insofar that without these our sins can have no remission – but through the benefice of His grace, the bounty of which in the returned heart you observe, and through its compunction determine to cloak our sins with the mantle of mercy.</w:t>
      </w:r>
      <w:r w:rsidR="008837E1">
        <w:rPr>
          <w:rStyle w:val="FootnoteReference"/>
        </w:rPr>
        <w:footnoteReference w:id="39"/>
      </w:r>
      <w:r>
        <w:t xml:space="preserve"> </w:t>
      </w:r>
    </w:p>
    <w:p w:rsidR="005B3613" w:rsidRDefault="005B3613" w:rsidP="0099652D">
      <w:pPr>
        <w:spacing w:after="0" w:line="480" w:lineRule="auto"/>
        <w:ind w:firstLine="567"/>
        <w:jc w:val="both"/>
      </w:pPr>
    </w:p>
    <w:p w:rsidR="005B3613" w:rsidRDefault="00415365" w:rsidP="00656634">
      <w:pPr>
        <w:spacing w:after="0" w:line="480" w:lineRule="auto"/>
        <w:jc w:val="both"/>
      </w:pPr>
      <w:r>
        <w:t>In fact, Aretino goes further than Wyatt by using a number of disputed terms, such as acts of contrition (</w:t>
      </w:r>
      <w:proofErr w:type="spellStart"/>
      <w:r>
        <w:rPr>
          <w:i/>
        </w:rPr>
        <w:t>opere</w:t>
      </w:r>
      <w:proofErr w:type="spellEnd"/>
      <w:r>
        <w:rPr>
          <w:i/>
        </w:rPr>
        <w:t xml:space="preserve"> de la </w:t>
      </w:r>
      <w:proofErr w:type="spellStart"/>
      <w:r>
        <w:rPr>
          <w:i/>
        </w:rPr>
        <w:t>contritione</w:t>
      </w:r>
      <w:proofErr w:type="spellEnd"/>
      <w:r>
        <w:rPr>
          <w:i/>
        </w:rPr>
        <w:t>)</w:t>
      </w:r>
      <w:r>
        <w:t>, penitence (</w:t>
      </w:r>
      <w:proofErr w:type="spellStart"/>
      <w:r>
        <w:rPr>
          <w:i/>
        </w:rPr>
        <w:t>penitentia</w:t>
      </w:r>
      <w:proofErr w:type="spellEnd"/>
      <w:r>
        <w:t xml:space="preserve">), </w:t>
      </w:r>
      <w:proofErr w:type="gramStart"/>
      <w:r>
        <w:t>remission of sin (</w:t>
      </w:r>
      <w:r>
        <w:rPr>
          <w:i/>
        </w:rPr>
        <w:t xml:space="preserve">le </w:t>
      </w:r>
      <w:proofErr w:type="spellStart"/>
      <w:r>
        <w:rPr>
          <w:i/>
        </w:rPr>
        <w:t>colpe</w:t>
      </w:r>
      <w:proofErr w:type="spellEnd"/>
      <w:r>
        <w:rPr>
          <w:i/>
        </w:rPr>
        <w:t xml:space="preserve"> </w:t>
      </w:r>
      <w:r w:rsidR="008837E1" w:rsidRPr="008837E1">
        <w:rPr>
          <w:iCs/>
        </w:rPr>
        <w:t>[</w:t>
      </w:r>
      <w:r w:rsidRPr="008837E1">
        <w:rPr>
          <w:iCs/>
        </w:rPr>
        <w:t>...</w:t>
      </w:r>
      <w:r w:rsidR="008837E1" w:rsidRPr="008837E1">
        <w:rPr>
          <w:iCs/>
        </w:rPr>
        <w:t>]</w:t>
      </w:r>
      <w:r>
        <w:rPr>
          <w:i/>
        </w:rPr>
        <w:t xml:space="preserve"> </w:t>
      </w:r>
      <w:proofErr w:type="spellStart"/>
      <w:r>
        <w:rPr>
          <w:i/>
        </w:rPr>
        <w:t>remissione</w:t>
      </w:r>
      <w:proofErr w:type="spellEnd"/>
      <w:r>
        <w:t>)</w:t>
      </w:r>
      <w:proofErr w:type="gramEnd"/>
      <w:r>
        <w:t>, compunction (</w:t>
      </w:r>
      <w:proofErr w:type="spellStart"/>
      <w:r>
        <w:rPr>
          <w:i/>
        </w:rPr>
        <w:t>compuntion</w:t>
      </w:r>
      <w:proofErr w:type="spellEnd"/>
      <w:r>
        <w:t>), and the term which is an absent presence in the equivalent section in Wyatt</w:t>
      </w:r>
      <w:r w:rsidR="00763B21">
        <w:t>’</w:t>
      </w:r>
      <w:r>
        <w:t>s translation: grace (</w:t>
      </w:r>
      <w:r>
        <w:rPr>
          <w:i/>
        </w:rPr>
        <w:t>gratia</w:t>
      </w:r>
      <w:r>
        <w:t>). Aretino</w:t>
      </w:r>
      <w:r w:rsidR="00763B21">
        <w:t>’</w:t>
      </w:r>
      <w:r>
        <w:t>s emphasis upon the bounty of God</w:t>
      </w:r>
      <w:r w:rsidR="00763B21">
        <w:t>’</w:t>
      </w:r>
      <w:r>
        <w:t>s grace, and the penitence which God regards in the heart of the penitent, is reformed as Wyatt</w:t>
      </w:r>
      <w:r w:rsidR="00763B21">
        <w:t>’</w:t>
      </w:r>
      <w:r>
        <w:t xml:space="preserve">s </w:t>
      </w:r>
      <w:r w:rsidR="00763B21">
        <w:t>‘</w:t>
      </w:r>
      <w:r>
        <w:t xml:space="preserve">perfect </w:t>
      </w:r>
      <w:proofErr w:type="spellStart"/>
      <w:r>
        <w:t>intelligens</w:t>
      </w:r>
      <w:proofErr w:type="spellEnd"/>
      <w:r>
        <w:t xml:space="preserve"> off </w:t>
      </w:r>
      <w:proofErr w:type="spellStart"/>
      <w:r>
        <w:t>hert</w:t>
      </w:r>
      <w:proofErr w:type="spellEnd"/>
      <w:r>
        <w:t xml:space="preserve"> contrite</w:t>
      </w:r>
      <w:r w:rsidR="00763B21">
        <w:t>’</w:t>
      </w:r>
      <w:r>
        <w:t>, which does not need an external act of contrition.</w:t>
      </w:r>
    </w:p>
    <w:p w:rsidR="005B3613" w:rsidRDefault="00415365" w:rsidP="00656634">
      <w:pPr>
        <w:spacing w:after="0" w:line="480" w:lineRule="auto"/>
        <w:ind w:firstLine="567"/>
        <w:jc w:val="both"/>
      </w:pPr>
      <w:r>
        <w:t xml:space="preserve">Wyatt thus maintains the position that salvation is given </w:t>
      </w:r>
      <w:r w:rsidR="00763B21">
        <w:t>‘</w:t>
      </w:r>
      <w:r w:rsidR="008837E1" w:rsidRPr="001716B2">
        <w:rPr>
          <w:bCs/>
        </w:rPr>
        <w:t xml:space="preserve">not for the </w:t>
      </w:r>
      <w:proofErr w:type="spellStart"/>
      <w:r w:rsidR="008837E1" w:rsidRPr="001716B2">
        <w:rPr>
          <w:bCs/>
        </w:rPr>
        <w:t>wort</w:t>
      </w:r>
      <w:r w:rsidR="008837E1">
        <w:rPr>
          <w:bCs/>
        </w:rPr>
        <w:t>hynes</w:t>
      </w:r>
      <w:proofErr w:type="spellEnd"/>
      <w:r w:rsidR="008837E1" w:rsidRPr="001716B2">
        <w:rPr>
          <w:bCs/>
        </w:rPr>
        <w:t xml:space="preserve"> of any </w:t>
      </w:r>
      <w:proofErr w:type="spellStart"/>
      <w:r w:rsidR="008837E1" w:rsidRPr="001716B2">
        <w:rPr>
          <w:bCs/>
        </w:rPr>
        <w:t>merit</w:t>
      </w:r>
      <w:r w:rsidR="008837E1">
        <w:rPr>
          <w:bCs/>
        </w:rPr>
        <w:t>e</w:t>
      </w:r>
      <w:proofErr w:type="spellEnd"/>
      <w:r w:rsidR="008837E1" w:rsidRPr="001716B2">
        <w:rPr>
          <w:bCs/>
        </w:rPr>
        <w:t xml:space="preserve"> or </w:t>
      </w:r>
      <w:proofErr w:type="spellStart"/>
      <w:r w:rsidR="008837E1" w:rsidRPr="001716B2">
        <w:rPr>
          <w:bCs/>
        </w:rPr>
        <w:t>work</w:t>
      </w:r>
      <w:r w:rsidR="008837E1">
        <w:rPr>
          <w:bCs/>
        </w:rPr>
        <w:t>e</w:t>
      </w:r>
      <w:proofErr w:type="spellEnd"/>
      <w:r w:rsidR="008837E1" w:rsidRPr="001716B2">
        <w:rPr>
          <w:bCs/>
        </w:rPr>
        <w:t xml:space="preserve"> done by the penitent, but </w:t>
      </w:r>
      <w:r w:rsidR="008837E1">
        <w:rPr>
          <w:bCs/>
        </w:rPr>
        <w:t xml:space="preserve">for the </w:t>
      </w:r>
      <w:proofErr w:type="spellStart"/>
      <w:r w:rsidR="008837E1">
        <w:rPr>
          <w:bCs/>
        </w:rPr>
        <w:t>onely</w:t>
      </w:r>
      <w:proofErr w:type="spellEnd"/>
      <w:r w:rsidR="008837E1" w:rsidRPr="001716B2">
        <w:rPr>
          <w:bCs/>
        </w:rPr>
        <w:t xml:space="preserve"> </w:t>
      </w:r>
      <w:proofErr w:type="spellStart"/>
      <w:r w:rsidR="008837E1" w:rsidRPr="001716B2">
        <w:rPr>
          <w:bCs/>
        </w:rPr>
        <w:t>merit</w:t>
      </w:r>
      <w:r w:rsidR="008837E1">
        <w:rPr>
          <w:bCs/>
        </w:rPr>
        <w:t>es</w:t>
      </w:r>
      <w:proofErr w:type="spellEnd"/>
      <w:r w:rsidR="008837E1">
        <w:rPr>
          <w:bCs/>
        </w:rPr>
        <w:t xml:space="preserve"> of the </w:t>
      </w:r>
      <w:proofErr w:type="spellStart"/>
      <w:r w:rsidR="008837E1">
        <w:rPr>
          <w:bCs/>
        </w:rPr>
        <w:t>blo</w:t>
      </w:r>
      <w:r w:rsidR="008837E1" w:rsidRPr="001716B2">
        <w:rPr>
          <w:bCs/>
        </w:rPr>
        <w:t>d</w:t>
      </w:r>
      <w:r w:rsidR="008837E1">
        <w:rPr>
          <w:bCs/>
        </w:rPr>
        <w:t>e</w:t>
      </w:r>
      <w:proofErr w:type="spellEnd"/>
      <w:r w:rsidR="008837E1">
        <w:rPr>
          <w:bCs/>
        </w:rPr>
        <w:t xml:space="preserve"> and passion of our </w:t>
      </w:r>
      <w:proofErr w:type="spellStart"/>
      <w:r w:rsidR="008837E1">
        <w:rPr>
          <w:bCs/>
        </w:rPr>
        <w:t>savy</w:t>
      </w:r>
      <w:r w:rsidR="008837E1" w:rsidRPr="001716B2">
        <w:rPr>
          <w:bCs/>
        </w:rPr>
        <w:t>our</w:t>
      </w:r>
      <w:proofErr w:type="spellEnd"/>
      <w:r w:rsidR="008837E1" w:rsidRPr="001716B2">
        <w:rPr>
          <w:bCs/>
        </w:rPr>
        <w:t xml:space="preserve"> </w:t>
      </w:r>
      <w:proofErr w:type="spellStart"/>
      <w:r w:rsidR="008837E1" w:rsidRPr="001716B2">
        <w:rPr>
          <w:bCs/>
        </w:rPr>
        <w:t>Jesu</w:t>
      </w:r>
      <w:proofErr w:type="spellEnd"/>
      <w:r w:rsidR="008837E1" w:rsidRPr="001716B2">
        <w:rPr>
          <w:bCs/>
        </w:rPr>
        <w:t xml:space="preserve"> </w:t>
      </w:r>
      <w:proofErr w:type="spellStart"/>
      <w:r w:rsidR="008837E1" w:rsidRPr="001716B2">
        <w:rPr>
          <w:bCs/>
        </w:rPr>
        <w:t>Christ</w:t>
      </w:r>
      <w:r w:rsidR="008837E1">
        <w:rPr>
          <w:bCs/>
        </w:rPr>
        <w:t>e</w:t>
      </w:r>
      <w:proofErr w:type="spellEnd"/>
      <w:r w:rsidR="00763B21">
        <w:t>’</w:t>
      </w:r>
      <w:r>
        <w:t>, as the Bishops</w:t>
      </w:r>
      <w:r w:rsidR="00763B21">
        <w:t>’</w:t>
      </w:r>
      <w:r>
        <w:t xml:space="preserve"> Book says, but, following Aretino, refutes the emphasis on </w:t>
      </w:r>
      <w:proofErr w:type="spellStart"/>
      <w:r>
        <w:t>almsdeeds</w:t>
      </w:r>
      <w:proofErr w:type="spellEnd"/>
      <w:r>
        <w:t xml:space="preserve"> and good works. And whereas the Bishops</w:t>
      </w:r>
      <w:r w:rsidR="00763B21">
        <w:t>’</w:t>
      </w:r>
      <w:r>
        <w:t xml:space="preserve"> Book emphasizes </w:t>
      </w:r>
      <w:r w:rsidR="00763B21">
        <w:t>‘</w:t>
      </w:r>
      <w:r w:rsidR="008837E1" w:rsidRPr="00DF1711">
        <w:rPr>
          <w:bCs/>
        </w:rPr>
        <w:t xml:space="preserve">the </w:t>
      </w:r>
      <w:proofErr w:type="spellStart"/>
      <w:r w:rsidR="008837E1" w:rsidRPr="00DF1711">
        <w:rPr>
          <w:bCs/>
        </w:rPr>
        <w:t>executynge</w:t>
      </w:r>
      <w:proofErr w:type="spellEnd"/>
      <w:r w:rsidR="008837E1" w:rsidRPr="00DF1711">
        <w:rPr>
          <w:bCs/>
        </w:rPr>
        <w:t xml:space="preserve"> and </w:t>
      </w:r>
      <w:proofErr w:type="spellStart"/>
      <w:r w:rsidR="008837E1" w:rsidRPr="00DF1711">
        <w:rPr>
          <w:bCs/>
        </w:rPr>
        <w:t>fulfyllinge</w:t>
      </w:r>
      <w:proofErr w:type="spellEnd"/>
      <w:r w:rsidR="008837E1" w:rsidRPr="00DF1711">
        <w:rPr>
          <w:bCs/>
        </w:rPr>
        <w:t xml:space="preserve"> of </w:t>
      </w:r>
      <w:proofErr w:type="spellStart"/>
      <w:r w:rsidR="008837E1" w:rsidRPr="00DF1711">
        <w:rPr>
          <w:bCs/>
        </w:rPr>
        <w:t>goddis</w:t>
      </w:r>
      <w:proofErr w:type="spellEnd"/>
      <w:r w:rsidR="008837E1" w:rsidRPr="00DF1711">
        <w:rPr>
          <w:bCs/>
        </w:rPr>
        <w:t xml:space="preserve"> </w:t>
      </w:r>
      <w:proofErr w:type="spellStart"/>
      <w:r w:rsidR="008837E1" w:rsidRPr="00DF1711">
        <w:rPr>
          <w:bCs/>
        </w:rPr>
        <w:t>commaundment</w:t>
      </w:r>
      <w:proofErr w:type="spellEnd"/>
      <w:r w:rsidR="008837E1" w:rsidRPr="00DF1711">
        <w:rPr>
          <w:bCs/>
        </w:rPr>
        <w:t xml:space="preserve"> </w:t>
      </w:r>
      <w:proofErr w:type="spellStart"/>
      <w:r w:rsidR="008837E1" w:rsidRPr="00DF1711">
        <w:rPr>
          <w:bCs/>
        </w:rPr>
        <w:t>o</w:t>
      </w:r>
      <w:r w:rsidR="008837E1">
        <w:rPr>
          <w:bCs/>
        </w:rPr>
        <w:t>v</w:t>
      </w:r>
      <w:r w:rsidR="008837E1" w:rsidRPr="00DF1711">
        <w:rPr>
          <w:bCs/>
        </w:rPr>
        <w:t>twardely</w:t>
      </w:r>
      <w:proofErr w:type="spellEnd"/>
      <w:r w:rsidR="00763B21">
        <w:t>’</w:t>
      </w:r>
      <w:r>
        <w:t xml:space="preserve">, Wyatt castigates outward deeds at the close of his paraphrase of Psalm, 51 (the </w:t>
      </w:r>
      <w:r w:rsidRPr="008837E1">
        <w:rPr>
          <w:i/>
          <w:iCs/>
        </w:rPr>
        <w:t>Miserere</w:t>
      </w:r>
      <w:r>
        <w:t>):</w:t>
      </w:r>
    </w:p>
    <w:p w:rsidR="008837E1" w:rsidRPr="002B3AB2" w:rsidRDefault="00415365" w:rsidP="008837E1">
      <w:pPr>
        <w:tabs>
          <w:tab w:val="left" w:pos="567"/>
        </w:tabs>
        <w:spacing w:after="0" w:line="240" w:lineRule="auto"/>
        <w:ind w:left="567" w:firstLine="284"/>
        <w:jc w:val="both"/>
        <w:rPr>
          <w:sz w:val="22"/>
          <w:szCs w:val="22"/>
        </w:rPr>
      </w:pPr>
      <w:r>
        <w:rPr>
          <w:sz w:val="22"/>
        </w:rPr>
        <w:tab/>
      </w:r>
      <w:proofErr w:type="spellStart"/>
      <w:r w:rsidR="008837E1" w:rsidRPr="002B3AB2">
        <w:rPr>
          <w:sz w:val="22"/>
          <w:szCs w:val="22"/>
        </w:rPr>
        <w:t>Ffor</w:t>
      </w:r>
      <w:proofErr w:type="spellEnd"/>
      <w:r w:rsidR="008837E1" w:rsidRPr="002B3AB2">
        <w:rPr>
          <w:sz w:val="22"/>
          <w:szCs w:val="22"/>
        </w:rPr>
        <w:t xml:space="preserve"> if thou </w:t>
      </w:r>
      <w:proofErr w:type="spellStart"/>
      <w:r w:rsidR="008837E1" w:rsidRPr="002B3AB2">
        <w:rPr>
          <w:sz w:val="22"/>
          <w:szCs w:val="22"/>
        </w:rPr>
        <w:t>hadst</w:t>
      </w:r>
      <w:proofErr w:type="spellEnd"/>
      <w:r w:rsidR="008837E1" w:rsidRPr="002B3AB2">
        <w:rPr>
          <w:sz w:val="22"/>
          <w:szCs w:val="22"/>
        </w:rPr>
        <w:t xml:space="preserve"> </w:t>
      </w:r>
      <w:proofErr w:type="spellStart"/>
      <w:r w:rsidR="008837E1" w:rsidRPr="002B3AB2">
        <w:rPr>
          <w:sz w:val="22"/>
          <w:szCs w:val="22"/>
        </w:rPr>
        <w:t>estemid</w:t>
      </w:r>
      <w:proofErr w:type="spellEnd"/>
      <w:r w:rsidR="008837E1" w:rsidRPr="002B3AB2">
        <w:rPr>
          <w:sz w:val="22"/>
          <w:szCs w:val="22"/>
        </w:rPr>
        <w:t xml:space="preserve"> </w:t>
      </w:r>
      <w:proofErr w:type="spellStart"/>
      <w:r w:rsidR="008837E1" w:rsidRPr="002B3AB2">
        <w:rPr>
          <w:sz w:val="22"/>
          <w:szCs w:val="22"/>
        </w:rPr>
        <w:t>plesant</w:t>
      </w:r>
      <w:proofErr w:type="spellEnd"/>
      <w:r w:rsidR="008837E1" w:rsidRPr="002B3AB2">
        <w:rPr>
          <w:sz w:val="22"/>
          <w:szCs w:val="22"/>
        </w:rPr>
        <w:t xml:space="preserve"> </w:t>
      </w:r>
      <w:proofErr w:type="gramStart"/>
      <w:r w:rsidR="008837E1" w:rsidRPr="002B3AB2">
        <w:rPr>
          <w:sz w:val="22"/>
          <w:szCs w:val="22"/>
        </w:rPr>
        <w:t>good</w:t>
      </w:r>
      <w:proofErr w:type="gramEnd"/>
      <w:r w:rsidR="008837E1" w:rsidRPr="002B3AB2">
        <w:rPr>
          <w:sz w:val="22"/>
          <w:szCs w:val="22"/>
        </w:rPr>
        <w:t xml:space="preserve"> </w:t>
      </w:r>
    </w:p>
    <w:p w:rsidR="008837E1" w:rsidRPr="002B3AB2" w:rsidRDefault="008837E1" w:rsidP="008837E1">
      <w:pPr>
        <w:tabs>
          <w:tab w:val="left" w:pos="567"/>
        </w:tabs>
        <w:spacing w:after="0" w:line="240" w:lineRule="auto"/>
        <w:ind w:left="567" w:firstLine="284"/>
        <w:jc w:val="both"/>
        <w:rPr>
          <w:sz w:val="22"/>
          <w:szCs w:val="22"/>
        </w:rPr>
      </w:pPr>
      <w:r>
        <w:rPr>
          <w:sz w:val="22"/>
          <w:szCs w:val="22"/>
        </w:rPr>
        <w:t xml:space="preserve">The </w:t>
      </w:r>
      <w:proofErr w:type="spellStart"/>
      <w:r>
        <w:rPr>
          <w:sz w:val="22"/>
          <w:szCs w:val="22"/>
        </w:rPr>
        <w:t>ovt</w:t>
      </w:r>
      <w:r w:rsidRPr="002B3AB2">
        <w:rPr>
          <w:sz w:val="22"/>
          <w:szCs w:val="22"/>
        </w:rPr>
        <w:t>tward</w:t>
      </w:r>
      <w:proofErr w:type="spellEnd"/>
      <w:r w:rsidRPr="002B3AB2">
        <w:rPr>
          <w:sz w:val="22"/>
          <w:szCs w:val="22"/>
        </w:rPr>
        <w:t xml:space="preserve"> </w:t>
      </w:r>
      <w:proofErr w:type="spellStart"/>
      <w:r w:rsidRPr="002B3AB2">
        <w:rPr>
          <w:sz w:val="22"/>
          <w:szCs w:val="22"/>
        </w:rPr>
        <w:t>dedes</w:t>
      </w:r>
      <w:proofErr w:type="spellEnd"/>
      <w:r w:rsidRPr="002B3AB2">
        <w:rPr>
          <w:sz w:val="22"/>
          <w:szCs w:val="22"/>
        </w:rPr>
        <w:t xml:space="preserve"> that </w:t>
      </w:r>
      <w:proofErr w:type="spellStart"/>
      <w:r w:rsidRPr="002B3AB2">
        <w:rPr>
          <w:sz w:val="22"/>
          <w:szCs w:val="22"/>
        </w:rPr>
        <w:t>owtward</w:t>
      </w:r>
      <w:proofErr w:type="spellEnd"/>
      <w:r w:rsidRPr="002B3AB2">
        <w:rPr>
          <w:sz w:val="22"/>
          <w:szCs w:val="22"/>
        </w:rPr>
        <w:t xml:space="preserve"> men disclose,</w:t>
      </w:r>
    </w:p>
    <w:p w:rsidR="008837E1" w:rsidRPr="002B3AB2" w:rsidRDefault="008837E1" w:rsidP="008837E1">
      <w:pPr>
        <w:tabs>
          <w:tab w:val="left" w:pos="567"/>
        </w:tabs>
        <w:spacing w:after="0" w:line="240" w:lineRule="auto"/>
        <w:ind w:left="567" w:firstLine="284"/>
        <w:jc w:val="both"/>
        <w:rPr>
          <w:sz w:val="22"/>
          <w:szCs w:val="22"/>
        </w:rPr>
      </w:pPr>
      <w:r>
        <w:rPr>
          <w:sz w:val="22"/>
          <w:szCs w:val="22"/>
        </w:rPr>
        <w:tab/>
      </w:r>
      <w:r w:rsidRPr="002B3AB2">
        <w:rPr>
          <w:sz w:val="22"/>
          <w:szCs w:val="22"/>
        </w:rPr>
        <w:t xml:space="preserve">I would have </w:t>
      </w:r>
      <w:proofErr w:type="spellStart"/>
      <w:r w:rsidRPr="002B3AB2">
        <w:rPr>
          <w:sz w:val="22"/>
          <w:szCs w:val="22"/>
        </w:rPr>
        <w:t>offerd</w:t>
      </w:r>
      <w:proofErr w:type="spellEnd"/>
      <w:r w:rsidRPr="002B3AB2">
        <w:rPr>
          <w:sz w:val="22"/>
          <w:szCs w:val="22"/>
        </w:rPr>
        <w:t xml:space="preserve"> </w:t>
      </w:r>
      <w:proofErr w:type="spellStart"/>
      <w:r w:rsidRPr="002B3AB2">
        <w:rPr>
          <w:sz w:val="22"/>
          <w:szCs w:val="22"/>
        </w:rPr>
        <w:t>vnto</w:t>
      </w:r>
      <w:proofErr w:type="spellEnd"/>
      <w:r w:rsidRPr="002B3AB2">
        <w:rPr>
          <w:sz w:val="22"/>
          <w:szCs w:val="22"/>
        </w:rPr>
        <w:t xml:space="preserve"> the </w:t>
      </w:r>
      <w:proofErr w:type="spellStart"/>
      <w:r w:rsidRPr="002B3AB2">
        <w:rPr>
          <w:sz w:val="22"/>
          <w:szCs w:val="22"/>
        </w:rPr>
        <w:t>sacryfice</w:t>
      </w:r>
      <w:proofErr w:type="spellEnd"/>
      <w:r w:rsidRPr="002B3AB2">
        <w:rPr>
          <w:sz w:val="22"/>
          <w:szCs w:val="22"/>
        </w:rPr>
        <w:t>.</w:t>
      </w:r>
    </w:p>
    <w:p w:rsidR="008837E1" w:rsidRPr="002B3AB2" w:rsidRDefault="008837E1" w:rsidP="008837E1">
      <w:pPr>
        <w:tabs>
          <w:tab w:val="left" w:pos="567"/>
        </w:tabs>
        <w:spacing w:after="0" w:line="240" w:lineRule="auto"/>
        <w:ind w:left="567" w:firstLine="284"/>
        <w:jc w:val="both"/>
        <w:rPr>
          <w:sz w:val="22"/>
          <w:szCs w:val="22"/>
        </w:rPr>
      </w:pPr>
      <w:r>
        <w:rPr>
          <w:sz w:val="22"/>
          <w:szCs w:val="22"/>
        </w:rPr>
        <w:tab/>
      </w:r>
      <w:r w:rsidRPr="002B3AB2">
        <w:rPr>
          <w:sz w:val="22"/>
          <w:szCs w:val="22"/>
        </w:rPr>
        <w:t xml:space="preserve">But thou </w:t>
      </w:r>
      <w:proofErr w:type="spellStart"/>
      <w:r w:rsidRPr="002B3AB2">
        <w:rPr>
          <w:sz w:val="22"/>
          <w:szCs w:val="22"/>
        </w:rPr>
        <w:t>delightes</w:t>
      </w:r>
      <w:proofErr w:type="spellEnd"/>
      <w:r w:rsidRPr="002B3AB2">
        <w:rPr>
          <w:sz w:val="22"/>
          <w:szCs w:val="22"/>
        </w:rPr>
        <w:t xml:space="preserve"> not in no such </w:t>
      </w:r>
      <w:proofErr w:type="spellStart"/>
      <w:r w:rsidRPr="002B3AB2">
        <w:rPr>
          <w:sz w:val="22"/>
          <w:szCs w:val="22"/>
        </w:rPr>
        <w:t>glose</w:t>
      </w:r>
      <w:proofErr w:type="spellEnd"/>
    </w:p>
    <w:p w:rsidR="008837E1" w:rsidRPr="002B3AB2" w:rsidRDefault="008837E1" w:rsidP="008837E1">
      <w:pPr>
        <w:tabs>
          <w:tab w:val="left" w:pos="567"/>
        </w:tabs>
        <w:spacing w:after="0" w:line="240" w:lineRule="auto"/>
        <w:ind w:left="567" w:firstLine="284"/>
        <w:jc w:val="both"/>
        <w:rPr>
          <w:sz w:val="22"/>
          <w:szCs w:val="22"/>
        </w:rPr>
      </w:pPr>
      <w:proofErr w:type="gramStart"/>
      <w:r w:rsidRPr="002B3AB2">
        <w:rPr>
          <w:sz w:val="22"/>
          <w:szCs w:val="22"/>
        </w:rPr>
        <w:t>Of</w:t>
      </w:r>
      <w:r>
        <w:rPr>
          <w:sz w:val="22"/>
          <w:szCs w:val="22"/>
        </w:rPr>
        <w:t>f</w:t>
      </w:r>
      <w:r>
        <w:rPr>
          <w:sz w:val="22"/>
          <w:szCs w:val="22"/>
        </w:rPr>
        <w:t xml:space="preserve"> </w:t>
      </w:r>
      <w:proofErr w:type="spellStart"/>
      <w:r>
        <w:rPr>
          <w:sz w:val="22"/>
          <w:szCs w:val="22"/>
        </w:rPr>
        <w:t>ow</w:t>
      </w:r>
      <w:r w:rsidRPr="002B3AB2">
        <w:rPr>
          <w:sz w:val="22"/>
          <w:szCs w:val="22"/>
        </w:rPr>
        <w:t>tward</w:t>
      </w:r>
      <w:proofErr w:type="spellEnd"/>
      <w:r w:rsidRPr="002B3AB2">
        <w:rPr>
          <w:sz w:val="22"/>
          <w:szCs w:val="22"/>
        </w:rPr>
        <w:t xml:space="preserve"> </w:t>
      </w:r>
      <w:proofErr w:type="spellStart"/>
      <w:r w:rsidRPr="002B3AB2">
        <w:rPr>
          <w:sz w:val="22"/>
          <w:szCs w:val="22"/>
        </w:rPr>
        <w:t>ded</w:t>
      </w:r>
      <w:r>
        <w:rPr>
          <w:sz w:val="22"/>
          <w:szCs w:val="22"/>
        </w:rPr>
        <w:t>e</w:t>
      </w:r>
      <w:proofErr w:type="spellEnd"/>
      <w:r w:rsidRPr="002B3AB2">
        <w:rPr>
          <w:sz w:val="22"/>
          <w:szCs w:val="22"/>
        </w:rPr>
        <w:t xml:space="preserve">, as men </w:t>
      </w:r>
      <w:proofErr w:type="spellStart"/>
      <w:r w:rsidRPr="002B3AB2">
        <w:rPr>
          <w:sz w:val="22"/>
          <w:szCs w:val="22"/>
        </w:rPr>
        <w:t>dreme</w:t>
      </w:r>
      <w:proofErr w:type="spellEnd"/>
      <w:r w:rsidRPr="002B3AB2">
        <w:rPr>
          <w:sz w:val="22"/>
          <w:szCs w:val="22"/>
        </w:rPr>
        <w:t xml:space="preserve"> and </w:t>
      </w:r>
      <w:proofErr w:type="spellStart"/>
      <w:r w:rsidRPr="002B3AB2">
        <w:rPr>
          <w:sz w:val="22"/>
          <w:szCs w:val="22"/>
        </w:rPr>
        <w:t>devyse</w:t>
      </w:r>
      <w:proofErr w:type="spellEnd"/>
      <w:r w:rsidRPr="002B3AB2">
        <w:rPr>
          <w:sz w:val="22"/>
          <w:szCs w:val="22"/>
        </w:rPr>
        <w:t>.</w:t>
      </w:r>
      <w:proofErr w:type="gramEnd"/>
    </w:p>
    <w:p w:rsidR="008837E1" w:rsidRPr="002B3AB2" w:rsidRDefault="008837E1" w:rsidP="008837E1">
      <w:pPr>
        <w:tabs>
          <w:tab w:val="left" w:pos="567"/>
        </w:tabs>
        <w:spacing w:after="0" w:line="240" w:lineRule="auto"/>
        <w:ind w:left="567" w:firstLine="284"/>
        <w:jc w:val="both"/>
        <w:rPr>
          <w:sz w:val="22"/>
          <w:szCs w:val="22"/>
        </w:rPr>
      </w:pPr>
      <w:r>
        <w:rPr>
          <w:sz w:val="22"/>
          <w:szCs w:val="22"/>
        </w:rPr>
        <w:tab/>
      </w:r>
      <w:r w:rsidRPr="002B3AB2">
        <w:rPr>
          <w:sz w:val="22"/>
          <w:szCs w:val="22"/>
        </w:rPr>
        <w:t xml:space="preserve">The </w:t>
      </w:r>
      <w:proofErr w:type="spellStart"/>
      <w:r w:rsidRPr="002B3AB2">
        <w:rPr>
          <w:sz w:val="22"/>
          <w:szCs w:val="22"/>
        </w:rPr>
        <w:t>sacryfice</w:t>
      </w:r>
      <w:proofErr w:type="spellEnd"/>
      <w:r w:rsidRPr="002B3AB2">
        <w:rPr>
          <w:sz w:val="22"/>
          <w:szCs w:val="22"/>
        </w:rPr>
        <w:t xml:space="preserve"> that the lord </w:t>
      </w:r>
      <w:proofErr w:type="spellStart"/>
      <w:r w:rsidRPr="002B3AB2">
        <w:rPr>
          <w:sz w:val="22"/>
          <w:szCs w:val="22"/>
        </w:rPr>
        <w:t>lykyth</w:t>
      </w:r>
      <w:proofErr w:type="spellEnd"/>
      <w:r w:rsidRPr="002B3AB2">
        <w:rPr>
          <w:sz w:val="22"/>
          <w:szCs w:val="22"/>
        </w:rPr>
        <w:t xml:space="preserve"> most </w:t>
      </w:r>
    </w:p>
    <w:p w:rsidR="008837E1" w:rsidRPr="002B3AB2" w:rsidRDefault="008837E1" w:rsidP="008837E1">
      <w:pPr>
        <w:tabs>
          <w:tab w:val="left" w:pos="567"/>
        </w:tabs>
        <w:spacing w:after="0" w:line="240" w:lineRule="auto"/>
        <w:ind w:left="567" w:firstLine="284"/>
        <w:jc w:val="both"/>
        <w:rPr>
          <w:sz w:val="22"/>
          <w:szCs w:val="22"/>
        </w:rPr>
      </w:pPr>
      <w:r>
        <w:rPr>
          <w:sz w:val="22"/>
          <w:szCs w:val="22"/>
        </w:rPr>
        <w:tab/>
      </w:r>
      <w:r w:rsidRPr="002B3AB2">
        <w:rPr>
          <w:sz w:val="22"/>
          <w:szCs w:val="22"/>
        </w:rPr>
        <w:t xml:space="preserve">Is </w:t>
      </w:r>
      <w:proofErr w:type="spellStart"/>
      <w:r w:rsidRPr="002B3AB2">
        <w:rPr>
          <w:sz w:val="22"/>
          <w:szCs w:val="22"/>
        </w:rPr>
        <w:t>spryte</w:t>
      </w:r>
      <w:proofErr w:type="spellEnd"/>
      <w:r w:rsidRPr="002B3AB2">
        <w:rPr>
          <w:sz w:val="22"/>
          <w:szCs w:val="22"/>
        </w:rPr>
        <w:t xml:space="preserve"> contrite: low </w:t>
      </w:r>
      <w:proofErr w:type="spellStart"/>
      <w:r w:rsidRPr="002B3AB2">
        <w:rPr>
          <w:sz w:val="22"/>
          <w:szCs w:val="22"/>
        </w:rPr>
        <w:t>hert</w:t>
      </w:r>
      <w:proofErr w:type="spellEnd"/>
      <w:r w:rsidRPr="002B3AB2">
        <w:rPr>
          <w:sz w:val="22"/>
          <w:szCs w:val="22"/>
        </w:rPr>
        <w:t xml:space="preserve"> in humble </w:t>
      </w:r>
      <w:proofErr w:type="spellStart"/>
      <w:proofErr w:type="gramStart"/>
      <w:r w:rsidRPr="002B3AB2">
        <w:rPr>
          <w:sz w:val="22"/>
          <w:szCs w:val="22"/>
        </w:rPr>
        <w:t>wyse</w:t>
      </w:r>
      <w:proofErr w:type="spellEnd"/>
      <w:proofErr w:type="gramEnd"/>
      <w:r w:rsidRPr="002B3AB2">
        <w:rPr>
          <w:sz w:val="22"/>
          <w:szCs w:val="22"/>
        </w:rPr>
        <w:t xml:space="preserve"> </w:t>
      </w:r>
    </w:p>
    <w:p w:rsidR="008837E1" w:rsidRPr="002B3AB2" w:rsidRDefault="008837E1" w:rsidP="008837E1">
      <w:pPr>
        <w:tabs>
          <w:tab w:val="left" w:pos="567"/>
        </w:tabs>
        <w:spacing w:after="0" w:line="240" w:lineRule="auto"/>
        <w:ind w:left="567" w:firstLine="284"/>
        <w:jc w:val="both"/>
        <w:rPr>
          <w:sz w:val="22"/>
          <w:szCs w:val="22"/>
        </w:rPr>
      </w:pPr>
      <w:proofErr w:type="spellStart"/>
      <w:r w:rsidRPr="002B3AB2">
        <w:rPr>
          <w:sz w:val="22"/>
          <w:szCs w:val="22"/>
        </w:rPr>
        <w:t>Thow</w:t>
      </w:r>
      <w:proofErr w:type="spellEnd"/>
      <w:r w:rsidRPr="002B3AB2">
        <w:rPr>
          <w:sz w:val="22"/>
          <w:szCs w:val="22"/>
        </w:rPr>
        <w:t xml:space="preserve"> </w:t>
      </w:r>
      <w:proofErr w:type="spellStart"/>
      <w:r w:rsidRPr="002B3AB2">
        <w:rPr>
          <w:sz w:val="22"/>
          <w:szCs w:val="22"/>
        </w:rPr>
        <w:t>dost</w:t>
      </w:r>
      <w:proofErr w:type="spellEnd"/>
      <w:r w:rsidRPr="002B3AB2">
        <w:rPr>
          <w:sz w:val="22"/>
          <w:szCs w:val="22"/>
        </w:rPr>
        <w:t xml:space="preserve"> accept, o god, for </w:t>
      </w:r>
      <w:proofErr w:type="spellStart"/>
      <w:r w:rsidRPr="002B3AB2">
        <w:rPr>
          <w:sz w:val="22"/>
          <w:szCs w:val="22"/>
        </w:rPr>
        <w:t>plesant</w:t>
      </w:r>
      <w:proofErr w:type="spellEnd"/>
      <w:r w:rsidRPr="002B3AB2">
        <w:rPr>
          <w:sz w:val="22"/>
          <w:szCs w:val="22"/>
        </w:rPr>
        <w:t xml:space="preserve"> host.</w:t>
      </w:r>
    </w:p>
    <w:p w:rsidR="008837E1" w:rsidRPr="002B3AB2" w:rsidRDefault="008837E1" w:rsidP="008837E1">
      <w:pPr>
        <w:tabs>
          <w:tab w:val="left" w:pos="567"/>
        </w:tabs>
        <w:spacing w:after="0" w:line="240" w:lineRule="auto"/>
        <w:ind w:left="567" w:firstLine="284"/>
        <w:jc w:val="both"/>
        <w:rPr>
          <w:sz w:val="22"/>
          <w:szCs w:val="22"/>
        </w:rPr>
      </w:pPr>
      <w:r>
        <w:rPr>
          <w:sz w:val="22"/>
          <w:szCs w:val="22"/>
        </w:rPr>
        <w:tab/>
      </w:r>
      <w:r w:rsidRPr="002B3AB2">
        <w:rPr>
          <w:sz w:val="22"/>
          <w:szCs w:val="22"/>
        </w:rPr>
        <w:t xml:space="preserve">Make </w:t>
      </w:r>
      <w:proofErr w:type="spellStart"/>
      <w:r w:rsidRPr="002B3AB2">
        <w:rPr>
          <w:sz w:val="22"/>
          <w:szCs w:val="22"/>
        </w:rPr>
        <w:t>Syon</w:t>
      </w:r>
      <w:proofErr w:type="spellEnd"/>
      <w:r w:rsidRPr="002B3AB2">
        <w:rPr>
          <w:sz w:val="22"/>
          <w:szCs w:val="22"/>
        </w:rPr>
        <w:t xml:space="preserve">, lord, </w:t>
      </w:r>
      <w:proofErr w:type="spellStart"/>
      <w:r w:rsidRPr="002B3AB2">
        <w:rPr>
          <w:sz w:val="22"/>
          <w:szCs w:val="22"/>
        </w:rPr>
        <w:t>accordyng</w:t>
      </w:r>
      <w:proofErr w:type="spellEnd"/>
      <w:r w:rsidRPr="002B3AB2">
        <w:rPr>
          <w:sz w:val="22"/>
          <w:szCs w:val="22"/>
        </w:rPr>
        <w:t xml:space="preserve"> to thy will </w:t>
      </w:r>
    </w:p>
    <w:p w:rsidR="008837E1" w:rsidRPr="002B3AB2" w:rsidRDefault="008837E1" w:rsidP="008837E1">
      <w:pPr>
        <w:tabs>
          <w:tab w:val="left" w:pos="567"/>
        </w:tabs>
        <w:spacing w:after="0" w:line="240" w:lineRule="auto"/>
        <w:ind w:left="567" w:firstLine="284"/>
        <w:jc w:val="both"/>
        <w:rPr>
          <w:sz w:val="22"/>
          <w:szCs w:val="22"/>
        </w:rPr>
      </w:pPr>
      <w:r>
        <w:rPr>
          <w:sz w:val="22"/>
          <w:szCs w:val="22"/>
        </w:rPr>
        <w:tab/>
        <w:t xml:space="preserve">Inward </w:t>
      </w:r>
      <w:proofErr w:type="spellStart"/>
      <w:r>
        <w:rPr>
          <w:sz w:val="22"/>
          <w:szCs w:val="22"/>
        </w:rPr>
        <w:t>Syon</w:t>
      </w:r>
      <w:proofErr w:type="spellEnd"/>
      <w:r>
        <w:rPr>
          <w:sz w:val="22"/>
          <w:szCs w:val="22"/>
        </w:rPr>
        <w:t xml:space="preserve">, the </w:t>
      </w:r>
      <w:proofErr w:type="spellStart"/>
      <w:r>
        <w:rPr>
          <w:sz w:val="22"/>
          <w:szCs w:val="22"/>
        </w:rPr>
        <w:t>Sy</w:t>
      </w:r>
      <w:r w:rsidRPr="002B3AB2">
        <w:rPr>
          <w:sz w:val="22"/>
          <w:szCs w:val="22"/>
        </w:rPr>
        <w:t>on</w:t>
      </w:r>
      <w:proofErr w:type="spellEnd"/>
      <w:r w:rsidRPr="002B3AB2">
        <w:rPr>
          <w:sz w:val="22"/>
          <w:szCs w:val="22"/>
        </w:rPr>
        <w:t xml:space="preserve"> of the ghost:</w:t>
      </w:r>
    </w:p>
    <w:p w:rsidR="008837E1" w:rsidRPr="002B3AB2" w:rsidRDefault="008837E1" w:rsidP="008837E1">
      <w:pPr>
        <w:tabs>
          <w:tab w:val="left" w:pos="567"/>
        </w:tabs>
        <w:spacing w:after="0" w:line="240" w:lineRule="auto"/>
        <w:ind w:left="567" w:firstLine="284"/>
        <w:jc w:val="both"/>
        <w:rPr>
          <w:sz w:val="22"/>
          <w:szCs w:val="22"/>
        </w:rPr>
      </w:pPr>
      <w:r w:rsidRPr="002B3AB2">
        <w:rPr>
          <w:sz w:val="22"/>
          <w:szCs w:val="22"/>
        </w:rPr>
        <w:t>Of</w:t>
      </w:r>
      <w:r>
        <w:rPr>
          <w:sz w:val="22"/>
          <w:szCs w:val="22"/>
        </w:rPr>
        <w:t>f</w:t>
      </w:r>
      <w:r w:rsidRPr="002B3AB2">
        <w:rPr>
          <w:sz w:val="22"/>
          <w:szCs w:val="22"/>
        </w:rPr>
        <w:t xml:space="preserve"> </w:t>
      </w:r>
      <w:proofErr w:type="spellStart"/>
      <w:r w:rsidRPr="002B3AB2">
        <w:rPr>
          <w:sz w:val="22"/>
          <w:szCs w:val="22"/>
        </w:rPr>
        <w:t>hertes</w:t>
      </w:r>
      <w:proofErr w:type="spellEnd"/>
      <w:r w:rsidRPr="002B3AB2">
        <w:rPr>
          <w:sz w:val="22"/>
          <w:szCs w:val="22"/>
        </w:rPr>
        <w:t xml:space="preserve"> </w:t>
      </w:r>
      <w:proofErr w:type="spellStart"/>
      <w:r w:rsidRPr="002B3AB2">
        <w:rPr>
          <w:sz w:val="22"/>
          <w:szCs w:val="22"/>
        </w:rPr>
        <w:t>Hierusalem</w:t>
      </w:r>
      <w:proofErr w:type="spellEnd"/>
      <w:r w:rsidRPr="002B3AB2">
        <w:rPr>
          <w:sz w:val="22"/>
          <w:szCs w:val="22"/>
        </w:rPr>
        <w:t xml:space="preserve"> streng</w:t>
      </w:r>
      <w:r>
        <w:rPr>
          <w:sz w:val="22"/>
          <w:szCs w:val="22"/>
        </w:rPr>
        <w:t xml:space="preserve">th the </w:t>
      </w:r>
      <w:proofErr w:type="spellStart"/>
      <w:r>
        <w:rPr>
          <w:sz w:val="22"/>
          <w:szCs w:val="22"/>
        </w:rPr>
        <w:t>walles</w:t>
      </w:r>
      <w:proofErr w:type="spellEnd"/>
      <w:r>
        <w:rPr>
          <w:sz w:val="22"/>
          <w:szCs w:val="22"/>
        </w:rPr>
        <w:t xml:space="preserve"> still. (495-505)</w:t>
      </w:r>
    </w:p>
    <w:p w:rsidR="005B3613" w:rsidRDefault="005B3613" w:rsidP="008837E1">
      <w:pPr>
        <w:spacing w:after="0" w:line="240" w:lineRule="auto"/>
        <w:ind w:firstLine="567"/>
        <w:jc w:val="both"/>
      </w:pPr>
    </w:p>
    <w:p w:rsidR="005B3613" w:rsidRDefault="00415365" w:rsidP="00656634">
      <w:pPr>
        <w:spacing w:after="0" w:line="480" w:lineRule="auto"/>
        <w:jc w:val="both"/>
      </w:pPr>
      <w:r>
        <w:t xml:space="preserve">The disparagement of </w:t>
      </w:r>
      <w:r w:rsidR="00763B21">
        <w:t>‘</w:t>
      </w:r>
      <w:proofErr w:type="spellStart"/>
      <w:r>
        <w:t>ovttward</w:t>
      </w:r>
      <w:proofErr w:type="spellEnd"/>
      <w:r>
        <w:t xml:space="preserve"> </w:t>
      </w:r>
      <w:proofErr w:type="spellStart"/>
      <w:r>
        <w:t>dedes</w:t>
      </w:r>
      <w:proofErr w:type="spellEnd"/>
      <w:r>
        <w:t xml:space="preserve"> that </w:t>
      </w:r>
      <w:proofErr w:type="spellStart"/>
      <w:r>
        <w:t>owtward</w:t>
      </w:r>
      <w:proofErr w:type="spellEnd"/>
      <w:r>
        <w:t xml:space="preserve"> men disclose</w:t>
      </w:r>
      <w:r w:rsidR="00763B21">
        <w:t>’</w:t>
      </w:r>
      <w:r>
        <w:t xml:space="preserve"> develops the earlier divergence from acts of contrition to divine grace, and again is dependent upon Aretino:</w:t>
      </w:r>
    </w:p>
    <w:p w:rsidR="005B3613" w:rsidRPr="008837E1" w:rsidRDefault="00415365" w:rsidP="008837E1">
      <w:pPr>
        <w:spacing w:after="0" w:line="240" w:lineRule="auto"/>
        <w:ind w:left="567" w:right="521"/>
        <w:jc w:val="both"/>
        <w:rPr>
          <w:sz w:val="20"/>
          <w:lang w:val="it-IT"/>
        </w:rPr>
      </w:pPr>
      <w:r w:rsidRPr="008837E1">
        <w:rPr>
          <w:sz w:val="20"/>
          <w:lang w:val="it-IT"/>
        </w:rPr>
        <w:lastRenderedPageBreak/>
        <w:t>Laude, e gloria con la bocca, e col core ti ho sacrificato Signore, e se tu hauessi voluto altro sacrificio certamente io te lo haurei fatto; ma io veggio in spirito che tu non ti diletterai de gli holocausti; &amp; verrà tempo che non hauerai agrado cotal sacrificio, perche sono ceremonie che appaiono di fuora, et a te sono grate le intentioni de l</w:t>
      </w:r>
      <w:r w:rsidR="00763B21" w:rsidRPr="008837E1">
        <w:rPr>
          <w:sz w:val="20"/>
          <w:lang w:val="it-IT"/>
        </w:rPr>
        <w:t>’</w:t>
      </w:r>
      <w:r w:rsidRPr="008837E1">
        <w:rPr>
          <w:sz w:val="20"/>
          <w:lang w:val="it-IT"/>
        </w:rPr>
        <w:t xml:space="preserve">animo </w:t>
      </w:r>
      <w:r w:rsidR="008837E1">
        <w:rPr>
          <w:sz w:val="20"/>
          <w:lang w:val="it-IT"/>
        </w:rPr>
        <w:t>[</w:t>
      </w:r>
      <w:r w:rsidRPr="008837E1">
        <w:rPr>
          <w:sz w:val="20"/>
          <w:lang w:val="it-IT"/>
        </w:rPr>
        <w:t>...</w:t>
      </w:r>
      <w:r w:rsidR="008837E1">
        <w:rPr>
          <w:sz w:val="20"/>
          <w:lang w:val="it-IT"/>
        </w:rPr>
        <w:t>]</w:t>
      </w:r>
      <w:r w:rsidRPr="008837E1">
        <w:rPr>
          <w:sz w:val="20"/>
          <w:lang w:val="it-IT"/>
        </w:rPr>
        <w:t xml:space="preserve">. vn core contrite, &amp; humiliate Iddio mai non dispregierà </w:t>
      </w:r>
      <w:r w:rsidR="008837E1">
        <w:rPr>
          <w:sz w:val="20"/>
          <w:lang w:val="it-IT"/>
        </w:rPr>
        <w:t>[</w:t>
      </w:r>
      <w:r w:rsidRPr="008837E1">
        <w:rPr>
          <w:sz w:val="20"/>
          <w:lang w:val="it-IT"/>
        </w:rPr>
        <w:t>...</w:t>
      </w:r>
      <w:r w:rsidR="008837E1">
        <w:rPr>
          <w:sz w:val="20"/>
          <w:lang w:val="it-IT"/>
        </w:rPr>
        <w:t>]</w:t>
      </w:r>
      <w:r w:rsidRPr="008837E1">
        <w:rPr>
          <w:sz w:val="20"/>
          <w:lang w:val="it-IT"/>
        </w:rPr>
        <w:t>.</w:t>
      </w:r>
      <w:r w:rsidRPr="008837E1">
        <w:rPr>
          <w:sz w:val="20"/>
          <w:vertAlign w:val="superscript"/>
          <w:lang w:val="it-IT"/>
        </w:rPr>
        <w:t xml:space="preserve"> </w:t>
      </w:r>
      <w:r w:rsidR="008837E1">
        <w:rPr>
          <w:rStyle w:val="FootnoteReference"/>
          <w:sz w:val="20"/>
          <w:lang w:val="it-IT"/>
        </w:rPr>
        <w:footnoteReference w:id="40"/>
      </w:r>
      <w:r w:rsidRPr="008837E1">
        <w:rPr>
          <w:sz w:val="20"/>
          <w:lang w:val="it-IT"/>
        </w:rPr>
        <w:t xml:space="preserve"> </w:t>
      </w:r>
    </w:p>
    <w:p w:rsidR="005B3613" w:rsidRPr="008837E1" w:rsidRDefault="005B3613" w:rsidP="008837E1">
      <w:pPr>
        <w:spacing w:after="0" w:line="240" w:lineRule="auto"/>
        <w:ind w:left="567" w:right="521"/>
        <w:jc w:val="both"/>
        <w:rPr>
          <w:sz w:val="20"/>
          <w:lang w:val="it-IT"/>
        </w:rPr>
      </w:pPr>
    </w:p>
    <w:p w:rsidR="005B3613" w:rsidRPr="008837E1" w:rsidRDefault="00415365" w:rsidP="008837E1">
      <w:pPr>
        <w:spacing w:after="0" w:line="240" w:lineRule="auto"/>
        <w:ind w:left="567" w:right="521"/>
        <w:jc w:val="both"/>
        <w:rPr>
          <w:sz w:val="20"/>
        </w:rPr>
      </w:pPr>
      <w:r w:rsidRPr="008837E1">
        <w:rPr>
          <w:sz w:val="20"/>
        </w:rPr>
        <w:t xml:space="preserve">Praise and glory with my mouth and heart have been my sacrifice to you Lord, but if you had willed another sacrifice I would certainly have made it. But I see with the eye of my spirit that you do not delight in such burnt offerings, and that there will come a time when there will be no need for such sacrifice, because they are ceremonies which appear outwardly, and to you are given the intentions of the soul </w:t>
      </w:r>
      <w:r w:rsidR="00CB13F9">
        <w:rPr>
          <w:sz w:val="20"/>
        </w:rPr>
        <w:t>[</w:t>
      </w:r>
      <w:r w:rsidRPr="008837E1">
        <w:rPr>
          <w:sz w:val="20"/>
        </w:rPr>
        <w:t>...</w:t>
      </w:r>
      <w:proofErr w:type="gramStart"/>
      <w:r w:rsidR="00CB13F9">
        <w:rPr>
          <w:sz w:val="20"/>
        </w:rPr>
        <w:t>]</w:t>
      </w:r>
      <w:r w:rsidRPr="008837E1">
        <w:rPr>
          <w:sz w:val="20"/>
        </w:rPr>
        <w:t xml:space="preserve"> .</w:t>
      </w:r>
      <w:proofErr w:type="gramEnd"/>
      <w:r w:rsidRPr="008837E1">
        <w:rPr>
          <w:sz w:val="20"/>
        </w:rPr>
        <w:t xml:space="preserve"> God will never scorn a contrite and humble heart.</w:t>
      </w:r>
      <w:r w:rsidRPr="008837E1">
        <w:rPr>
          <w:sz w:val="20"/>
          <w:vertAlign w:val="superscript"/>
        </w:rPr>
        <w:t xml:space="preserve"> </w:t>
      </w:r>
      <w:r w:rsidRPr="008837E1">
        <w:rPr>
          <w:sz w:val="20"/>
        </w:rPr>
        <w:t xml:space="preserve"> </w:t>
      </w:r>
    </w:p>
    <w:p w:rsidR="005B3613" w:rsidRDefault="005B3613" w:rsidP="0099652D">
      <w:pPr>
        <w:spacing w:after="0" w:line="240" w:lineRule="auto"/>
        <w:ind w:firstLine="567"/>
        <w:jc w:val="both"/>
      </w:pPr>
    </w:p>
    <w:p w:rsidR="005B3613" w:rsidRDefault="00415365" w:rsidP="00656634">
      <w:pPr>
        <w:spacing w:after="0" w:line="480" w:lineRule="auto"/>
        <w:jc w:val="both"/>
      </w:pPr>
      <w:r>
        <w:t>Wyatt</w:t>
      </w:r>
      <w:r w:rsidR="00763B21">
        <w:t>’</w:t>
      </w:r>
      <w:r>
        <w:t xml:space="preserve">s </w:t>
      </w:r>
      <w:r w:rsidR="00763B21">
        <w:t>‘</w:t>
      </w:r>
      <w:proofErr w:type="spellStart"/>
      <w:r>
        <w:t>ovttward</w:t>
      </w:r>
      <w:proofErr w:type="spellEnd"/>
      <w:r>
        <w:t xml:space="preserve"> </w:t>
      </w:r>
      <w:proofErr w:type="spellStart"/>
      <w:r>
        <w:t>dedes</w:t>
      </w:r>
      <w:proofErr w:type="spellEnd"/>
      <w:r w:rsidR="00763B21">
        <w:t>’</w:t>
      </w:r>
      <w:r>
        <w:t xml:space="preserve"> translates Aretino</w:t>
      </w:r>
      <w:r w:rsidR="00763B21">
        <w:t>’</w:t>
      </w:r>
      <w:r>
        <w:t xml:space="preserve">s </w:t>
      </w:r>
      <w:r w:rsidR="00763B21">
        <w:t>‘</w:t>
      </w:r>
      <w:proofErr w:type="spellStart"/>
      <w:r>
        <w:t>ceremonie</w:t>
      </w:r>
      <w:proofErr w:type="spellEnd"/>
      <w:r>
        <w:t xml:space="preserve"> </w:t>
      </w:r>
      <w:proofErr w:type="spellStart"/>
      <w:r>
        <w:t>che</w:t>
      </w:r>
      <w:proofErr w:type="spellEnd"/>
      <w:r>
        <w:t xml:space="preserve"> </w:t>
      </w:r>
      <w:proofErr w:type="spellStart"/>
      <w:r>
        <w:t>appaiono</w:t>
      </w:r>
      <w:proofErr w:type="spellEnd"/>
      <w:r>
        <w:t xml:space="preserve"> di </w:t>
      </w:r>
      <w:proofErr w:type="spellStart"/>
      <w:r>
        <w:t>fuora</w:t>
      </w:r>
      <w:proofErr w:type="spellEnd"/>
      <w:r w:rsidR="00763B21">
        <w:t>’</w:t>
      </w:r>
      <w:r>
        <w:t xml:space="preserve">, although the addition of </w:t>
      </w:r>
      <w:r w:rsidR="00763B21">
        <w:t>‘</w:t>
      </w:r>
      <w:proofErr w:type="spellStart"/>
      <w:r>
        <w:t>owtward</w:t>
      </w:r>
      <w:proofErr w:type="spellEnd"/>
      <w:r>
        <w:t xml:space="preserve"> men</w:t>
      </w:r>
      <w:r w:rsidR="00763B21">
        <w:t>’</w:t>
      </w:r>
      <w:r>
        <w:t xml:space="preserve"> is Wyatt</w:t>
      </w:r>
      <w:r w:rsidR="00763B21">
        <w:t>’</w:t>
      </w:r>
      <w:r>
        <w:t xml:space="preserve">s own, and appears to be a direct refutation of the term </w:t>
      </w:r>
      <w:r w:rsidR="00763B21">
        <w:t>‘</w:t>
      </w:r>
      <w:r>
        <w:t>outwardly</w:t>
      </w:r>
      <w:r w:rsidR="00763B21">
        <w:t>’</w:t>
      </w:r>
      <w:r>
        <w:t xml:space="preserve"> as it is used in the Bishops</w:t>
      </w:r>
      <w:r w:rsidR="00763B21">
        <w:t>’</w:t>
      </w:r>
      <w:r>
        <w:t xml:space="preserve"> Book.</w:t>
      </w:r>
    </w:p>
    <w:p w:rsidR="005B3613" w:rsidRDefault="00415365" w:rsidP="00656634">
      <w:pPr>
        <w:spacing w:after="0" w:line="480" w:lineRule="auto"/>
        <w:ind w:firstLine="567"/>
        <w:jc w:val="both"/>
        <w:rPr>
          <w:b/>
        </w:rPr>
      </w:pPr>
      <w:r>
        <w:t xml:space="preserve">  However, there are </w:t>
      </w:r>
      <w:r w:rsidR="00CB13F9">
        <w:t xml:space="preserve">long-standing </w:t>
      </w:r>
      <w:r>
        <w:t>points of doctrine upon which Aretino, Wyatt and the Bishops</w:t>
      </w:r>
      <w:r w:rsidR="00763B21">
        <w:t>’</w:t>
      </w:r>
      <w:r>
        <w:t xml:space="preserve"> Book agree. Wyatt</w:t>
      </w:r>
      <w:r w:rsidR="00763B21">
        <w:t>’</w:t>
      </w:r>
      <w:r>
        <w:t xml:space="preserve">s emphasis upon the inward Zion is perhaps more </w:t>
      </w:r>
      <w:r w:rsidR="00CB13F9">
        <w:t>traditional</w:t>
      </w:r>
      <w:r>
        <w:t xml:space="preserve"> than previous commentators would allow, given its quasi-Augustinian tenor of the heavenly Jerusalem gained through </w:t>
      </w:r>
      <w:r>
        <w:rPr>
          <w:i/>
        </w:rPr>
        <w:t>caritas</w:t>
      </w:r>
      <w:r>
        <w:t xml:space="preserve"> as opposed to </w:t>
      </w:r>
      <w:proofErr w:type="spellStart"/>
      <w:r>
        <w:rPr>
          <w:i/>
        </w:rPr>
        <w:t>cupiditas</w:t>
      </w:r>
      <w:proofErr w:type="spellEnd"/>
      <w:r>
        <w:t xml:space="preserve">, of a life lived </w:t>
      </w:r>
      <w:proofErr w:type="spellStart"/>
      <w:r>
        <w:rPr>
          <w:i/>
        </w:rPr>
        <w:t>secundum</w:t>
      </w:r>
      <w:proofErr w:type="spellEnd"/>
      <w:r>
        <w:t xml:space="preserve"> </w:t>
      </w:r>
      <w:proofErr w:type="spellStart"/>
      <w:r>
        <w:rPr>
          <w:i/>
        </w:rPr>
        <w:t>spiritum</w:t>
      </w:r>
      <w:proofErr w:type="spellEnd"/>
      <w:r>
        <w:t xml:space="preserve"> as opposed to </w:t>
      </w:r>
      <w:proofErr w:type="spellStart"/>
      <w:r>
        <w:rPr>
          <w:i/>
        </w:rPr>
        <w:t>secundum</w:t>
      </w:r>
      <w:proofErr w:type="spellEnd"/>
      <w:r>
        <w:rPr>
          <w:i/>
        </w:rPr>
        <w:t xml:space="preserve"> </w:t>
      </w:r>
      <w:proofErr w:type="spellStart"/>
      <w:r>
        <w:rPr>
          <w:i/>
        </w:rPr>
        <w:t>carnem</w:t>
      </w:r>
      <w:proofErr w:type="spellEnd"/>
      <w:r>
        <w:t>.</w:t>
      </w:r>
      <w:r>
        <w:rPr>
          <w:vertAlign w:val="superscript"/>
        </w:rPr>
        <w:t xml:space="preserve"> </w:t>
      </w:r>
      <w:r>
        <w:t xml:space="preserve"> This emphasis again is frequently claimed as Wyatt</w:t>
      </w:r>
      <w:r w:rsidR="00763B21">
        <w:t>’</w:t>
      </w:r>
      <w:r>
        <w:t>s innovation but in fact has its roots in Aretino</w:t>
      </w:r>
      <w:r w:rsidR="00763B21">
        <w:t>’</w:t>
      </w:r>
      <w:r>
        <w:t>s denigration of outward sacrifice and his extended exposition of the inward Zion:</w:t>
      </w:r>
      <w:r>
        <w:rPr>
          <w:b/>
        </w:rPr>
        <w:t xml:space="preserve"> </w:t>
      </w:r>
    </w:p>
    <w:p w:rsidR="005B3613" w:rsidRDefault="005B3613" w:rsidP="0099652D">
      <w:pPr>
        <w:spacing w:after="0" w:line="240" w:lineRule="auto"/>
        <w:ind w:firstLine="567"/>
        <w:jc w:val="both"/>
        <w:rPr>
          <w:b/>
        </w:rPr>
      </w:pPr>
    </w:p>
    <w:p w:rsidR="005B3613" w:rsidRPr="00415365" w:rsidRDefault="00415365" w:rsidP="00CB13F9">
      <w:pPr>
        <w:spacing w:after="0" w:line="240" w:lineRule="auto"/>
        <w:ind w:left="567" w:right="521"/>
        <w:jc w:val="both"/>
        <w:rPr>
          <w:lang w:val="it-IT"/>
        </w:rPr>
      </w:pPr>
      <w:r w:rsidRPr="00415365">
        <w:rPr>
          <w:lang w:val="it-IT"/>
        </w:rPr>
        <w:t xml:space="preserve">Per la tua summa bontà Signore sia benigno a Sion, che cotal nome ho posto a la speculatione di quelli, che per desiderio de la verità verranno a cognitione del tuo figliuolo </w:t>
      </w:r>
      <w:r w:rsidR="00CB13F9">
        <w:rPr>
          <w:lang w:val="it-IT"/>
        </w:rPr>
        <w:t>[</w:t>
      </w:r>
      <w:r w:rsidRPr="00415365">
        <w:rPr>
          <w:lang w:val="it-IT"/>
        </w:rPr>
        <w:t>...</w:t>
      </w:r>
      <w:r w:rsidR="00CB13F9">
        <w:rPr>
          <w:lang w:val="it-IT"/>
        </w:rPr>
        <w:t>]</w:t>
      </w:r>
      <w:r w:rsidRPr="00415365">
        <w:rPr>
          <w:lang w:val="it-IT"/>
        </w:rPr>
        <w:t xml:space="preserve"> acciò sieno edificati i muri di Gierusalemme, il qual tolgo come visione de la pace, e de la vnione che debbe essere nel genere humano circa il laudare, honorare, &amp; adorare te solo. ... e cosi edificandosi le mura Gierusalemme si edificherà ne le anime la vertù de la tua sapientia. </w:t>
      </w:r>
      <w:r w:rsidR="00CB13F9">
        <w:rPr>
          <w:lang w:val="it-IT"/>
        </w:rPr>
        <w:t>[</w:t>
      </w:r>
      <w:r w:rsidRPr="00415365">
        <w:rPr>
          <w:lang w:val="it-IT"/>
        </w:rPr>
        <w:t>...</w:t>
      </w:r>
      <w:r w:rsidR="00CB13F9">
        <w:rPr>
          <w:lang w:val="it-IT"/>
        </w:rPr>
        <w:t>]</w:t>
      </w:r>
      <w:r w:rsidRPr="00415365">
        <w:rPr>
          <w:lang w:val="it-IT"/>
        </w:rPr>
        <w:t xml:space="preserve"> riceverai da loro non solamento le vittime, le oblationi, e gli holocausti, ma il sacrificio del cor sincero </w:t>
      </w:r>
      <w:r w:rsidR="00CB13F9">
        <w:rPr>
          <w:lang w:val="it-IT"/>
        </w:rPr>
        <w:t>[</w:t>
      </w:r>
      <w:r w:rsidRPr="00415365">
        <w:rPr>
          <w:lang w:val="it-IT"/>
        </w:rPr>
        <w:t>...</w:t>
      </w:r>
      <w:r w:rsidR="00CB13F9">
        <w:rPr>
          <w:lang w:val="it-IT"/>
        </w:rPr>
        <w:t>]</w:t>
      </w:r>
      <w:r w:rsidRPr="00415365">
        <w:rPr>
          <w:lang w:val="it-IT"/>
        </w:rPr>
        <w:t>.</w:t>
      </w:r>
      <w:r w:rsidR="00CB13F9">
        <w:rPr>
          <w:rStyle w:val="FootnoteReference"/>
        </w:rPr>
        <w:footnoteReference w:id="41"/>
      </w:r>
      <w:r w:rsidRPr="00415365">
        <w:rPr>
          <w:vertAlign w:val="superscript"/>
          <w:lang w:val="it-IT"/>
        </w:rPr>
        <w:t xml:space="preserve"> </w:t>
      </w:r>
    </w:p>
    <w:p w:rsidR="005B3613" w:rsidRPr="00415365" w:rsidRDefault="005B3613" w:rsidP="00CB13F9">
      <w:pPr>
        <w:spacing w:after="0" w:line="240" w:lineRule="auto"/>
        <w:ind w:left="567" w:right="521"/>
        <w:jc w:val="both"/>
        <w:rPr>
          <w:lang w:val="it-IT"/>
        </w:rPr>
      </w:pPr>
    </w:p>
    <w:p w:rsidR="005B3613" w:rsidRDefault="00415365" w:rsidP="00CB13F9">
      <w:pPr>
        <w:spacing w:after="0" w:line="240" w:lineRule="auto"/>
        <w:ind w:left="567" w:right="521"/>
        <w:jc w:val="both"/>
      </w:pPr>
      <w:r>
        <w:t xml:space="preserve">Through your high bounty Lord be benign to </w:t>
      </w:r>
      <w:proofErr w:type="spellStart"/>
      <w:r>
        <w:t>Sion</w:t>
      </w:r>
      <w:proofErr w:type="spellEnd"/>
      <w:r>
        <w:t xml:space="preserve">, which name I have given to the speculation of those who out of desire for the truth will come to understanding of your son </w:t>
      </w:r>
      <w:r w:rsidR="00CB13F9">
        <w:t>[</w:t>
      </w:r>
      <w:r>
        <w:t>...</w:t>
      </w:r>
      <w:r w:rsidR="00CB13F9">
        <w:t>]</w:t>
      </w:r>
      <w:r>
        <w:t xml:space="preserve"> so that the walls of Jerusalem may be built, which I conceive of as a vision of the peace and union that must maintain amongst those people who praise, honour and adore you alone. ... And so [it is understood that] building the walls of Jerusalem will build in people</w:t>
      </w:r>
      <w:r w:rsidR="00763B21">
        <w:t>’</w:t>
      </w:r>
      <w:r>
        <w:t xml:space="preserve">s souls the virtue of your wisdom. </w:t>
      </w:r>
      <w:r w:rsidR="00CB13F9">
        <w:t>[</w:t>
      </w:r>
      <w:r>
        <w:t>...</w:t>
      </w:r>
      <w:r w:rsidR="00CB13F9">
        <w:t>]</w:t>
      </w:r>
      <w:r>
        <w:t xml:space="preserve"> </w:t>
      </w:r>
      <w:r>
        <w:lastRenderedPageBreak/>
        <w:t xml:space="preserve">receive from them not only the victims, the oblations, and the burnt offerings, but the sacrifice of the sincere heart. </w:t>
      </w:r>
    </w:p>
    <w:p w:rsidR="005B3613" w:rsidRDefault="005B3613" w:rsidP="0099652D">
      <w:pPr>
        <w:spacing w:after="0" w:line="480" w:lineRule="auto"/>
        <w:ind w:left="567" w:right="521" w:firstLine="567"/>
        <w:jc w:val="both"/>
      </w:pPr>
    </w:p>
    <w:p w:rsidR="005B3613" w:rsidRDefault="00415365" w:rsidP="00656634">
      <w:pPr>
        <w:spacing w:after="0" w:line="480" w:lineRule="auto"/>
        <w:jc w:val="both"/>
      </w:pPr>
      <w:r>
        <w:t>Aretino</w:t>
      </w:r>
      <w:r w:rsidR="00763B21">
        <w:t>’</w:t>
      </w:r>
      <w:r>
        <w:t xml:space="preserve">s tripartite movement is clear: </w:t>
      </w:r>
      <w:proofErr w:type="spellStart"/>
      <w:r>
        <w:t>Sion</w:t>
      </w:r>
      <w:proofErr w:type="spellEnd"/>
      <w:r>
        <w:t xml:space="preserve"> is the as yet unrealized Christian community; the walls of Jerusalem represent the peace and union which gird that community, and by establishing communal peace and union the virtue of patience will inhere within the individual soul of each member of that community, whose individual sacrifice will be the inward holocaust of the sincere heart. The inward, individual relationship with God is thus an atomic or molecular part of the wider Christian communion. This emphasis on the commonwealth via the individual underlines Aretino</w:t>
      </w:r>
      <w:r w:rsidR="00763B21">
        <w:t>’</w:t>
      </w:r>
      <w:r>
        <w:t>s conception of a reformed Catholic Christendom. Happily for Wyatt, Aretino here corresponds with the Bishops</w:t>
      </w:r>
      <w:r w:rsidR="00763B21">
        <w:t>’</w:t>
      </w:r>
      <w:r>
        <w:t xml:space="preserve"> Book, which clarifies the Christian communion in its exposition of the ninth article of the Creed: </w:t>
      </w:r>
    </w:p>
    <w:p w:rsidR="005B3613" w:rsidRPr="008C7E9C" w:rsidRDefault="00A6351B" w:rsidP="008C7E9C">
      <w:pPr>
        <w:spacing w:after="0" w:line="240" w:lineRule="auto"/>
        <w:ind w:left="567" w:right="521"/>
        <w:jc w:val="both"/>
      </w:pPr>
      <w:r w:rsidRPr="008C7E9C">
        <w:t xml:space="preserve">And I </w:t>
      </w:r>
      <w:proofErr w:type="spellStart"/>
      <w:r w:rsidRPr="008C7E9C">
        <w:t>bel</w:t>
      </w:r>
      <w:r w:rsidR="00415365" w:rsidRPr="008C7E9C">
        <w:t>eve</w:t>
      </w:r>
      <w:proofErr w:type="spellEnd"/>
      <w:r w:rsidR="00415365" w:rsidRPr="008C7E9C">
        <w:t xml:space="preserve"> assuredly </w:t>
      </w:r>
      <w:r w:rsidRPr="008C7E9C">
        <w:t xml:space="preserve">that this congregation, </w:t>
      </w:r>
      <w:proofErr w:type="spellStart"/>
      <w:r w:rsidRPr="008C7E9C">
        <w:t>accordyng</w:t>
      </w:r>
      <w:proofErr w:type="spellEnd"/>
      <w:r w:rsidRPr="008C7E9C">
        <w:t xml:space="preserve"> as it is called in s</w:t>
      </w:r>
      <w:r w:rsidR="00415365" w:rsidRPr="008C7E9C">
        <w:t>cript</w:t>
      </w:r>
      <w:r w:rsidRPr="008C7E9C">
        <w:t>ure, so it is in very deed the Cite</w:t>
      </w:r>
      <w:r w:rsidR="00415365" w:rsidRPr="008C7E9C">
        <w:t xml:space="preserve"> of </w:t>
      </w:r>
      <w:proofErr w:type="spellStart"/>
      <w:r w:rsidR="00415365" w:rsidRPr="008C7E9C">
        <w:t>he</w:t>
      </w:r>
      <w:r w:rsidRPr="008C7E9C">
        <w:t>uenly</w:t>
      </w:r>
      <w:proofErr w:type="spellEnd"/>
      <w:r w:rsidRPr="008C7E9C">
        <w:t xml:space="preserve"> </w:t>
      </w:r>
      <w:proofErr w:type="spellStart"/>
      <w:proofErr w:type="gramStart"/>
      <w:r w:rsidRPr="008C7E9C">
        <w:t>Hierusalem</w:t>
      </w:r>
      <w:proofErr w:type="spellEnd"/>
      <w:r w:rsidRPr="008C7E9C">
        <w:t xml:space="preserve"> ...</w:t>
      </w:r>
      <w:proofErr w:type="gramEnd"/>
      <w:r w:rsidRPr="008C7E9C">
        <w:t xml:space="preserve"> . And </w:t>
      </w:r>
      <w:proofErr w:type="spellStart"/>
      <w:r w:rsidRPr="008C7E9C">
        <w:t>ly</w:t>
      </w:r>
      <w:r w:rsidR="00415365" w:rsidRPr="008C7E9C">
        <w:t>ke</w:t>
      </w:r>
      <w:proofErr w:type="spellEnd"/>
      <w:r w:rsidR="00415365" w:rsidRPr="008C7E9C">
        <w:t xml:space="preserve"> as citizens assembled in one </w:t>
      </w:r>
      <w:proofErr w:type="spellStart"/>
      <w:r w:rsidRPr="008C7E9C">
        <w:t>citie</w:t>
      </w:r>
      <w:proofErr w:type="spellEnd"/>
      <w:r w:rsidR="00415365" w:rsidRPr="008C7E9C">
        <w:t xml:space="preserve"> do </w:t>
      </w:r>
      <w:proofErr w:type="spellStart"/>
      <w:r w:rsidR="00415365" w:rsidRPr="008C7E9C">
        <w:t>l</w:t>
      </w:r>
      <w:r w:rsidRPr="008C7E9C">
        <w:t>yue</w:t>
      </w:r>
      <w:proofErr w:type="spellEnd"/>
      <w:r w:rsidRPr="008C7E9C">
        <w:t xml:space="preserve"> there </w:t>
      </w:r>
      <w:proofErr w:type="spellStart"/>
      <w:r w:rsidRPr="008C7E9C">
        <w:t>v</w:t>
      </w:r>
      <w:r w:rsidR="00415365" w:rsidRPr="008C7E9C">
        <w:t>nder</w:t>
      </w:r>
      <w:proofErr w:type="spellEnd"/>
      <w:r w:rsidR="00415365" w:rsidRPr="008C7E9C">
        <w:t xml:space="preserve"> comm</w:t>
      </w:r>
      <w:r w:rsidRPr="008C7E9C">
        <w:t>u</w:t>
      </w:r>
      <w:r w:rsidR="00415365" w:rsidRPr="008C7E9C">
        <w:t>n</w:t>
      </w:r>
      <w:r w:rsidRPr="008C7E9C">
        <w:t>e</w:t>
      </w:r>
      <w:r w:rsidR="00415365" w:rsidRPr="008C7E9C">
        <w:t xml:space="preserve"> </w:t>
      </w:r>
      <w:proofErr w:type="spellStart"/>
      <w:r w:rsidR="00415365" w:rsidRPr="008C7E9C">
        <w:t>law</w:t>
      </w:r>
      <w:r w:rsidRPr="008C7E9C">
        <w:t>e</w:t>
      </w:r>
      <w:r w:rsidR="00415365" w:rsidRPr="008C7E9C">
        <w:t>s</w:t>
      </w:r>
      <w:proofErr w:type="spellEnd"/>
      <w:r w:rsidR="00415365" w:rsidRPr="008C7E9C">
        <w:t>, and in comm</w:t>
      </w:r>
      <w:r w:rsidRPr="008C7E9C">
        <w:t>u</w:t>
      </w:r>
      <w:r w:rsidR="00415365" w:rsidRPr="008C7E9C">
        <w:t>n</w:t>
      </w:r>
      <w:r w:rsidRPr="008C7E9C">
        <w:t>e</w:t>
      </w:r>
      <w:r w:rsidR="00415365" w:rsidRPr="008C7E9C">
        <w:t xml:space="preserve"> </w:t>
      </w:r>
      <w:proofErr w:type="spellStart"/>
      <w:r w:rsidR="00415365" w:rsidRPr="008C7E9C">
        <w:t>societ</w:t>
      </w:r>
      <w:r w:rsidRPr="008C7E9C">
        <w:t>ie</w:t>
      </w:r>
      <w:proofErr w:type="spellEnd"/>
      <w:r w:rsidR="00415365" w:rsidRPr="008C7E9C">
        <w:t xml:space="preserve">, and there do consult, </w:t>
      </w:r>
      <w:proofErr w:type="spellStart"/>
      <w:r w:rsidR="00415365" w:rsidRPr="008C7E9C">
        <w:t>stud</w:t>
      </w:r>
      <w:r w:rsidRPr="008C7E9C">
        <w:t>ie</w:t>
      </w:r>
      <w:proofErr w:type="spellEnd"/>
      <w:r w:rsidR="00415365" w:rsidRPr="008C7E9C">
        <w:t xml:space="preserve"> and </w:t>
      </w:r>
      <w:r w:rsidRPr="008C7E9C">
        <w:t xml:space="preserve">labour </w:t>
      </w:r>
      <w:proofErr w:type="spellStart"/>
      <w:r w:rsidRPr="008C7E9C">
        <w:t>e</w:t>
      </w:r>
      <w:r w:rsidR="00415365" w:rsidRPr="008C7E9C">
        <w:t>ch</w:t>
      </w:r>
      <w:r w:rsidRPr="008C7E9C">
        <w:t>e</w:t>
      </w:r>
      <w:proofErr w:type="spellEnd"/>
      <w:r w:rsidR="00415365" w:rsidRPr="008C7E9C">
        <w:t xml:space="preserve"> man in his </w:t>
      </w:r>
      <w:proofErr w:type="spellStart"/>
      <w:r w:rsidR="00415365" w:rsidRPr="008C7E9C">
        <w:t>ro</w:t>
      </w:r>
      <w:r w:rsidRPr="008C7E9C">
        <w:t>u</w:t>
      </w:r>
      <w:r w:rsidR="00415365" w:rsidRPr="008C7E9C">
        <w:t>m</w:t>
      </w:r>
      <w:r w:rsidRPr="008C7E9C">
        <w:t>e</w:t>
      </w:r>
      <w:proofErr w:type="spellEnd"/>
      <w:r w:rsidR="00415365" w:rsidRPr="008C7E9C">
        <w:t xml:space="preserve"> and office, and </w:t>
      </w:r>
      <w:proofErr w:type="spellStart"/>
      <w:r w:rsidR="00415365" w:rsidRPr="008C7E9C">
        <w:t>accord</w:t>
      </w:r>
      <w:r w:rsidRPr="008C7E9C">
        <w:t>y</w:t>
      </w:r>
      <w:r w:rsidR="00415365" w:rsidRPr="008C7E9C">
        <w:t>ng</w:t>
      </w:r>
      <w:r w:rsidRPr="008C7E9C">
        <w:t>e</w:t>
      </w:r>
      <w:proofErr w:type="spellEnd"/>
      <w:r w:rsidRPr="008C7E9C">
        <w:t xml:space="preserve"> </w:t>
      </w:r>
      <w:proofErr w:type="spellStart"/>
      <w:r w:rsidRPr="008C7E9C">
        <w:t>v</w:t>
      </w:r>
      <w:r w:rsidR="00415365" w:rsidRPr="008C7E9C">
        <w:t>nto</w:t>
      </w:r>
      <w:proofErr w:type="spellEnd"/>
      <w:r w:rsidR="00415365" w:rsidRPr="008C7E9C">
        <w:t xml:space="preserve"> his </w:t>
      </w:r>
      <w:proofErr w:type="spellStart"/>
      <w:r w:rsidR="00415365" w:rsidRPr="008C7E9C">
        <w:t>call</w:t>
      </w:r>
      <w:r w:rsidRPr="008C7E9C">
        <w:t>y</w:t>
      </w:r>
      <w:r w:rsidR="00415365" w:rsidRPr="008C7E9C">
        <w:t>ng</w:t>
      </w:r>
      <w:r w:rsidRPr="008C7E9C">
        <w:t>e</w:t>
      </w:r>
      <w:proofErr w:type="spellEnd"/>
      <w:r w:rsidR="00415365" w:rsidRPr="008C7E9C">
        <w:t xml:space="preserve"> for </w:t>
      </w:r>
      <w:proofErr w:type="spellStart"/>
      <w:r w:rsidR="00415365" w:rsidRPr="008C7E9C">
        <w:t>the</w:t>
      </w:r>
      <w:r w:rsidRPr="008C7E9C">
        <w:t>yr</w:t>
      </w:r>
      <w:proofErr w:type="spellEnd"/>
      <w:r w:rsidRPr="008C7E9C">
        <w:t xml:space="preserve"> common </w:t>
      </w:r>
      <w:proofErr w:type="spellStart"/>
      <w:r w:rsidRPr="008C7E9C">
        <w:t>welth</w:t>
      </w:r>
      <w:proofErr w:type="spellEnd"/>
      <w:r w:rsidRPr="008C7E9C">
        <w:t xml:space="preserve">, and </w:t>
      </w:r>
      <w:proofErr w:type="spellStart"/>
      <w:r w:rsidRPr="008C7E9C">
        <w:t>fy</w:t>
      </w:r>
      <w:r w:rsidR="00415365" w:rsidRPr="008C7E9C">
        <w:t>nally</w:t>
      </w:r>
      <w:proofErr w:type="spellEnd"/>
      <w:r w:rsidR="00415365" w:rsidRPr="008C7E9C">
        <w:t xml:space="preserve"> be made participant</w:t>
      </w:r>
      <w:r w:rsidRPr="008C7E9C">
        <w:t>,</w:t>
      </w:r>
      <w:r w:rsidR="00415365" w:rsidRPr="008C7E9C">
        <w:t xml:space="preserve"> or </w:t>
      </w:r>
      <w:proofErr w:type="spellStart"/>
      <w:r w:rsidR="00415365" w:rsidRPr="008C7E9C">
        <w:t>par</w:t>
      </w:r>
      <w:r w:rsidRPr="008C7E9C">
        <w:t>t</w:t>
      </w:r>
      <w:r w:rsidR="00415365" w:rsidRPr="008C7E9C">
        <w:t>takers</w:t>
      </w:r>
      <w:proofErr w:type="spellEnd"/>
      <w:r w:rsidR="00415365" w:rsidRPr="008C7E9C">
        <w:t xml:space="preserve"> of all and </w:t>
      </w:r>
      <w:proofErr w:type="spellStart"/>
      <w:r w:rsidR="00415365" w:rsidRPr="008C7E9C">
        <w:t>s</w:t>
      </w:r>
      <w:r w:rsidRPr="008C7E9C">
        <w:t>y</w:t>
      </w:r>
      <w:r w:rsidR="00415365" w:rsidRPr="008C7E9C">
        <w:t>ngular</w:t>
      </w:r>
      <w:proofErr w:type="spellEnd"/>
      <w:r w:rsidR="00415365" w:rsidRPr="008C7E9C">
        <w:t xml:space="preserve"> </w:t>
      </w:r>
      <w:proofErr w:type="spellStart"/>
      <w:r w:rsidR="00415365" w:rsidRPr="008C7E9C">
        <w:t>such</w:t>
      </w:r>
      <w:r w:rsidRPr="008C7E9C">
        <w:t>e</w:t>
      </w:r>
      <w:proofErr w:type="spellEnd"/>
      <w:r w:rsidR="00415365" w:rsidRPr="008C7E9C">
        <w:t xml:space="preserve"> </w:t>
      </w:r>
      <w:proofErr w:type="spellStart"/>
      <w:r w:rsidR="00415365" w:rsidRPr="008C7E9C">
        <w:t>benefit</w:t>
      </w:r>
      <w:r w:rsidRPr="008C7E9C">
        <w:t>e</w:t>
      </w:r>
      <w:r w:rsidR="00415365" w:rsidRPr="008C7E9C">
        <w:t>s</w:t>
      </w:r>
      <w:proofErr w:type="spellEnd"/>
      <w:r w:rsidRPr="008C7E9C">
        <w:t>, and commodities,</w:t>
      </w:r>
      <w:r w:rsidR="00415365" w:rsidRPr="008C7E9C">
        <w:t xml:space="preserve"> as do </w:t>
      </w:r>
      <w:proofErr w:type="spellStart"/>
      <w:r w:rsidR="00415365" w:rsidRPr="008C7E9C">
        <w:t>ar</w:t>
      </w:r>
      <w:r w:rsidRPr="008C7E9C">
        <w:t>y</w:t>
      </w:r>
      <w:r w:rsidR="00415365" w:rsidRPr="008C7E9C">
        <w:t>se</w:t>
      </w:r>
      <w:proofErr w:type="spellEnd"/>
      <w:r w:rsidR="00415365" w:rsidRPr="008C7E9C">
        <w:t xml:space="preserve"> unto them </w:t>
      </w:r>
      <w:proofErr w:type="spellStart"/>
      <w:r w:rsidR="00415365" w:rsidRPr="008C7E9C">
        <w:t>therby</w:t>
      </w:r>
      <w:proofErr w:type="spellEnd"/>
      <w:r w:rsidRPr="008C7E9C">
        <w:t>:</w:t>
      </w:r>
      <w:r w:rsidR="00415365" w:rsidRPr="008C7E9C">
        <w:t xml:space="preserve"> </w:t>
      </w:r>
      <w:r w:rsidRPr="008C7E9C">
        <w:t xml:space="preserve">Even so I </w:t>
      </w:r>
      <w:proofErr w:type="spellStart"/>
      <w:r w:rsidRPr="008C7E9C">
        <w:t>bel</w:t>
      </w:r>
      <w:r w:rsidR="00415365" w:rsidRPr="008C7E9C">
        <w:t>eve</w:t>
      </w:r>
      <w:proofErr w:type="spellEnd"/>
      <w:r w:rsidR="00415365" w:rsidRPr="008C7E9C">
        <w:t>, that the members of this holy</w:t>
      </w:r>
      <w:r w:rsidRPr="008C7E9C">
        <w:t xml:space="preserve"> </w:t>
      </w:r>
      <w:proofErr w:type="spellStart"/>
      <w:r w:rsidRPr="008C7E9C">
        <w:t>catholique</w:t>
      </w:r>
      <w:proofErr w:type="spellEnd"/>
      <w:r w:rsidR="00415365" w:rsidRPr="008C7E9C">
        <w:t xml:space="preserve"> </w:t>
      </w:r>
      <w:proofErr w:type="spellStart"/>
      <w:r w:rsidR="00415365" w:rsidRPr="008C7E9C">
        <w:t>church</w:t>
      </w:r>
      <w:r w:rsidRPr="008C7E9C">
        <w:t>e</w:t>
      </w:r>
      <w:proofErr w:type="spellEnd"/>
      <w:r w:rsidRPr="008C7E9C">
        <w:t>,</w:t>
      </w:r>
      <w:r w:rsidR="00415365" w:rsidRPr="008C7E9C">
        <w:t xml:space="preserve"> or congregation be collected</w:t>
      </w:r>
      <w:r w:rsidRPr="008C7E9C">
        <w:t>, &amp;</w:t>
      </w:r>
      <w:r w:rsidR="00415365" w:rsidRPr="008C7E9C">
        <w:t xml:space="preserve"> gathered </w:t>
      </w:r>
      <w:proofErr w:type="spellStart"/>
      <w:r w:rsidR="00415365" w:rsidRPr="008C7E9C">
        <w:t>tog</w:t>
      </w:r>
      <w:r w:rsidRPr="008C7E9C">
        <w:t>y</w:t>
      </w:r>
      <w:r w:rsidR="00415365" w:rsidRPr="008C7E9C">
        <w:t>ther</w:t>
      </w:r>
      <w:proofErr w:type="spellEnd"/>
      <w:r w:rsidR="00415365" w:rsidRPr="008C7E9C">
        <w:t xml:space="preserve"> within the same </w:t>
      </w:r>
      <w:proofErr w:type="spellStart"/>
      <w:r w:rsidR="00415365" w:rsidRPr="008C7E9C">
        <w:t>church</w:t>
      </w:r>
      <w:r w:rsidRPr="008C7E9C">
        <w:t>e</w:t>
      </w:r>
      <w:proofErr w:type="spellEnd"/>
      <w:r w:rsidRPr="008C7E9C">
        <w:t xml:space="preserve">, as within one </w:t>
      </w:r>
      <w:proofErr w:type="spellStart"/>
      <w:r w:rsidRPr="008C7E9C">
        <w:t>citie</w:t>
      </w:r>
      <w:proofErr w:type="spellEnd"/>
      <w:r w:rsidR="00415365" w:rsidRPr="008C7E9C">
        <w:t xml:space="preserve"> or </w:t>
      </w:r>
      <w:proofErr w:type="spellStart"/>
      <w:r w:rsidR="00415365" w:rsidRPr="008C7E9C">
        <w:t>fold</w:t>
      </w:r>
      <w:r w:rsidRPr="008C7E9C">
        <w:t>e</w:t>
      </w:r>
      <w:proofErr w:type="spellEnd"/>
      <w:r w:rsidRPr="008C7E9C">
        <w:t xml:space="preserve">. and that they be </w:t>
      </w:r>
      <w:proofErr w:type="spellStart"/>
      <w:r w:rsidRPr="008C7E9C">
        <w:t>therin</w:t>
      </w:r>
      <w:proofErr w:type="spellEnd"/>
      <w:r w:rsidRPr="008C7E9C">
        <w:t xml:space="preserve"> all </w:t>
      </w:r>
      <w:proofErr w:type="spellStart"/>
      <w:r w:rsidRPr="008C7E9C">
        <w:t>vny</w:t>
      </w:r>
      <w:r w:rsidR="00415365" w:rsidRPr="008C7E9C">
        <w:t>ted</w:t>
      </w:r>
      <w:proofErr w:type="spellEnd"/>
      <w:r w:rsidR="008C7E9C" w:rsidRPr="008C7E9C">
        <w:t xml:space="preserve">, and incorporated by the holy </w:t>
      </w:r>
      <w:proofErr w:type="spellStart"/>
      <w:r w:rsidR="008C7E9C" w:rsidRPr="008C7E9C">
        <w:t>s</w:t>
      </w:r>
      <w:r w:rsidR="00415365" w:rsidRPr="008C7E9C">
        <w:t>pirit</w:t>
      </w:r>
      <w:r w:rsidR="008C7E9C" w:rsidRPr="008C7E9C">
        <w:t>e</w:t>
      </w:r>
      <w:proofErr w:type="spellEnd"/>
      <w:r w:rsidR="00415365" w:rsidRPr="008C7E9C">
        <w:t xml:space="preserve"> of </w:t>
      </w:r>
      <w:proofErr w:type="spellStart"/>
      <w:r w:rsidR="00415365" w:rsidRPr="008C7E9C">
        <w:t>Christ</w:t>
      </w:r>
      <w:r w:rsidR="008C7E9C" w:rsidRPr="008C7E9C">
        <w:t>e</w:t>
      </w:r>
      <w:proofErr w:type="spellEnd"/>
      <w:r w:rsidR="00415365" w:rsidRPr="008C7E9C">
        <w:t xml:space="preserve"> into one body, and that they do </w:t>
      </w:r>
      <w:proofErr w:type="spellStart"/>
      <w:r w:rsidR="00415365" w:rsidRPr="008C7E9C">
        <w:t>l</w:t>
      </w:r>
      <w:r w:rsidR="008C7E9C" w:rsidRPr="008C7E9C">
        <w:t>y</w:t>
      </w:r>
      <w:r w:rsidR="00415365" w:rsidRPr="008C7E9C">
        <w:t>ve</w:t>
      </w:r>
      <w:proofErr w:type="spellEnd"/>
      <w:r w:rsidR="00415365" w:rsidRPr="008C7E9C">
        <w:t xml:space="preserve"> there all in one </w:t>
      </w:r>
      <w:proofErr w:type="spellStart"/>
      <w:r w:rsidR="00415365" w:rsidRPr="008C7E9C">
        <w:t>fa</w:t>
      </w:r>
      <w:r w:rsidR="008C7E9C" w:rsidRPr="008C7E9C">
        <w:t>y</w:t>
      </w:r>
      <w:r w:rsidR="00415365" w:rsidRPr="008C7E9C">
        <w:t>th</w:t>
      </w:r>
      <w:r w:rsidR="008C7E9C" w:rsidRPr="008C7E9C">
        <w:t>e</w:t>
      </w:r>
      <w:proofErr w:type="spellEnd"/>
      <w:r w:rsidR="00415365" w:rsidRPr="008C7E9C">
        <w:t xml:space="preserve">, one hope, once </w:t>
      </w:r>
      <w:proofErr w:type="spellStart"/>
      <w:r w:rsidR="00415365" w:rsidRPr="008C7E9C">
        <w:t>charit</w:t>
      </w:r>
      <w:r w:rsidR="008C7E9C" w:rsidRPr="008C7E9C">
        <w:t>ie</w:t>
      </w:r>
      <w:proofErr w:type="spellEnd"/>
      <w:r w:rsidR="00415365" w:rsidRPr="008C7E9C">
        <w:t xml:space="preserve">, and one </w:t>
      </w:r>
      <w:proofErr w:type="spellStart"/>
      <w:r w:rsidR="00415365" w:rsidRPr="008C7E9C">
        <w:t>perf</w:t>
      </w:r>
      <w:r w:rsidR="008C7E9C" w:rsidRPr="008C7E9C">
        <w:t>ytte</w:t>
      </w:r>
      <w:proofErr w:type="spellEnd"/>
      <w:r w:rsidR="008C7E9C" w:rsidRPr="008C7E9C">
        <w:t xml:space="preserve"> </w:t>
      </w:r>
      <w:proofErr w:type="spellStart"/>
      <w:r w:rsidR="008C7E9C" w:rsidRPr="008C7E9C">
        <w:t>vnitie</w:t>
      </w:r>
      <w:proofErr w:type="spellEnd"/>
      <w:r w:rsidR="008C7E9C" w:rsidRPr="008C7E9C">
        <w:t xml:space="preserve">, consent, and </w:t>
      </w:r>
      <w:proofErr w:type="spellStart"/>
      <w:r w:rsidR="008C7E9C" w:rsidRPr="008C7E9C">
        <w:t>agr</w:t>
      </w:r>
      <w:r w:rsidR="00415365" w:rsidRPr="008C7E9C">
        <w:t>ement</w:t>
      </w:r>
      <w:proofErr w:type="spellEnd"/>
      <w:r w:rsidR="00415365" w:rsidRPr="008C7E9C">
        <w:t xml:space="preserve">, not </w:t>
      </w:r>
      <w:proofErr w:type="spellStart"/>
      <w:r w:rsidR="00415365" w:rsidRPr="008C7E9C">
        <w:t>on</w:t>
      </w:r>
      <w:r w:rsidR="008C7E9C" w:rsidRPr="008C7E9C">
        <w:t>e</w:t>
      </w:r>
      <w:r w:rsidR="00415365" w:rsidRPr="008C7E9C">
        <w:t>ly</w:t>
      </w:r>
      <w:proofErr w:type="spellEnd"/>
      <w:r w:rsidR="00415365" w:rsidRPr="008C7E9C">
        <w:t xml:space="preserve"> in the true doctrine of </w:t>
      </w:r>
      <w:proofErr w:type="spellStart"/>
      <w:r w:rsidR="00415365" w:rsidRPr="008C7E9C">
        <w:t>Christ</w:t>
      </w:r>
      <w:r w:rsidR="008C7E9C" w:rsidRPr="008C7E9C">
        <w:t>e</w:t>
      </w:r>
      <w:proofErr w:type="spellEnd"/>
      <w:r w:rsidR="008C7E9C" w:rsidRPr="008C7E9C">
        <w:t xml:space="preserve">, but also in the right </w:t>
      </w:r>
      <w:proofErr w:type="spellStart"/>
      <w:r w:rsidR="008C7E9C" w:rsidRPr="008C7E9C">
        <w:t>v</w:t>
      </w:r>
      <w:r w:rsidR="00415365" w:rsidRPr="008C7E9C">
        <w:t>se</w:t>
      </w:r>
      <w:proofErr w:type="spellEnd"/>
      <w:r w:rsidR="00415365" w:rsidRPr="008C7E9C">
        <w:t xml:space="preserve"> and ministration of his </w:t>
      </w:r>
      <w:proofErr w:type="spellStart"/>
      <w:r w:rsidR="008C7E9C">
        <w:t>sacramentes</w:t>
      </w:r>
      <w:proofErr w:type="spellEnd"/>
      <w:r w:rsidR="008C7E9C">
        <w:t>.</w:t>
      </w:r>
      <w:r w:rsidR="008C7E9C">
        <w:rPr>
          <w:rStyle w:val="FootnoteReference"/>
        </w:rPr>
        <w:footnoteReference w:id="42"/>
      </w:r>
      <w:r w:rsidR="00415365" w:rsidRPr="008C7E9C">
        <w:t xml:space="preserve"> (</w:t>
      </w:r>
      <w:r w:rsidR="00415365" w:rsidRPr="008C7E9C">
        <w:rPr>
          <w:i/>
        </w:rPr>
        <w:t>Institution</w:t>
      </w:r>
      <w:r w:rsidR="00415365" w:rsidRPr="008C7E9C">
        <w:t>, 52-53)</w:t>
      </w:r>
    </w:p>
    <w:p w:rsidR="00CB13F9" w:rsidRDefault="00CB13F9" w:rsidP="00CB13F9">
      <w:pPr>
        <w:spacing w:after="0" w:line="240" w:lineRule="auto"/>
        <w:ind w:left="567"/>
        <w:jc w:val="both"/>
      </w:pPr>
    </w:p>
    <w:p w:rsidR="00656634" w:rsidRDefault="00CB13F9" w:rsidP="00656634">
      <w:pPr>
        <w:spacing w:after="0" w:line="480" w:lineRule="auto"/>
        <w:jc w:val="both"/>
      </w:pPr>
      <w:r>
        <w:t xml:space="preserve">However, if the Bishops’ Book accords with Aretino here, Aretino also accords with </w:t>
      </w:r>
      <w:proofErr w:type="spellStart"/>
      <w:r>
        <w:t>Bruclioli</w:t>
      </w:r>
      <w:proofErr w:type="spellEnd"/>
      <w:r>
        <w:t xml:space="preserve">. </w:t>
      </w:r>
    </w:p>
    <w:p w:rsidR="005B3613" w:rsidRDefault="005B3613" w:rsidP="0099652D">
      <w:pPr>
        <w:spacing w:after="0" w:line="240" w:lineRule="auto"/>
        <w:ind w:firstLine="567"/>
        <w:jc w:val="both"/>
      </w:pPr>
    </w:p>
    <w:p w:rsidR="005B3613" w:rsidRPr="00CD2A15" w:rsidRDefault="00763B21" w:rsidP="00CD2A15">
      <w:pPr>
        <w:spacing w:after="0" w:line="240" w:lineRule="auto"/>
        <w:ind w:firstLine="567"/>
        <w:jc w:val="center"/>
        <w:rPr>
          <w:bCs/>
          <w:i/>
          <w:iCs/>
        </w:rPr>
      </w:pPr>
      <w:r w:rsidRPr="00CD2A15">
        <w:rPr>
          <w:bCs/>
          <w:i/>
          <w:iCs/>
        </w:rPr>
        <w:t>‘</w:t>
      </w:r>
      <w:proofErr w:type="spellStart"/>
      <w:r w:rsidR="00415365" w:rsidRPr="00CD2A15">
        <w:rPr>
          <w:bCs/>
          <w:i/>
          <w:iCs/>
        </w:rPr>
        <w:t>Tourne</w:t>
      </w:r>
      <w:proofErr w:type="spellEnd"/>
      <w:r w:rsidR="00415365" w:rsidRPr="00CD2A15">
        <w:rPr>
          <w:bCs/>
          <w:i/>
          <w:iCs/>
        </w:rPr>
        <w:t>, and translate</w:t>
      </w:r>
      <w:r w:rsidRPr="00CD2A15">
        <w:rPr>
          <w:bCs/>
          <w:i/>
          <w:iCs/>
        </w:rPr>
        <w:t>’</w:t>
      </w:r>
      <w:r w:rsidR="00415365" w:rsidRPr="00CD2A15">
        <w:rPr>
          <w:bCs/>
          <w:i/>
          <w:iCs/>
        </w:rPr>
        <w:t xml:space="preserve">: Wyatt, Aretino and </w:t>
      </w:r>
      <w:proofErr w:type="spellStart"/>
      <w:r w:rsidR="00415365" w:rsidRPr="00CD2A15">
        <w:rPr>
          <w:bCs/>
          <w:i/>
          <w:iCs/>
        </w:rPr>
        <w:t>Brucioli</w:t>
      </w:r>
      <w:proofErr w:type="spellEnd"/>
    </w:p>
    <w:p w:rsidR="005B3613" w:rsidRDefault="005B3613" w:rsidP="0099652D">
      <w:pPr>
        <w:spacing w:after="0" w:line="240" w:lineRule="auto"/>
        <w:ind w:firstLine="567"/>
        <w:jc w:val="both"/>
      </w:pPr>
    </w:p>
    <w:p w:rsidR="005B3613" w:rsidRPr="00415365" w:rsidRDefault="00415365" w:rsidP="00CD2A15">
      <w:pPr>
        <w:spacing w:after="0" w:line="480" w:lineRule="auto"/>
        <w:jc w:val="both"/>
        <w:rPr>
          <w:lang w:val="it-IT"/>
        </w:rPr>
      </w:pPr>
      <w:r>
        <w:t>Aretino</w:t>
      </w:r>
      <w:r w:rsidR="00763B21">
        <w:t>’</w:t>
      </w:r>
      <w:r>
        <w:t xml:space="preserve">s discussion of </w:t>
      </w:r>
      <w:proofErr w:type="spellStart"/>
      <w:r>
        <w:t>Sion</w:t>
      </w:r>
      <w:proofErr w:type="spellEnd"/>
      <w:r>
        <w:t xml:space="preserve"> in his paraphrase of Psalm 51 owes something to </w:t>
      </w:r>
      <w:proofErr w:type="spellStart"/>
      <w:r>
        <w:t>Brucioli</w:t>
      </w:r>
      <w:r w:rsidR="00763B21">
        <w:t>’</w:t>
      </w:r>
      <w:r>
        <w:t>s</w:t>
      </w:r>
      <w:proofErr w:type="spellEnd"/>
      <w:r>
        <w:t xml:space="preserve"> commentary in its moral exegesis of the walls of Jerusalem as signifying a proto-Christian </w:t>
      </w:r>
      <w:r>
        <w:lastRenderedPageBreak/>
        <w:t>vision of peace and communion (</w:t>
      </w:r>
      <w:r w:rsidR="00763B21">
        <w:t>‘</w:t>
      </w:r>
      <w:proofErr w:type="spellStart"/>
      <w:r>
        <w:t>i</w:t>
      </w:r>
      <w:proofErr w:type="spellEnd"/>
      <w:r>
        <w:t xml:space="preserve"> </w:t>
      </w:r>
      <w:proofErr w:type="spellStart"/>
      <w:r>
        <w:t>muri</w:t>
      </w:r>
      <w:proofErr w:type="spellEnd"/>
      <w:r>
        <w:t xml:space="preserve"> di </w:t>
      </w:r>
      <w:proofErr w:type="spellStart"/>
      <w:r>
        <w:t>Gierusalemme</w:t>
      </w:r>
      <w:proofErr w:type="spellEnd"/>
      <w:r>
        <w:t xml:space="preserve">, </w:t>
      </w:r>
      <w:proofErr w:type="spellStart"/>
      <w:r>
        <w:t>il</w:t>
      </w:r>
      <w:proofErr w:type="spellEnd"/>
      <w:r>
        <w:t xml:space="preserve"> </w:t>
      </w:r>
      <w:proofErr w:type="spellStart"/>
      <w:r>
        <w:t>qual</w:t>
      </w:r>
      <w:proofErr w:type="spellEnd"/>
      <w:r>
        <w:t xml:space="preserve"> </w:t>
      </w:r>
      <w:proofErr w:type="spellStart"/>
      <w:r>
        <w:t>tolgo</w:t>
      </w:r>
      <w:proofErr w:type="spellEnd"/>
      <w:r>
        <w:t xml:space="preserve"> come </w:t>
      </w:r>
      <w:proofErr w:type="spellStart"/>
      <w:r>
        <w:t>visione</w:t>
      </w:r>
      <w:proofErr w:type="spellEnd"/>
      <w:r>
        <w:t xml:space="preserve"> de la pace, e de la </w:t>
      </w:r>
      <w:proofErr w:type="spellStart"/>
      <w:r>
        <w:t>vnione</w:t>
      </w:r>
      <w:proofErr w:type="spellEnd"/>
      <w:r>
        <w:t xml:space="preserve"> </w:t>
      </w:r>
      <w:proofErr w:type="spellStart"/>
      <w:r>
        <w:t>che</w:t>
      </w:r>
      <w:proofErr w:type="spellEnd"/>
      <w:r>
        <w:t xml:space="preserve"> </w:t>
      </w:r>
      <w:proofErr w:type="spellStart"/>
      <w:r>
        <w:t>debbe</w:t>
      </w:r>
      <w:proofErr w:type="spellEnd"/>
      <w:r>
        <w:t xml:space="preserve"> </w:t>
      </w:r>
      <w:proofErr w:type="spellStart"/>
      <w:r>
        <w:t>essere</w:t>
      </w:r>
      <w:proofErr w:type="spellEnd"/>
      <w:r>
        <w:t xml:space="preserve"> </w:t>
      </w:r>
      <w:proofErr w:type="spellStart"/>
      <w:r>
        <w:t>nel</w:t>
      </w:r>
      <w:proofErr w:type="spellEnd"/>
      <w:r>
        <w:t xml:space="preserve"> </w:t>
      </w:r>
      <w:proofErr w:type="spellStart"/>
      <w:r>
        <w:t>genere</w:t>
      </w:r>
      <w:proofErr w:type="spellEnd"/>
      <w:r>
        <w:t xml:space="preserve"> </w:t>
      </w:r>
      <w:proofErr w:type="spellStart"/>
      <w:r>
        <w:t>humano</w:t>
      </w:r>
      <w:proofErr w:type="spellEnd"/>
      <w:r>
        <w:t xml:space="preserve"> circa </w:t>
      </w:r>
      <w:proofErr w:type="spellStart"/>
      <w:r>
        <w:t>il</w:t>
      </w:r>
      <w:proofErr w:type="spellEnd"/>
      <w:r>
        <w:t xml:space="preserve"> </w:t>
      </w:r>
      <w:proofErr w:type="spellStart"/>
      <w:r>
        <w:t>laudare</w:t>
      </w:r>
      <w:proofErr w:type="spellEnd"/>
      <w:r>
        <w:t xml:space="preserve">, </w:t>
      </w:r>
      <w:proofErr w:type="spellStart"/>
      <w:r>
        <w:t>honorare</w:t>
      </w:r>
      <w:proofErr w:type="spellEnd"/>
      <w:r>
        <w:t xml:space="preserve">, &amp; </w:t>
      </w:r>
      <w:proofErr w:type="spellStart"/>
      <w:r>
        <w:t>adorare</w:t>
      </w:r>
      <w:proofErr w:type="spellEnd"/>
      <w:r>
        <w:t xml:space="preserve"> </w:t>
      </w:r>
      <w:proofErr w:type="spellStart"/>
      <w:r>
        <w:t>te</w:t>
      </w:r>
      <w:proofErr w:type="spellEnd"/>
      <w:r>
        <w:t xml:space="preserve"> solo</w:t>
      </w:r>
      <w:r w:rsidR="00763B21">
        <w:t>’</w:t>
      </w:r>
      <w:r>
        <w:t>).</w:t>
      </w:r>
      <w:r>
        <w:rPr>
          <w:vertAlign w:val="superscript"/>
        </w:rPr>
        <w:t xml:space="preserve"> </w:t>
      </w:r>
      <w:r>
        <w:t xml:space="preserve"> </w:t>
      </w:r>
      <w:r w:rsidRPr="00415365">
        <w:rPr>
          <w:lang w:val="it-IT"/>
        </w:rPr>
        <w:t>In his commentary on Ps</w:t>
      </w:r>
      <w:r w:rsidR="008C7E9C">
        <w:rPr>
          <w:lang w:val="it-IT"/>
        </w:rPr>
        <w:t>.</w:t>
      </w:r>
      <w:r w:rsidRPr="00415365">
        <w:rPr>
          <w:lang w:val="it-IT"/>
        </w:rPr>
        <w:t xml:space="preserve"> 51.18 Brucioli writes:</w:t>
      </w:r>
    </w:p>
    <w:p w:rsidR="005B3613" w:rsidRPr="00415365" w:rsidRDefault="00415365" w:rsidP="008C7E9C">
      <w:pPr>
        <w:spacing w:after="0" w:line="240" w:lineRule="auto"/>
        <w:ind w:left="567" w:right="521"/>
        <w:jc w:val="both"/>
        <w:rPr>
          <w:lang w:val="it-IT"/>
        </w:rPr>
      </w:pPr>
      <w:r w:rsidRPr="00415365">
        <w:rPr>
          <w:lang w:val="it-IT"/>
        </w:rPr>
        <w:t>Et che Dauid tanto grandemente orasse per la perfettione del principiato edificio di Ierusalem, &amp; culto di Iddio, non fece questo perche esso facessi grande stima dello esteriore splendore della città, ò dello strepito solamente cerimonie, ma riguardò in queste cose, il uero, &amp; ineterno culto di Iddio, &amp; la solida de santi del popolo, anzi infino nel regno di Christo eleuò la mente, l</w:t>
      </w:r>
      <w:r w:rsidR="00763B21">
        <w:rPr>
          <w:lang w:val="it-IT"/>
        </w:rPr>
        <w:t>’</w:t>
      </w:r>
      <w:r w:rsidRPr="00415365">
        <w:rPr>
          <w:lang w:val="it-IT"/>
        </w:rPr>
        <w:t>ombra del quale uedeua in se.</w:t>
      </w:r>
      <w:r w:rsidR="008C7E9C">
        <w:rPr>
          <w:rStyle w:val="FootnoteReference"/>
          <w:lang w:val="it-IT"/>
        </w:rPr>
        <w:footnoteReference w:id="43"/>
      </w:r>
      <w:r w:rsidRPr="00415365">
        <w:rPr>
          <w:vertAlign w:val="superscript"/>
          <w:lang w:val="it-IT"/>
        </w:rPr>
        <w:t xml:space="preserve"> </w:t>
      </w:r>
    </w:p>
    <w:p w:rsidR="005B3613" w:rsidRPr="00415365" w:rsidRDefault="005B3613" w:rsidP="008C7E9C">
      <w:pPr>
        <w:spacing w:after="0" w:line="240" w:lineRule="auto"/>
        <w:ind w:left="567" w:right="521"/>
        <w:jc w:val="both"/>
        <w:rPr>
          <w:lang w:val="it-IT"/>
        </w:rPr>
      </w:pPr>
    </w:p>
    <w:p w:rsidR="005B3613" w:rsidRDefault="00415365" w:rsidP="008C7E9C">
      <w:pPr>
        <w:spacing w:after="0" w:line="240" w:lineRule="auto"/>
        <w:ind w:left="567" w:right="521"/>
        <w:jc w:val="both"/>
      </w:pPr>
      <w:r>
        <w:t>And when David prays so earnestly for the completion of the building of Jerusalem</w:t>
      </w:r>
      <w:r w:rsidR="00763B21">
        <w:t>’</w:t>
      </w:r>
      <w:r>
        <w:t>s walls, and the worship of God, he does not do so because this would create great admiration of the city</w:t>
      </w:r>
      <w:r w:rsidR="00763B21">
        <w:t>’</w:t>
      </w:r>
      <w:r>
        <w:t xml:space="preserve">s splendid exterior, or simply for the clamour of ceremonies, but because he regarded in these things the true and everlasting worship of God, and the solid piety of the popular saints, at least until the reign of Christ elevates their minds, which [elevation] he sees foreshadowed in himself. </w:t>
      </w:r>
    </w:p>
    <w:p w:rsidR="005B3613" w:rsidRDefault="005B3613" w:rsidP="0099652D">
      <w:pPr>
        <w:spacing w:after="0" w:line="240" w:lineRule="auto"/>
        <w:ind w:left="284" w:right="284" w:firstLine="567"/>
        <w:jc w:val="both"/>
        <w:rPr>
          <w:b/>
        </w:rPr>
      </w:pPr>
    </w:p>
    <w:p w:rsidR="005B3613" w:rsidRDefault="00415365" w:rsidP="00367A55">
      <w:pPr>
        <w:spacing w:after="0" w:line="480" w:lineRule="auto"/>
        <w:jc w:val="both"/>
      </w:pPr>
      <w:proofErr w:type="spellStart"/>
      <w:r>
        <w:t>Brucioli</w:t>
      </w:r>
      <w:r w:rsidR="00763B21">
        <w:t>’</w:t>
      </w:r>
      <w:r>
        <w:t>s</w:t>
      </w:r>
      <w:proofErr w:type="spellEnd"/>
      <w:r>
        <w:t xml:space="preserve"> emphasis, like Aretino</w:t>
      </w:r>
      <w:r w:rsidR="00763B21">
        <w:t>’</w:t>
      </w:r>
      <w:r>
        <w:t>s, is upon the common good and the model of a Christian society, as the reference to the popular saints (</w:t>
      </w:r>
      <w:r w:rsidR="00763B21">
        <w:t>‘</w:t>
      </w:r>
      <w:proofErr w:type="spellStart"/>
      <w:r>
        <w:t>i</w:t>
      </w:r>
      <w:proofErr w:type="spellEnd"/>
      <w:r>
        <w:t xml:space="preserve"> </w:t>
      </w:r>
      <w:proofErr w:type="spellStart"/>
      <w:r>
        <w:t>santi</w:t>
      </w:r>
      <w:proofErr w:type="spellEnd"/>
      <w:r>
        <w:t xml:space="preserve"> </w:t>
      </w:r>
      <w:proofErr w:type="gramStart"/>
      <w:r>
        <w:t>del</w:t>
      </w:r>
      <w:proofErr w:type="gramEnd"/>
      <w:r>
        <w:t xml:space="preserve"> </w:t>
      </w:r>
      <w:proofErr w:type="spellStart"/>
      <w:r>
        <w:t>popolo</w:t>
      </w:r>
      <w:proofErr w:type="spellEnd"/>
      <w:r w:rsidR="00763B21">
        <w:t>’</w:t>
      </w:r>
      <w:r>
        <w:t xml:space="preserve">) testifies. </w:t>
      </w:r>
      <w:proofErr w:type="spellStart"/>
      <w:r>
        <w:t>Brucioli</w:t>
      </w:r>
      <w:r w:rsidR="00763B21">
        <w:t>’</w:t>
      </w:r>
      <w:r>
        <w:t>s</w:t>
      </w:r>
      <w:proofErr w:type="spellEnd"/>
      <w:r>
        <w:t xml:space="preserve"> </w:t>
      </w:r>
      <w:r w:rsidR="00763B21">
        <w:t>‘</w:t>
      </w:r>
      <w:r>
        <w:t>true and everlasting worship of God</w:t>
      </w:r>
      <w:r w:rsidR="00763B21">
        <w:t>’</w:t>
      </w:r>
      <w:r>
        <w:t xml:space="preserve"> is extended into Aretino</w:t>
      </w:r>
      <w:r w:rsidR="00763B21">
        <w:t>’</w:t>
      </w:r>
      <w:r>
        <w:t xml:space="preserve">s </w:t>
      </w:r>
      <w:r w:rsidR="00763B21">
        <w:t>‘</w:t>
      </w:r>
      <w:r>
        <w:t>vision of peace and union that will inhere amongst those who laud, honour and adore God only</w:t>
      </w:r>
      <w:r w:rsidR="00763B21">
        <w:t>’</w:t>
      </w:r>
      <w:r>
        <w:t xml:space="preserve">, which also draws on </w:t>
      </w:r>
      <w:proofErr w:type="spellStart"/>
      <w:r>
        <w:t>Brucioli</w:t>
      </w:r>
      <w:r w:rsidR="00763B21">
        <w:t>’</w:t>
      </w:r>
      <w:r>
        <w:t>s</w:t>
      </w:r>
      <w:proofErr w:type="spellEnd"/>
      <w:r>
        <w:t xml:space="preserve"> later exegesis of Sion as signifying the church of the faithful in his commentary on Psalm 102.22.</w:t>
      </w:r>
      <w:r>
        <w:rPr>
          <w:vertAlign w:val="superscript"/>
        </w:rPr>
        <w:t xml:space="preserve"> </w:t>
      </w:r>
      <w:r>
        <w:t xml:space="preserve"> David</w:t>
      </w:r>
      <w:r w:rsidR="00763B21">
        <w:t>’</w:t>
      </w:r>
      <w:r>
        <w:t xml:space="preserve">s traditional foreshadowing of Christ in </w:t>
      </w:r>
      <w:proofErr w:type="spellStart"/>
      <w:r>
        <w:t>Brucioli</w:t>
      </w:r>
      <w:proofErr w:type="spellEnd"/>
      <w:r>
        <w:t xml:space="preserve"> informs Aretino</w:t>
      </w:r>
      <w:r w:rsidR="00763B21">
        <w:t>’</w:t>
      </w:r>
      <w:r>
        <w:t xml:space="preserve">s statement that </w:t>
      </w:r>
      <w:proofErr w:type="spellStart"/>
      <w:r>
        <w:t>Sion</w:t>
      </w:r>
      <w:proofErr w:type="spellEnd"/>
      <w:r>
        <w:t xml:space="preserve"> is </w:t>
      </w:r>
      <w:r w:rsidR="00763B21">
        <w:t>‘</w:t>
      </w:r>
      <w:r>
        <w:t>the name I have given to the speculation of those who, by means of a desire for the truth, will come to an understanding of your son</w:t>
      </w:r>
      <w:r w:rsidR="00763B21">
        <w:t>’</w:t>
      </w:r>
      <w:r>
        <w:t xml:space="preserve"> (</w:t>
      </w:r>
      <w:r w:rsidR="00763B21">
        <w:t>‘</w:t>
      </w:r>
      <w:r>
        <w:t>[</w:t>
      </w:r>
      <w:proofErr w:type="spellStart"/>
      <w:r>
        <w:t>il</w:t>
      </w:r>
      <w:proofErr w:type="spellEnd"/>
      <w:r>
        <w:t xml:space="preserve">] </w:t>
      </w:r>
      <w:proofErr w:type="spellStart"/>
      <w:r>
        <w:t>nome</w:t>
      </w:r>
      <w:proofErr w:type="spellEnd"/>
      <w:r>
        <w:t xml:space="preserve"> </w:t>
      </w:r>
      <w:proofErr w:type="spellStart"/>
      <w:r>
        <w:t>hò</w:t>
      </w:r>
      <w:proofErr w:type="spellEnd"/>
      <w:r>
        <w:t xml:space="preserve"> posto a la speculatione di </w:t>
      </w:r>
      <w:proofErr w:type="gramStart"/>
      <w:r>
        <w:t>quelli ,</w:t>
      </w:r>
      <w:proofErr w:type="gramEnd"/>
      <w:r>
        <w:t xml:space="preserve"> che per desiderio de la uerità uerranno a </w:t>
      </w:r>
      <w:proofErr w:type="spellStart"/>
      <w:r>
        <w:t>cognitione</w:t>
      </w:r>
      <w:proofErr w:type="spellEnd"/>
      <w:r>
        <w:t xml:space="preserve"> del </w:t>
      </w:r>
      <w:proofErr w:type="spellStart"/>
      <w:r>
        <w:t>tuo</w:t>
      </w:r>
      <w:proofErr w:type="spellEnd"/>
      <w:r>
        <w:t xml:space="preserve"> </w:t>
      </w:r>
      <w:proofErr w:type="spellStart"/>
      <w:r>
        <w:t>figliuolo</w:t>
      </w:r>
      <w:proofErr w:type="spellEnd"/>
      <w:r w:rsidR="00763B21">
        <w:t>’</w:t>
      </w:r>
      <w:r>
        <w:t>).</w:t>
      </w:r>
      <w:r>
        <w:rPr>
          <w:vertAlign w:val="superscript"/>
        </w:rPr>
        <w:t xml:space="preserve"> </w:t>
      </w:r>
      <w:r>
        <w:t xml:space="preserve"> Indeed, it is to </w:t>
      </w:r>
      <w:proofErr w:type="spellStart"/>
      <w:r>
        <w:t>Brucioli</w:t>
      </w:r>
      <w:r w:rsidR="00763B21">
        <w:t>’</w:t>
      </w:r>
      <w:r>
        <w:t>s</w:t>
      </w:r>
      <w:proofErr w:type="spellEnd"/>
      <w:r>
        <w:t xml:space="preserve"> influence upon both Aretino and Wyatt that we ought now to turn, and in doing so turn back to begin anew. </w:t>
      </w:r>
    </w:p>
    <w:p w:rsidR="005B3613" w:rsidRDefault="005B3613" w:rsidP="0099652D">
      <w:pPr>
        <w:spacing w:after="0" w:line="240" w:lineRule="auto"/>
        <w:ind w:firstLine="567"/>
        <w:jc w:val="both"/>
      </w:pPr>
    </w:p>
    <w:p w:rsidR="005B3613" w:rsidRDefault="00415365" w:rsidP="0099652D">
      <w:pPr>
        <w:spacing w:line="480" w:lineRule="auto"/>
        <w:ind w:firstLine="567"/>
        <w:jc w:val="both"/>
      </w:pPr>
      <w:r>
        <w:t xml:space="preserve">In the opening paraphrase of the first line of the second penitential psalm (Psalm 32, </w:t>
      </w:r>
      <w:r>
        <w:rPr>
          <w:i/>
        </w:rPr>
        <w:t>Domine ne in furore</w:t>
      </w:r>
      <w:r>
        <w:t xml:space="preserve">), as we have already seen, Aretino writes </w:t>
      </w:r>
    </w:p>
    <w:p w:rsidR="005B3613" w:rsidRDefault="00415365" w:rsidP="008C7E9C">
      <w:pPr>
        <w:spacing w:after="0" w:line="240" w:lineRule="auto"/>
        <w:ind w:left="567" w:right="521"/>
        <w:jc w:val="both"/>
      </w:pPr>
      <w:r>
        <w:lastRenderedPageBreak/>
        <w:t xml:space="preserve">O blessed are they whose sins God pardons, leaving them unpunished, not through acts of contrition, nor through penitence </w:t>
      </w:r>
      <w:r w:rsidR="008C7E9C">
        <w:t>[</w:t>
      </w:r>
      <w:r>
        <w:t>...</w:t>
      </w:r>
      <w:r w:rsidR="008C7E9C">
        <w:t>]</w:t>
      </w:r>
      <w:r>
        <w:t xml:space="preserve"> but through the benefice of His grace</w:t>
      </w:r>
      <w:r w:rsidR="008C7E9C">
        <w:t xml:space="preserve"> […].</w:t>
      </w:r>
    </w:p>
    <w:p w:rsidR="005B3613" w:rsidRDefault="005B3613" w:rsidP="0099652D">
      <w:pPr>
        <w:spacing w:after="0" w:line="240" w:lineRule="auto"/>
        <w:ind w:firstLine="567"/>
        <w:jc w:val="both"/>
      </w:pPr>
    </w:p>
    <w:p w:rsidR="005B3613" w:rsidRDefault="00415365" w:rsidP="008C7E9C">
      <w:pPr>
        <w:spacing w:line="480" w:lineRule="auto"/>
        <w:jc w:val="both"/>
      </w:pPr>
      <w:r>
        <w:t>This emphasis upon God</w:t>
      </w:r>
      <w:r w:rsidR="00763B21">
        <w:t>’</w:t>
      </w:r>
      <w:r>
        <w:t xml:space="preserve">s grace, not acts of contrition or penitence, as being the source of divine forgiveness corresponds with </w:t>
      </w:r>
      <w:proofErr w:type="spellStart"/>
      <w:r>
        <w:t>Brucioli</w:t>
      </w:r>
      <w:r w:rsidR="00763B21">
        <w:t>’</w:t>
      </w:r>
      <w:r>
        <w:t>s</w:t>
      </w:r>
      <w:proofErr w:type="spellEnd"/>
      <w:r>
        <w:t xml:space="preserve"> commentary on the same line of the same psalm: </w:t>
      </w:r>
    </w:p>
    <w:p w:rsidR="005B3613" w:rsidRPr="00415365" w:rsidRDefault="00415365" w:rsidP="008C7E9C">
      <w:pPr>
        <w:spacing w:line="240" w:lineRule="auto"/>
        <w:ind w:left="567" w:right="284"/>
        <w:jc w:val="both"/>
        <w:rPr>
          <w:lang w:val="it-IT"/>
        </w:rPr>
      </w:pPr>
      <w:r w:rsidRPr="00415365">
        <w:rPr>
          <w:lang w:val="it-IT"/>
        </w:rPr>
        <w:t>Et beato anchora quello, del quale non imputaua il signore la sua iniquita, cioè quello giustifica Iddio per la gratia sua, &amp; non per i meriti, &amp; che puramente, &amp; semplicemente conosce il suo errore.</w:t>
      </w:r>
      <w:r w:rsidR="008C7E9C">
        <w:rPr>
          <w:rStyle w:val="FootnoteReference"/>
          <w:lang w:val="it-IT"/>
        </w:rPr>
        <w:footnoteReference w:id="44"/>
      </w:r>
      <w:r w:rsidRPr="00415365">
        <w:rPr>
          <w:vertAlign w:val="superscript"/>
          <w:lang w:val="it-IT"/>
        </w:rPr>
        <w:t xml:space="preserve"> </w:t>
      </w:r>
      <w:r w:rsidRPr="00415365">
        <w:rPr>
          <w:lang w:val="it-IT"/>
        </w:rPr>
        <w:t xml:space="preserve"> </w:t>
      </w:r>
    </w:p>
    <w:p w:rsidR="005B3613" w:rsidRDefault="00415365" w:rsidP="008C7E9C">
      <w:pPr>
        <w:spacing w:line="240" w:lineRule="auto"/>
        <w:ind w:left="567" w:right="284"/>
        <w:jc w:val="both"/>
      </w:pPr>
      <w:r>
        <w:t>And blessed yet [is] that one to whom the Lord does not impute sin; that is, the one whom God justifies through His grace, and not through his merits, and who purely and simply recognizes his sin.</w:t>
      </w:r>
    </w:p>
    <w:p w:rsidR="005B3613" w:rsidRDefault="00415365" w:rsidP="008C7E9C">
      <w:pPr>
        <w:spacing w:line="480" w:lineRule="auto"/>
        <w:ind w:right="261"/>
        <w:jc w:val="both"/>
      </w:pPr>
      <w:r>
        <w:t xml:space="preserve">The correspondence here is not only doctrinal but phrasal: </w:t>
      </w:r>
      <w:proofErr w:type="spellStart"/>
      <w:r>
        <w:t>Brucioli</w:t>
      </w:r>
      <w:r w:rsidR="00763B21">
        <w:t>’</w:t>
      </w:r>
      <w:r>
        <w:t>s</w:t>
      </w:r>
      <w:proofErr w:type="spellEnd"/>
      <w:r>
        <w:t xml:space="preserve"> </w:t>
      </w:r>
      <w:r w:rsidR="00763B21">
        <w:t>‘</w:t>
      </w:r>
      <w:r>
        <w:t xml:space="preserve">la </w:t>
      </w:r>
      <w:proofErr w:type="spellStart"/>
      <w:r>
        <w:t>sua</w:t>
      </w:r>
      <w:proofErr w:type="spellEnd"/>
      <w:r>
        <w:t xml:space="preserve"> </w:t>
      </w:r>
      <w:proofErr w:type="spellStart"/>
      <w:r>
        <w:t>iniquita</w:t>
      </w:r>
      <w:proofErr w:type="spellEnd"/>
      <w:r w:rsidR="00763B21">
        <w:t>’</w:t>
      </w:r>
      <w:r>
        <w:t xml:space="preserve"> is echoed by Aretino</w:t>
      </w:r>
      <w:r w:rsidR="00763B21">
        <w:t>’</w:t>
      </w:r>
      <w:r>
        <w:t xml:space="preserve">s </w:t>
      </w:r>
      <w:r w:rsidR="00763B21">
        <w:t>‘</w:t>
      </w:r>
      <w:r>
        <w:t xml:space="preserve">le cui </w:t>
      </w:r>
      <w:proofErr w:type="spellStart"/>
      <w:r>
        <w:t>iniquità</w:t>
      </w:r>
      <w:proofErr w:type="spellEnd"/>
      <w:r w:rsidR="00763B21">
        <w:t>’</w:t>
      </w:r>
      <w:r>
        <w:t xml:space="preserve">, </w:t>
      </w:r>
      <w:proofErr w:type="spellStart"/>
      <w:r>
        <w:t>Brucioli</w:t>
      </w:r>
      <w:r w:rsidR="00763B21">
        <w:t>’</w:t>
      </w:r>
      <w:r>
        <w:t>s</w:t>
      </w:r>
      <w:proofErr w:type="spellEnd"/>
      <w:r>
        <w:t xml:space="preserve"> </w:t>
      </w:r>
      <w:r w:rsidR="00763B21">
        <w:t>‘</w:t>
      </w:r>
      <w:r>
        <w:t xml:space="preserve">per la gratia </w:t>
      </w:r>
      <w:proofErr w:type="spellStart"/>
      <w:r>
        <w:t>sua</w:t>
      </w:r>
      <w:proofErr w:type="spellEnd"/>
      <w:r w:rsidR="00763B21">
        <w:t>’</w:t>
      </w:r>
      <w:r>
        <w:t xml:space="preserve"> becomes Aretino</w:t>
      </w:r>
      <w:r w:rsidR="00763B21">
        <w:t>’</w:t>
      </w:r>
      <w:r>
        <w:t xml:space="preserve">s </w:t>
      </w:r>
      <w:r w:rsidR="00763B21">
        <w:t>‘</w:t>
      </w:r>
      <w:r>
        <w:t xml:space="preserve">per beneficio de la gratia </w:t>
      </w:r>
      <w:proofErr w:type="spellStart"/>
      <w:r>
        <w:t>sua</w:t>
      </w:r>
      <w:proofErr w:type="spellEnd"/>
      <w:r w:rsidR="00763B21">
        <w:t>’</w:t>
      </w:r>
      <w:r>
        <w:t xml:space="preserve">. However, Aretino expands </w:t>
      </w:r>
      <w:proofErr w:type="spellStart"/>
      <w:r>
        <w:t>Brucioli</w:t>
      </w:r>
      <w:r w:rsidR="00763B21">
        <w:t>’</w:t>
      </w:r>
      <w:r>
        <w:t>s</w:t>
      </w:r>
      <w:proofErr w:type="spellEnd"/>
      <w:r>
        <w:t xml:space="preserve"> </w:t>
      </w:r>
      <w:r w:rsidR="00763B21">
        <w:t>‘</w:t>
      </w:r>
      <w:r>
        <w:t>not through his merits</w:t>
      </w:r>
      <w:r w:rsidR="00763B21">
        <w:t>’</w:t>
      </w:r>
      <w:r>
        <w:t xml:space="preserve"> into the more explicitly catechistic </w:t>
      </w:r>
      <w:r w:rsidR="00763B21">
        <w:t>‘</w:t>
      </w:r>
      <w:r>
        <w:t>not through acts of contrition, nor through penitence</w:t>
      </w:r>
      <w:r w:rsidR="00763B21">
        <w:t>’</w:t>
      </w:r>
      <w:r>
        <w:t>. Wyatt in his turn fuses the two commentaries, adding Aretino</w:t>
      </w:r>
      <w:r w:rsidR="00763B21">
        <w:t>’</w:t>
      </w:r>
      <w:r>
        <w:t xml:space="preserve">s </w:t>
      </w:r>
      <w:proofErr w:type="spellStart"/>
      <w:r>
        <w:rPr>
          <w:i/>
        </w:rPr>
        <w:t>penitentia</w:t>
      </w:r>
      <w:proofErr w:type="spellEnd"/>
      <w:r>
        <w:rPr>
          <w:i/>
        </w:rPr>
        <w:t xml:space="preserve"> </w:t>
      </w:r>
      <w:r>
        <w:t xml:space="preserve">to </w:t>
      </w:r>
      <w:proofErr w:type="spellStart"/>
      <w:r>
        <w:t>Brucioli</w:t>
      </w:r>
      <w:r w:rsidR="00763B21">
        <w:t>’</w:t>
      </w:r>
      <w:r>
        <w:t>s</w:t>
      </w:r>
      <w:proofErr w:type="spellEnd"/>
      <w:r>
        <w:t xml:space="preserve"> </w:t>
      </w:r>
      <w:r>
        <w:rPr>
          <w:i/>
        </w:rPr>
        <w:t>i meriti:</w:t>
      </w:r>
      <w:r>
        <w:t xml:space="preserve"> </w:t>
      </w:r>
    </w:p>
    <w:p w:rsidR="005B3613" w:rsidRDefault="00415365" w:rsidP="002C492F">
      <w:pPr>
        <w:spacing w:line="240" w:lineRule="auto"/>
        <w:ind w:left="567" w:right="284" w:firstLine="284"/>
      </w:pPr>
      <w:r>
        <w:t>Oh happy are they that have forgiffnes got</w:t>
      </w:r>
      <w:r>
        <w:br/>
      </w:r>
      <w:proofErr w:type="gramStart"/>
      <w:r>
        <w:t>Off</w:t>
      </w:r>
      <w:proofErr w:type="gramEnd"/>
      <w:r>
        <w:t xml:space="preserve"> theire offence (not by their </w:t>
      </w:r>
      <w:r>
        <w:rPr>
          <w:i/>
        </w:rPr>
        <w:t>penitence</w:t>
      </w:r>
      <w:r>
        <w:br/>
        <w:t xml:space="preserve">As by </w:t>
      </w:r>
      <w:r>
        <w:rPr>
          <w:i/>
        </w:rPr>
        <w:t xml:space="preserve">meryt </w:t>
      </w:r>
      <w:r>
        <w:t>which recompensyth not ...) (217-19</w:t>
      </w:r>
      <w:r w:rsidR="008C7E9C">
        <w:t>, emphasis added</w:t>
      </w:r>
      <w:r>
        <w:t>)</w:t>
      </w:r>
    </w:p>
    <w:p w:rsidR="00656634" w:rsidRDefault="00656634" w:rsidP="002C492F">
      <w:pPr>
        <w:spacing w:line="240" w:lineRule="auto"/>
        <w:ind w:left="567" w:right="284" w:firstLine="284"/>
      </w:pPr>
    </w:p>
    <w:p w:rsidR="005B3613" w:rsidRPr="002C492F" w:rsidRDefault="00415365" w:rsidP="002C492F">
      <w:pPr>
        <w:spacing w:line="480" w:lineRule="auto"/>
        <w:ind w:right="261"/>
        <w:jc w:val="both"/>
      </w:pPr>
      <w:r>
        <w:t>Wyatt</w:t>
      </w:r>
      <w:r w:rsidR="00763B21">
        <w:t>’</w:t>
      </w:r>
      <w:r>
        <w:t xml:space="preserve">s addition of </w:t>
      </w:r>
      <w:r w:rsidR="00763B21">
        <w:t>‘</w:t>
      </w:r>
      <w:proofErr w:type="spellStart"/>
      <w:r>
        <w:t>meryt</w:t>
      </w:r>
      <w:proofErr w:type="spellEnd"/>
      <w:r w:rsidR="00763B21">
        <w:t>’</w:t>
      </w:r>
      <w:r>
        <w:t>, which has no equivalent in Aretino, or Campensis, or any of Wyatt</w:t>
      </w:r>
      <w:r w:rsidR="00763B21">
        <w:t>’</w:t>
      </w:r>
      <w:r>
        <w:t xml:space="preserve">s other established sources, can be read as evidence that he had read </w:t>
      </w:r>
      <w:proofErr w:type="spellStart"/>
      <w:r>
        <w:t>Brucioli</w:t>
      </w:r>
      <w:r w:rsidR="00763B21">
        <w:t>’</w:t>
      </w:r>
      <w:r>
        <w:t>s</w:t>
      </w:r>
      <w:proofErr w:type="spellEnd"/>
      <w:r>
        <w:t xml:space="preserve"> commentary, just as Aretino had. Brucioli also refers to merits in his commentary on Psalm 6, in which he writes that by asking </w:t>
      </w:r>
      <w:r w:rsidR="00763B21">
        <w:t>‘</w:t>
      </w:r>
      <w:r>
        <w:t>not to be castigated and rebuked by God in His ire and fury, David is effectively saying “do not condemn me according to what I deserve [my merits]”</w:t>
      </w:r>
      <w:r w:rsidR="002C492F">
        <w:t>’</w:t>
      </w:r>
      <w:r>
        <w:t xml:space="preserve"> (</w:t>
      </w:r>
      <w:r w:rsidR="00763B21">
        <w:t>‘</w:t>
      </w:r>
      <w:r>
        <w:t xml:space="preserve">ma hora di no[n] essere castigato &amp; ripresa in ira, &amp; furore, quasi dica, non </w:t>
      </w:r>
      <w:r>
        <w:lastRenderedPageBreak/>
        <w:t xml:space="preserve">mi uolere condannare secondo </w:t>
      </w:r>
      <w:proofErr w:type="spellStart"/>
      <w:r>
        <w:t>i</w:t>
      </w:r>
      <w:proofErr w:type="spellEnd"/>
      <w:r>
        <w:t xml:space="preserve"> </w:t>
      </w:r>
      <w:proofErr w:type="spellStart"/>
      <w:r>
        <w:t>meriti</w:t>
      </w:r>
      <w:proofErr w:type="spellEnd"/>
      <w:r>
        <w:t xml:space="preserve"> </w:t>
      </w:r>
      <w:proofErr w:type="spellStart"/>
      <w:r>
        <w:t>miei</w:t>
      </w:r>
      <w:proofErr w:type="spellEnd"/>
      <w:r w:rsidR="00763B21">
        <w:t>’</w:t>
      </w:r>
      <w:r>
        <w:t>).</w:t>
      </w:r>
      <w:r w:rsidR="002C492F">
        <w:rPr>
          <w:rStyle w:val="FootnoteReference"/>
        </w:rPr>
        <w:footnoteReference w:id="45"/>
      </w:r>
      <w:r>
        <w:rPr>
          <w:vertAlign w:val="superscript"/>
        </w:rPr>
        <w:t xml:space="preserve"> </w:t>
      </w:r>
      <w:r>
        <w:t xml:space="preserve"> Likewise in his commentary on the opening lines of Psalm 143, </w:t>
      </w:r>
      <w:proofErr w:type="spellStart"/>
      <w:r>
        <w:t>Brucioli</w:t>
      </w:r>
      <w:proofErr w:type="spellEnd"/>
      <w:r>
        <w:t xml:space="preserve"> writes how David wills God not to render justice in accordance with deeds, </w:t>
      </w:r>
      <w:r w:rsidR="00763B21">
        <w:t>‘</w:t>
      </w:r>
      <w:r>
        <w:t xml:space="preserve">no[n] </w:t>
      </w:r>
      <w:proofErr w:type="spellStart"/>
      <w:r>
        <w:t>voglia</w:t>
      </w:r>
      <w:proofErr w:type="spellEnd"/>
      <w:r>
        <w:t xml:space="preserve"> </w:t>
      </w:r>
      <w:proofErr w:type="spellStart"/>
      <w:r>
        <w:t>rendere</w:t>
      </w:r>
      <w:proofErr w:type="spellEnd"/>
      <w:r>
        <w:t xml:space="preserve"> </w:t>
      </w:r>
      <w:proofErr w:type="spellStart"/>
      <w:r>
        <w:t>loro</w:t>
      </w:r>
      <w:proofErr w:type="spellEnd"/>
      <w:r>
        <w:t xml:space="preserve"> [</w:t>
      </w:r>
      <w:proofErr w:type="spellStart"/>
      <w:r>
        <w:t>giudico</w:t>
      </w:r>
      <w:proofErr w:type="spellEnd"/>
      <w:r>
        <w:t xml:space="preserve">] secondo </w:t>
      </w:r>
      <w:proofErr w:type="spellStart"/>
      <w:r>
        <w:t>l</w:t>
      </w:r>
      <w:r w:rsidR="00763B21">
        <w:t>’</w:t>
      </w:r>
      <w:r>
        <w:t>ope</w:t>
      </w:r>
      <w:proofErr w:type="spellEnd"/>
      <w:r>
        <w:t>[re]</w:t>
      </w:r>
      <w:r w:rsidR="00763B21">
        <w:t>’</w:t>
      </w:r>
      <w:r>
        <w:t>, which informs Aretino</w:t>
      </w:r>
      <w:r w:rsidR="00763B21">
        <w:t>’</w:t>
      </w:r>
      <w:r>
        <w:t xml:space="preserve">s plea that he be judged </w:t>
      </w:r>
      <w:r w:rsidR="00763B21">
        <w:t>‘</w:t>
      </w:r>
      <w:r>
        <w:t>not in accordance with the truth and justice of Your laws, which swiftly condemn and punish the sinner according to the gravity of his sin</w:t>
      </w:r>
      <w:r w:rsidR="00763B21">
        <w:t>’</w:t>
      </w:r>
      <w:r>
        <w:t xml:space="preserve"> (</w:t>
      </w:r>
      <w:r w:rsidR="00763B21">
        <w:t>‘</w:t>
      </w:r>
      <w:r>
        <w:t xml:space="preserve">non secondo la </w:t>
      </w:r>
      <w:proofErr w:type="spellStart"/>
      <w:r>
        <w:t>uerità</w:t>
      </w:r>
      <w:proofErr w:type="spellEnd"/>
      <w:r>
        <w:t xml:space="preserve"> e la </w:t>
      </w:r>
      <w:proofErr w:type="spellStart"/>
      <w:r>
        <w:t>giustitia</w:t>
      </w:r>
      <w:proofErr w:type="spellEnd"/>
      <w:r>
        <w:t xml:space="preserve"> de le </w:t>
      </w:r>
      <w:proofErr w:type="spellStart"/>
      <w:r>
        <w:t>leggi</w:t>
      </w:r>
      <w:proofErr w:type="spellEnd"/>
      <w:r>
        <w:t xml:space="preserve">, le </w:t>
      </w:r>
      <w:proofErr w:type="spellStart"/>
      <w:r>
        <w:t>quali</w:t>
      </w:r>
      <w:proofErr w:type="spellEnd"/>
      <w:r>
        <w:t xml:space="preserve"> </w:t>
      </w:r>
      <w:proofErr w:type="spellStart"/>
      <w:r>
        <w:t>condannano</w:t>
      </w:r>
      <w:proofErr w:type="spellEnd"/>
      <w:r>
        <w:t xml:space="preserve">, e </w:t>
      </w:r>
      <w:proofErr w:type="spellStart"/>
      <w:r>
        <w:t>puniscano</w:t>
      </w:r>
      <w:proofErr w:type="spellEnd"/>
      <w:r>
        <w:t xml:space="preserve"> di </w:t>
      </w:r>
      <w:proofErr w:type="spellStart"/>
      <w:r>
        <w:t>subito</w:t>
      </w:r>
      <w:proofErr w:type="spellEnd"/>
      <w:r>
        <w:t xml:space="preserve"> secondo la </w:t>
      </w:r>
      <w:proofErr w:type="spellStart"/>
      <w:r>
        <w:t>grauezza</w:t>
      </w:r>
      <w:proofErr w:type="spellEnd"/>
      <w:r>
        <w:t xml:space="preserve"> del </w:t>
      </w:r>
      <w:proofErr w:type="spellStart"/>
      <w:r>
        <w:t>demerito</w:t>
      </w:r>
      <w:proofErr w:type="spellEnd"/>
      <w:r w:rsidR="00763B21">
        <w:t>’</w:t>
      </w:r>
      <w:r>
        <w:t>, both of which produce Wyatt</w:t>
      </w:r>
      <w:r w:rsidR="00763B21">
        <w:t>’</w:t>
      </w:r>
      <w:r>
        <w:t xml:space="preserve">s </w:t>
      </w:r>
      <w:r w:rsidR="00763B21">
        <w:t>‘</w:t>
      </w:r>
      <w:proofErr w:type="spellStart"/>
      <w:r>
        <w:t>answere</w:t>
      </w:r>
      <w:proofErr w:type="spellEnd"/>
      <w:r>
        <w:t xml:space="preserve"> to my desire / Not by desert</w:t>
      </w:r>
      <w:r w:rsidR="00763B21">
        <w:t>’</w:t>
      </w:r>
      <w:r>
        <w:t xml:space="preserve"> (728-29).</w:t>
      </w:r>
      <w:r w:rsidR="008C7E9C">
        <w:rPr>
          <w:rStyle w:val="FootnoteReference"/>
        </w:rPr>
        <w:footnoteReference w:id="46"/>
      </w:r>
      <w:r>
        <w:rPr>
          <w:vertAlign w:val="superscript"/>
        </w:rPr>
        <w:t xml:space="preserve"> </w:t>
      </w:r>
      <w:r w:rsidR="002C492F">
        <w:t xml:space="preserve">However, it is in his emphasis on </w:t>
      </w:r>
      <w:proofErr w:type="spellStart"/>
      <w:r w:rsidR="002C492F" w:rsidRPr="002C492F">
        <w:rPr>
          <w:i/>
          <w:iCs/>
        </w:rPr>
        <w:t>i</w:t>
      </w:r>
      <w:proofErr w:type="spellEnd"/>
      <w:r w:rsidR="002C492F" w:rsidRPr="002C492F">
        <w:rPr>
          <w:i/>
          <w:iCs/>
        </w:rPr>
        <w:t xml:space="preserve"> </w:t>
      </w:r>
      <w:proofErr w:type="spellStart"/>
      <w:r w:rsidR="002C492F" w:rsidRPr="002C492F">
        <w:rPr>
          <w:i/>
          <w:iCs/>
        </w:rPr>
        <w:t>meriti</w:t>
      </w:r>
      <w:proofErr w:type="spellEnd"/>
      <w:r w:rsidR="002C492F">
        <w:t xml:space="preserve"> that </w:t>
      </w:r>
      <w:proofErr w:type="spellStart"/>
      <w:r w:rsidR="002C492F">
        <w:t>Brucioli</w:t>
      </w:r>
      <w:proofErr w:type="spellEnd"/>
      <w:r w:rsidR="002C492F">
        <w:t xml:space="preserve"> accords with the Bishops’ Book, which confirms that salvation is granted ‘</w:t>
      </w:r>
      <w:r w:rsidR="002C492F" w:rsidRPr="002C492F">
        <w:t xml:space="preserve">not for the </w:t>
      </w:r>
      <w:proofErr w:type="spellStart"/>
      <w:r w:rsidR="002C492F" w:rsidRPr="002C492F">
        <w:t>worthynes</w:t>
      </w:r>
      <w:proofErr w:type="spellEnd"/>
      <w:r w:rsidR="002C492F" w:rsidRPr="002C492F">
        <w:t xml:space="preserve"> of any </w:t>
      </w:r>
      <w:proofErr w:type="spellStart"/>
      <w:r w:rsidR="002C492F" w:rsidRPr="002C492F">
        <w:t>merite</w:t>
      </w:r>
      <w:proofErr w:type="spellEnd"/>
      <w:r w:rsidR="002C492F" w:rsidRPr="002C492F">
        <w:t xml:space="preserve"> or </w:t>
      </w:r>
      <w:proofErr w:type="spellStart"/>
      <w:r w:rsidR="002C492F" w:rsidRPr="002C492F">
        <w:t>worke</w:t>
      </w:r>
      <w:proofErr w:type="spellEnd"/>
      <w:r w:rsidR="002C492F" w:rsidRPr="002C492F">
        <w:t xml:space="preserve"> done by the peniten</w:t>
      </w:r>
      <w:r w:rsidR="002C492F">
        <w:t>t’</w:t>
      </w:r>
      <w:r w:rsidR="008D0262">
        <w:t>.</w:t>
      </w:r>
    </w:p>
    <w:p w:rsidR="005B3613" w:rsidRDefault="00415365" w:rsidP="0099652D">
      <w:pPr>
        <w:spacing w:after="0" w:line="480" w:lineRule="auto"/>
        <w:ind w:firstLine="567"/>
        <w:jc w:val="both"/>
      </w:pPr>
      <w:r>
        <w:t xml:space="preserve">It might yet be argued that Wyatt is reiterating </w:t>
      </w:r>
      <w:proofErr w:type="spellStart"/>
      <w:r>
        <w:t>Brucioli</w:t>
      </w:r>
      <w:proofErr w:type="spellEnd"/>
      <w:r>
        <w:t xml:space="preserve"> through </w:t>
      </w:r>
      <w:proofErr w:type="spellStart"/>
      <w:r>
        <w:t>Aretinian</w:t>
      </w:r>
      <w:proofErr w:type="spellEnd"/>
      <w:r>
        <w:t xml:space="preserve"> osmosis</w:t>
      </w:r>
      <w:r w:rsidR="008D0262">
        <w:t>, or that his emphasis on merit comes from his reading of the Bishops’ Book only</w:t>
      </w:r>
      <w:r>
        <w:t xml:space="preserve">. Something more tangible is needed. In his translation of Psalm 51.7 Wyatt writes </w:t>
      </w:r>
      <w:r w:rsidR="00763B21">
        <w:t>‘</w:t>
      </w:r>
      <w:proofErr w:type="gramStart"/>
      <w:r>
        <w:t>And</w:t>
      </w:r>
      <w:proofErr w:type="gramEnd"/>
      <w:r>
        <w:t xml:space="preserve"> as the </w:t>
      </w:r>
      <w:proofErr w:type="spellStart"/>
      <w:r>
        <w:t>Juyz</w:t>
      </w:r>
      <w:proofErr w:type="spellEnd"/>
      <w:r>
        <w:t xml:space="preserve"> to hele the liepre sore / With hysope clense, clense me, and I </w:t>
      </w:r>
      <w:proofErr w:type="spellStart"/>
      <w:r>
        <w:t>ame</w:t>
      </w:r>
      <w:proofErr w:type="spellEnd"/>
      <w:r>
        <w:t xml:space="preserve"> </w:t>
      </w:r>
      <w:proofErr w:type="spellStart"/>
      <w:r>
        <w:t>clene</w:t>
      </w:r>
      <w:proofErr w:type="spellEnd"/>
      <w:r w:rsidR="00763B21">
        <w:t>’</w:t>
      </w:r>
      <w:r>
        <w:t xml:space="preserve"> (469-70). Muir and Thomson note that this is </w:t>
      </w:r>
      <w:r w:rsidR="00763B21">
        <w:t>‘</w:t>
      </w:r>
      <w:r>
        <w:t>W[</w:t>
      </w:r>
      <w:proofErr w:type="spellStart"/>
      <w:r>
        <w:t>yatt</w:t>
      </w:r>
      <w:proofErr w:type="spellEnd"/>
      <w:r>
        <w:t>]</w:t>
      </w:r>
      <w:r w:rsidR="00763B21">
        <w:t>’</w:t>
      </w:r>
      <w:r>
        <w:t xml:space="preserve">s independent paraphrase of the Bible. His </w:t>
      </w:r>
      <w:r>
        <w:rPr>
          <w:i/>
        </w:rPr>
        <w:t>liepre sore</w:t>
      </w:r>
      <w:r>
        <w:t xml:space="preserve"> is not fully accounted for by any known source, but possibly he was influenced by Aretino who draws out the idea of the healing God</w:t>
      </w:r>
      <w:r w:rsidR="00763B21">
        <w:t>’</w:t>
      </w:r>
      <w:r>
        <w:t>.</w:t>
      </w:r>
      <w:r w:rsidR="008D0262">
        <w:rPr>
          <w:rStyle w:val="FootnoteReference"/>
        </w:rPr>
        <w:footnoteReference w:id="47"/>
      </w:r>
      <w:r>
        <w:rPr>
          <w:vertAlign w:val="superscript"/>
        </w:rPr>
        <w:t xml:space="preserve"> </w:t>
      </w:r>
      <w:r>
        <w:t xml:space="preserve"> However, in his commentary on Psalm 51.7, </w:t>
      </w:r>
      <w:proofErr w:type="spellStart"/>
      <w:r>
        <w:t>Brucioli</w:t>
      </w:r>
      <w:proofErr w:type="spellEnd"/>
      <w:r>
        <w:t xml:space="preserve"> writes </w:t>
      </w:r>
      <w:r w:rsidR="00763B21">
        <w:t>‘</w:t>
      </w:r>
      <w:r>
        <w:t>it is known that hyssop was employed in that solemn sacrifice for [the cleansing of] the sin which is related in Numbers 19, in the same way that it is used in the purging of leprosy, as treated in Leviticus 14</w:t>
      </w:r>
      <w:r w:rsidR="00763B21">
        <w:t>’</w:t>
      </w:r>
      <w:r>
        <w:t xml:space="preserve"> (</w:t>
      </w:r>
      <w:r w:rsidR="00763B21">
        <w:t>‘</w:t>
      </w:r>
      <w:r>
        <w:t xml:space="preserve">è da </w:t>
      </w:r>
      <w:proofErr w:type="spellStart"/>
      <w:r>
        <w:t>sapere</w:t>
      </w:r>
      <w:proofErr w:type="spellEnd"/>
      <w:r>
        <w:t xml:space="preserve">, </w:t>
      </w:r>
      <w:proofErr w:type="spellStart"/>
      <w:r>
        <w:t>che</w:t>
      </w:r>
      <w:proofErr w:type="spellEnd"/>
      <w:r>
        <w:t xml:space="preserve"> in </w:t>
      </w:r>
      <w:proofErr w:type="spellStart"/>
      <w:r>
        <w:t>quel</w:t>
      </w:r>
      <w:proofErr w:type="spellEnd"/>
      <w:r>
        <w:t xml:space="preserve"> </w:t>
      </w:r>
      <w:proofErr w:type="spellStart"/>
      <w:r>
        <w:t>solenne</w:t>
      </w:r>
      <w:proofErr w:type="spellEnd"/>
      <w:r>
        <w:t xml:space="preserve"> </w:t>
      </w:r>
      <w:proofErr w:type="spellStart"/>
      <w:r>
        <w:t>sacrificio</w:t>
      </w:r>
      <w:proofErr w:type="spellEnd"/>
      <w:r>
        <w:t xml:space="preserve">, per </w:t>
      </w:r>
      <w:proofErr w:type="spellStart"/>
      <w:r>
        <w:t>il</w:t>
      </w:r>
      <w:proofErr w:type="spellEnd"/>
      <w:r>
        <w:t xml:space="preserve"> </w:t>
      </w:r>
      <w:proofErr w:type="spellStart"/>
      <w:r>
        <w:t>peccato</w:t>
      </w:r>
      <w:proofErr w:type="spellEnd"/>
      <w:r>
        <w:t xml:space="preserve"> del quale è </w:t>
      </w:r>
      <w:proofErr w:type="spellStart"/>
      <w:r>
        <w:t>scritto</w:t>
      </w:r>
      <w:proofErr w:type="spellEnd"/>
      <w:r>
        <w:t xml:space="preserve"> </w:t>
      </w:r>
      <w:proofErr w:type="spellStart"/>
      <w:r>
        <w:t>nel</w:t>
      </w:r>
      <w:proofErr w:type="spellEnd"/>
      <w:r>
        <w:t xml:space="preserve"> </w:t>
      </w:r>
      <w:proofErr w:type="spellStart"/>
      <w:r>
        <w:t>libro</w:t>
      </w:r>
      <w:proofErr w:type="spellEnd"/>
      <w:r>
        <w:t xml:space="preserve"> de </w:t>
      </w:r>
      <w:proofErr w:type="spellStart"/>
      <w:r>
        <w:t>Numeri</w:t>
      </w:r>
      <w:proofErr w:type="spellEnd"/>
      <w:r>
        <w:t xml:space="preserve">. </w:t>
      </w:r>
      <w:r w:rsidRPr="00415365">
        <w:rPr>
          <w:lang w:val="it-IT"/>
        </w:rPr>
        <w:t xml:space="preserve">Cap. 19. &amp; medesimamente nella purgatione del lebroso, della quale tratta nel libro del Leuitico. </w:t>
      </w:r>
      <w:r>
        <w:t xml:space="preserve">Cap. </w:t>
      </w:r>
      <w:proofErr w:type="gramStart"/>
      <w:r>
        <w:t xml:space="preserve">14, </w:t>
      </w:r>
      <w:proofErr w:type="spellStart"/>
      <w:r>
        <w:t>si</w:t>
      </w:r>
      <w:proofErr w:type="spellEnd"/>
      <w:r>
        <w:t xml:space="preserve"> </w:t>
      </w:r>
      <w:proofErr w:type="spellStart"/>
      <w:r>
        <w:t>toglieua</w:t>
      </w:r>
      <w:proofErr w:type="spellEnd"/>
      <w:r>
        <w:t xml:space="preserve"> </w:t>
      </w:r>
      <w:proofErr w:type="spellStart"/>
      <w:r>
        <w:lastRenderedPageBreak/>
        <w:t>l</w:t>
      </w:r>
      <w:r w:rsidR="00763B21">
        <w:t>’</w:t>
      </w:r>
      <w:r>
        <w:t>hysopo</w:t>
      </w:r>
      <w:proofErr w:type="spellEnd"/>
      <w:r w:rsidR="00763B21">
        <w:t>’</w:t>
      </w:r>
      <w:r>
        <w:t>).</w:t>
      </w:r>
      <w:proofErr w:type="gramEnd"/>
      <w:r w:rsidR="00646ECA">
        <w:rPr>
          <w:rStyle w:val="FootnoteReference"/>
        </w:rPr>
        <w:footnoteReference w:id="48"/>
      </w:r>
      <w:r>
        <w:rPr>
          <w:vertAlign w:val="superscript"/>
        </w:rPr>
        <w:t xml:space="preserve"> </w:t>
      </w:r>
      <w:r>
        <w:t xml:space="preserve"> This passing reference to leprosy follows an extended comparison of David</w:t>
      </w:r>
      <w:r w:rsidR="00763B21">
        <w:t>’</w:t>
      </w:r>
      <w:r>
        <w:t xml:space="preserve">s sense of sin to leprosy in </w:t>
      </w:r>
      <w:proofErr w:type="spellStart"/>
      <w:r>
        <w:t>Brucioli</w:t>
      </w:r>
      <w:r w:rsidR="00763B21">
        <w:t>’</w:t>
      </w:r>
      <w:r>
        <w:t>s</w:t>
      </w:r>
      <w:proofErr w:type="spellEnd"/>
      <w:r>
        <w:t xml:space="preserve"> commentary on the second verse of the psalm:</w:t>
      </w:r>
    </w:p>
    <w:p w:rsidR="005B3613" w:rsidRPr="00415365" w:rsidRDefault="00415365" w:rsidP="008D0262">
      <w:pPr>
        <w:spacing w:after="0" w:line="240" w:lineRule="auto"/>
        <w:ind w:left="567" w:right="284"/>
        <w:jc w:val="both"/>
        <w:rPr>
          <w:lang w:val="it-IT"/>
        </w:rPr>
      </w:pPr>
      <w:r w:rsidRPr="00415365">
        <w:rPr>
          <w:lang w:val="it-IT"/>
        </w:rPr>
        <w:t xml:space="preserve">Et domandando Dauid di essere lauato da peccati, non gli basta domandare essa lauanda </w:t>
      </w:r>
      <w:r w:rsidR="00646ECA">
        <w:rPr>
          <w:lang w:val="it-IT"/>
        </w:rPr>
        <w:t>[</w:t>
      </w:r>
      <w:r w:rsidRPr="00415365">
        <w:rPr>
          <w:lang w:val="it-IT"/>
        </w:rPr>
        <w:t>...</w:t>
      </w:r>
      <w:r w:rsidR="00646ECA">
        <w:rPr>
          <w:lang w:val="it-IT"/>
        </w:rPr>
        <w:t>]</w:t>
      </w:r>
      <w:r w:rsidRPr="00415365">
        <w:rPr>
          <w:lang w:val="it-IT"/>
        </w:rPr>
        <w:t xml:space="preserve"> ma si humilia facendosi come lebroso, &amp; riconosce il peccato suo, come lebbra, dicendo multiplica il lauare me dalla iniquita, cioè come pien di lebbra </w:t>
      </w:r>
      <w:r w:rsidR="00646ECA">
        <w:rPr>
          <w:lang w:val="it-IT"/>
        </w:rPr>
        <w:t>[</w:t>
      </w:r>
      <w:r w:rsidRPr="00415365">
        <w:rPr>
          <w:lang w:val="it-IT"/>
        </w:rPr>
        <w:t>...</w:t>
      </w:r>
      <w:r w:rsidR="00646ECA">
        <w:rPr>
          <w:lang w:val="it-IT"/>
        </w:rPr>
        <w:t>]</w:t>
      </w:r>
      <w:r w:rsidRPr="00415365">
        <w:rPr>
          <w:lang w:val="it-IT"/>
        </w:rPr>
        <w:t xml:space="preserve"> &amp; come si mondano i lebbrosi dalle lebbra loro, monad me dal peccato mio</w:t>
      </w:r>
      <w:r w:rsidR="00646ECA">
        <w:rPr>
          <w:lang w:val="it-IT"/>
        </w:rPr>
        <w:t xml:space="preserve"> [...].</w:t>
      </w:r>
      <w:r w:rsidR="00646ECA">
        <w:rPr>
          <w:rStyle w:val="FootnoteReference"/>
          <w:lang w:val="it-IT"/>
        </w:rPr>
        <w:footnoteReference w:id="49"/>
      </w:r>
      <w:r w:rsidR="00646ECA">
        <w:rPr>
          <w:lang w:val="it-IT"/>
        </w:rPr>
        <w:t xml:space="preserve"> </w:t>
      </w:r>
      <w:r w:rsidRPr="00415365">
        <w:rPr>
          <w:vertAlign w:val="superscript"/>
          <w:lang w:val="it-IT"/>
        </w:rPr>
        <w:t xml:space="preserve"> </w:t>
      </w:r>
    </w:p>
    <w:p w:rsidR="005B3613" w:rsidRPr="00415365" w:rsidRDefault="005B3613" w:rsidP="008D0262">
      <w:pPr>
        <w:spacing w:after="0" w:line="240" w:lineRule="auto"/>
        <w:ind w:left="567" w:right="284"/>
        <w:jc w:val="both"/>
        <w:rPr>
          <w:lang w:val="it-IT"/>
        </w:rPr>
      </w:pPr>
    </w:p>
    <w:p w:rsidR="005B3613" w:rsidRDefault="00415365" w:rsidP="008D0262">
      <w:pPr>
        <w:spacing w:after="0" w:line="240" w:lineRule="auto"/>
        <w:ind w:left="567" w:right="284"/>
        <w:jc w:val="both"/>
      </w:pPr>
      <w:r>
        <w:t xml:space="preserve">David asks to be cleansed of his sin, but it is not enough to ask to be cleansed ... he humbly makes himself like a leper, and acknowledges his sin as being like leprosy, saying repeatedly </w:t>
      </w:r>
      <w:r w:rsidR="00763B21">
        <w:t>‘</w:t>
      </w:r>
      <w:r>
        <w:t>cleanse me of my iniquity</w:t>
      </w:r>
      <w:r w:rsidR="00763B21">
        <w:t>’</w:t>
      </w:r>
      <w:r>
        <w:t xml:space="preserve">, as if full of leprosy, </w:t>
      </w:r>
      <w:r w:rsidR="00646ECA">
        <w:t>[</w:t>
      </w:r>
      <w:r>
        <w:t>...</w:t>
      </w:r>
      <w:r w:rsidR="00646ECA">
        <w:t>]</w:t>
      </w:r>
      <w:r>
        <w:t xml:space="preserve"> and as lepers are cleansed of their leprosy, cleanse me of my sin.</w:t>
      </w:r>
    </w:p>
    <w:p w:rsidR="005B3613" w:rsidRDefault="005B3613" w:rsidP="0099652D">
      <w:pPr>
        <w:spacing w:after="0" w:line="240" w:lineRule="auto"/>
        <w:ind w:left="284" w:right="284" w:firstLine="567"/>
        <w:jc w:val="both"/>
      </w:pPr>
    </w:p>
    <w:p w:rsidR="005B3613" w:rsidRDefault="00415365" w:rsidP="00656634">
      <w:pPr>
        <w:spacing w:after="0" w:line="480" w:lineRule="auto"/>
        <w:jc w:val="both"/>
      </w:pPr>
      <w:r>
        <w:t>On the basis of this evidence, we can see not only that Aretino</w:t>
      </w:r>
      <w:r w:rsidR="00763B21">
        <w:t>’</w:t>
      </w:r>
      <w:r>
        <w:t xml:space="preserve">s paraphrase was influenced by </w:t>
      </w:r>
      <w:proofErr w:type="spellStart"/>
      <w:r>
        <w:t>Brucioli</w:t>
      </w:r>
      <w:r w:rsidR="00763B21">
        <w:t>’</w:t>
      </w:r>
      <w:r>
        <w:t>s</w:t>
      </w:r>
      <w:proofErr w:type="spellEnd"/>
      <w:r>
        <w:t xml:space="preserve"> commentary in relation to specific points of doctrine – most notably in relation to divine grace superseding acts of contrition – but also that Wyatt often fused the two together in relation to those same cruces. Wyatt</w:t>
      </w:r>
      <w:r w:rsidR="00763B21">
        <w:t>’</w:t>
      </w:r>
      <w:r>
        <w:t>s doctrine thus accords with that of the reform-minded Catholic Aretino, and the Protestant reformist, Brucioli. That Wyatt</w:t>
      </w:r>
      <w:r w:rsidR="00763B21">
        <w:t>’</w:t>
      </w:r>
      <w:r>
        <w:t>s patron Cromwell was in correspondence with Aretino during this period, and that the same Cromwell would have exhorted and expected diplomats working under his direction to obtain and translate continental works that supported the developing doctrine of the Anglican communion, not only supports the view that Wyatt turned to Aretino because his doctrinal position was consonant with the more evangelical views expressed in the Bishops</w:t>
      </w:r>
      <w:r w:rsidR="00763B21">
        <w:t>’</w:t>
      </w:r>
      <w:r>
        <w:t xml:space="preserve"> Book and the Ten Articles, but also explains why he would have sought out and incorporated </w:t>
      </w:r>
      <w:proofErr w:type="spellStart"/>
      <w:r>
        <w:t>Brucioli</w:t>
      </w:r>
      <w:r w:rsidR="00763B21">
        <w:t>’</w:t>
      </w:r>
      <w:r>
        <w:t>s</w:t>
      </w:r>
      <w:proofErr w:type="spellEnd"/>
      <w:r>
        <w:t xml:space="preserve"> commentary also.</w:t>
      </w:r>
      <w:r w:rsidR="00646ECA">
        <w:rPr>
          <w:rStyle w:val="FootnoteReference"/>
        </w:rPr>
        <w:footnoteReference w:id="50"/>
      </w:r>
      <w:r>
        <w:rPr>
          <w:vertAlign w:val="superscript"/>
        </w:rPr>
        <w:t xml:space="preserve"> </w:t>
      </w:r>
      <w:r>
        <w:t xml:space="preserve"> It is not surprising to find that Cromwell is the first signatory of the Bishops</w:t>
      </w:r>
      <w:r w:rsidR="00763B21">
        <w:t>’</w:t>
      </w:r>
      <w:r>
        <w:t xml:space="preserve"> Book. He would have been all too aware of its doctrinal shortcomings, and so it is not impossible to imagine him endorsing Wyatt</w:t>
      </w:r>
      <w:r w:rsidR="00763B21">
        <w:t>’</w:t>
      </w:r>
      <w:r>
        <w:t xml:space="preserve">s sequence as a means of furthering a more reformist agenda. Indeed, Clare Costley King-Oo has shown that the posthumous publication </w:t>
      </w:r>
      <w:r>
        <w:lastRenderedPageBreak/>
        <w:t>of Wyatt</w:t>
      </w:r>
      <w:r w:rsidR="00763B21">
        <w:t>’</w:t>
      </w:r>
      <w:r>
        <w:t>s Penitential Psalms in 1549 was part of a Protestant propaganda campaign</w:t>
      </w:r>
      <w:r w:rsidR="00BA7318">
        <w:t xml:space="preserve"> – by 1549 the religious divisions were, of course, much more entrenched than they had at the time of the Ten Articles, the Bishops’ Book and Wyatt’s Penitential Psalms. </w:t>
      </w:r>
    </w:p>
    <w:p w:rsidR="00BA7318" w:rsidRDefault="00415365" w:rsidP="00656634">
      <w:pPr>
        <w:spacing w:after="0" w:line="480" w:lineRule="auto"/>
        <w:ind w:firstLine="567"/>
        <w:jc w:val="both"/>
      </w:pPr>
      <w:r>
        <w:tab/>
        <w:t>In the mid-1530s, however, the Protestant/Catholic dichotomy, in terms of distinct and discrete doctrines and religious cultures, had not yet fully emerged, as the Bishops</w:t>
      </w:r>
      <w:r w:rsidR="00763B21">
        <w:t>’</w:t>
      </w:r>
      <w:r>
        <w:t xml:space="preserve"> Book shows </w:t>
      </w:r>
      <w:r w:rsidR="00656634">
        <w:t xml:space="preserve">not only </w:t>
      </w:r>
      <w:r>
        <w:t xml:space="preserve">in its </w:t>
      </w:r>
      <w:r w:rsidR="00BA7318">
        <w:t>equivocation</w:t>
      </w:r>
      <w:r>
        <w:t xml:space="preserve">, but illustrates in its discussion of the term Catholic: </w:t>
      </w:r>
    </w:p>
    <w:p w:rsidR="00BA7318" w:rsidRDefault="00BA7318" w:rsidP="00BA7318">
      <w:pPr>
        <w:spacing w:after="0" w:line="240" w:lineRule="auto"/>
        <w:ind w:firstLine="567"/>
        <w:jc w:val="both"/>
      </w:pPr>
    </w:p>
    <w:p w:rsidR="00BA7318" w:rsidRDefault="00BA7318" w:rsidP="00367A55">
      <w:pPr>
        <w:spacing w:after="0" w:line="240" w:lineRule="auto"/>
        <w:ind w:left="567" w:right="521"/>
        <w:jc w:val="both"/>
      </w:pPr>
      <w:r>
        <w:t xml:space="preserve">I </w:t>
      </w:r>
      <w:proofErr w:type="spellStart"/>
      <w:r>
        <w:t>beleue</w:t>
      </w:r>
      <w:proofErr w:type="spellEnd"/>
      <w:r>
        <w:t xml:space="preserve"> that this holy </w:t>
      </w:r>
      <w:proofErr w:type="spellStart"/>
      <w:r>
        <w:t>churche</w:t>
      </w:r>
      <w:proofErr w:type="spellEnd"/>
      <w:r>
        <w:t xml:space="preserve"> is </w:t>
      </w:r>
      <w:proofErr w:type="spellStart"/>
      <w:r>
        <w:t>catholyque</w:t>
      </w:r>
      <w:proofErr w:type="spellEnd"/>
      <w:r>
        <w:t xml:space="preserve">, that is to say, that it </w:t>
      </w:r>
      <w:proofErr w:type="spellStart"/>
      <w:r>
        <w:t>can not</w:t>
      </w:r>
      <w:proofErr w:type="spellEnd"/>
      <w:r>
        <w:t xml:space="preserve"> be </w:t>
      </w:r>
      <w:proofErr w:type="spellStart"/>
      <w:r>
        <w:t>coarcted</w:t>
      </w:r>
      <w:proofErr w:type="spellEnd"/>
      <w:r>
        <w:t xml:space="preserve"> or </w:t>
      </w:r>
      <w:proofErr w:type="spellStart"/>
      <w:r>
        <w:t>restrayened</w:t>
      </w:r>
      <w:proofErr w:type="spellEnd"/>
      <w:r>
        <w:t xml:space="preserve"> within the </w:t>
      </w:r>
      <w:proofErr w:type="spellStart"/>
      <w:r>
        <w:t>limites</w:t>
      </w:r>
      <w:proofErr w:type="spellEnd"/>
      <w:r>
        <w:t xml:space="preserve"> or </w:t>
      </w:r>
      <w:proofErr w:type="spellStart"/>
      <w:r>
        <w:t>bondes</w:t>
      </w:r>
      <w:proofErr w:type="spellEnd"/>
      <w:r>
        <w:t xml:space="preserve"> of any one </w:t>
      </w:r>
      <w:proofErr w:type="spellStart"/>
      <w:r>
        <w:t>towne</w:t>
      </w:r>
      <w:proofErr w:type="spellEnd"/>
      <w:r>
        <w:t xml:space="preserve">, </w:t>
      </w:r>
      <w:proofErr w:type="spellStart"/>
      <w:r>
        <w:t>citie</w:t>
      </w:r>
      <w:proofErr w:type="spellEnd"/>
      <w:r>
        <w:t xml:space="preserve">, </w:t>
      </w:r>
      <w:proofErr w:type="spellStart"/>
      <w:r>
        <w:t>prouince</w:t>
      </w:r>
      <w:proofErr w:type="spellEnd"/>
      <w:r>
        <w:t xml:space="preserve">, region, or </w:t>
      </w:r>
      <w:proofErr w:type="spellStart"/>
      <w:r>
        <w:t>countreye</w:t>
      </w:r>
      <w:proofErr w:type="spellEnd"/>
      <w:r>
        <w:t xml:space="preserve">: but that it is dispersed and </w:t>
      </w:r>
      <w:proofErr w:type="spellStart"/>
      <w:r>
        <w:t>spredde</w:t>
      </w:r>
      <w:proofErr w:type="spellEnd"/>
      <w:r>
        <w:t xml:space="preserve"> </w:t>
      </w:r>
      <w:proofErr w:type="spellStart"/>
      <w:r>
        <w:t>vniversally</w:t>
      </w:r>
      <w:proofErr w:type="spellEnd"/>
      <w:r>
        <w:t xml:space="preserve"> </w:t>
      </w:r>
      <w:proofErr w:type="spellStart"/>
      <w:r>
        <w:t>through out</w:t>
      </w:r>
      <w:proofErr w:type="spellEnd"/>
      <w:r>
        <w:t xml:space="preserve"> all the hole </w:t>
      </w:r>
      <w:proofErr w:type="spellStart"/>
      <w:r>
        <w:t>worlde</w:t>
      </w:r>
      <w:proofErr w:type="spellEnd"/>
      <w:r>
        <w:t xml:space="preserve">. […] And I </w:t>
      </w:r>
      <w:proofErr w:type="spellStart"/>
      <w:r>
        <w:t>beleue</w:t>
      </w:r>
      <w:proofErr w:type="spellEnd"/>
      <w:r>
        <w:t xml:space="preserve"> that these particular churches, in what place of the </w:t>
      </w:r>
      <w:proofErr w:type="spellStart"/>
      <w:r>
        <w:t>worlde</w:t>
      </w:r>
      <w:proofErr w:type="spellEnd"/>
      <w:r>
        <w:t xml:space="preserve"> so </w:t>
      </w:r>
      <w:proofErr w:type="spellStart"/>
      <w:r>
        <w:t>euer</w:t>
      </w:r>
      <w:proofErr w:type="spellEnd"/>
      <w:r>
        <w:t xml:space="preserve"> they be congregated, be the very </w:t>
      </w:r>
      <w:proofErr w:type="spellStart"/>
      <w:r>
        <w:t>partes</w:t>
      </w:r>
      <w:proofErr w:type="spellEnd"/>
      <w:r>
        <w:t xml:space="preserve">, </w:t>
      </w:r>
      <w:proofErr w:type="spellStart"/>
      <w:r>
        <w:t>porcions</w:t>
      </w:r>
      <w:proofErr w:type="spellEnd"/>
      <w:r>
        <w:t xml:space="preserve">, or members of this </w:t>
      </w:r>
      <w:proofErr w:type="spellStart"/>
      <w:r>
        <w:t>catholyque</w:t>
      </w:r>
      <w:proofErr w:type="spellEnd"/>
      <w:r>
        <w:t xml:space="preserve"> and </w:t>
      </w:r>
      <w:proofErr w:type="spellStart"/>
      <w:r>
        <w:t>vnyversal</w:t>
      </w:r>
      <w:proofErr w:type="spellEnd"/>
      <w:r>
        <w:t xml:space="preserve"> church. And that between them there is in </w:t>
      </w:r>
      <w:proofErr w:type="spellStart"/>
      <w:r>
        <w:t>dede</w:t>
      </w:r>
      <w:proofErr w:type="spellEnd"/>
      <w:r>
        <w:t xml:space="preserve"> no difference in </w:t>
      </w:r>
      <w:proofErr w:type="spellStart"/>
      <w:r>
        <w:t>superioritie</w:t>
      </w:r>
      <w:proofErr w:type="spellEnd"/>
      <w:r>
        <w:t xml:space="preserve">, pre-eminence, or </w:t>
      </w:r>
      <w:proofErr w:type="spellStart"/>
      <w:r>
        <w:t>auctoritie</w:t>
      </w:r>
      <w:proofErr w:type="spellEnd"/>
      <w:r>
        <w:t xml:space="preserve">, neither that any one of them is heed or </w:t>
      </w:r>
      <w:proofErr w:type="spellStart"/>
      <w:r>
        <w:t>soueraygne</w:t>
      </w:r>
      <w:proofErr w:type="spellEnd"/>
      <w:r>
        <w:t xml:space="preserve"> </w:t>
      </w:r>
      <w:proofErr w:type="spellStart"/>
      <w:r>
        <w:t>ouer</w:t>
      </w:r>
      <w:proofErr w:type="spellEnd"/>
      <w:r>
        <w:t xml:space="preserve"> the other […]. And therefore I do </w:t>
      </w:r>
      <w:proofErr w:type="spellStart"/>
      <w:r>
        <w:t>beleue</w:t>
      </w:r>
      <w:proofErr w:type="spellEnd"/>
      <w:r>
        <w:t xml:space="preserve"> that the </w:t>
      </w:r>
      <w:proofErr w:type="spellStart"/>
      <w:r>
        <w:t>churche</w:t>
      </w:r>
      <w:proofErr w:type="spellEnd"/>
      <w:r>
        <w:t xml:space="preserve"> of Rome is not, nor </w:t>
      </w:r>
      <w:proofErr w:type="spellStart"/>
      <w:r>
        <w:t>can not</w:t>
      </w:r>
      <w:proofErr w:type="spellEnd"/>
      <w:r>
        <w:t xml:space="preserve"> worthily be called the </w:t>
      </w:r>
      <w:proofErr w:type="spellStart"/>
      <w:r>
        <w:t>catholyque</w:t>
      </w:r>
      <w:proofErr w:type="spellEnd"/>
      <w:r>
        <w:t xml:space="preserve"> </w:t>
      </w:r>
      <w:proofErr w:type="spellStart"/>
      <w:r>
        <w:t>churche</w:t>
      </w:r>
      <w:proofErr w:type="spellEnd"/>
      <w:r>
        <w:t xml:space="preserve">, but </w:t>
      </w:r>
      <w:proofErr w:type="spellStart"/>
      <w:r>
        <w:t>onely</w:t>
      </w:r>
      <w:proofErr w:type="spellEnd"/>
      <w:r>
        <w:t xml:space="preserve"> a </w:t>
      </w:r>
      <w:proofErr w:type="spellStart"/>
      <w:r>
        <w:t>partycular</w:t>
      </w:r>
      <w:proofErr w:type="spellEnd"/>
      <w:r>
        <w:t xml:space="preserve"> </w:t>
      </w:r>
      <w:proofErr w:type="spellStart"/>
      <w:r>
        <w:t>membre</w:t>
      </w:r>
      <w:proofErr w:type="spellEnd"/>
      <w:r>
        <w:t xml:space="preserve"> </w:t>
      </w:r>
      <w:proofErr w:type="spellStart"/>
      <w:r>
        <w:t>therof</w:t>
      </w:r>
      <w:proofErr w:type="spellEnd"/>
      <w:r>
        <w:t xml:space="preserve">, and </w:t>
      </w:r>
      <w:proofErr w:type="spellStart"/>
      <w:r>
        <w:t>can not</w:t>
      </w:r>
      <w:proofErr w:type="spellEnd"/>
      <w:r>
        <w:t xml:space="preserve"> </w:t>
      </w:r>
      <w:proofErr w:type="spellStart"/>
      <w:r>
        <w:t>chalenge</w:t>
      </w:r>
      <w:proofErr w:type="spellEnd"/>
      <w:r>
        <w:t xml:space="preserve"> </w:t>
      </w:r>
      <w:r w:rsidR="00367A55">
        <w:t xml:space="preserve">or vindicate of </w:t>
      </w:r>
      <w:proofErr w:type="spellStart"/>
      <w:r w:rsidR="00367A55">
        <w:t>righte</w:t>
      </w:r>
      <w:proofErr w:type="spellEnd"/>
      <w:r w:rsidR="00367A55">
        <w:t xml:space="preserve">, and by the </w:t>
      </w:r>
      <w:proofErr w:type="spellStart"/>
      <w:r w:rsidR="00367A55">
        <w:t>worde</w:t>
      </w:r>
      <w:proofErr w:type="spellEnd"/>
      <w:r w:rsidR="00367A55">
        <w:t xml:space="preserve"> of god, to be heed of this </w:t>
      </w:r>
      <w:proofErr w:type="spellStart"/>
      <w:r w:rsidR="00367A55">
        <w:t>vniuersall</w:t>
      </w:r>
      <w:proofErr w:type="spellEnd"/>
      <w:r w:rsidR="00367A55">
        <w:t xml:space="preserve"> </w:t>
      </w:r>
      <w:proofErr w:type="spellStart"/>
      <w:r w:rsidR="00367A55">
        <w:t>churche</w:t>
      </w:r>
      <w:proofErr w:type="spellEnd"/>
      <w:r w:rsidR="00367A55">
        <w:t xml:space="preserve">, or to </w:t>
      </w:r>
      <w:proofErr w:type="spellStart"/>
      <w:r w:rsidR="00367A55">
        <w:t>haue</w:t>
      </w:r>
      <w:proofErr w:type="spellEnd"/>
      <w:r w:rsidR="00367A55">
        <w:t xml:space="preserve"> any </w:t>
      </w:r>
      <w:proofErr w:type="spellStart"/>
      <w:r w:rsidR="00367A55">
        <w:t>superioritie</w:t>
      </w:r>
      <w:proofErr w:type="spellEnd"/>
      <w:r w:rsidR="00367A55">
        <w:t xml:space="preserve"> </w:t>
      </w:r>
      <w:proofErr w:type="spellStart"/>
      <w:r w:rsidR="00367A55">
        <w:t>ouer</w:t>
      </w:r>
      <w:proofErr w:type="spellEnd"/>
      <w:r w:rsidR="00367A55">
        <w:t xml:space="preserve"> </w:t>
      </w:r>
      <w:proofErr w:type="spellStart"/>
      <w:r w:rsidR="00367A55">
        <w:t>thoghter</w:t>
      </w:r>
      <w:proofErr w:type="spellEnd"/>
      <w:r w:rsidR="00367A55">
        <w:t xml:space="preserve"> churches of Christ, which be in England, France, </w:t>
      </w:r>
      <w:proofErr w:type="spellStart"/>
      <w:r w:rsidR="00367A55">
        <w:t>Espayne</w:t>
      </w:r>
      <w:proofErr w:type="spellEnd"/>
      <w:r w:rsidR="00367A55">
        <w:t xml:space="preserve">, or in any other </w:t>
      </w:r>
      <w:proofErr w:type="spellStart"/>
      <w:r w:rsidR="00367A55">
        <w:t>realme</w:t>
      </w:r>
      <w:proofErr w:type="spellEnd"/>
      <w:r w:rsidR="00367A55">
        <w:t xml:space="preserve"> […].</w:t>
      </w:r>
      <w:r w:rsidR="00367A55">
        <w:rPr>
          <w:rStyle w:val="FootnoteReference"/>
        </w:rPr>
        <w:footnoteReference w:id="51"/>
      </w:r>
    </w:p>
    <w:p w:rsidR="008D0262" w:rsidRDefault="008D0262" w:rsidP="00BA7318">
      <w:pPr>
        <w:spacing w:after="0" w:line="240" w:lineRule="auto"/>
        <w:ind w:firstLine="567"/>
        <w:jc w:val="both"/>
      </w:pPr>
    </w:p>
    <w:p w:rsidR="005B3613" w:rsidRDefault="00367A55" w:rsidP="00656634">
      <w:pPr>
        <w:spacing w:after="0" w:line="480" w:lineRule="auto"/>
        <w:jc w:val="both"/>
      </w:pPr>
      <w:r>
        <w:t xml:space="preserve">Whilst it is clear in its refutation of the </w:t>
      </w:r>
      <w:r w:rsidR="00CD2A15">
        <w:t>arrogated</w:t>
      </w:r>
      <w:r>
        <w:t xml:space="preserve"> </w:t>
      </w:r>
      <w:r w:rsidR="00CD2A15">
        <w:t>superiority</w:t>
      </w:r>
      <w:r>
        <w:t xml:space="preserve"> of the Church of Rome, the early Anglican Church does not consider itself as removed from the Catholic communion. This vision of the Church is entirely in accordance with Aretino’s ‘</w:t>
      </w:r>
      <w:r>
        <w:t>vision of peace and union that will inhere amongst those who laud, honour and adore God only’</w:t>
      </w:r>
      <w:r>
        <w:t xml:space="preserve">, as represented by the walls of Jerusalem. </w:t>
      </w:r>
      <w:r w:rsidR="00CD2A15">
        <w:t>T</w:t>
      </w:r>
      <w:r>
        <w:t xml:space="preserve">hose walls, </w:t>
      </w:r>
      <w:r w:rsidR="00CD2A15">
        <w:t>which gird ‘</w:t>
      </w:r>
      <w:r w:rsidR="00CD2A15">
        <w:t xml:space="preserve">the very </w:t>
      </w:r>
      <w:proofErr w:type="spellStart"/>
      <w:r w:rsidR="00CD2A15">
        <w:t>partes</w:t>
      </w:r>
      <w:proofErr w:type="spellEnd"/>
      <w:r w:rsidR="00CD2A15">
        <w:t xml:space="preserve">, </w:t>
      </w:r>
      <w:proofErr w:type="spellStart"/>
      <w:r w:rsidR="00CD2A15">
        <w:t>porcions</w:t>
      </w:r>
      <w:proofErr w:type="spellEnd"/>
      <w:r w:rsidR="00CD2A15">
        <w:t xml:space="preserve">, or members of this </w:t>
      </w:r>
      <w:proofErr w:type="spellStart"/>
      <w:r w:rsidR="00CD2A15">
        <w:t>catholyque</w:t>
      </w:r>
      <w:proofErr w:type="spellEnd"/>
      <w:r w:rsidR="00CD2A15">
        <w:t xml:space="preserve"> and </w:t>
      </w:r>
      <w:proofErr w:type="spellStart"/>
      <w:r w:rsidR="00CD2A15">
        <w:t>vnyversal</w:t>
      </w:r>
      <w:proofErr w:type="spellEnd"/>
      <w:r w:rsidR="00CD2A15">
        <w:t xml:space="preserve"> church</w:t>
      </w:r>
      <w:r w:rsidR="00CD2A15">
        <w:t>’, confirm the existence of Wyatt’s ‘</w:t>
      </w:r>
      <w:r w:rsidR="00CD2A15" w:rsidRPr="00CD2A15">
        <w:t>Inw</w:t>
      </w:r>
      <w:r w:rsidR="00CD2A15">
        <w:t xml:space="preserve">ard </w:t>
      </w:r>
      <w:proofErr w:type="spellStart"/>
      <w:r w:rsidR="00CD2A15">
        <w:t>Syon</w:t>
      </w:r>
      <w:proofErr w:type="spellEnd"/>
      <w:r w:rsidR="00CD2A15">
        <w:t xml:space="preserve">, the </w:t>
      </w:r>
      <w:proofErr w:type="spellStart"/>
      <w:r w:rsidR="00CD2A15">
        <w:t>Syon</w:t>
      </w:r>
      <w:proofErr w:type="spellEnd"/>
      <w:r w:rsidR="00CD2A15">
        <w:t xml:space="preserve"> of the ghost’, as detailed in Aretino’s exposition of the heavenly Jerusalem, which accords with the Bishops’ Book’s account of the relationship between the individual Christian and the wider communion. </w:t>
      </w:r>
      <w:r w:rsidR="00415365">
        <w:t xml:space="preserve">The retrospective partitioning of Protestant and Catholic cultures supports the literary-historical narrative that would put the medieval and the early modern asunder, </w:t>
      </w:r>
      <w:r w:rsidR="00415365">
        <w:lastRenderedPageBreak/>
        <w:t>and in its insistence upon rupture neglects the long-standing tradition of translating the Penitential Psalms which stands behin</w:t>
      </w:r>
      <w:bookmarkStart w:id="0" w:name="_GoBack"/>
      <w:bookmarkEnd w:id="0"/>
      <w:r w:rsidR="00415365">
        <w:t>d Wyatt</w:t>
      </w:r>
      <w:r w:rsidR="00763B21">
        <w:t>’</w:t>
      </w:r>
      <w:r w:rsidR="00415365">
        <w:t xml:space="preserve">s sequence. That Wyatt would turn to a Catholic reformer as a primary source for his Protestant sequence confirms the inadequacy of this narrative. </w:t>
      </w:r>
      <w:r w:rsidR="00CD2A15">
        <w:t xml:space="preserve">What we find in Wyatt’s sequence, as the sections of this paper have, I hope, illustrated, is a series of </w:t>
      </w:r>
      <w:proofErr w:type="spellStart"/>
      <w:r w:rsidR="00CD2A15">
        <w:t>interrelatioinships</w:t>
      </w:r>
      <w:proofErr w:type="spellEnd"/>
      <w:r w:rsidR="00CD2A15">
        <w:t>, or continuities, and overlaps</w:t>
      </w:r>
      <w:r w:rsidR="00656634">
        <w:t xml:space="preserve"> which interrogate the narrative of doctrinal rupture</w:t>
      </w:r>
      <w:r w:rsidR="00CD2A15">
        <w:t>: Wyatt-Bishops’</w:t>
      </w:r>
      <w:r w:rsidR="00656634">
        <w:t xml:space="preserve"> Book-Aretino;</w:t>
      </w:r>
      <w:r w:rsidR="00CD2A15">
        <w:t xml:space="preserve"> Wyatt-Aretino-</w:t>
      </w:r>
      <w:proofErr w:type="spellStart"/>
      <w:r w:rsidR="00CD2A15">
        <w:t>Brucio</w:t>
      </w:r>
      <w:r w:rsidR="00656634">
        <w:t>li</w:t>
      </w:r>
      <w:proofErr w:type="spellEnd"/>
      <w:r w:rsidR="00656634">
        <w:t>;</w:t>
      </w:r>
      <w:r w:rsidR="00CD2A15">
        <w:t xml:space="preserve"> Wyatt-</w:t>
      </w:r>
      <w:proofErr w:type="spellStart"/>
      <w:r w:rsidR="00CD2A15">
        <w:t>Brucioli</w:t>
      </w:r>
      <w:proofErr w:type="spellEnd"/>
      <w:r w:rsidR="00CD2A15">
        <w:t xml:space="preserve">-Bishops’ Book. </w:t>
      </w:r>
      <w:r w:rsidR="00415365">
        <w:t>Wyatt</w:t>
      </w:r>
      <w:r w:rsidR="00763B21">
        <w:t>’</w:t>
      </w:r>
      <w:r w:rsidR="00415365">
        <w:t xml:space="preserve">s method of translation in the Penitential Psalms, </w:t>
      </w:r>
      <w:r w:rsidR="00CD2A15">
        <w:t xml:space="preserve">moreover, </w:t>
      </w:r>
      <w:r w:rsidR="00415365">
        <w:t>whereby a plurality of commentaries is pressed into the service of the new work</w:t>
      </w:r>
      <w:r w:rsidR="00CD2A15">
        <w:t>,</w:t>
      </w:r>
      <w:r w:rsidR="00415365">
        <w:t xml:space="preserve"> illustrates clearly how the methods of medieval </w:t>
      </w:r>
      <w:r w:rsidR="00415365" w:rsidRPr="00CD2A15">
        <w:rPr>
          <w:i/>
          <w:iCs/>
        </w:rPr>
        <w:t>translatio</w:t>
      </w:r>
      <w:r w:rsidR="00415365">
        <w:t xml:space="preserve"> informed and infused early modern </w:t>
      </w:r>
      <w:proofErr w:type="spellStart"/>
      <w:r w:rsidR="00415365" w:rsidRPr="00CD2A15">
        <w:rPr>
          <w:i/>
          <w:iCs/>
        </w:rPr>
        <w:t>imitatio</w:t>
      </w:r>
      <w:proofErr w:type="spellEnd"/>
      <w:r w:rsidR="00415365">
        <w:t>.</w:t>
      </w:r>
      <w:r w:rsidR="00CD2A15">
        <w:t xml:space="preserve"> It is </w:t>
      </w:r>
      <w:r w:rsidR="00656634">
        <w:t>perhaps</w:t>
      </w:r>
      <w:r w:rsidR="00CD2A15">
        <w:t xml:space="preserve"> as necessary to ask what Aretino really did to Wyatt, or what Aretino really did to the Bishops’ Book, as it is to ask what Wyatt really did to Aretino’s </w:t>
      </w:r>
      <w:r w:rsidR="00CD2A15" w:rsidRPr="00CD2A15">
        <w:rPr>
          <w:i/>
          <w:iCs/>
        </w:rPr>
        <w:t xml:space="preserve">I </w:t>
      </w:r>
      <w:proofErr w:type="spellStart"/>
      <w:r w:rsidR="00CD2A15" w:rsidRPr="00CD2A15">
        <w:rPr>
          <w:i/>
          <w:iCs/>
        </w:rPr>
        <w:t>sette</w:t>
      </w:r>
      <w:proofErr w:type="spellEnd"/>
      <w:r w:rsidR="00CD2A15" w:rsidRPr="00CD2A15">
        <w:rPr>
          <w:i/>
          <w:iCs/>
        </w:rPr>
        <w:t xml:space="preserve"> </w:t>
      </w:r>
      <w:proofErr w:type="spellStart"/>
      <w:r w:rsidR="00CD2A15" w:rsidRPr="00CD2A15">
        <w:rPr>
          <w:i/>
          <w:iCs/>
        </w:rPr>
        <w:t>salmi</w:t>
      </w:r>
      <w:proofErr w:type="spellEnd"/>
      <w:r w:rsidR="00CD2A15">
        <w:t xml:space="preserve">. </w:t>
      </w:r>
    </w:p>
    <w:p w:rsidR="00DD2E62" w:rsidRDefault="00DD2E62" w:rsidP="00656634">
      <w:pPr>
        <w:spacing w:after="0" w:line="480" w:lineRule="auto"/>
        <w:ind w:firstLine="567"/>
        <w:jc w:val="both"/>
      </w:pPr>
    </w:p>
    <w:p w:rsidR="00750D5B" w:rsidRDefault="00750D5B" w:rsidP="00656634">
      <w:pPr>
        <w:spacing w:before="240" w:after="0" w:line="480" w:lineRule="auto"/>
        <w:ind w:firstLine="567"/>
        <w:jc w:val="both"/>
      </w:pPr>
    </w:p>
    <w:sectPr w:rsidR="00750D5B" w:rsidSect="007425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D3" w:rsidRDefault="001F6DD3" w:rsidP="00463046">
      <w:pPr>
        <w:spacing w:after="0" w:line="240" w:lineRule="auto"/>
      </w:pPr>
      <w:r>
        <w:separator/>
      </w:r>
    </w:p>
  </w:endnote>
  <w:endnote w:type="continuationSeparator" w:id="0">
    <w:p w:rsidR="001F6DD3" w:rsidRDefault="001F6DD3" w:rsidP="0046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l¥r ÖSÖVÖbÖ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Ital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54641"/>
      <w:docPartObj>
        <w:docPartGallery w:val="Page Numbers (Bottom of Page)"/>
        <w:docPartUnique/>
      </w:docPartObj>
    </w:sdtPr>
    <w:sdtEndPr>
      <w:rPr>
        <w:noProof/>
      </w:rPr>
    </w:sdtEndPr>
    <w:sdtContent>
      <w:p w:rsidR="003B0692" w:rsidRDefault="003B0692">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3B0692" w:rsidRDefault="003B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D3" w:rsidRDefault="001F6DD3" w:rsidP="00463046">
      <w:pPr>
        <w:spacing w:after="0" w:line="240" w:lineRule="auto"/>
      </w:pPr>
      <w:r>
        <w:separator/>
      </w:r>
    </w:p>
  </w:footnote>
  <w:footnote w:type="continuationSeparator" w:id="0">
    <w:p w:rsidR="001F6DD3" w:rsidRDefault="001F6DD3" w:rsidP="00463046">
      <w:pPr>
        <w:spacing w:after="0" w:line="240" w:lineRule="auto"/>
      </w:pPr>
      <w:r>
        <w:continuationSeparator/>
      </w:r>
    </w:p>
  </w:footnote>
  <w:footnote w:id="1">
    <w:p w:rsidR="001F6DD3" w:rsidRPr="008D0262" w:rsidRDefault="001F6DD3" w:rsidP="00656634">
      <w:pPr>
        <w:pStyle w:val="FootnoteText"/>
        <w:spacing w:line="480" w:lineRule="auto"/>
      </w:pPr>
      <w:r w:rsidRPr="00646ECA">
        <w:rPr>
          <w:rStyle w:val="FootnoteReference"/>
        </w:rPr>
        <w:footnoteRef/>
      </w:r>
      <w:r w:rsidRPr="00646ECA">
        <w:t xml:space="preserve"> </w:t>
      </w:r>
      <w:r w:rsidR="008D0262" w:rsidRPr="00646ECA">
        <w:t xml:space="preserve">C. S. </w:t>
      </w:r>
      <w:r w:rsidRPr="00646ECA">
        <w:t xml:space="preserve">Lewis, </w:t>
      </w:r>
      <w:r w:rsidR="008D0262" w:rsidRPr="00646ECA">
        <w:t xml:space="preserve">‘What Chaucer Really Did to </w:t>
      </w:r>
      <w:r w:rsidR="008D0262" w:rsidRPr="00646ECA">
        <w:rPr>
          <w:i/>
          <w:iCs/>
        </w:rPr>
        <w:t xml:space="preserve">Il </w:t>
      </w:r>
      <w:proofErr w:type="spellStart"/>
      <w:r w:rsidR="008D0262" w:rsidRPr="00646ECA">
        <w:rPr>
          <w:i/>
          <w:iCs/>
        </w:rPr>
        <w:t>Filostrato</w:t>
      </w:r>
      <w:proofErr w:type="spellEnd"/>
      <w:r w:rsidR="008D0262" w:rsidRPr="00646ECA">
        <w:t xml:space="preserve">’, </w:t>
      </w:r>
      <w:r w:rsidR="00646ECA" w:rsidRPr="00646ECA">
        <w:t xml:space="preserve">in Sheila Sullivan (ed.), </w:t>
      </w:r>
      <w:r w:rsidR="00646ECA" w:rsidRPr="00646ECA">
        <w:rPr>
          <w:i/>
          <w:iCs/>
        </w:rPr>
        <w:t>Critics on Chaucer</w:t>
      </w:r>
      <w:r w:rsidR="00646ECA" w:rsidRPr="00646ECA">
        <w:t xml:space="preserve"> (London: Allen and Unwin,</w:t>
      </w:r>
      <w:r w:rsidR="00646ECA">
        <w:t xml:space="preserve"> 1970), 78-87 (78).</w:t>
      </w:r>
      <w:r w:rsidRPr="008D0262">
        <w:t xml:space="preserve"> </w:t>
      </w:r>
    </w:p>
  </w:footnote>
  <w:footnote w:id="2">
    <w:p w:rsidR="001F6DD3" w:rsidRDefault="001F6DD3" w:rsidP="00656634">
      <w:pPr>
        <w:pStyle w:val="FootnoteText"/>
        <w:spacing w:line="480" w:lineRule="auto"/>
      </w:pPr>
      <w:r>
        <w:rPr>
          <w:rStyle w:val="FootnoteReference"/>
        </w:rPr>
        <w:footnoteRef/>
      </w:r>
      <w:r>
        <w:t xml:space="preserve"> </w:t>
      </w:r>
      <w:proofErr w:type="gramStart"/>
      <w:r>
        <w:t xml:space="preserve">H.A. Mason, </w:t>
      </w:r>
      <w:r w:rsidRPr="007537E4">
        <w:rPr>
          <w:i/>
          <w:iCs/>
        </w:rPr>
        <w:t>Humanism and Poetry in the Early Tudor Period</w:t>
      </w:r>
      <w:r w:rsidRPr="007537E4">
        <w:t xml:space="preserve"> (London: Routledge and Kegan Paul, 1959)</w:t>
      </w:r>
      <w:r>
        <w:t>, 212.</w:t>
      </w:r>
      <w:proofErr w:type="gramEnd"/>
      <w:r>
        <w:t xml:space="preserve"> </w:t>
      </w:r>
    </w:p>
  </w:footnote>
  <w:footnote w:id="3">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213. </w:t>
      </w:r>
    </w:p>
  </w:footnote>
  <w:footnote w:id="4">
    <w:p w:rsidR="001F6DD3" w:rsidRDefault="001F6DD3" w:rsidP="00656634">
      <w:pPr>
        <w:pStyle w:val="FootnoteText"/>
        <w:spacing w:line="480" w:lineRule="auto"/>
      </w:pPr>
      <w:r>
        <w:rPr>
          <w:rStyle w:val="FootnoteReference"/>
        </w:rPr>
        <w:footnoteRef/>
      </w:r>
      <w:r>
        <w:t xml:space="preserve"> R.A. </w:t>
      </w:r>
      <w:proofErr w:type="spellStart"/>
      <w:r>
        <w:t>Rebholz</w:t>
      </w:r>
      <w:proofErr w:type="spellEnd"/>
      <w:r>
        <w:t xml:space="preserve"> (ed.), </w:t>
      </w:r>
      <w:r w:rsidRPr="0005798A">
        <w:rPr>
          <w:i/>
          <w:iCs/>
        </w:rPr>
        <w:t>Sir Thomas Wyatt: The Complete Poems</w:t>
      </w:r>
      <w:r>
        <w:t xml:space="preserve"> </w:t>
      </w:r>
      <w:r w:rsidRPr="00763B21">
        <w:t>(1978; London: Penguin, 1988)</w:t>
      </w:r>
      <w:r>
        <w:t>, 454.</w:t>
      </w:r>
    </w:p>
  </w:footnote>
  <w:footnote w:id="5">
    <w:p w:rsidR="001F6DD3" w:rsidRDefault="001F6DD3" w:rsidP="00656634">
      <w:pPr>
        <w:pStyle w:val="FootnoteText"/>
        <w:spacing w:line="480" w:lineRule="auto"/>
        <w:jc w:val="lowKashida"/>
      </w:pPr>
      <w:r>
        <w:rPr>
          <w:rStyle w:val="FootnoteReference"/>
        </w:rPr>
        <w:footnoteRef/>
      </w:r>
      <w:r>
        <w:t xml:space="preserve"> For Wyatt’s Penitential Psalms I use Kenneth Muir and Patricia Thomson (eds.), </w:t>
      </w:r>
      <w:r w:rsidRPr="0005798A">
        <w:rPr>
          <w:i/>
          <w:iCs/>
        </w:rPr>
        <w:t xml:space="preserve">Collected Poems of Sir Thomas Wyatt </w:t>
      </w:r>
      <w:r>
        <w:t xml:space="preserve">(Liverpool: Liverpool University Press, 1969), 98-125 (hereafter MT), using the line numbers therein. When necessary I amend MT in accordance with BL MS Egerton 2711. </w:t>
      </w:r>
    </w:p>
  </w:footnote>
  <w:footnote w:id="6">
    <w:p w:rsidR="001F6DD3" w:rsidRPr="00C96B0E" w:rsidRDefault="001F6DD3" w:rsidP="00656634">
      <w:pPr>
        <w:pStyle w:val="FootnoteText"/>
        <w:spacing w:line="480" w:lineRule="auto"/>
        <w:jc w:val="lowKashida"/>
        <w:rPr>
          <w:lang w:val="it-IT"/>
        </w:rPr>
      </w:pPr>
      <w:r>
        <w:rPr>
          <w:rStyle w:val="FootnoteReference"/>
        </w:rPr>
        <w:footnoteRef/>
      </w:r>
      <w:r>
        <w:t xml:space="preserve"> MT </w:t>
      </w:r>
      <w:proofErr w:type="gramStart"/>
      <w:r>
        <w:t>note</w:t>
      </w:r>
      <w:proofErr w:type="gramEnd"/>
      <w:r>
        <w:t xml:space="preserve"> that ‘W conflates the two verses of the Bible and freely elaborates them, without any obvious reference to Aretino’s paraphrase’ (387), but Wyatt’s ‘</w:t>
      </w:r>
      <w:proofErr w:type="spellStart"/>
      <w:r>
        <w:t>confydence</w:t>
      </w:r>
      <w:proofErr w:type="spellEnd"/>
      <w:r>
        <w:t>’ clearly is owing to Aretino’s ‘co[n]</w:t>
      </w:r>
      <w:proofErr w:type="spellStart"/>
      <w:r>
        <w:t>fidai</w:t>
      </w:r>
      <w:proofErr w:type="spellEnd"/>
      <w:r>
        <w:t xml:space="preserve">’. I have used the 1539 reprint of the 1534 paraphrase throughout. </w:t>
      </w:r>
      <w:r w:rsidRPr="00C96B0E">
        <w:rPr>
          <w:lang w:val="it-IT"/>
        </w:rPr>
        <w:t xml:space="preserve">See Pietro Aretino, </w:t>
      </w:r>
      <w:r w:rsidRPr="00C96B0E">
        <w:rPr>
          <w:i/>
          <w:iCs/>
          <w:lang w:val="it-IT"/>
        </w:rPr>
        <w:t>I sette salmi della penitentia di David</w:t>
      </w:r>
      <w:r>
        <w:rPr>
          <w:lang w:val="it-IT"/>
        </w:rPr>
        <w:t xml:space="preserve"> (Venice: F. Marcolini, 1539</w:t>
      </w:r>
      <w:r w:rsidRPr="00C96B0E">
        <w:rPr>
          <w:lang w:val="it-IT"/>
        </w:rPr>
        <w:t>)</w:t>
      </w:r>
      <w:r>
        <w:rPr>
          <w:lang w:val="it-IT"/>
        </w:rPr>
        <w:t xml:space="preserve">, sig. E8v. </w:t>
      </w:r>
    </w:p>
  </w:footnote>
  <w:footnote w:id="7">
    <w:p w:rsidR="001F6DD3" w:rsidRDefault="001F6DD3" w:rsidP="00656634">
      <w:pPr>
        <w:pStyle w:val="FootnoteText"/>
        <w:spacing w:line="480" w:lineRule="auto"/>
      </w:pPr>
      <w:r>
        <w:rPr>
          <w:rStyle w:val="FootnoteReference"/>
        </w:rPr>
        <w:footnoteRef/>
      </w:r>
      <w:r>
        <w:t xml:space="preserve"> Stephen Greenblatt, </w:t>
      </w:r>
      <w:r w:rsidRPr="00C96B0E">
        <w:rPr>
          <w:i/>
          <w:iCs/>
        </w:rPr>
        <w:t>Renaissance Self-Fashioning: From More to Shakespeare</w:t>
      </w:r>
      <w:r>
        <w:t xml:space="preserve"> (Chicago: University of Chicago Press, 1980), 115. </w:t>
      </w:r>
    </w:p>
  </w:footnote>
  <w:footnote w:id="8">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116. </w:t>
      </w:r>
    </w:p>
  </w:footnote>
  <w:footnote w:id="9">
    <w:p w:rsidR="001F6DD3" w:rsidRDefault="001F6DD3" w:rsidP="00656634">
      <w:pPr>
        <w:pStyle w:val="FootnoteText"/>
        <w:spacing w:line="480" w:lineRule="auto"/>
        <w:jc w:val="lowKashida"/>
      </w:pPr>
      <w:r>
        <w:rPr>
          <w:rStyle w:val="FootnoteReference"/>
        </w:rPr>
        <w:footnoteRef/>
      </w:r>
      <w:r>
        <w:t xml:space="preserve"> </w:t>
      </w:r>
      <w:r w:rsidRPr="00063991">
        <w:t>There are far too many studies of the Penitential Psalms for me to mention here, so</w:t>
      </w:r>
      <w:r>
        <w:t xml:space="preserve"> </w:t>
      </w:r>
      <w:r w:rsidRPr="00063991">
        <w:t xml:space="preserve">I will mention a select few: Hannibal Hamlin, </w:t>
      </w:r>
      <w:r w:rsidRPr="00063991">
        <w:rPr>
          <w:i/>
        </w:rPr>
        <w:t>Psalm Culture and Early Modern English Literature</w:t>
      </w:r>
      <w:r w:rsidRPr="00063991">
        <w:t xml:space="preserve"> (Cambridge: CUP, 2004), Beth </w:t>
      </w:r>
      <w:proofErr w:type="spellStart"/>
      <w:r w:rsidRPr="00063991">
        <w:t>Quitslund</w:t>
      </w:r>
      <w:proofErr w:type="spellEnd"/>
      <w:r w:rsidRPr="00063991">
        <w:t xml:space="preserve">, </w:t>
      </w:r>
      <w:r w:rsidRPr="00063991">
        <w:rPr>
          <w:i/>
        </w:rPr>
        <w:t xml:space="preserve">The Reformation in Rhyme: </w:t>
      </w:r>
      <w:proofErr w:type="spellStart"/>
      <w:r w:rsidRPr="00063991">
        <w:rPr>
          <w:i/>
        </w:rPr>
        <w:t>Sternhold</w:t>
      </w:r>
      <w:proofErr w:type="spellEnd"/>
      <w:r w:rsidRPr="00063991">
        <w:rPr>
          <w:i/>
        </w:rPr>
        <w:t>, Hopkins and the English Metrical Psalter, 1547-1603</w:t>
      </w:r>
      <w:r w:rsidRPr="00063991">
        <w:t xml:space="preserve"> (Farnham and Burlington, VT: </w:t>
      </w:r>
      <w:proofErr w:type="spellStart"/>
      <w:r w:rsidRPr="00063991">
        <w:t>Ashgate</w:t>
      </w:r>
      <w:proofErr w:type="spellEnd"/>
      <w:r w:rsidRPr="00063991">
        <w:t xml:space="preserve">, 2008), and Claire </w:t>
      </w:r>
      <w:proofErr w:type="spellStart"/>
      <w:r w:rsidRPr="00063991">
        <w:t>Costley-King’Oo</w:t>
      </w:r>
      <w:proofErr w:type="spellEnd"/>
      <w:r w:rsidRPr="00063991">
        <w:t xml:space="preserve">, </w:t>
      </w:r>
      <w:r w:rsidRPr="00063991">
        <w:rPr>
          <w:i/>
        </w:rPr>
        <w:t>Miserere Mei: The Penitential Psalms in Late Medieval and Early Modern England</w:t>
      </w:r>
      <w:r w:rsidRPr="00063991">
        <w:t xml:space="preserve"> (Notre Dame, IN: University Press of Notre Dame,</w:t>
      </w:r>
      <w:r>
        <w:t xml:space="preserve"> 2012). See also </w:t>
      </w:r>
      <w:r w:rsidRPr="00063991">
        <w:t>Linda Phyl</w:t>
      </w:r>
      <w:r>
        <w:t xml:space="preserve">lis </w:t>
      </w:r>
      <w:proofErr w:type="spellStart"/>
      <w:r>
        <w:t>Austern</w:t>
      </w:r>
      <w:proofErr w:type="spellEnd"/>
      <w:r>
        <w:t xml:space="preserve">, Kari Boyd McBride and </w:t>
      </w:r>
      <w:r w:rsidRPr="00063991">
        <w:t>David L. Orvis</w:t>
      </w:r>
      <w:r>
        <w:t xml:space="preserve"> (eds.),</w:t>
      </w:r>
      <w:r w:rsidRPr="00063991">
        <w:t xml:space="preserve"> </w:t>
      </w:r>
      <w:r w:rsidRPr="00063991">
        <w:rPr>
          <w:i/>
        </w:rPr>
        <w:t>Psalms in the Early Modern World</w:t>
      </w:r>
      <w:r>
        <w:t xml:space="preserve"> </w:t>
      </w:r>
      <w:r w:rsidRPr="00063991">
        <w:t>(Farnham and</w:t>
      </w:r>
      <w:r>
        <w:t xml:space="preserve"> Burlington, VT: </w:t>
      </w:r>
      <w:proofErr w:type="spellStart"/>
      <w:r>
        <w:t>Ashgate</w:t>
      </w:r>
      <w:proofErr w:type="spellEnd"/>
      <w:r>
        <w:t>, 2011).</w:t>
      </w:r>
    </w:p>
  </w:footnote>
  <w:footnote w:id="10">
    <w:p w:rsidR="001F6DD3" w:rsidRDefault="001F6DD3" w:rsidP="00656634">
      <w:pPr>
        <w:pStyle w:val="FootnoteText"/>
        <w:spacing w:line="480" w:lineRule="auto"/>
      </w:pPr>
      <w:r>
        <w:rPr>
          <w:rStyle w:val="FootnoteReference"/>
        </w:rPr>
        <w:footnoteRef/>
      </w:r>
      <w:r>
        <w:t xml:space="preserve"> </w:t>
      </w:r>
      <w:proofErr w:type="gramStart"/>
      <w:r>
        <w:t>Mason, Humanism and Poetry, 213.</w:t>
      </w:r>
      <w:proofErr w:type="gramEnd"/>
      <w:r>
        <w:t xml:space="preserve"> I will return to Fisher’s 1509 </w:t>
      </w:r>
      <w:proofErr w:type="spellStart"/>
      <w:r w:rsidRPr="00462F2B">
        <w:rPr>
          <w:i/>
          <w:iCs/>
        </w:rPr>
        <w:t>Treatyse</w:t>
      </w:r>
      <w:proofErr w:type="spellEnd"/>
      <w:r>
        <w:t xml:space="preserve"> shortly. </w:t>
      </w:r>
    </w:p>
  </w:footnote>
  <w:footnote w:id="11">
    <w:p w:rsidR="001F6DD3" w:rsidRDefault="001F6DD3" w:rsidP="00656634">
      <w:pPr>
        <w:pStyle w:val="FootnoteText"/>
        <w:spacing w:line="480" w:lineRule="auto"/>
        <w:jc w:val="lowKashida"/>
      </w:pPr>
      <w:r>
        <w:rPr>
          <w:rStyle w:val="FootnoteReference"/>
        </w:rPr>
        <w:footnoteRef/>
      </w:r>
      <w:r>
        <w:t xml:space="preserve"> Thomas M. Greene, </w:t>
      </w:r>
      <w:r w:rsidRPr="0099652D">
        <w:rPr>
          <w:i/>
          <w:iCs/>
        </w:rPr>
        <w:t>The Light in Troy: Imitation and Discovery in Renaissance Poetry</w:t>
      </w:r>
      <w:r w:rsidRPr="0099652D">
        <w:t xml:space="preserve"> (New Haven: Yale University Press, 1982)</w:t>
      </w:r>
      <w:r>
        <w:t xml:space="preserve">, 256; Eamon Duffy, </w:t>
      </w:r>
      <w:r w:rsidRPr="0099652D">
        <w:rPr>
          <w:i/>
          <w:iCs/>
        </w:rPr>
        <w:t>The Stripping of the Altars: Traditional Religion in England c. 1400 – c. 1580</w:t>
      </w:r>
      <w:r>
        <w:t>, 2</w:t>
      </w:r>
      <w:r w:rsidRPr="0099652D">
        <w:rPr>
          <w:vertAlign w:val="superscript"/>
        </w:rPr>
        <w:t>nd</w:t>
      </w:r>
      <w:r>
        <w:t xml:space="preserve"> ed. (1992; New Haven: Yale University Press, 2005). </w:t>
      </w:r>
    </w:p>
  </w:footnote>
  <w:footnote w:id="12">
    <w:p w:rsidR="001F6DD3" w:rsidRDefault="001F6DD3" w:rsidP="00656634">
      <w:pPr>
        <w:pStyle w:val="FootnoteText"/>
        <w:spacing w:line="480" w:lineRule="auto"/>
        <w:jc w:val="lowKashida"/>
      </w:pPr>
      <w:r>
        <w:rPr>
          <w:rStyle w:val="FootnoteReference"/>
        </w:rPr>
        <w:footnoteRef/>
      </w:r>
      <w:r>
        <w:t xml:space="preserve"> I have taken the phrase ‘Protestant Poetics’ from the title of Barbara Kiefer </w:t>
      </w:r>
      <w:proofErr w:type="spellStart"/>
      <w:r>
        <w:t>Lewalski’s</w:t>
      </w:r>
      <w:proofErr w:type="spellEnd"/>
      <w:r>
        <w:t xml:space="preserve"> </w:t>
      </w:r>
      <w:r w:rsidRPr="0099652D">
        <w:rPr>
          <w:i/>
          <w:iCs/>
        </w:rPr>
        <w:t>Protestant Poetics and the Seventeenth-Century Religious Lyric</w:t>
      </w:r>
      <w:r w:rsidRPr="0099652D">
        <w:t xml:space="preserve"> (Princeton, NJ: Princeton University Press, 1979)</w:t>
      </w:r>
      <w:r>
        <w:t>.</w:t>
      </w:r>
    </w:p>
  </w:footnote>
  <w:footnote w:id="13">
    <w:p w:rsidR="001F6DD3" w:rsidRDefault="001F6DD3" w:rsidP="00656634">
      <w:pPr>
        <w:pStyle w:val="FootnoteText"/>
        <w:spacing w:line="480" w:lineRule="auto"/>
      </w:pPr>
      <w:r>
        <w:rPr>
          <w:rStyle w:val="FootnoteReference"/>
        </w:rPr>
        <w:footnoteRef/>
      </w:r>
      <w:r>
        <w:t xml:space="preserve"> The </w:t>
      </w:r>
      <w:r w:rsidRPr="00063CFD">
        <w:rPr>
          <w:i/>
          <w:iCs/>
        </w:rPr>
        <w:t>Defence</w:t>
      </w:r>
      <w:r>
        <w:t xml:space="preserve"> appears in BL MS </w:t>
      </w:r>
      <w:proofErr w:type="spellStart"/>
      <w:r>
        <w:t>Harl</w:t>
      </w:r>
      <w:proofErr w:type="spellEnd"/>
      <w:r>
        <w:t xml:space="preserve">. 78, </w:t>
      </w:r>
      <w:proofErr w:type="spellStart"/>
      <w:r>
        <w:t>fols</w:t>
      </w:r>
      <w:proofErr w:type="spellEnd"/>
      <w:r>
        <w:t xml:space="preserve">, 7-15, and is transcribed in Kenneth Muir, </w:t>
      </w:r>
      <w:r w:rsidRPr="00086E74">
        <w:rPr>
          <w:i/>
          <w:iCs/>
        </w:rPr>
        <w:t>Life and Letters of Sir Thomas Wyatt</w:t>
      </w:r>
      <w:r>
        <w:t xml:space="preserve"> (Liverpool: Liverpool University Press, 1963), 187-209 (195-6).</w:t>
      </w:r>
    </w:p>
  </w:footnote>
  <w:footnote w:id="14">
    <w:p w:rsidR="001F6DD3" w:rsidRDefault="001F6DD3" w:rsidP="00656634">
      <w:pPr>
        <w:pStyle w:val="FootnoteText"/>
        <w:spacing w:line="480" w:lineRule="auto"/>
      </w:pPr>
      <w:r>
        <w:rPr>
          <w:rStyle w:val="FootnoteReference"/>
        </w:rPr>
        <w:footnoteRef/>
      </w:r>
      <w:r>
        <w:t xml:space="preserve"> See Susan </w:t>
      </w:r>
      <w:proofErr w:type="spellStart"/>
      <w:r>
        <w:t>Brigden</w:t>
      </w:r>
      <w:proofErr w:type="spellEnd"/>
      <w:r>
        <w:t xml:space="preserve">, </w:t>
      </w:r>
      <w:r w:rsidRPr="00063CFD">
        <w:rPr>
          <w:i/>
          <w:iCs/>
        </w:rPr>
        <w:t>Thomas Wyatt: The Heart’s Forest</w:t>
      </w:r>
      <w:r>
        <w:t xml:space="preserve"> (London: Faber, 2012), pp. 195-203. </w:t>
      </w:r>
    </w:p>
  </w:footnote>
  <w:footnote w:id="15">
    <w:p w:rsidR="001F6DD3" w:rsidRPr="00063991" w:rsidRDefault="001F6DD3" w:rsidP="00656634">
      <w:pPr>
        <w:pStyle w:val="FootnoteText"/>
        <w:spacing w:line="480" w:lineRule="auto"/>
        <w:jc w:val="both"/>
      </w:pPr>
      <w:r w:rsidRPr="00063991">
        <w:rPr>
          <w:rStyle w:val="FootnoteReference"/>
        </w:rPr>
        <w:footnoteRef/>
      </w:r>
      <w:r w:rsidRPr="00063991">
        <w:t xml:space="preserve"> </w:t>
      </w:r>
      <w:proofErr w:type="gramStart"/>
      <w:r w:rsidRPr="00063991">
        <w:t>BL MS Egerton 2711, f</w:t>
      </w:r>
      <w:r>
        <w:t>ol</w:t>
      </w:r>
      <w:r w:rsidRPr="00063991">
        <w:t>. 85</w:t>
      </w:r>
      <w:r>
        <w:t>v</w:t>
      </w:r>
      <w:r w:rsidRPr="00063991">
        <w:t>.</w:t>
      </w:r>
      <w:proofErr w:type="gramEnd"/>
      <w:r w:rsidRPr="00063991">
        <w:t xml:space="preserve"> </w:t>
      </w:r>
    </w:p>
  </w:footnote>
  <w:footnote w:id="16">
    <w:p w:rsidR="001F6DD3" w:rsidRDefault="001F6DD3" w:rsidP="00656634">
      <w:pPr>
        <w:pStyle w:val="FootnoteText"/>
        <w:spacing w:line="480" w:lineRule="auto"/>
      </w:pPr>
      <w:r>
        <w:rPr>
          <w:rStyle w:val="FootnoteReference"/>
        </w:rPr>
        <w:footnoteRef/>
      </w:r>
      <w:r>
        <w:t xml:space="preserve"> </w:t>
      </w:r>
      <w:proofErr w:type="spellStart"/>
      <w:r>
        <w:t>Rivkah</w:t>
      </w:r>
      <w:proofErr w:type="spellEnd"/>
      <w:r>
        <w:t xml:space="preserve"> </w:t>
      </w:r>
      <w:proofErr w:type="spellStart"/>
      <w:r>
        <w:t>Zim</w:t>
      </w:r>
      <w:proofErr w:type="spellEnd"/>
      <w:r>
        <w:t xml:space="preserve">, </w:t>
      </w:r>
      <w:r w:rsidRPr="00B55012">
        <w:rPr>
          <w:i/>
          <w:iCs/>
        </w:rPr>
        <w:t>English Metrical Psalms: Poetry as Praise and Prayer 1535-1601</w:t>
      </w:r>
      <w:r>
        <w:t xml:space="preserve"> (1987; Cambridge: Cambridge University Press, 2010), p. 26. The rupture which begets imitation is of course the principle underpinning Greene’s Light in Troy. </w:t>
      </w:r>
    </w:p>
  </w:footnote>
  <w:footnote w:id="17">
    <w:p w:rsidR="001F6DD3" w:rsidRDefault="001F6DD3" w:rsidP="00656634">
      <w:pPr>
        <w:pStyle w:val="FootnoteText"/>
        <w:spacing w:line="480" w:lineRule="auto"/>
      </w:pPr>
      <w:r>
        <w:rPr>
          <w:rStyle w:val="FootnoteReference"/>
        </w:rPr>
        <w:footnoteRef/>
      </w:r>
      <w:r>
        <w:t xml:space="preserve"> See Southall, </w:t>
      </w:r>
      <w:r w:rsidRPr="0032467D">
        <w:rPr>
          <w:i/>
          <w:iCs/>
        </w:rPr>
        <w:t xml:space="preserve">The Courtly Maker </w:t>
      </w:r>
      <w:r w:rsidRPr="0032467D">
        <w:t>(Oxford: Blackwell, 1964)</w:t>
      </w:r>
      <w:r>
        <w:t xml:space="preserve">, p. 104, and </w:t>
      </w:r>
      <w:proofErr w:type="spellStart"/>
      <w:r>
        <w:t>Brigden</w:t>
      </w:r>
      <w:proofErr w:type="spellEnd"/>
      <w:r>
        <w:t xml:space="preserve">, </w:t>
      </w:r>
      <w:r w:rsidRPr="0032467D">
        <w:rPr>
          <w:i/>
          <w:iCs/>
        </w:rPr>
        <w:t>Thomas Wyatt</w:t>
      </w:r>
      <w:r>
        <w:t xml:space="preserve">: ‘Embarking on a journey in the dark, slowly he reveals his faith to himself. […] Wyatt is pondering the doctrines at the heart of Reformation debates, and as he examines David’s sin and seeming helplessness before divine grace, as he tries and tests each contested word, he is discovering his own belief as he writes’ (p. 451). </w:t>
      </w:r>
    </w:p>
  </w:footnote>
  <w:footnote w:id="18">
    <w:p w:rsidR="001F6DD3" w:rsidRDefault="001F6DD3" w:rsidP="00656634">
      <w:pPr>
        <w:pStyle w:val="FootnoteText"/>
        <w:spacing w:line="480" w:lineRule="auto"/>
        <w:jc w:val="lowKashida"/>
      </w:pPr>
      <w:r>
        <w:rPr>
          <w:rStyle w:val="FootnoteReference"/>
        </w:rPr>
        <w:footnoteRef/>
      </w:r>
      <w:r>
        <w:t xml:space="preserve"> See Lynn Staley, ‘</w:t>
      </w:r>
      <w:proofErr w:type="gramStart"/>
      <w:r w:rsidRPr="00063CFD">
        <w:t>The</w:t>
      </w:r>
      <w:proofErr w:type="gramEnd"/>
      <w:r w:rsidRPr="00063CFD">
        <w:t xml:space="preserve"> Penitential Psalms: Conversion and the Limits of Lordship’, </w:t>
      </w:r>
      <w:r w:rsidRPr="00063CFD">
        <w:rPr>
          <w:i/>
          <w:iCs/>
        </w:rPr>
        <w:t>JMEMS</w:t>
      </w:r>
      <w:r w:rsidRPr="00063CFD">
        <w:t>, 37 (2007)</w:t>
      </w:r>
      <w:r>
        <w:t>,</w:t>
      </w:r>
      <w:r w:rsidRPr="00063CFD">
        <w:t xml:space="preserve"> 222-269</w:t>
      </w:r>
      <w:r>
        <w:t xml:space="preserve">; James Simpson, </w:t>
      </w:r>
      <w:r w:rsidRPr="00063CFD">
        <w:rPr>
          <w:i/>
          <w:iCs/>
        </w:rPr>
        <w:t>Reform and Cultural Revolution</w:t>
      </w:r>
      <w:r w:rsidRPr="00063CFD">
        <w:t>, Oxford English Literary History Vol. 2: 1350-1547 (Oxford: Oxford University Press, 2002)</w:t>
      </w:r>
      <w:r>
        <w:t xml:space="preserve">, 121-90. See also of course Simpson’s contribution to the present issue. </w:t>
      </w:r>
    </w:p>
  </w:footnote>
  <w:footnote w:id="19">
    <w:p w:rsidR="001F6DD3" w:rsidRDefault="001F6DD3" w:rsidP="00656634">
      <w:pPr>
        <w:pStyle w:val="FootnoteText"/>
        <w:spacing w:line="480" w:lineRule="auto"/>
        <w:jc w:val="lowKashida"/>
      </w:pPr>
      <w:r>
        <w:rPr>
          <w:rStyle w:val="FootnoteReference"/>
        </w:rPr>
        <w:footnoteRef/>
      </w:r>
      <w:r>
        <w:t xml:space="preserve"> </w:t>
      </w:r>
      <w:proofErr w:type="gramStart"/>
      <w:r>
        <w:t xml:space="preserve">BL MS </w:t>
      </w:r>
      <w:proofErr w:type="spellStart"/>
      <w:r>
        <w:t>Harl</w:t>
      </w:r>
      <w:proofErr w:type="spellEnd"/>
      <w:r>
        <w:t>.</w:t>
      </w:r>
      <w:proofErr w:type="gramEnd"/>
      <w:r>
        <w:t xml:space="preserve"> 282, fol. 281, transcribed in G.F. Nott, </w:t>
      </w:r>
      <w:r w:rsidRPr="00A6220E">
        <w:rPr>
          <w:i/>
          <w:iCs/>
        </w:rPr>
        <w:t>Works of Henry Howard Earl of Surrey and of Sir Thomas Wyatt the Elder</w:t>
      </w:r>
      <w:r w:rsidRPr="00A6220E">
        <w:t xml:space="preserve">, 2 </w:t>
      </w:r>
      <w:proofErr w:type="spellStart"/>
      <w:r w:rsidRPr="00A6220E">
        <w:t>vols</w:t>
      </w:r>
      <w:proofErr w:type="spellEnd"/>
      <w:r w:rsidRPr="00A6220E">
        <w:t xml:space="preserve"> (London: T. </w:t>
      </w:r>
      <w:proofErr w:type="spellStart"/>
      <w:r w:rsidRPr="00A6220E">
        <w:t>Bensley</w:t>
      </w:r>
      <w:proofErr w:type="spellEnd"/>
      <w:r w:rsidRPr="00A6220E">
        <w:t>, 1815–16)</w:t>
      </w:r>
      <w:r>
        <w:t xml:space="preserve">, 422-3 (423); paraphrase included in </w:t>
      </w:r>
      <w:r w:rsidRPr="00A6220E">
        <w:t xml:space="preserve">J.S. Brewer, J. </w:t>
      </w:r>
      <w:proofErr w:type="spellStart"/>
      <w:r w:rsidRPr="00A6220E">
        <w:t>Gairdner</w:t>
      </w:r>
      <w:proofErr w:type="spellEnd"/>
      <w:r w:rsidRPr="00A6220E">
        <w:t xml:space="preserve"> and R.H. Brodie</w:t>
      </w:r>
      <w:r>
        <w:t xml:space="preserve"> (eds.), </w:t>
      </w:r>
      <w:r w:rsidRPr="00A6220E">
        <w:rPr>
          <w:i/>
          <w:iCs/>
        </w:rPr>
        <w:t>Letters and Papers, Foreign and Domestic, of the Reign of Henry VIII</w:t>
      </w:r>
      <w:r w:rsidRPr="00A6220E">
        <w:t xml:space="preserve">, ed., 21 </w:t>
      </w:r>
      <w:proofErr w:type="spellStart"/>
      <w:r w:rsidRPr="00A6220E">
        <w:t>vols</w:t>
      </w:r>
      <w:proofErr w:type="spellEnd"/>
      <w:r w:rsidRPr="00A6220E">
        <w:t xml:space="preserve"> in 33 (London, 1862-1910)</w:t>
      </w:r>
      <w:r>
        <w:t xml:space="preserve">, </w:t>
      </w:r>
      <w:proofErr w:type="gramStart"/>
      <w:r>
        <w:t>XII(</w:t>
      </w:r>
      <w:proofErr w:type="gramEnd"/>
      <w:r>
        <w:t xml:space="preserve">2). </w:t>
      </w:r>
      <w:proofErr w:type="gramStart"/>
      <w:r>
        <w:t xml:space="preserve">871 (hereafter </w:t>
      </w:r>
      <w:r w:rsidRPr="00A6220E">
        <w:rPr>
          <w:i/>
          <w:iCs/>
        </w:rPr>
        <w:t>LP</w:t>
      </w:r>
      <w:r>
        <w:t>).</w:t>
      </w:r>
      <w:proofErr w:type="gramEnd"/>
      <w:r>
        <w:t xml:space="preserve"> </w:t>
      </w:r>
    </w:p>
  </w:footnote>
  <w:footnote w:id="20">
    <w:p w:rsidR="001F6DD3" w:rsidRDefault="001F6DD3" w:rsidP="00656634">
      <w:pPr>
        <w:pStyle w:val="FootnoteText"/>
        <w:spacing w:line="480" w:lineRule="auto"/>
        <w:jc w:val="lowKashida"/>
      </w:pPr>
      <w:r>
        <w:rPr>
          <w:rStyle w:val="FootnoteReference"/>
        </w:rPr>
        <w:footnoteRef/>
      </w:r>
      <w:r>
        <w:t xml:space="preserve"> See G. W. Bernard, </w:t>
      </w:r>
      <w:r w:rsidRPr="007A7518">
        <w:rPr>
          <w:i/>
          <w:iCs/>
        </w:rPr>
        <w:t>The King’s Reformation: Henry VIII and the Remaking of the English Church</w:t>
      </w:r>
      <w:r>
        <w:t xml:space="preserve"> (New Haven: Yale University Press, 2005), 475-90: ‘in the aftermath of the Pilgrimage of Grace, [Henry] once again sought to secure from the leading Churchmen a statement of true religion’ (475). </w:t>
      </w:r>
    </w:p>
  </w:footnote>
  <w:footnote w:id="21">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475. </w:t>
      </w:r>
    </w:p>
  </w:footnote>
  <w:footnote w:id="22">
    <w:p w:rsidR="001F6DD3" w:rsidRDefault="001F6DD3" w:rsidP="00656634">
      <w:pPr>
        <w:pStyle w:val="FootnoteText"/>
        <w:spacing w:line="480" w:lineRule="auto"/>
      </w:pPr>
      <w:r>
        <w:rPr>
          <w:rStyle w:val="FootnoteReference"/>
        </w:rPr>
        <w:footnoteRef/>
      </w:r>
      <w:r>
        <w:t xml:space="preserve"> </w:t>
      </w:r>
      <w:r w:rsidRPr="000F4C07">
        <w:rPr>
          <w:i/>
          <w:iCs/>
        </w:rPr>
        <w:t xml:space="preserve">The </w:t>
      </w:r>
      <w:proofErr w:type="spellStart"/>
      <w:r>
        <w:rPr>
          <w:i/>
          <w:iCs/>
        </w:rPr>
        <w:t>Institv</w:t>
      </w:r>
      <w:r w:rsidRPr="000F4C07">
        <w:rPr>
          <w:i/>
          <w:iCs/>
        </w:rPr>
        <w:t>tion</w:t>
      </w:r>
      <w:proofErr w:type="spellEnd"/>
      <w:r w:rsidRPr="000F4C07">
        <w:rPr>
          <w:i/>
          <w:iCs/>
        </w:rPr>
        <w:t xml:space="preserve"> of a Christen Man</w:t>
      </w:r>
      <w:r>
        <w:t xml:space="preserve"> (London: Thomas </w:t>
      </w:r>
      <w:proofErr w:type="spellStart"/>
      <w:r>
        <w:t>Berthelet</w:t>
      </w:r>
      <w:proofErr w:type="spellEnd"/>
      <w:r>
        <w:t xml:space="preserve">, 1537), sig. K1v. </w:t>
      </w:r>
    </w:p>
  </w:footnote>
  <w:footnote w:id="23">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sig. K2r. </w:t>
      </w:r>
    </w:p>
  </w:footnote>
  <w:footnote w:id="24">
    <w:p w:rsidR="001F6DD3" w:rsidRDefault="001F6DD3" w:rsidP="00656634">
      <w:pPr>
        <w:pStyle w:val="FootnoteText"/>
        <w:spacing w:line="480" w:lineRule="auto"/>
        <w:jc w:val="lowKashida"/>
      </w:pPr>
      <w:r>
        <w:rPr>
          <w:rStyle w:val="FootnoteReference"/>
        </w:rPr>
        <w:footnoteRef/>
      </w:r>
      <w:r>
        <w:t xml:space="preserve"> For example: ‘by </w:t>
      </w:r>
      <w:proofErr w:type="spellStart"/>
      <w:r>
        <w:t>baptisme</w:t>
      </w:r>
      <w:proofErr w:type="spellEnd"/>
      <w:r>
        <w:t xml:space="preserve"> they </w:t>
      </w:r>
      <w:proofErr w:type="spellStart"/>
      <w:r>
        <w:t>shal</w:t>
      </w:r>
      <w:proofErr w:type="spellEnd"/>
      <w:r>
        <w:t xml:space="preserve"> </w:t>
      </w:r>
      <w:proofErr w:type="spellStart"/>
      <w:r>
        <w:t>haue</w:t>
      </w:r>
      <w:proofErr w:type="spellEnd"/>
      <w:r>
        <w:t xml:space="preserve"> </w:t>
      </w:r>
      <w:proofErr w:type="spellStart"/>
      <w:r>
        <w:t>remyssion</w:t>
      </w:r>
      <w:proofErr w:type="spellEnd"/>
      <w:r>
        <w:t xml:space="preserve"> of all </w:t>
      </w:r>
      <w:proofErr w:type="spellStart"/>
      <w:r>
        <w:t>theyr</w:t>
      </w:r>
      <w:proofErr w:type="spellEnd"/>
      <w:r>
        <w:t xml:space="preserve"> </w:t>
      </w:r>
      <w:proofErr w:type="spellStart"/>
      <w:r>
        <w:t>synnes</w:t>
      </w:r>
      <w:proofErr w:type="spellEnd"/>
      <w:r>
        <w:t xml:space="preserve">, the grace and </w:t>
      </w:r>
      <w:proofErr w:type="spellStart"/>
      <w:r>
        <w:t>fauour</w:t>
      </w:r>
      <w:proofErr w:type="spellEnd"/>
      <w:r>
        <w:t xml:space="preserve"> of god, and </w:t>
      </w:r>
      <w:proofErr w:type="spellStart"/>
      <w:r>
        <w:t>everlastyng</w:t>
      </w:r>
      <w:proofErr w:type="spellEnd"/>
      <w:r>
        <w:t xml:space="preserve"> </w:t>
      </w:r>
      <w:proofErr w:type="spellStart"/>
      <w:r>
        <w:t>lyfe</w:t>
      </w:r>
      <w:proofErr w:type="spellEnd"/>
      <w:r>
        <w:t xml:space="preserve"> (sig. I3r);</w:t>
      </w:r>
      <w:r w:rsidRPr="00CE0E56">
        <w:t xml:space="preserve"> </w:t>
      </w:r>
      <w:r>
        <w:t xml:space="preserve">‘by the </w:t>
      </w:r>
      <w:proofErr w:type="spellStart"/>
      <w:r>
        <w:t>applyenge</w:t>
      </w:r>
      <w:proofErr w:type="spellEnd"/>
      <w:r>
        <w:t xml:space="preserve"> of </w:t>
      </w:r>
      <w:proofErr w:type="spellStart"/>
      <w:r>
        <w:t>Christis</w:t>
      </w:r>
      <w:proofErr w:type="spellEnd"/>
      <w:r>
        <w:t xml:space="preserve"> </w:t>
      </w:r>
      <w:proofErr w:type="spellStart"/>
      <w:r>
        <w:t>wordes</w:t>
      </w:r>
      <w:proofErr w:type="spellEnd"/>
      <w:r>
        <w:t xml:space="preserve"> and </w:t>
      </w:r>
      <w:proofErr w:type="spellStart"/>
      <w:r>
        <w:t>promyses</w:t>
      </w:r>
      <w:proofErr w:type="spellEnd"/>
      <w:r>
        <w:t xml:space="preserve"> of his grace and </w:t>
      </w:r>
      <w:proofErr w:type="spellStart"/>
      <w:r>
        <w:t>fauoure</w:t>
      </w:r>
      <w:proofErr w:type="spellEnd"/>
      <w:r>
        <w:t xml:space="preserve">’ (sig. K1v); ‘For the absolution </w:t>
      </w:r>
      <w:proofErr w:type="spellStart"/>
      <w:r>
        <w:t>gyuen</w:t>
      </w:r>
      <w:proofErr w:type="spellEnd"/>
      <w:r>
        <w:t xml:space="preserve"> by the </w:t>
      </w:r>
      <w:proofErr w:type="spellStart"/>
      <w:r>
        <w:t>prieste</w:t>
      </w:r>
      <w:proofErr w:type="spellEnd"/>
      <w:r>
        <w:t xml:space="preserve"> was instituted by </w:t>
      </w:r>
      <w:proofErr w:type="spellStart"/>
      <w:r>
        <w:t>Christe</w:t>
      </w:r>
      <w:proofErr w:type="spellEnd"/>
      <w:r>
        <w:t xml:space="preserve">, to </w:t>
      </w:r>
      <w:proofErr w:type="spellStart"/>
      <w:r>
        <w:t>applye</w:t>
      </w:r>
      <w:proofErr w:type="spellEnd"/>
      <w:r>
        <w:t xml:space="preserve"> the </w:t>
      </w:r>
      <w:proofErr w:type="spellStart"/>
      <w:r>
        <w:t>promyses</w:t>
      </w:r>
      <w:proofErr w:type="spellEnd"/>
      <w:r>
        <w:t xml:space="preserve"> of </w:t>
      </w:r>
      <w:proofErr w:type="spellStart"/>
      <w:r>
        <w:t>goddis</w:t>
      </w:r>
      <w:proofErr w:type="spellEnd"/>
      <w:r>
        <w:t xml:space="preserve"> grace and </w:t>
      </w:r>
      <w:proofErr w:type="spellStart"/>
      <w:r>
        <w:t>fauour</w:t>
      </w:r>
      <w:proofErr w:type="spellEnd"/>
      <w:r>
        <w:t xml:space="preserve"> to the </w:t>
      </w:r>
      <w:proofErr w:type="spellStart"/>
      <w:r>
        <w:t>penytente</w:t>
      </w:r>
      <w:proofErr w:type="spellEnd"/>
      <w:r>
        <w:t xml:space="preserve">’ (Ibid.). </w:t>
      </w:r>
    </w:p>
  </w:footnote>
  <w:footnote w:id="25">
    <w:p w:rsidR="001F6DD3" w:rsidRPr="00D5052C" w:rsidRDefault="001F6DD3" w:rsidP="00656634">
      <w:pPr>
        <w:pStyle w:val="FootnoteText"/>
        <w:spacing w:line="480" w:lineRule="auto"/>
        <w:jc w:val="both"/>
      </w:pPr>
      <w:r>
        <w:rPr>
          <w:rStyle w:val="FootnoteReference"/>
        </w:rPr>
        <w:footnoteRef/>
      </w:r>
      <w:r>
        <w:t xml:space="preserve"> The phrase is thought to have entered the English language from cap. </w:t>
      </w:r>
      <w:r w:rsidRPr="00D5052C">
        <w:t xml:space="preserve">IV.1 of Machiavelli’s </w:t>
      </w:r>
      <w:proofErr w:type="gramStart"/>
      <w:r w:rsidRPr="00D5052C">
        <w:rPr>
          <w:i/>
        </w:rPr>
        <w:t>Il</w:t>
      </w:r>
      <w:proofErr w:type="gramEnd"/>
      <w:r w:rsidRPr="00D5052C">
        <w:rPr>
          <w:i/>
        </w:rPr>
        <w:t xml:space="preserve"> </w:t>
      </w:r>
      <w:proofErr w:type="spellStart"/>
      <w:r w:rsidRPr="00D5052C">
        <w:rPr>
          <w:i/>
        </w:rPr>
        <w:t>principe</w:t>
      </w:r>
      <w:proofErr w:type="spellEnd"/>
      <w:r w:rsidRPr="00D5052C">
        <w:t xml:space="preserve"> (published 1532, but widely circulated in MS since 1513): ‘per </w:t>
      </w:r>
      <w:proofErr w:type="spellStart"/>
      <w:r w:rsidRPr="00D5052C">
        <w:t>grazia</w:t>
      </w:r>
      <w:proofErr w:type="spellEnd"/>
      <w:r w:rsidRPr="00D5052C">
        <w:t xml:space="preserve"> e </w:t>
      </w:r>
      <w:proofErr w:type="spellStart"/>
      <w:r w:rsidRPr="00D5052C">
        <w:t>concessione</w:t>
      </w:r>
      <w:proofErr w:type="spellEnd"/>
      <w:r w:rsidRPr="00D5052C">
        <w:t>’.</w:t>
      </w:r>
      <w:r>
        <w:t xml:space="preserve"> </w:t>
      </w:r>
      <w:r w:rsidRPr="00D5052C">
        <w:t xml:space="preserve"> </w:t>
      </w:r>
      <w:r w:rsidRPr="00063991">
        <w:t xml:space="preserve">See N. Machiavelli, </w:t>
      </w:r>
      <w:proofErr w:type="gramStart"/>
      <w:r w:rsidRPr="00063991">
        <w:rPr>
          <w:i/>
        </w:rPr>
        <w:t>Il</w:t>
      </w:r>
      <w:proofErr w:type="gramEnd"/>
      <w:r w:rsidRPr="00063991">
        <w:rPr>
          <w:i/>
        </w:rPr>
        <w:t xml:space="preserve"> </w:t>
      </w:r>
      <w:proofErr w:type="spellStart"/>
      <w:r w:rsidRPr="00063991">
        <w:rPr>
          <w:i/>
        </w:rPr>
        <w:t>principe</w:t>
      </w:r>
      <w:proofErr w:type="spellEnd"/>
      <w:r w:rsidRPr="00063991">
        <w:t xml:space="preserve"> (</w:t>
      </w:r>
      <w:r>
        <w:rPr>
          <w:i/>
        </w:rPr>
        <w:t xml:space="preserve">De </w:t>
      </w:r>
      <w:proofErr w:type="spellStart"/>
      <w:r>
        <w:rPr>
          <w:i/>
        </w:rPr>
        <w:t>principati</w:t>
      </w:r>
      <w:r w:rsidRPr="00124BFA">
        <w:rPr>
          <w:i/>
        </w:rPr>
        <w:t>bus</w:t>
      </w:r>
      <w:proofErr w:type="spellEnd"/>
      <w:r w:rsidRPr="00063991">
        <w:t>), ed. Brian Richardson (Manchester: Manchester University Press, 1979), p. 11.</w:t>
      </w:r>
      <w:r w:rsidRPr="00D5052C">
        <w:t xml:space="preserve"> </w:t>
      </w:r>
      <w:r w:rsidRPr="00063991">
        <w:t xml:space="preserve">William Fowler’s translation, which postdates Wyatt’s sequence, uses the phrase ‘grace and permission’. </w:t>
      </w:r>
      <w:r w:rsidRPr="00D5052C">
        <w:t xml:space="preserve">See </w:t>
      </w:r>
      <w:r w:rsidRPr="00063991">
        <w:t xml:space="preserve">Alexandra </w:t>
      </w:r>
      <w:proofErr w:type="spellStart"/>
      <w:r w:rsidRPr="00063991">
        <w:t>Petrina</w:t>
      </w:r>
      <w:proofErr w:type="spellEnd"/>
      <w:r w:rsidRPr="00063991">
        <w:t xml:space="preserve">, </w:t>
      </w:r>
      <w:r w:rsidRPr="00063991">
        <w:rPr>
          <w:i/>
        </w:rPr>
        <w:t>Machiavelli in the British Isles: Two Early Modern Translations of</w:t>
      </w:r>
      <w:r w:rsidRPr="00063991">
        <w:t xml:space="preserve"> The </w:t>
      </w:r>
      <w:proofErr w:type="gramStart"/>
      <w:r w:rsidRPr="00063991">
        <w:t>Prince  (</w:t>
      </w:r>
      <w:proofErr w:type="gramEnd"/>
      <w:r w:rsidRPr="00063991">
        <w:t xml:space="preserve">Farnham and Burlington, VT: </w:t>
      </w:r>
      <w:proofErr w:type="spellStart"/>
      <w:r w:rsidRPr="00063991">
        <w:t>Ashgate</w:t>
      </w:r>
      <w:proofErr w:type="spellEnd"/>
      <w:r w:rsidRPr="00063991">
        <w:t>, 2009)</w:t>
      </w:r>
      <w:r>
        <w:t>, 150.</w:t>
      </w:r>
    </w:p>
  </w:footnote>
  <w:footnote w:id="26">
    <w:p w:rsidR="001F6DD3" w:rsidRDefault="001F6DD3" w:rsidP="00656634">
      <w:pPr>
        <w:pStyle w:val="FootnoteText"/>
        <w:spacing w:line="480" w:lineRule="auto"/>
        <w:jc w:val="lowKashida"/>
      </w:pPr>
      <w:r>
        <w:rPr>
          <w:rStyle w:val="FootnoteReference"/>
        </w:rPr>
        <w:footnoteRef/>
      </w:r>
      <w:r>
        <w:t xml:space="preserve"> </w:t>
      </w:r>
      <w:r w:rsidRPr="00063991">
        <w:t xml:space="preserve">Wyatt’s sources for the Psalms are manifold. In addition to the Latin Vulgate </w:t>
      </w:r>
      <w:proofErr w:type="spellStart"/>
      <w:r w:rsidRPr="00063991">
        <w:rPr>
          <w:i/>
        </w:rPr>
        <w:t>Biblia</w:t>
      </w:r>
      <w:proofErr w:type="spellEnd"/>
      <w:r w:rsidRPr="00063991">
        <w:rPr>
          <w:i/>
        </w:rPr>
        <w:t xml:space="preserve"> Magna</w:t>
      </w:r>
      <w:r w:rsidRPr="00063991">
        <w:t xml:space="preserve"> (Lyons: J. </w:t>
      </w:r>
      <w:proofErr w:type="spellStart"/>
      <w:r w:rsidRPr="00063991">
        <w:t>Mareschal</w:t>
      </w:r>
      <w:proofErr w:type="spellEnd"/>
      <w:r w:rsidRPr="00063991">
        <w:t xml:space="preserve">, 1525) and Aretino constituting </w:t>
      </w:r>
      <w:r>
        <w:t>his base texts</w:t>
      </w:r>
      <w:r w:rsidRPr="00063991">
        <w:t xml:space="preserve">, he also </w:t>
      </w:r>
      <w:r>
        <w:t>consulted</w:t>
      </w:r>
      <w:r w:rsidRPr="00063991">
        <w:t xml:space="preserve"> the following: the </w:t>
      </w:r>
      <w:r w:rsidRPr="006A6F22">
        <w:rPr>
          <w:i/>
        </w:rPr>
        <w:t xml:space="preserve">Enchiridion </w:t>
      </w:r>
      <w:proofErr w:type="spellStart"/>
      <w:r w:rsidRPr="006A6F22">
        <w:rPr>
          <w:i/>
        </w:rPr>
        <w:t>Psalmorum</w:t>
      </w:r>
      <w:proofErr w:type="spellEnd"/>
      <w:r w:rsidRPr="00063991">
        <w:t xml:space="preserve"> of Johannes </w:t>
      </w:r>
      <w:proofErr w:type="spellStart"/>
      <w:r w:rsidRPr="00063991">
        <w:t>Campensis</w:t>
      </w:r>
      <w:proofErr w:type="spellEnd"/>
      <w:r w:rsidRPr="00063991">
        <w:t xml:space="preserve"> (Lyons: S. </w:t>
      </w:r>
      <w:proofErr w:type="spellStart"/>
      <w:r w:rsidRPr="00063991">
        <w:t>Gryphius</w:t>
      </w:r>
      <w:proofErr w:type="spellEnd"/>
      <w:r w:rsidRPr="00063991">
        <w:t xml:space="preserve">, 1533), which also contains Ulrich Zwingli’s paraphrase; the English translation of </w:t>
      </w:r>
      <w:proofErr w:type="spellStart"/>
      <w:r w:rsidRPr="00063991">
        <w:t>Campensis</w:t>
      </w:r>
      <w:proofErr w:type="spellEnd"/>
      <w:r w:rsidRPr="00063991">
        <w:t xml:space="preserve"> by Coverdale, </w:t>
      </w:r>
      <w:r w:rsidRPr="00063991">
        <w:rPr>
          <w:i/>
        </w:rPr>
        <w:t xml:space="preserve">A </w:t>
      </w:r>
      <w:proofErr w:type="spellStart"/>
      <w:r w:rsidRPr="00063991">
        <w:rPr>
          <w:i/>
        </w:rPr>
        <w:t>paraphrasis</w:t>
      </w:r>
      <w:proofErr w:type="spellEnd"/>
      <w:r w:rsidRPr="00063991">
        <w:rPr>
          <w:i/>
        </w:rPr>
        <w:t xml:space="preserve"> upon all the </w:t>
      </w:r>
      <w:proofErr w:type="spellStart"/>
      <w:r w:rsidRPr="00063991">
        <w:rPr>
          <w:i/>
        </w:rPr>
        <w:t>Psalmes</w:t>
      </w:r>
      <w:proofErr w:type="spellEnd"/>
      <w:r w:rsidRPr="00063991">
        <w:rPr>
          <w:i/>
        </w:rPr>
        <w:t xml:space="preserve"> of </w:t>
      </w:r>
      <w:proofErr w:type="spellStart"/>
      <w:r w:rsidRPr="00063991">
        <w:rPr>
          <w:i/>
        </w:rPr>
        <w:t>Dauid</w:t>
      </w:r>
      <w:proofErr w:type="spellEnd"/>
      <w:r w:rsidRPr="00063991">
        <w:t xml:space="preserve"> (London: T. </w:t>
      </w:r>
      <w:proofErr w:type="spellStart"/>
      <w:r w:rsidRPr="00063991">
        <w:t>Gybson</w:t>
      </w:r>
      <w:proofErr w:type="spellEnd"/>
      <w:r w:rsidRPr="00063991">
        <w:t xml:space="preserve">, 1535); Bishop Fisher’s </w:t>
      </w:r>
      <w:proofErr w:type="spellStart"/>
      <w:r w:rsidRPr="00063991">
        <w:rPr>
          <w:i/>
        </w:rPr>
        <w:t>Treatyse</w:t>
      </w:r>
      <w:proofErr w:type="spellEnd"/>
      <w:r w:rsidRPr="00063991">
        <w:rPr>
          <w:i/>
        </w:rPr>
        <w:t xml:space="preserve"> </w:t>
      </w:r>
      <w:proofErr w:type="spellStart"/>
      <w:r w:rsidRPr="00063991">
        <w:rPr>
          <w:i/>
        </w:rPr>
        <w:t>concernynge</w:t>
      </w:r>
      <w:proofErr w:type="spellEnd"/>
      <w:r w:rsidRPr="00063991">
        <w:rPr>
          <w:i/>
        </w:rPr>
        <w:t xml:space="preserve"> ... the seven </w:t>
      </w:r>
      <w:proofErr w:type="spellStart"/>
      <w:r w:rsidRPr="00063991">
        <w:rPr>
          <w:i/>
        </w:rPr>
        <w:t>penytencyall</w:t>
      </w:r>
      <w:proofErr w:type="spellEnd"/>
      <w:r w:rsidRPr="00063991">
        <w:rPr>
          <w:i/>
        </w:rPr>
        <w:t xml:space="preserve"> </w:t>
      </w:r>
      <w:proofErr w:type="spellStart"/>
      <w:r w:rsidRPr="00063991">
        <w:rPr>
          <w:i/>
        </w:rPr>
        <w:t>psalmes</w:t>
      </w:r>
      <w:proofErr w:type="spellEnd"/>
      <w:r w:rsidRPr="00063991">
        <w:t xml:space="preserve"> (London: W. de Worde, 1509); Luther, </w:t>
      </w:r>
      <w:proofErr w:type="spellStart"/>
      <w:r w:rsidRPr="00063991">
        <w:rPr>
          <w:i/>
        </w:rPr>
        <w:t>Enarratio</w:t>
      </w:r>
      <w:proofErr w:type="spellEnd"/>
      <w:r w:rsidRPr="00063991">
        <w:rPr>
          <w:i/>
        </w:rPr>
        <w:t xml:space="preserve"> </w:t>
      </w:r>
      <w:proofErr w:type="spellStart"/>
      <w:r w:rsidRPr="00063991">
        <w:rPr>
          <w:i/>
        </w:rPr>
        <w:t>psalmorum</w:t>
      </w:r>
      <w:proofErr w:type="spellEnd"/>
      <w:r w:rsidRPr="00063991">
        <w:rPr>
          <w:i/>
        </w:rPr>
        <w:t xml:space="preserve"> LI</w:t>
      </w:r>
      <w:r w:rsidRPr="00063991">
        <w:t xml:space="preserve"> (Strasbourg: C. </w:t>
      </w:r>
      <w:proofErr w:type="spellStart"/>
      <w:r w:rsidRPr="00063991">
        <w:t>Mylius</w:t>
      </w:r>
      <w:proofErr w:type="spellEnd"/>
      <w:r w:rsidRPr="00063991">
        <w:t xml:space="preserve">, 1538); George </w:t>
      </w:r>
      <w:proofErr w:type="spellStart"/>
      <w:r w:rsidRPr="00063991">
        <w:t>Joye</w:t>
      </w:r>
      <w:proofErr w:type="spellEnd"/>
      <w:r w:rsidRPr="00063991">
        <w:t xml:space="preserve">, </w:t>
      </w:r>
      <w:r w:rsidRPr="00063991">
        <w:rPr>
          <w:i/>
        </w:rPr>
        <w:t xml:space="preserve">The Psalter of David in </w:t>
      </w:r>
      <w:proofErr w:type="spellStart"/>
      <w:r w:rsidRPr="00063991">
        <w:rPr>
          <w:i/>
        </w:rPr>
        <w:t>Englishe</w:t>
      </w:r>
      <w:proofErr w:type="spellEnd"/>
      <w:r w:rsidRPr="00063991">
        <w:t xml:space="preserve"> (Antwerp: M. de Keyser, 1530) and </w:t>
      </w:r>
      <w:proofErr w:type="spellStart"/>
      <w:r w:rsidRPr="00063991">
        <w:t>Tommaso</w:t>
      </w:r>
      <w:proofErr w:type="spellEnd"/>
      <w:r w:rsidRPr="00063991">
        <w:t xml:space="preserve"> </w:t>
      </w:r>
      <w:proofErr w:type="spellStart"/>
      <w:r w:rsidRPr="00063991">
        <w:t>Vio</w:t>
      </w:r>
      <w:proofErr w:type="spellEnd"/>
      <w:r w:rsidRPr="00063991">
        <w:t xml:space="preserve">, Cardinal </w:t>
      </w:r>
      <w:proofErr w:type="spellStart"/>
      <w:r w:rsidRPr="00063991">
        <w:t>Cajetan</w:t>
      </w:r>
      <w:proofErr w:type="spellEnd"/>
      <w:r w:rsidRPr="00063991">
        <w:t xml:space="preserve">, </w:t>
      </w:r>
      <w:proofErr w:type="spellStart"/>
      <w:r w:rsidRPr="00371FA9">
        <w:rPr>
          <w:i/>
        </w:rPr>
        <w:t>Psalmi</w:t>
      </w:r>
      <w:proofErr w:type="spellEnd"/>
      <w:r w:rsidRPr="00371FA9">
        <w:rPr>
          <w:i/>
        </w:rPr>
        <w:t xml:space="preserve"> </w:t>
      </w:r>
      <w:proofErr w:type="spellStart"/>
      <w:r w:rsidRPr="00371FA9">
        <w:rPr>
          <w:i/>
        </w:rPr>
        <w:t>Dauidici</w:t>
      </w:r>
      <w:proofErr w:type="spellEnd"/>
      <w:r w:rsidRPr="00063991">
        <w:t xml:space="preserve"> (Venice: L. </w:t>
      </w:r>
      <w:proofErr w:type="spellStart"/>
      <w:r w:rsidRPr="00063991">
        <w:t>Giunta</w:t>
      </w:r>
      <w:proofErr w:type="spellEnd"/>
      <w:r w:rsidRPr="00063991">
        <w:t>, 1530).</w:t>
      </w:r>
    </w:p>
  </w:footnote>
  <w:footnote w:id="27">
    <w:p w:rsidR="00646ECA" w:rsidRPr="00063991" w:rsidRDefault="001F6DD3" w:rsidP="00656634">
      <w:pPr>
        <w:pStyle w:val="FootnoteText"/>
        <w:spacing w:line="480" w:lineRule="auto"/>
        <w:jc w:val="both"/>
        <w:rPr>
          <w:lang w:val="it-IT"/>
        </w:rPr>
      </w:pPr>
      <w:r>
        <w:rPr>
          <w:rStyle w:val="FootnoteReference"/>
        </w:rPr>
        <w:footnoteRef/>
      </w:r>
      <w:r w:rsidRPr="00646ECA">
        <w:rPr>
          <w:lang w:val="fr-FR"/>
        </w:rPr>
        <w:t xml:space="preserve"> </w:t>
      </w:r>
      <w:proofErr w:type="spellStart"/>
      <w:r w:rsidR="00646ECA">
        <w:rPr>
          <w:lang w:val="fr-FR"/>
        </w:rPr>
        <w:t>See</w:t>
      </w:r>
      <w:proofErr w:type="spellEnd"/>
      <w:r w:rsidR="00646ECA">
        <w:rPr>
          <w:lang w:val="fr-FR"/>
        </w:rPr>
        <w:t xml:space="preserve"> Paul </w:t>
      </w:r>
      <w:proofErr w:type="spellStart"/>
      <w:r w:rsidR="00646ECA">
        <w:rPr>
          <w:lang w:val="fr-FR"/>
        </w:rPr>
        <w:t>Larivaille</w:t>
      </w:r>
      <w:proofErr w:type="spellEnd"/>
      <w:r w:rsidR="00646ECA">
        <w:rPr>
          <w:lang w:val="fr-FR"/>
        </w:rPr>
        <w:t xml:space="preserve">, </w:t>
      </w:r>
      <w:r w:rsidR="00646ECA" w:rsidRPr="00063991">
        <w:rPr>
          <w:i/>
          <w:lang w:val="fr-FR"/>
        </w:rPr>
        <w:t>L’</w:t>
      </w:r>
      <w:proofErr w:type="spellStart"/>
      <w:r w:rsidR="00646ECA" w:rsidRPr="00063991">
        <w:rPr>
          <w:i/>
          <w:lang w:val="fr-FR"/>
        </w:rPr>
        <w:t>Aretin</w:t>
      </w:r>
      <w:proofErr w:type="spellEnd"/>
      <w:r w:rsidR="00646ECA" w:rsidRPr="00063991">
        <w:rPr>
          <w:i/>
          <w:lang w:val="fr-FR"/>
        </w:rPr>
        <w:t xml:space="preserve"> entre Renaissance et Maniérisme 1492-1537</w:t>
      </w:r>
      <w:r w:rsidR="00646ECA" w:rsidRPr="00063991">
        <w:rPr>
          <w:lang w:val="fr-FR"/>
        </w:rPr>
        <w:t xml:space="preserve"> (Lille: </w:t>
      </w:r>
      <w:proofErr w:type="spellStart"/>
      <w:r w:rsidR="00646ECA" w:rsidRPr="00063991">
        <w:rPr>
          <w:lang w:val="fr-FR"/>
        </w:rPr>
        <w:t>Universitè</w:t>
      </w:r>
      <w:proofErr w:type="spellEnd"/>
      <w:r w:rsidR="00646ECA" w:rsidRPr="00063991">
        <w:rPr>
          <w:lang w:val="fr-FR"/>
        </w:rPr>
        <w:t xml:space="preserve"> de Lille III, Service de Reproductions de </w:t>
      </w:r>
      <w:proofErr w:type="spellStart"/>
      <w:r w:rsidR="00646ECA" w:rsidRPr="00063991">
        <w:rPr>
          <w:lang w:val="fr-FR"/>
        </w:rPr>
        <w:t>Théses</w:t>
      </w:r>
      <w:proofErr w:type="spellEnd"/>
      <w:r w:rsidR="00646ECA" w:rsidRPr="00063991">
        <w:rPr>
          <w:lang w:val="fr-FR"/>
        </w:rPr>
        <w:t xml:space="preserve">, 1972), II, 1094-95, n. 110. </w:t>
      </w:r>
      <w:r w:rsidR="00646ECA" w:rsidRPr="00646ECA">
        <w:rPr>
          <w:lang w:val="fr-FR"/>
        </w:rPr>
        <w:t xml:space="preserve">Maria </w:t>
      </w:r>
      <w:proofErr w:type="spellStart"/>
      <w:r w:rsidR="00646ECA" w:rsidRPr="00646ECA">
        <w:rPr>
          <w:lang w:val="fr-FR"/>
        </w:rPr>
        <w:t>Palerno</w:t>
      </w:r>
      <w:proofErr w:type="spellEnd"/>
      <w:r w:rsidR="00646ECA" w:rsidRPr="00646ECA">
        <w:rPr>
          <w:lang w:val="fr-FR"/>
        </w:rPr>
        <w:t xml:space="preserve"> </w:t>
      </w:r>
      <w:proofErr w:type="spellStart"/>
      <w:r w:rsidR="00646ECA" w:rsidRPr="00646ECA">
        <w:rPr>
          <w:lang w:val="fr-FR"/>
        </w:rPr>
        <w:t>Concolato</w:t>
      </w:r>
      <w:proofErr w:type="spellEnd"/>
      <w:r w:rsidR="00646ECA" w:rsidRPr="00646ECA">
        <w:rPr>
          <w:lang w:val="fr-FR"/>
        </w:rPr>
        <w:t xml:space="preserve"> argues </w:t>
      </w:r>
      <w:proofErr w:type="spellStart"/>
      <w:r w:rsidR="00646ECA" w:rsidRPr="00646ECA">
        <w:rPr>
          <w:lang w:val="fr-FR"/>
        </w:rPr>
        <w:t>that</w:t>
      </w:r>
      <w:proofErr w:type="spellEnd"/>
      <w:r w:rsidR="00646ECA" w:rsidRPr="00646ECA">
        <w:rPr>
          <w:lang w:val="fr-FR"/>
        </w:rPr>
        <w:t xml:space="preserve"> </w:t>
      </w:r>
      <w:r w:rsidR="00646ECA" w:rsidRPr="00646ECA">
        <w:rPr>
          <w:lang w:val="fr-FR"/>
        </w:rPr>
        <w:t xml:space="preserve">‘if </w:t>
      </w:r>
      <w:proofErr w:type="spellStart"/>
      <w:r w:rsidR="00646ECA" w:rsidRPr="00646ECA">
        <w:rPr>
          <w:lang w:val="fr-FR"/>
        </w:rPr>
        <w:t>Brucioli</w:t>
      </w:r>
      <w:proofErr w:type="spellEnd"/>
      <w:r w:rsidR="00646ECA" w:rsidRPr="00646ECA">
        <w:rPr>
          <w:lang w:val="fr-FR"/>
        </w:rPr>
        <w:t xml:space="preserve"> </w:t>
      </w:r>
      <w:proofErr w:type="spellStart"/>
      <w:r w:rsidR="00646ECA" w:rsidRPr="00646ECA">
        <w:rPr>
          <w:lang w:val="fr-FR"/>
        </w:rPr>
        <w:t>did</w:t>
      </w:r>
      <w:proofErr w:type="spellEnd"/>
      <w:r w:rsidR="00646ECA" w:rsidRPr="00646ECA">
        <w:rPr>
          <w:lang w:val="fr-FR"/>
        </w:rPr>
        <w:t xml:space="preserve"> not </w:t>
      </w:r>
      <w:proofErr w:type="spellStart"/>
      <w:r w:rsidR="00646ECA" w:rsidRPr="00646ECA">
        <w:rPr>
          <w:lang w:val="fr-FR"/>
        </w:rPr>
        <w:t>provide</w:t>
      </w:r>
      <w:proofErr w:type="spellEnd"/>
      <w:r w:rsidR="00646ECA" w:rsidRPr="00646ECA">
        <w:rPr>
          <w:lang w:val="fr-FR"/>
        </w:rPr>
        <w:t xml:space="preserve"> the model, </w:t>
      </w:r>
      <w:proofErr w:type="spellStart"/>
      <w:r w:rsidR="00646ECA" w:rsidRPr="00646ECA">
        <w:rPr>
          <w:lang w:val="fr-FR"/>
        </w:rPr>
        <w:t>he</w:t>
      </w:r>
      <w:proofErr w:type="spellEnd"/>
      <w:r w:rsidR="00646ECA" w:rsidRPr="00646ECA">
        <w:rPr>
          <w:lang w:val="fr-FR"/>
        </w:rPr>
        <w:t xml:space="preserve"> </w:t>
      </w:r>
      <w:proofErr w:type="spellStart"/>
      <w:r w:rsidR="00646ECA" w:rsidRPr="00646ECA">
        <w:rPr>
          <w:lang w:val="fr-FR"/>
        </w:rPr>
        <w:t>surely</w:t>
      </w:r>
      <w:proofErr w:type="spellEnd"/>
      <w:r w:rsidR="00646ECA" w:rsidRPr="00646ECA">
        <w:rPr>
          <w:lang w:val="fr-FR"/>
        </w:rPr>
        <w:t xml:space="preserve"> must have </w:t>
      </w:r>
      <w:proofErr w:type="spellStart"/>
      <w:r w:rsidR="00646ECA" w:rsidRPr="00646ECA">
        <w:rPr>
          <w:lang w:val="fr-FR"/>
        </w:rPr>
        <w:t>given</w:t>
      </w:r>
      <w:proofErr w:type="spellEnd"/>
      <w:r w:rsidR="00646ECA" w:rsidRPr="00646ECA">
        <w:rPr>
          <w:lang w:val="fr-FR"/>
        </w:rPr>
        <w:t xml:space="preserve"> </w:t>
      </w:r>
      <w:proofErr w:type="spellStart"/>
      <w:r w:rsidR="00646ECA" w:rsidRPr="00646ECA">
        <w:rPr>
          <w:lang w:val="fr-FR"/>
        </w:rPr>
        <w:t>Aretino</w:t>
      </w:r>
      <w:proofErr w:type="spellEnd"/>
      <w:r w:rsidR="00646ECA" w:rsidRPr="00646ECA">
        <w:rPr>
          <w:lang w:val="fr-FR"/>
        </w:rPr>
        <w:t xml:space="preserve"> a prompt or a suggestion’</w:t>
      </w:r>
      <w:r w:rsidR="00646ECA" w:rsidRPr="00646ECA">
        <w:rPr>
          <w:lang w:val="fr-FR"/>
        </w:rPr>
        <w:t xml:space="preserve"> (‘</w:t>
      </w:r>
      <w:proofErr w:type="spellStart"/>
      <w:r w:rsidR="00646ECA" w:rsidRPr="00646ECA">
        <w:rPr>
          <w:lang w:val="fr-FR"/>
        </w:rPr>
        <w:t>se il</w:t>
      </w:r>
      <w:proofErr w:type="spellEnd"/>
      <w:r w:rsidR="00646ECA" w:rsidRPr="00646ECA">
        <w:rPr>
          <w:lang w:val="fr-FR"/>
        </w:rPr>
        <w:t xml:space="preserve"> </w:t>
      </w:r>
      <w:proofErr w:type="spellStart"/>
      <w:r w:rsidR="00646ECA" w:rsidRPr="00646ECA">
        <w:rPr>
          <w:lang w:val="fr-FR"/>
        </w:rPr>
        <w:t>Brucioli</w:t>
      </w:r>
      <w:proofErr w:type="spellEnd"/>
      <w:r w:rsidR="00646ECA" w:rsidRPr="00646ECA">
        <w:rPr>
          <w:lang w:val="fr-FR"/>
        </w:rPr>
        <w:t xml:space="preserve">  non </w:t>
      </w:r>
      <w:proofErr w:type="spellStart"/>
      <w:r w:rsidR="00646ECA" w:rsidRPr="00646ECA">
        <w:rPr>
          <w:lang w:val="fr-FR"/>
        </w:rPr>
        <w:t>gli</w:t>
      </w:r>
      <w:proofErr w:type="spellEnd"/>
      <w:r w:rsidR="00646ECA" w:rsidRPr="00646ECA">
        <w:rPr>
          <w:lang w:val="fr-FR"/>
        </w:rPr>
        <w:t xml:space="preserve"> </w:t>
      </w:r>
      <w:proofErr w:type="spellStart"/>
      <w:r w:rsidR="00646ECA" w:rsidRPr="00646ECA">
        <w:rPr>
          <w:lang w:val="fr-FR"/>
        </w:rPr>
        <w:t>fornì</w:t>
      </w:r>
      <w:proofErr w:type="spellEnd"/>
      <w:r w:rsidR="00646ECA" w:rsidRPr="00646ECA">
        <w:rPr>
          <w:lang w:val="fr-FR"/>
        </w:rPr>
        <w:t xml:space="preserve"> il </w:t>
      </w:r>
      <w:proofErr w:type="spellStart"/>
      <w:r w:rsidR="00646ECA" w:rsidRPr="00646ECA">
        <w:rPr>
          <w:lang w:val="fr-FR"/>
        </w:rPr>
        <w:t>modello</w:t>
      </w:r>
      <w:proofErr w:type="spellEnd"/>
      <w:r w:rsidR="00646ECA" w:rsidRPr="00646ECA">
        <w:rPr>
          <w:lang w:val="fr-FR"/>
        </w:rPr>
        <w:t xml:space="preserve">, </w:t>
      </w:r>
      <w:proofErr w:type="spellStart"/>
      <w:r w:rsidR="00646ECA" w:rsidRPr="00646ECA">
        <w:rPr>
          <w:lang w:val="fr-FR"/>
        </w:rPr>
        <w:t>certamente</w:t>
      </w:r>
      <w:proofErr w:type="spellEnd"/>
      <w:r w:rsidR="00646ECA" w:rsidRPr="00646ECA">
        <w:rPr>
          <w:lang w:val="fr-FR"/>
        </w:rPr>
        <w:t xml:space="preserve"> </w:t>
      </w:r>
      <w:proofErr w:type="spellStart"/>
      <w:r w:rsidR="00646ECA" w:rsidRPr="00646ECA">
        <w:rPr>
          <w:lang w:val="fr-FR"/>
        </w:rPr>
        <w:t>dovette</w:t>
      </w:r>
      <w:proofErr w:type="spellEnd"/>
      <w:r w:rsidR="00646ECA" w:rsidRPr="00646ECA">
        <w:rPr>
          <w:lang w:val="fr-FR"/>
        </w:rPr>
        <w:t xml:space="preserve"> </w:t>
      </w:r>
      <w:proofErr w:type="spellStart"/>
      <w:r w:rsidR="00646ECA" w:rsidRPr="00646ECA">
        <w:rPr>
          <w:lang w:val="fr-FR"/>
        </w:rPr>
        <w:t>offrirgli</w:t>
      </w:r>
      <w:proofErr w:type="spellEnd"/>
      <w:r w:rsidR="00646ECA" w:rsidRPr="00646ECA">
        <w:rPr>
          <w:lang w:val="fr-FR"/>
        </w:rPr>
        <w:t xml:space="preserve"> </w:t>
      </w:r>
      <w:proofErr w:type="spellStart"/>
      <w:r w:rsidR="00646ECA" w:rsidRPr="00646ECA">
        <w:rPr>
          <w:lang w:val="fr-FR"/>
        </w:rPr>
        <w:t>uno</w:t>
      </w:r>
      <w:proofErr w:type="spellEnd"/>
      <w:r w:rsidR="00646ECA" w:rsidRPr="00646ECA">
        <w:rPr>
          <w:lang w:val="fr-FR"/>
        </w:rPr>
        <w:t xml:space="preserve"> </w:t>
      </w:r>
      <w:proofErr w:type="spellStart"/>
      <w:r w:rsidR="00646ECA" w:rsidRPr="00646ECA">
        <w:rPr>
          <w:lang w:val="fr-FR"/>
        </w:rPr>
        <w:t>stimolo</w:t>
      </w:r>
      <w:proofErr w:type="spellEnd"/>
      <w:r w:rsidR="00646ECA" w:rsidRPr="00646ECA">
        <w:rPr>
          <w:lang w:val="fr-FR"/>
        </w:rPr>
        <w:t xml:space="preserve"> o  un </w:t>
      </w:r>
      <w:proofErr w:type="spellStart"/>
      <w:r w:rsidR="00646ECA" w:rsidRPr="00646ECA">
        <w:rPr>
          <w:lang w:val="fr-FR"/>
        </w:rPr>
        <w:t>suggerimento</w:t>
      </w:r>
      <w:proofErr w:type="spellEnd"/>
      <w:r w:rsidR="00646ECA">
        <w:rPr>
          <w:lang w:val="fr-FR"/>
        </w:rPr>
        <w:t>’)</w:t>
      </w:r>
      <w:r w:rsidR="00646ECA" w:rsidRPr="00646ECA">
        <w:rPr>
          <w:lang w:val="fr-FR"/>
        </w:rPr>
        <w:t>.</w:t>
      </w:r>
      <w:r w:rsidR="00646ECA">
        <w:rPr>
          <w:lang w:val="fr-FR"/>
        </w:rPr>
        <w:t xml:space="preserve"> </w:t>
      </w:r>
      <w:r w:rsidR="00646ECA" w:rsidRPr="00646ECA">
        <w:rPr>
          <w:lang w:val="it-IT"/>
        </w:rPr>
        <w:t xml:space="preserve">See </w:t>
      </w:r>
      <w:r w:rsidR="00646ECA" w:rsidRPr="00063991">
        <w:rPr>
          <w:lang w:val="it-IT"/>
        </w:rPr>
        <w:t xml:space="preserve">‘Il viaggio del testo: I Salmi penitenziali dall’Aretino al Wyatt’, in </w:t>
      </w:r>
      <w:r w:rsidR="00646ECA" w:rsidRPr="00063991">
        <w:rPr>
          <w:i/>
          <w:lang w:val="it-IT"/>
        </w:rPr>
        <w:t>Per una topografia dell’Altrove: Spazi altri nell’imagginario letterario e culturale di lingua inglese</w:t>
      </w:r>
      <w:r w:rsidR="00646ECA" w:rsidRPr="00063991">
        <w:rPr>
          <w:lang w:val="it-IT"/>
        </w:rPr>
        <w:t>, ed</w:t>
      </w:r>
      <w:r w:rsidR="00646ECA">
        <w:rPr>
          <w:lang w:val="it-IT"/>
        </w:rPr>
        <w:t>s</w:t>
      </w:r>
      <w:r w:rsidR="00646ECA" w:rsidRPr="00063991">
        <w:rPr>
          <w:lang w:val="it-IT"/>
        </w:rPr>
        <w:t>. Maria Teresa Chialant and Eleonor</w:t>
      </w:r>
      <w:r w:rsidR="00646ECA">
        <w:rPr>
          <w:lang w:val="it-IT"/>
        </w:rPr>
        <w:t xml:space="preserve">a Rao (Naples: Liguori, 1995), </w:t>
      </w:r>
      <w:r w:rsidR="00646ECA" w:rsidRPr="00063991">
        <w:rPr>
          <w:lang w:val="it-IT"/>
        </w:rPr>
        <w:t>399-41</w:t>
      </w:r>
      <w:r w:rsidR="00646ECA">
        <w:rPr>
          <w:lang w:val="it-IT"/>
        </w:rPr>
        <w:t>2 (404</w:t>
      </w:r>
      <w:r w:rsidR="00646ECA" w:rsidRPr="00063991">
        <w:rPr>
          <w:lang w:val="it-IT"/>
        </w:rPr>
        <w:t xml:space="preserve">). </w:t>
      </w:r>
    </w:p>
    <w:p w:rsidR="00646ECA" w:rsidRPr="00646ECA" w:rsidRDefault="00646ECA" w:rsidP="00656634">
      <w:pPr>
        <w:pStyle w:val="FootnoteText"/>
        <w:spacing w:line="480" w:lineRule="auto"/>
        <w:jc w:val="both"/>
        <w:rPr>
          <w:lang w:val="it-IT"/>
        </w:rPr>
      </w:pPr>
    </w:p>
    <w:p w:rsidR="001F6DD3" w:rsidRPr="00646ECA" w:rsidRDefault="001F6DD3" w:rsidP="00656634">
      <w:pPr>
        <w:pStyle w:val="FootnoteText"/>
        <w:spacing w:line="480" w:lineRule="auto"/>
        <w:rPr>
          <w:lang w:val="it-IT"/>
        </w:rPr>
      </w:pPr>
    </w:p>
  </w:footnote>
  <w:footnote w:id="28">
    <w:p w:rsidR="001F6DD3" w:rsidRDefault="001F6DD3" w:rsidP="00656634">
      <w:pPr>
        <w:pStyle w:val="FootnoteText"/>
        <w:spacing w:line="480" w:lineRule="auto"/>
        <w:jc w:val="lowKashida"/>
      </w:pPr>
      <w:r>
        <w:rPr>
          <w:rStyle w:val="FootnoteReference"/>
        </w:rPr>
        <w:footnoteRef/>
      </w:r>
      <w:r>
        <w:t xml:space="preserve"> </w:t>
      </w:r>
      <w:r w:rsidRPr="00063991">
        <w:t xml:space="preserve">On </w:t>
      </w:r>
      <w:r>
        <w:t>the Lutheran claim see</w:t>
      </w:r>
      <w:r w:rsidRPr="00063991">
        <w:t xml:space="preserve"> Mason, </w:t>
      </w:r>
      <w:r w:rsidRPr="00063991">
        <w:rPr>
          <w:i/>
        </w:rPr>
        <w:t>Sir Thomas Wyatt: A Literary Portrait</w:t>
      </w:r>
      <w:r w:rsidRPr="00063991">
        <w:t xml:space="preserve"> (Bristol: Bristol Classical Press, 1986), 162-3. Mason here revises his earlier </w:t>
      </w:r>
      <w:r>
        <w:t xml:space="preserve">reading (which informed Greenblatt and </w:t>
      </w:r>
      <w:proofErr w:type="spellStart"/>
      <w:r>
        <w:t>Rebholz</w:t>
      </w:r>
      <w:proofErr w:type="spellEnd"/>
      <w:r w:rsidRPr="00063991">
        <w:t>)</w:t>
      </w:r>
      <w:r>
        <w:t xml:space="preserve">, in which he argued </w:t>
      </w:r>
      <w:r w:rsidRPr="00063991">
        <w:t xml:space="preserve">that the sequence was </w:t>
      </w:r>
      <w:r>
        <w:t>probably</w:t>
      </w:r>
      <w:r w:rsidRPr="00063991">
        <w:t xml:space="preserve"> composed in 1536. Greg Walker notes that ‘as Mason also pointed out, Wyatt comes closest to Luther’s text precisely in those places where Luther relies most obviously upon those commentaries and translations that Wyatt himself was using’, which should dissuade us from </w:t>
      </w:r>
      <w:r>
        <w:t>jumping to</w:t>
      </w:r>
      <w:r w:rsidRPr="00063991">
        <w:t xml:space="preserve"> Lutheran </w:t>
      </w:r>
      <w:r>
        <w:t>conclusions</w:t>
      </w:r>
      <w:r w:rsidRPr="00063991">
        <w:t xml:space="preserve"> when reading Wyatt’s sequence. See </w:t>
      </w:r>
      <w:r w:rsidRPr="00063991">
        <w:rPr>
          <w:i/>
        </w:rPr>
        <w:t xml:space="preserve">Writing </w:t>
      </w:r>
      <w:proofErr w:type="gramStart"/>
      <w:r w:rsidRPr="00063991">
        <w:rPr>
          <w:i/>
        </w:rPr>
        <w:t>Under</w:t>
      </w:r>
      <w:proofErr w:type="gramEnd"/>
      <w:r w:rsidRPr="00063991">
        <w:rPr>
          <w:i/>
        </w:rPr>
        <w:t xml:space="preserve"> Tyranny: English Literature and the </w:t>
      </w:r>
      <w:proofErr w:type="spellStart"/>
      <w:r w:rsidRPr="00063991">
        <w:rPr>
          <w:i/>
        </w:rPr>
        <w:t>Henrician</w:t>
      </w:r>
      <w:proofErr w:type="spellEnd"/>
      <w:r w:rsidRPr="00063991">
        <w:rPr>
          <w:i/>
        </w:rPr>
        <w:t xml:space="preserve"> Reformation</w:t>
      </w:r>
      <w:r w:rsidRPr="00063991">
        <w:t xml:space="preserve"> (Oxford: Oxford University Press, 2005), 367.</w:t>
      </w:r>
    </w:p>
  </w:footnote>
  <w:footnote w:id="29">
    <w:p w:rsidR="001F6DD3" w:rsidRDefault="001F6DD3" w:rsidP="00656634">
      <w:pPr>
        <w:pStyle w:val="FootnoteText"/>
        <w:spacing w:line="480" w:lineRule="auto"/>
      </w:pPr>
      <w:r>
        <w:rPr>
          <w:rStyle w:val="FootnoteReference"/>
        </w:rPr>
        <w:footnoteRef/>
      </w:r>
      <w:r>
        <w:t xml:space="preserve"> </w:t>
      </w:r>
      <w:proofErr w:type="gramStart"/>
      <w:r>
        <w:t>BL MS Egerton 2711, fol. 93r.</w:t>
      </w:r>
      <w:proofErr w:type="gramEnd"/>
      <w:r>
        <w:t xml:space="preserve"> </w:t>
      </w:r>
    </w:p>
  </w:footnote>
  <w:footnote w:id="30">
    <w:p w:rsidR="001F6DD3" w:rsidRDefault="001F6DD3" w:rsidP="00656634">
      <w:pPr>
        <w:pStyle w:val="FootnoteText"/>
        <w:spacing w:line="480" w:lineRule="auto"/>
        <w:jc w:val="lowKashida"/>
      </w:pPr>
      <w:r>
        <w:rPr>
          <w:rStyle w:val="FootnoteReference"/>
        </w:rPr>
        <w:footnoteRef/>
      </w:r>
      <w:r>
        <w:t xml:space="preserve"> I am indebted here to Jason Powell’s superlative palaeographical work on Egerton 2711. See in particular </w:t>
      </w:r>
      <w:r w:rsidRPr="002327FB">
        <w:t xml:space="preserve">‘Thomas Wyatt’s Poetry in Embassy: Egerton 2711 and the Production of Literary Manuscripts Abroad’, </w:t>
      </w:r>
      <w:r w:rsidRPr="002327FB">
        <w:rPr>
          <w:i/>
          <w:iCs/>
        </w:rPr>
        <w:t>Huntington Library Quarterly</w:t>
      </w:r>
      <w:r>
        <w:t xml:space="preserve">, 67 (2004), </w:t>
      </w:r>
      <w:r w:rsidRPr="002327FB">
        <w:t>261-82</w:t>
      </w:r>
      <w:r>
        <w:t xml:space="preserve">. </w:t>
      </w:r>
    </w:p>
  </w:footnote>
  <w:footnote w:id="31">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279. </w:t>
      </w:r>
    </w:p>
  </w:footnote>
  <w:footnote w:id="32">
    <w:p w:rsidR="001F6DD3" w:rsidRDefault="001F6DD3" w:rsidP="00656634">
      <w:pPr>
        <w:pStyle w:val="FootnoteText"/>
        <w:spacing w:line="480" w:lineRule="auto"/>
        <w:ind w:left="284" w:hanging="284"/>
        <w:jc w:val="both"/>
      </w:pPr>
      <w:r>
        <w:rPr>
          <w:rStyle w:val="FootnoteReference"/>
        </w:rPr>
        <w:footnoteRef/>
      </w:r>
      <w:r>
        <w:t xml:space="preserve"> Raymond B. Waddington, </w:t>
      </w:r>
      <w:r w:rsidRPr="0065384E">
        <w:rPr>
          <w:rFonts w:eastAsia="Times New Roman"/>
          <w:szCs w:val="24"/>
          <w:lang w:eastAsia="en-GB"/>
        </w:rPr>
        <w:t xml:space="preserve">‘Pietro Aretino, Religious Writer’, </w:t>
      </w:r>
      <w:r w:rsidRPr="0065384E">
        <w:rPr>
          <w:rFonts w:eastAsia="Times New Roman"/>
          <w:i/>
          <w:szCs w:val="24"/>
          <w:lang w:eastAsia="en-GB"/>
        </w:rPr>
        <w:t>Renaissance Studies</w:t>
      </w:r>
      <w:r>
        <w:rPr>
          <w:rFonts w:eastAsia="Times New Roman"/>
          <w:szCs w:val="24"/>
          <w:lang w:eastAsia="en-GB"/>
        </w:rPr>
        <w:t xml:space="preserve">, 20 (2006), </w:t>
      </w:r>
      <w:r w:rsidRPr="0065384E">
        <w:rPr>
          <w:rFonts w:eastAsia="Times New Roman"/>
          <w:szCs w:val="24"/>
          <w:lang w:eastAsia="en-GB"/>
        </w:rPr>
        <w:t>277-92</w:t>
      </w:r>
      <w:r>
        <w:rPr>
          <w:rFonts w:eastAsia="Times New Roman"/>
          <w:szCs w:val="24"/>
          <w:lang w:eastAsia="en-GB"/>
        </w:rPr>
        <w:t xml:space="preserve"> (280).</w:t>
      </w:r>
    </w:p>
  </w:footnote>
  <w:footnote w:id="33">
    <w:p w:rsidR="001F6DD3" w:rsidRDefault="001F6DD3" w:rsidP="00656634">
      <w:pPr>
        <w:pStyle w:val="FootnoteText"/>
        <w:spacing w:line="480" w:lineRule="auto"/>
      </w:pPr>
      <w:r>
        <w:rPr>
          <w:rStyle w:val="FootnoteReference"/>
        </w:rPr>
        <w:footnoteRef/>
      </w:r>
      <w:r>
        <w:t xml:space="preserve"> </w:t>
      </w:r>
      <w:proofErr w:type="gramStart"/>
      <w:r>
        <w:t>Ibid.,</w:t>
      </w:r>
      <w:proofErr w:type="gramEnd"/>
      <w:r>
        <w:t xml:space="preserve"> 288.</w:t>
      </w:r>
    </w:p>
  </w:footnote>
  <w:footnote w:id="34">
    <w:p w:rsidR="001F6DD3" w:rsidRDefault="001F6DD3" w:rsidP="00656634">
      <w:pPr>
        <w:pStyle w:val="FootnoteText"/>
        <w:spacing w:line="480" w:lineRule="auto"/>
      </w:pPr>
      <w:r>
        <w:rPr>
          <w:rStyle w:val="FootnoteReference"/>
        </w:rPr>
        <w:footnoteRef/>
      </w:r>
      <w:r w:rsidRPr="002E2CE2">
        <w:t xml:space="preserve"> </w:t>
      </w:r>
      <w:proofErr w:type="gramStart"/>
      <w:r w:rsidRPr="002E2CE2">
        <w:t>Aretino</w:t>
      </w:r>
      <w:r>
        <w:t>,</w:t>
      </w:r>
      <w:r w:rsidRPr="002E2CE2">
        <w:t xml:space="preserve"> </w:t>
      </w:r>
      <w:proofErr w:type="spellStart"/>
      <w:r w:rsidRPr="002E2CE2">
        <w:rPr>
          <w:i/>
          <w:iCs/>
        </w:rPr>
        <w:t>Lettere</w:t>
      </w:r>
      <w:proofErr w:type="spellEnd"/>
      <w:r w:rsidRPr="002E2CE2">
        <w:t>, I, sig.</w:t>
      </w:r>
      <w:r>
        <w:t xml:space="preserve"> Z1v.</w:t>
      </w:r>
      <w:proofErr w:type="gramEnd"/>
      <w:r>
        <w:t xml:space="preserve"> I have used the six-volume Paris edition of Aretino’s </w:t>
      </w:r>
      <w:proofErr w:type="spellStart"/>
      <w:r w:rsidRPr="002E2CE2">
        <w:rPr>
          <w:i/>
          <w:iCs/>
        </w:rPr>
        <w:t>Lettere</w:t>
      </w:r>
      <w:proofErr w:type="spellEnd"/>
      <w:r>
        <w:t xml:space="preserve"> throughout (Matteo di Maestro, 1608-9), unless stated otherwise. </w:t>
      </w:r>
    </w:p>
  </w:footnote>
  <w:footnote w:id="35">
    <w:p w:rsidR="001F6DD3" w:rsidRDefault="001F6DD3" w:rsidP="00656634">
      <w:pPr>
        <w:pStyle w:val="FootnoteText"/>
        <w:spacing w:line="480" w:lineRule="auto"/>
      </w:pPr>
      <w:r>
        <w:rPr>
          <w:rStyle w:val="FootnoteReference"/>
        </w:rPr>
        <w:footnoteRef/>
      </w:r>
      <w:r>
        <w:t xml:space="preserve"> </w:t>
      </w:r>
      <w:proofErr w:type="gramStart"/>
      <w:r>
        <w:t>Waddington, 288.</w:t>
      </w:r>
      <w:proofErr w:type="gramEnd"/>
      <w:r>
        <w:t xml:space="preserve"> Aretino stresses that belief in Christ is infused in the mind inseparably from those tenets listed by Waddington: ‘</w:t>
      </w:r>
      <w:proofErr w:type="spellStart"/>
      <w:r>
        <w:t>Onde</w:t>
      </w:r>
      <w:proofErr w:type="spellEnd"/>
      <w:r>
        <w:t xml:space="preserve">, chi </w:t>
      </w:r>
      <w:proofErr w:type="spellStart"/>
      <w:r>
        <w:t>crede</w:t>
      </w:r>
      <w:proofErr w:type="spellEnd"/>
      <w:r>
        <w:t xml:space="preserve"> a </w:t>
      </w:r>
      <w:proofErr w:type="spellStart"/>
      <w:r>
        <w:t>Giesu</w:t>
      </w:r>
      <w:proofErr w:type="spellEnd"/>
      <w:r>
        <w:t xml:space="preserve">, da </w:t>
      </w:r>
      <w:proofErr w:type="spellStart"/>
      <w:r>
        <w:t>cosi</w:t>
      </w:r>
      <w:proofErr w:type="spellEnd"/>
      <w:r>
        <w:t xml:space="preserve"> </w:t>
      </w:r>
      <w:proofErr w:type="spellStart"/>
      <w:r>
        <w:t>fatta</w:t>
      </w:r>
      <w:proofErr w:type="spellEnd"/>
      <w:r>
        <w:t xml:space="preserve"> credenza </w:t>
      </w:r>
      <w:proofErr w:type="spellStart"/>
      <w:r>
        <w:t>gli</w:t>
      </w:r>
      <w:proofErr w:type="spellEnd"/>
      <w:r>
        <w:t xml:space="preserve"> è </w:t>
      </w:r>
      <w:proofErr w:type="spellStart"/>
      <w:r>
        <w:t>infuso</w:t>
      </w:r>
      <w:proofErr w:type="spellEnd"/>
      <w:r>
        <w:t xml:space="preserve"> </w:t>
      </w:r>
      <w:proofErr w:type="spellStart"/>
      <w:r>
        <w:t>nell’intelletto</w:t>
      </w:r>
      <w:proofErr w:type="spellEnd"/>
      <w:r>
        <w:t xml:space="preserve"> </w:t>
      </w:r>
      <w:proofErr w:type="spellStart"/>
      <w:r>
        <w:t>il</w:t>
      </w:r>
      <w:proofErr w:type="spellEnd"/>
      <w:r>
        <w:t xml:space="preserve"> </w:t>
      </w:r>
      <w:proofErr w:type="spellStart"/>
      <w:r>
        <w:t>parto</w:t>
      </w:r>
      <w:proofErr w:type="spellEnd"/>
      <w:r>
        <w:t xml:space="preserve"> de la </w:t>
      </w:r>
      <w:proofErr w:type="spellStart"/>
      <w:r>
        <w:t>Vergine</w:t>
      </w:r>
      <w:proofErr w:type="spellEnd"/>
      <w:r>
        <w:t xml:space="preserve">, </w:t>
      </w:r>
      <w:proofErr w:type="spellStart"/>
      <w:r>
        <w:t>l’immortalità</w:t>
      </w:r>
      <w:proofErr w:type="spellEnd"/>
      <w:r>
        <w:t xml:space="preserve"> de </w:t>
      </w:r>
      <w:proofErr w:type="spellStart"/>
      <w:r>
        <w:t>l’anima</w:t>
      </w:r>
      <w:proofErr w:type="spellEnd"/>
      <w:r>
        <w:t xml:space="preserve"> e la </w:t>
      </w:r>
      <w:proofErr w:type="spellStart"/>
      <w:r>
        <w:t>risurression</w:t>
      </w:r>
      <w:proofErr w:type="spellEnd"/>
      <w:r>
        <w:t xml:space="preserve">’ de </w:t>
      </w:r>
      <w:proofErr w:type="spellStart"/>
      <w:r>
        <w:t>i</w:t>
      </w:r>
      <w:proofErr w:type="spellEnd"/>
      <w:r>
        <w:t xml:space="preserve"> </w:t>
      </w:r>
      <w:proofErr w:type="spellStart"/>
      <w:r>
        <w:t>morti</w:t>
      </w:r>
      <w:proofErr w:type="spellEnd"/>
      <w:r>
        <w:t>’ (sig. Z1v).</w:t>
      </w:r>
    </w:p>
  </w:footnote>
  <w:footnote w:id="36">
    <w:p w:rsidR="001F6DD3" w:rsidRDefault="001F6DD3" w:rsidP="00656634">
      <w:pPr>
        <w:pStyle w:val="FootnoteText"/>
        <w:spacing w:line="480" w:lineRule="auto"/>
      </w:pPr>
      <w:r>
        <w:rPr>
          <w:rStyle w:val="FootnoteReference"/>
        </w:rPr>
        <w:footnoteRef/>
      </w:r>
      <w:r>
        <w:t xml:space="preserve"> </w:t>
      </w:r>
      <w:proofErr w:type="spellStart"/>
      <w:proofErr w:type="gramStart"/>
      <w:r>
        <w:t>Lettere</w:t>
      </w:r>
      <w:proofErr w:type="spellEnd"/>
      <w:r>
        <w:t>, I, sig. Z1v.</w:t>
      </w:r>
      <w:proofErr w:type="gramEnd"/>
      <w:r>
        <w:t xml:space="preserve"> </w:t>
      </w:r>
    </w:p>
  </w:footnote>
  <w:footnote w:id="37">
    <w:p w:rsidR="001F6DD3" w:rsidRPr="001F6DD3" w:rsidRDefault="001F6DD3" w:rsidP="00656634">
      <w:pPr>
        <w:pStyle w:val="FootnoteText"/>
        <w:spacing w:line="480" w:lineRule="auto"/>
        <w:jc w:val="both"/>
      </w:pPr>
      <w:r w:rsidRPr="00063991">
        <w:rPr>
          <w:rStyle w:val="FootnoteReference"/>
        </w:rPr>
        <w:footnoteRef/>
      </w:r>
      <w:r w:rsidRPr="001F6DD3">
        <w:t xml:space="preserve"> Fisher, </w:t>
      </w:r>
      <w:proofErr w:type="spellStart"/>
      <w:r w:rsidRPr="001F6DD3">
        <w:rPr>
          <w:i/>
        </w:rPr>
        <w:t>Treatyse</w:t>
      </w:r>
      <w:proofErr w:type="spellEnd"/>
      <w:r w:rsidRPr="001F6DD3">
        <w:t xml:space="preserve">, sigs. </w:t>
      </w:r>
      <w:proofErr w:type="gramStart"/>
      <w:r w:rsidRPr="001F6DD3">
        <w:t>CC2r-CC5r.</w:t>
      </w:r>
      <w:proofErr w:type="gramEnd"/>
      <w:r w:rsidRPr="001F6DD3">
        <w:t xml:space="preserve"> </w:t>
      </w:r>
    </w:p>
  </w:footnote>
  <w:footnote w:id="38">
    <w:p w:rsidR="001F6DD3" w:rsidRDefault="001F6DD3" w:rsidP="00656634">
      <w:pPr>
        <w:pStyle w:val="FootnoteText"/>
        <w:spacing w:line="480" w:lineRule="auto"/>
        <w:jc w:val="lowKashida"/>
      </w:pPr>
      <w:r>
        <w:rPr>
          <w:rStyle w:val="FootnoteReference"/>
        </w:rPr>
        <w:footnoteRef/>
      </w:r>
      <w:r>
        <w:t xml:space="preserve"> It was previously thought that Wyatt was educated at St John’s, another college founded by Beaufort under Fisher’s direction. See </w:t>
      </w:r>
      <w:proofErr w:type="spellStart"/>
      <w:r>
        <w:t>Brigden</w:t>
      </w:r>
      <w:proofErr w:type="spellEnd"/>
      <w:r>
        <w:t xml:space="preserve">, </w:t>
      </w:r>
      <w:r w:rsidRPr="001F6DD3">
        <w:rPr>
          <w:i/>
          <w:iCs/>
        </w:rPr>
        <w:t>Thomas Wyatt</w:t>
      </w:r>
      <w:r>
        <w:t xml:space="preserve">, 88. Unfortunately, there is not the time or space here to provide a detailed account of Wyatt’s use of Fisher’s </w:t>
      </w:r>
      <w:proofErr w:type="spellStart"/>
      <w:r w:rsidRPr="001F6DD3">
        <w:rPr>
          <w:i/>
          <w:iCs/>
        </w:rPr>
        <w:t>Treatyse</w:t>
      </w:r>
      <w:proofErr w:type="spellEnd"/>
      <w:r>
        <w:t xml:space="preserve"> in the Penitential Psalms. </w:t>
      </w:r>
    </w:p>
  </w:footnote>
  <w:footnote w:id="39">
    <w:p w:rsidR="008837E1" w:rsidRPr="008837E1" w:rsidRDefault="008837E1" w:rsidP="00656634">
      <w:pPr>
        <w:pStyle w:val="FootnoteText"/>
        <w:spacing w:line="480" w:lineRule="auto"/>
        <w:rPr>
          <w:lang w:val="it-IT"/>
        </w:rPr>
      </w:pPr>
      <w:r w:rsidRPr="008837E1">
        <w:rPr>
          <w:rStyle w:val="FootnoteReference"/>
        </w:rPr>
        <w:footnoteRef/>
      </w:r>
      <w:r w:rsidRPr="008837E1">
        <w:rPr>
          <w:lang w:val="it-IT"/>
        </w:rPr>
        <w:t xml:space="preserve"> </w:t>
      </w:r>
      <w:r w:rsidRPr="008837E1">
        <w:rPr>
          <w:rFonts w:eastAsia="Calibri"/>
          <w:lang w:val="it-IT"/>
        </w:rPr>
        <w:t xml:space="preserve">Aretino, </w:t>
      </w:r>
      <w:r w:rsidRPr="008837E1">
        <w:rPr>
          <w:rFonts w:eastAsia="Calibri"/>
          <w:i/>
          <w:lang w:val="it-IT"/>
        </w:rPr>
        <w:t>I sette salmi della penitentia di David</w:t>
      </w:r>
      <w:r w:rsidRPr="008837E1">
        <w:rPr>
          <w:rFonts w:eastAsia="Calibri"/>
          <w:lang w:val="it-IT"/>
        </w:rPr>
        <w:t xml:space="preserve"> (Venice: F. Marcolini, 1534), sig. </w:t>
      </w:r>
      <w:r w:rsidRPr="008837E1">
        <w:rPr>
          <w:rFonts w:eastAsia="Calibri"/>
        </w:rPr>
        <w:t>C3</w:t>
      </w:r>
      <w:r>
        <w:rPr>
          <w:rFonts w:eastAsia="Calibri"/>
        </w:rPr>
        <w:t>v</w:t>
      </w:r>
      <w:r w:rsidRPr="008837E1">
        <w:rPr>
          <w:rFonts w:eastAsia="Calibri"/>
        </w:rPr>
        <w:t>.</w:t>
      </w:r>
    </w:p>
  </w:footnote>
  <w:footnote w:id="40">
    <w:p w:rsidR="008837E1" w:rsidRDefault="008837E1" w:rsidP="00656634">
      <w:pPr>
        <w:pStyle w:val="FootnoteText"/>
        <w:spacing w:line="480" w:lineRule="auto"/>
      </w:pPr>
      <w:r>
        <w:rPr>
          <w:rStyle w:val="FootnoteReference"/>
        </w:rPr>
        <w:footnoteRef/>
      </w:r>
      <w:r>
        <w:t xml:space="preserve"> </w:t>
      </w:r>
      <w:proofErr w:type="gramStart"/>
      <w:r>
        <w:t xml:space="preserve">Aretino, </w:t>
      </w:r>
      <w:r w:rsidRPr="008837E1">
        <w:rPr>
          <w:i/>
          <w:iCs/>
        </w:rPr>
        <w:t xml:space="preserve">I </w:t>
      </w:r>
      <w:proofErr w:type="spellStart"/>
      <w:r w:rsidRPr="008837E1">
        <w:rPr>
          <w:i/>
          <w:iCs/>
        </w:rPr>
        <w:t>sette</w:t>
      </w:r>
      <w:proofErr w:type="spellEnd"/>
      <w:r w:rsidRPr="008837E1">
        <w:rPr>
          <w:i/>
          <w:iCs/>
        </w:rPr>
        <w:t xml:space="preserve"> </w:t>
      </w:r>
      <w:proofErr w:type="spellStart"/>
      <w:r w:rsidRPr="008837E1">
        <w:rPr>
          <w:i/>
          <w:iCs/>
        </w:rPr>
        <w:t>salmi</w:t>
      </w:r>
      <w:proofErr w:type="spellEnd"/>
      <w:r>
        <w:t>, sig. H1r.</w:t>
      </w:r>
      <w:proofErr w:type="gramEnd"/>
    </w:p>
  </w:footnote>
  <w:footnote w:id="41">
    <w:p w:rsidR="00CB13F9" w:rsidRDefault="00CB13F9" w:rsidP="00656634">
      <w:pPr>
        <w:pStyle w:val="FootnoteText"/>
        <w:spacing w:line="480" w:lineRule="auto"/>
      </w:pPr>
      <w:r>
        <w:rPr>
          <w:rStyle w:val="FootnoteReference"/>
        </w:rPr>
        <w:footnoteRef/>
      </w:r>
      <w:r>
        <w:t xml:space="preserve"> </w:t>
      </w:r>
      <w:proofErr w:type="gramStart"/>
      <w:r>
        <w:t>Ibid.,</w:t>
      </w:r>
      <w:proofErr w:type="gramEnd"/>
      <w:r>
        <w:t xml:space="preserve"> sigs. </w:t>
      </w:r>
      <w:proofErr w:type="gramStart"/>
      <w:r>
        <w:t>H1v-H2r.</w:t>
      </w:r>
      <w:proofErr w:type="gramEnd"/>
      <w:r>
        <w:t xml:space="preserve"> </w:t>
      </w:r>
    </w:p>
  </w:footnote>
  <w:footnote w:id="42">
    <w:p w:rsidR="008C7E9C" w:rsidRDefault="008C7E9C" w:rsidP="00656634">
      <w:pPr>
        <w:pStyle w:val="FootnoteText"/>
        <w:spacing w:line="480" w:lineRule="auto"/>
      </w:pPr>
      <w:r>
        <w:rPr>
          <w:rStyle w:val="FootnoteReference"/>
        </w:rPr>
        <w:footnoteRef/>
      </w:r>
      <w:r>
        <w:t xml:space="preserve"> </w:t>
      </w:r>
      <w:proofErr w:type="spellStart"/>
      <w:proofErr w:type="gramStart"/>
      <w:r w:rsidRPr="008C7E9C">
        <w:rPr>
          <w:i/>
          <w:iCs/>
        </w:rPr>
        <w:t>Instit</w:t>
      </w:r>
      <w:r w:rsidR="00367A55">
        <w:rPr>
          <w:i/>
          <w:iCs/>
        </w:rPr>
        <w:t>v</w:t>
      </w:r>
      <w:r w:rsidRPr="008C7E9C">
        <w:rPr>
          <w:i/>
          <w:iCs/>
        </w:rPr>
        <w:t>tion</w:t>
      </w:r>
      <w:proofErr w:type="spellEnd"/>
      <w:r>
        <w:t>, sig. D1r-v.</w:t>
      </w:r>
      <w:proofErr w:type="gramEnd"/>
      <w:r>
        <w:t xml:space="preserve"> </w:t>
      </w:r>
    </w:p>
  </w:footnote>
  <w:footnote w:id="43">
    <w:p w:rsidR="008C7E9C" w:rsidRPr="002C492F" w:rsidRDefault="008C7E9C" w:rsidP="00656634">
      <w:pPr>
        <w:pStyle w:val="FootnoteText"/>
        <w:spacing w:line="480" w:lineRule="auto"/>
        <w:jc w:val="both"/>
        <w:rPr>
          <w:rFonts w:eastAsia="Calibri"/>
          <w:lang w:val="it-IT"/>
        </w:rPr>
      </w:pPr>
      <w:r>
        <w:rPr>
          <w:rStyle w:val="FootnoteReference"/>
        </w:rPr>
        <w:footnoteRef/>
      </w:r>
      <w:r w:rsidRPr="008C7E9C">
        <w:rPr>
          <w:lang w:val="it-IT"/>
        </w:rPr>
        <w:t xml:space="preserve"> </w:t>
      </w:r>
      <w:r w:rsidRPr="008C7E9C">
        <w:rPr>
          <w:rFonts w:eastAsia="Calibri"/>
          <w:lang w:val="it-IT"/>
        </w:rPr>
        <w:t xml:space="preserve">Antonio Brucioli, </w:t>
      </w:r>
      <w:r w:rsidRPr="008C7E9C">
        <w:rPr>
          <w:rFonts w:eastAsia="Calibri"/>
          <w:i/>
          <w:lang w:val="it-IT"/>
        </w:rPr>
        <w:t>I sacri psalmi di David</w:t>
      </w:r>
      <w:r w:rsidRPr="008C7E9C">
        <w:rPr>
          <w:rFonts w:eastAsia="Calibri"/>
          <w:lang w:val="it-IT"/>
        </w:rPr>
        <w:t xml:space="preserve"> (Venice: A. Pinzi, 1534), sig. </w:t>
      </w:r>
      <w:r w:rsidRPr="002C492F">
        <w:rPr>
          <w:rFonts w:eastAsia="Calibri"/>
          <w:lang w:val="it-IT"/>
        </w:rPr>
        <w:t>II1</w:t>
      </w:r>
      <w:r w:rsidRPr="002C492F">
        <w:rPr>
          <w:rFonts w:eastAsia="Calibri"/>
          <w:lang w:val="it-IT"/>
        </w:rPr>
        <w:t>v</w:t>
      </w:r>
      <w:r w:rsidRPr="002C492F">
        <w:rPr>
          <w:rFonts w:eastAsia="Calibri"/>
          <w:lang w:val="it-IT"/>
        </w:rPr>
        <w:t xml:space="preserve">. </w:t>
      </w:r>
    </w:p>
  </w:footnote>
  <w:footnote w:id="44">
    <w:p w:rsidR="008C7E9C" w:rsidRPr="002C492F" w:rsidRDefault="008C7E9C" w:rsidP="00656634">
      <w:pPr>
        <w:pStyle w:val="FootnoteText"/>
        <w:spacing w:line="480" w:lineRule="auto"/>
        <w:rPr>
          <w:lang w:val="it-IT"/>
        </w:rPr>
      </w:pPr>
      <w:r>
        <w:rPr>
          <w:rStyle w:val="FootnoteReference"/>
        </w:rPr>
        <w:footnoteRef/>
      </w:r>
      <w:r w:rsidRPr="002C492F">
        <w:rPr>
          <w:lang w:val="it-IT"/>
        </w:rPr>
        <w:t xml:space="preserve"> </w:t>
      </w:r>
      <w:r w:rsidRPr="002C492F">
        <w:rPr>
          <w:lang w:val="it-IT"/>
        </w:rPr>
        <w:t xml:space="preserve">Brucioli, </w:t>
      </w:r>
      <w:r w:rsidRPr="002C492F">
        <w:rPr>
          <w:i/>
          <w:iCs/>
          <w:lang w:val="it-IT"/>
        </w:rPr>
        <w:t>sacri psalmi</w:t>
      </w:r>
      <w:r w:rsidRPr="002C492F">
        <w:rPr>
          <w:lang w:val="it-IT"/>
        </w:rPr>
        <w:t>, sigs.</w:t>
      </w:r>
      <w:r w:rsidRPr="008C7E9C">
        <w:rPr>
          <w:rFonts w:eastAsia="Calibri"/>
          <w:lang w:val="it-IT"/>
        </w:rPr>
        <w:t xml:space="preserve"> X1</w:t>
      </w:r>
      <w:r>
        <w:rPr>
          <w:rFonts w:eastAsia="Calibri"/>
          <w:lang w:val="it-IT"/>
        </w:rPr>
        <w:t>r-v.</w:t>
      </w:r>
    </w:p>
  </w:footnote>
  <w:footnote w:id="45">
    <w:p w:rsidR="002C492F" w:rsidRPr="002C492F" w:rsidRDefault="002C492F" w:rsidP="00656634">
      <w:pPr>
        <w:pStyle w:val="FootnoteText"/>
        <w:spacing w:line="480" w:lineRule="auto"/>
        <w:jc w:val="both"/>
        <w:rPr>
          <w:lang w:val="it-IT"/>
        </w:rPr>
      </w:pPr>
      <w:r>
        <w:rPr>
          <w:rStyle w:val="FootnoteReference"/>
        </w:rPr>
        <w:footnoteRef/>
      </w:r>
      <w:r w:rsidRPr="002C492F">
        <w:rPr>
          <w:lang w:val="it-IT"/>
        </w:rPr>
        <w:t xml:space="preserve"> </w:t>
      </w:r>
      <w:r w:rsidRPr="002C492F">
        <w:rPr>
          <w:lang w:val="it-IT"/>
        </w:rPr>
        <w:t>Brucioli,</w:t>
      </w:r>
      <w:r>
        <w:rPr>
          <w:lang w:val="it-IT"/>
        </w:rPr>
        <w:t xml:space="preserve"> </w:t>
      </w:r>
      <w:r w:rsidRPr="002C492F">
        <w:rPr>
          <w:i/>
          <w:iCs/>
          <w:lang w:val="it-IT"/>
        </w:rPr>
        <w:t>sacri psalmi</w:t>
      </w:r>
      <w:r>
        <w:rPr>
          <w:lang w:val="it-IT"/>
        </w:rPr>
        <w:t xml:space="preserve">, </w:t>
      </w:r>
      <w:r w:rsidRPr="002C492F">
        <w:rPr>
          <w:lang w:val="it-IT"/>
        </w:rPr>
        <w:t>sig. E2</w:t>
      </w:r>
      <w:r>
        <w:rPr>
          <w:lang w:val="it-IT"/>
        </w:rPr>
        <w:t>r</w:t>
      </w:r>
      <w:r w:rsidRPr="002C492F">
        <w:rPr>
          <w:lang w:val="it-IT"/>
        </w:rPr>
        <w:t xml:space="preserve">. </w:t>
      </w:r>
    </w:p>
  </w:footnote>
  <w:footnote w:id="46">
    <w:p w:rsidR="008C7E9C" w:rsidRDefault="008C7E9C" w:rsidP="00656634">
      <w:pPr>
        <w:pStyle w:val="FootnoteText"/>
        <w:spacing w:line="480" w:lineRule="auto"/>
      </w:pPr>
      <w:r>
        <w:rPr>
          <w:rStyle w:val="FootnoteReference"/>
        </w:rPr>
        <w:footnoteRef/>
      </w:r>
      <w:r>
        <w:t xml:space="preserve"> </w:t>
      </w:r>
      <w:proofErr w:type="gramStart"/>
      <w:r w:rsidR="002C492F" w:rsidRPr="00063991">
        <w:t>Ibid.,</w:t>
      </w:r>
      <w:proofErr w:type="gramEnd"/>
      <w:r w:rsidR="002C492F" w:rsidRPr="00063991">
        <w:t xml:space="preserve"> </w:t>
      </w:r>
      <w:r w:rsidR="002C492F">
        <w:t>sig.</w:t>
      </w:r>
      <w:r w:rsidR="002C492F" w:rsidRPr="00063991">
        <w:t xml:space="preserve"> XXX3</w:t>
      </w:r>
      <w:r w:rsidR="002C492F">
        <w:t xml:space="preserve">r, </w:t>
      </w:r>
      <w:r w:rsidR="002C492F" w:rsidRPr="00063991">
        <w:t xml:space="preserve"> and Aretino, </w:t>
      </w:r>
      <w:r w:rsidR="002C492F" w:rsidRPr="002C492F">
        <w:rPr>
          <w:i/>
          <w:iCs/>
        </w:rPr>
        <w:t xml:space="preserve">I </w:t>
      </w:r>
      <w:proofErr w:type="spellStart"/>
      <w:r w:rsidR="002C492F" w:rsidRPr="002C492F">
        <w:rPr>
          <w:i/>
          <w:iCs/>
        </w:rPr>
        <w:t>sette</w:t>
      </w:r>
      <w:proofErr w:type="spellEnd"/>
      <w:r w:rsidR="002C492F" w:rsidRPr="002C492F">
        <w:rPr>
          <w:i/>
          <w:iCs/>
        </w:rPr>
        <w:t xml:space="preserve"> </w:t>
      </w:r>
      <w:proofErr w:type="spellStart"/>
      <w:r w:rsidR="002C492F" w:rsidRPr="002C492F">
        <w:rPr>
          <w:i/>
          <w:iCs/>
        </w:rPr>
        <w:t>salmi</w:t>
      </w:r>
      <w:proofErr w:type="spellEnd"/>
      <w:r w:rsidR="002C492F">
        <w:t xml:space="preserve">, </w:t>
      </w:r>
      <w:r w:rsidR="002C492F">
        <w:t>sig.</w:t>
      </w:r>
      <w:r w:rsidR="002C492F" w:rsidRPr="00063991">
        <w:t xml:space="preserve"> L1</w:t>
      </w:r>
      <w:r w:rsidR="002C492F">
        <w:t>v</w:t>
      </w:r>
      <w:r w:rsidR="002C492F" w:rsidRPr="00063991">
        <w:t>, respectively</w:t>
      </w:r>
      <w:r w:rsidR="002C492F">
        <w:t xml:space="preserve">. </w:t>
      </w:r>
    </w:p>
  </w:footnote>
  <w:footnote w:id="47">
    <w:p w:rsidR="008D0262" w:rsidRDefault="008D0262" w:rsidP="00656634">
      <w:pPr>
        <w:pStyle w:val="FootnoteText"/>
        <w:spacing w:line="480" w:lineRule="auto"/>
      </w:pPr>
      <w:r>
        <w:rPr>
          <w:rStyle w:val="FootnoteReference"/>
        </w:rPr>
        <w:footnoteRef/>
      </w:r>
      <w:r>
        <w:t xml:space="preserve"> </w:t>
      </w:r>
      <w:proofErr w:type="gramStart"/>
      <w:r>
        <w:t>MT, 377.</w:t>
      </w:r>
      <w:proofErr w:type="gramEnd"/>
      <w:r>
        <w:t xml:space="preserve"> </w:t>
      </w:r>
    </w:p>
  </w:footnote>
  <w:footnote w:id="48">
    <w:p w:rsidR="00646ECA" w:rsidRDefault="00646ECA" w:rsidP="00656634">
      <w:pPr>
        <w:pStyle w:val="FootnoteText"/>
        <w:spacing w:line="480" w:lineRule="auto"/>
      </w:pPr>
      <w:r>
        <w:rPr>
          <w:rStyle w:val="FootnoteReference"/>
        </w:rPr>
        <w:footnoteRef/>
      </w:r>
      <w:r>
        <w:t xml:space="preserve"> </w:t>
      </w:r>
      <w:proofErr w:type="spellStart"/>
      <w:proofErr w:type="gramStart"/>
      <w:r>
        <w:t>Brucioli</w:t>
      </w:r>
      <w:proofErr w:type="spellEnd"/>
      <w:r>
        <w:t xml:space="preserve">, </w:t>
      </w:r>
      <w:proofErr w:type="spellStart"/>
      <w:r w:rsidRPr="00646ECA">
        <w:rPr>
          <w:i/>
          <w:iCs/>
        </w:rPr>
        <w:t>sacri</w:t>
      </w:r>
      <w:proofErr w:type="spellEnd"/>
      <w:r w:rsidRPr="00646ECA">
        <w:rPr>
          <w:i/>
          <w:iCs/>
        </w:rPr>
        <w:t xml:space="preserve"> </w:t>
      </w:r>
      <w:proofErr w:type="spellStart"/>
      <w:r w:rsidRPr="00646ECA">
        <w:rPr>
          <w:i/>
          <w:iCs/>
        </w:rPr>
        <w:t>psalmi</w:t>
      </w:r>
      <w:proofErr w:type="spellEnd"/>
      <w:r>
        <w:t>, sig. HH4v.</w:t>
      </w:r>
      <w:proofErr w:type="gramEnd"/>
      <w:r>
        <w:t xml:space="preserve"> </w:t>
      </w:r>
    </w:p>
  </w:footnote>
  <w:footnote w:id="49">
    <w:p w:rsidR="00646ECA" w:rsidRDefault="00646ECA" w:rsidP="00656634">
      <w:pPr>
        <w:pStyle w:val="FootnoteText"/>
        <w:spacing w:line="480" w:lineRule="auto"/>
      </w:pPr>
      <w:r>
        <w:rPr>
          <w:rStyle w:val="FootnoteReference"/>
        </w:rPr>
        <w:footnoteRef/>
      </w:r>
      <w:r>
        <w:t xml:space="preserve"> </w:t>
      </w:r>
      <w:proofErr w:type="gramStart"/>
      <w:r>
        <w:t>Ibid.,</w:t>
      </w:r>
      <w:proofErr w:type="gramEnd"/>
      <w:r>
        <w:t xml:space="preserve"> sig. HH3v. </w:t>
      </w:r>
    </w:p>
  </w:footnote>
  <w:footnote w:id="50">
    <w:p w:rsidR="00646ECA" w:rsidRDefault="00646ECA" w:rsidP="00656634">
      <w:pPr>
        <w:pStyle w:val="FootnoteText"/>
        <w:spacing w:line="480" w:lineRule="auto"/>
        <w:jc w:val="lowKashida"/>
      </w:pPr>
      <w:r>
        <w:rPr>
          <w:rStyle w:val="FootnoteReference"/>
        </w:rPr>
        <w:footnoteRef/>
      </w:r>
      <w:r>
        <w:t xml:space="preserve"> I discuss Aretino’s correspondence </w:t>
      </w:r>
      <w:r>
        <w:t>with the English court and its representatives in a forthcoming study</w:t>
      </w:r>
      <w:r>
        <w:t xml:space="preserve">. </w:t>
      </w:r>
    </w:p>
  </w:footnote>
  <w:footnote w:id="51">
    <w:p w:rsidR="00367A55" w:rsidRDefault="00367A55" w:rsidP="00656634">
      <w:pPr>
        <w:pStyle w:val="FootnoteText"/>
        <w:spacing w:line="480" w:lineRule="auto"/>
      </w:pPr>
      <w:r>
        <w:rPr>
          <w:rStyle w:val="FootnoteReference"/>
        </w:rPr>
        <w:footnoteRef/>
      </w:r>
      <w:r>
        <w:t xml:space="preserve"> </w:t>
      </w:r>
      <w:proofErr w:type="spellStart"/>
      <w:proofErr w:type="gramStart"/>
      <w:r w:rsidRPr="00367A55">
        <w:rPr>
          <w:i/>
          <w:iCs/>
        </w:rPr>
        <w:t>Institvtion</w:t>
      </w:r>
      <w:proofErr w:type="spellEnd"/>
      <w:r>
        <w:t>, sigs.</w:t>
      </w:r>
      <w:proofErr w:type="gramEnd"/>
      <w:r>
        <w:t xml:space="preserve"> </w:t>
      </w:r>
      <w:proofErr w:type="gramStart"/>
      <w:r>
        <w:t>D2v-D3r.</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AA7"/>
    <w:multiLevelType w:val="hybridMultilevel"/>
    <w:tmpl w:val="B7746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D8F073B"/>
    <w:multiLevelType w:val="hybridMultilevel"/>
    <w:tmpl w:val="2506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46"/>
    <w:rsid w:val="00021D3B"/>
    <w:rsid w:val="0005798A"/>
    <w:rsid w:val="000628BC"/>
    <w:rsid w:val="00063CFD"/>
    <w:rsid w:val="00086E74"/>
    <w:rsid w:val="000F4C07"/>
    <w:rsid w:val="000F5902"/>
    <w:rsid w:val="00154B9B"/>
    <w:rsid w:val="001716B2"/>
    <w:rsid w:val="001A5CBA"/>
    <w:rsid w:val="001C34B7"/>
    <w:rsid w:val="001F514B"/>
    <w:rsid w:val="001F6B0E"/>
    <w:rsid w:val="001F6DD3"/>
    <w:rsid w:val="0023092C"/>
    <w:rsid w:val="002327FB"/>
    <w:rsid w:val="00277AB7"/>
    <w:rsid w:val="002B2481"/>
    <w:rsid w:val="002C492F"/>
    <w:rsid w:val="002E2CE2"/>
    <w:rsid w:val="0031372F"/>
    <w:rsid w:val="00317F73"/>
    <w:rsid w:val="0032467D"/>
    <w:rsid w:val="00363128"/>
    <w:rsid w:val="00367A55"/>
    <w:rsid w:val="003B0692"/>
    <w:rsid w:val="003C3275"/>
    <w:rsid w:val="003D46A9"/>
    <w:rsid w:val="00403BA7"/>
    <w:rsid w:val="00415365"/>
    <w:rsid w:val="00417809"/>
    <w:rsid w:val="00462F2B"/>
    <w:rsid w:val="00463046"/>
    <w:rsid w:val="00470F66"/>
    <w:rsid w:val="00482725"/>
    <w:rsid w:val="004850EE"/>
    <w:rsid w:val="004B67E8"/>
    <w:rsid w:val="00526A91"/>
    <w:rsid w:val="005661A1"/>
    <w:rsid w:val="005B3613"/>
    <w:rsid w:val="005C262A"/>
    <w:rsid w:val="005D36E6"/>
    <w:rsid w:val="00646ECA"/>
    <w:rsid w:val="00651E4A"/>
    <w:rsid w:val="0065384E"/>
    <w:rsid w:val="00656634"/>
    <w:rsid w:val="00672CB0"/>
    <w:rsid w:val="006A4845"/>
    <w:rsid w:val="006B0D48"/>
    <w:rsid w:val="00742585"/>
    <w:rsid w:val="00747246"/>
    <w:rsid w:val="00750D5B"/>
    <w:rsid w:val="007537E4"/>
    <w:rsid w:val="00763B21"/>
    <w:rsid w:val="007A0969"/>
    <w:rsid w:val="007A7518"/>
    <w:rsid w:val="00812541"/>
    <w:rsid w:val="0082745B"/>
    <w:rsid w:val="008837E1"/>
    <w:rsid w:val="008C7E9C"/>
    <w:rsid w:val="008D0262"/>
    <w:rsid w:val="00900080"/>
    <w:rsid w:val="00933E07"/>
    <w:rsid w:val="00937A07"/>
    <w:rsid w:val="00975014"/>
    <w:rsid w:val="0099652D"/>
    <w:rsid w:val="00A04425"/>
    <w:rsid w:val="00A056D0"/>
    <w:rsid w:val="00A462D5"/>
    <w:rsid w:val="00A60E7E"/>
    <w:rsid w:val="00A6220E"/>
    <w:rsid w:val="00A6351B"/>
    <w:rsid w:val="00A6553D"/>
    <w:rsid w:val="00A70EFA"/>
    <w:rsid w:val="00A76483"/>
    <w:rsid w:val="00A92DDC"/>
    <w:rsid w:val="00B55012"/>
    <w:rsid w:val="00B60E85"/>
    <w:rsid w:val="00BA7318"/>
    <w:rsid w:val="00BC26C7"/>
    <w:rsid w:val="00BC36C2"/>
    <w:rsid w:val="00C57FDB"/>
    <w:rsid w:val="00C7563C"/>
    <w:rsid w:val="00C80CFC"/>
    <w:rsid w:val="00C86F62"/>
    <w:rsid w:val="00C96B0E"/>
    <w:rsid w:val="00CB13F9"/>
    <w:rsid w:val="00CD2A15"/>
    <w:rsid w:val="00CD4489"/>
    <w:rsid w:val="00CE0E56"/>
    <w:rsid w:val="00D22E63"/>
    <w:rsid w:val="00D37CCE"/>
    <w:rsid w:val="00D5052C"/>
    <w:rsid w:val="00D62BB2"/>
    <w:rsid w:val="00DD2E62"/>
    <w:rsid w:val="00DF1711"/>
    <w:rsid w:val="00E36661"/>
    <w:rsid w:val="00E54AD9"/>
    <w:rsid w:val="00E75CD2"/>
    <w:rsid w:val="00E95C10"/>
    <w:rsid w:val="00EA4B85"/>
    <w:rsid w:val="00EB275B"/>
    <w:rsid w:val="00EB5823"/>
    <w:rsid w:val="00F418C4"/>
    <w:rsid w:val="00FC2074"/>
    <w:rsid w:val="00FD4911"/>
    <w:rsid w:val="00FE4AFD"/>
    <w:rsid w:val="00FE7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46"/>
    <w:rPr>
      <w:rFonts w:cs="Times New Roman"/>
      <w:sz w:val="24"/>
    </w:rPr>
  </w:style>
  <w:style w:type="paragraph" w:styleId="Footer">
    <w:name w:val="footer"/>
    <w:basedOn w:val="Normal"/>
    <w:link w:val="FooterChar"/>
    <w:uiPriority w:val="99"/>
    <w:unhideWhenUsed/>
    <w:rsid w:val="00463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46"/>
    <w:rPr>
      <w:rFonts w:cs="Times New Roman"/>
      <w:sz w:val="24"/>
    </w:rPr>
  </w:style>
  <w:style w:type="paragraph" w:styleId="BalloonText">
    <w:name w:val="Balloon Text"/>
    <w:basedOn w:val="Normal"/>
    <w:link w:val="BalloonTextChar"/>
    <w:uiPriority w:val="99"/>
    <w:semiHidden/>
    <w:unhideWhenUsed/>
    <w:rsid w:val="0046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46"/>
    <w:rPr>
      <w:rFonts w:ascii="Tahoma" w:hAnsi="Tahoma" w:cs="Tahoma"/>
      <w:sz w:val="16"/>
      <w:szCs w:val="16"/>
    </w:rPr>
  </w:style>
  <w:style w:type="paragraph" w:styleId="FootnoteText">
    <w:name w:val="footnote text"/>
    <w:basedOn w:val="Normal"/>
    <w:link w:val="FootnoteTextChar"/>
    <w:uiPriority w:val="99"/>
    <w:unhideWhenUsed/>
    <w:rsid w:val="00C57FDB"/>
    <w:pPr>
      <w:spacing w:after="0" w:line="240" w:lineRule="auto"/>
    </w:pPr>
    <w:rPr>
      <w:sz w:val="20"/>
    </w:rPr>
  </w:style>
  <w:style w:type="character" w:customStyle="1" w:styleId="FootnoteTextChar">
    <w:name w:val="Footnote Text Char"/>
    <w:basedOn w:val="DefaultParagraphFont"/>
    <w:link w:val="FootnoteText"/>
    <w:uiPriority w:val="99"/>
    <w:rsid w:val="00C57FDB"/>
    <w:rPr>
      <w:rFonts w:cs="Times New Roman"/>
    </w:rPr>
  </w:style>
  <w:style w:type="character" w:styleId="FootnoteReference">
    <w:name w:val="footnote reference"/>
    <w:basedOn w:val="DefaultParagraphFont"/>
    <w:uiPriority w:val="99"/>
    <w:semiHidden/>
    <w:unhideWhenUsed/>
    <w:rsid w:val="00C57FDB"/>
    <w:rPr>
      <w:vertAlign w:val="superscript"/>
    </w:rPr>
  </w:style>
  <w:style w:type="paragraph" w:styleId="ListParagraph">
    <w:name w:val="List Paragraph"/>
    <w:basedOn w:val="Normal"/>
    <w:uiPriority w:val="34"/>
    <w:qFormat/>
    <w:rsid w:val="00277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46"/>
    <w:rPr>
      <w:rFonts w:cs="Times New Roman"/>
      <w:sz w:val="24"/>
    </w:rPr>
  </w:style>
  <w:style w:type="paragraph" w:styleId="Footer">
    <w:name w:val="footer"/>
    <w:basedOn w:val="Normal"/>
    <w:link w:val="FooterChar"/>
    <w:uiPriority w:val="99"/>
    <w:unhideWhenUsed/>
    <w:rsid w:val="00463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46"/>
    <w:rPr>
      <w:rFonts w:cs="Times New Roman"/>
      <w:sz w:val="24"/>
    </w:rPr>
  </w:style>
  <w:style w:type="paragraph" w:styleId="BalloonText">
    <w:name w:val="Balloon Text"/>
    <w:basedOn w:val="Normal"/>
    <w:link w:val="BalloonTextChar"/>
    <w:uiPriority w:val="99"/>
    <w:semiHidden/>
    <w:unhideWhenUsed/>
    <w:rsid w:val="0046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46"/>
    <w:rPr>
      <w:rFonts w:ascii="Tahoma" w:hAnsi="Tahoma" w:cs="Tahoma"/>
      <w:sz w:val="16"/>
      <w:szCs w:val="16"/>
    </w:rPr>
  </w:style>
  <w:style w:type="paragraph" w:styleId="FootnoteText">
    <w:name w:val="footnote text"/>
    <w:basedOn w:val="Normal"/>
    <w:link w:val="FootnoteTextChar"/>
    <w:uiPriority w:val="99"/>
    <w:unhideWhenUsed/>
    <w:rsid w:val="00C57FDB"/>
    <w:pPr>
      <w:spacing w:after="0" w:line="240" w:lineRule="auto"/>
    </w:pPr>
    <w:rPr>
      <w:sz w:val="20"/>
    </w:rPr>
  </w:style>
  <w:style w:type="character" w:customStyle="1" w:styleId="FootnoteTextChar">
    <w:name w:val="Footnote Text Char"/>
    <w:basedOn w:val="DefaultParagraphFont"/>
    <w:link w:val="FootnoteText"/>
    <w:uiPriority w:val="99"/>
    <w:rsid w:val="00C57FDB"/>
    <w:rPr>
      <w:rFonts w:cs="Times New Roman"/>
    </w:rPr>
  </w:style>
  <w:style w:type="character" w:styleId="FootnoteReference">
    <w:name w:val="footnote reference"/>
    <w:basedOn w:val="DefaultParagraphFont"/>
    <w:uiPriority w:val="99"/>
    <w:semiHidden/>
    <w:unhideWhenUsed/>
    <w:rsid w:val="00C57FDB"/>
    <w:rPr>
      <w:vertAlign w:val="superscript"/>
    </w:rPr>
  </w:style>
  <w:style w:type="paragraph" w:styleId="ListParagraph">
    <w:name w:val="List Paragraph"/>
    <w:basedOn w:val="Normal"/>
    <w:uiPriority w:val="34"/>
    <w:qFormat/>
    <w:rsid w:val="0027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78204A7-DD23-412B-A25F-6815CA12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8FD1207D</Template>
  <TotalTime>354</TotalTime>
  <Pages>24</Pages>
  <Words>6954</Words>
  <Characters>35260</Characters>
  <Application>Microsoft Office Word</Application>
  <DocSecurity>0</DocSecurity>
  <Lines>568</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rossitw</dc:creator>
  <cp:lastModifiedBy>William Rossiter (LDC)</cp:lastModifiedBy>
  <cp:revision>4</cp:revision>
  <cp:lastPrinted>2014-07-30T16:27:00Z</cp:lastPrinted>
  <dcterms:created xsi:type="dcterms:W3CDTF">2014-07-30T09:26:00Z</dcterms:created>
  <dcterms:modified xsi:type="dcterms:W3CDTF">2014-07-30T16:28:00Z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-773179349</vt:i4>
  </property>
  <property fmtid="{D5CDD505-2E9C-101B-9397-08002B2CF9AE}" pid="3" name="_NewReviewCycle">
    <vt:lpwstr/>
  </property>
  <property fmtid="{D5CDD505-2E9C-101B-9397-08002B2CF9AE}" pid="4" name="_EmailSubject">
    <vt:lpwstr/>
  </property>
  <property fmtid="{D5CDD505-2E9C-101B-9397-08002B2CF9AE}" pid="5" name="_AuthorEmail">
    <vt:lpwstr>W.Rossiter@uea.ac.uk</vt:lpwstr>
  </property>
  <property fmtid="{D5CDD505-2E9C-101B-9397-08002B2CF9AE}" pid="6" name="_AuthorEmailDisplayName">
    <vt:lpwstr>William Rossiter (LDC)</vt:lpwstr>
  </property>
</Properties>
</file>