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333" w:rsidRPr="005C5563" w:rsidRDefault="00C51333" w:rsidP="005C5563">
      <w:pPr>
        <w:jc w:val="center"/>
        <w:rPr>
          <w:i/>
        </w:rPr>
      </w:pPr>
      <w:bookmarkStart w:id="0" w:name="_GoBack"/>
      <w:bookmarkEnd w:id="0"/>
      <w:r w:rsidRPr="005C5563">
        <w:rPr>
          <w:rStyle w:val="Heading1Char"/>
          <w:color w:val="auto"/>
        </w:rPr>
        <w:t>Factors Associated With Non-Adherence to Oral Medication for Inflammatory Bowel Disease: A</w:t>
      </w:r>
      <w:r w:rsidRPr="005C5563">
        <w:t xml:space="preserve"> </w:t>
      </w:r>
      <w:r w:rsidRPr="005C5563">
        <w:rPr>
          <w:rStyle w:val="Heading1Char"/>
          <w:color w:val="auto"/>
        </w:rPr>
        <w:t>Systematic Review of the Literature 1980 – 2013</w:t>
      </w:r>
    </w:p>
    <w:p w:rsidR="00941289" w:rsidRPr="00394B27" w:rsidRDefault="00941289" w:rsidP="00394B27">
      <w:pPr>
        <w:rPr>
          <w:rFonts w:asciiTheme="majorHAnsi" w:hAnsiTheme="majorHAnsi"/>
          <w:b/>
          <w:sz w:val="26"/>
          <w:szCs w:val="26"/>
        </w:rPr>
      </w:pPr>
      <w:r w:rsidRPr="00394B27">
        <w:rPr>
          <w:rFonts w:asciiTheme="majorHAnsi" w:hAnsiTheme="majorHAnsi"/>
          <w:b/>
          <w:sz w:val="26"/>
          <w:szCs w:val="26"/>
        </w:rPr>
        <w:t>Authors</w:t>
      </w:r>
    </w:p>
    <w:p w:rsidR="00941289" w:rsidRPr="00394B27" w:rsidRDefault="00941289" w:rsidP="00941289">
      <w:pPr>
        <w:rPr>
          <w:vertAlign w:val="superscript"/>
        </w:rPr>
      </w:pPr>
      <w:r>
        <w:t>Adam Peel</w:t>
      </w:r>
      <w:r w:rsidR="00D97A6F">
        <w:t xml:space="preserve"> BSc</w:t>
      </w:r>
      <w:r>
        <w:t>, Gabrielle Thorpe</w:t>
      </w:r>
      <w:r w:rsidR="00D97A6F">
        <w:t xml:space="preserve"> PhD</w:t>
      </w:r>
      <w:r>
        <w:t>, Katherine Helen O</w:t>
      </w:r>
      <w:r w:rsidR="00E837A9">
        <w:t xml:space="preserve">’Leary </w:t>
      </w:r>
      <w:r>
        <w:t>Dean</w:t>
      </w:r>
      <w:r w:rsidR="00394B27">
        <w:t>e</w:t>
      </w:r>
      <w:r w:rsidR="00D97A6F">
        <w:t xml:space="preserve"> PhD</w:t>
      </w:r>
    </w:p>
    <w:p w:rsidR="00E837A9" w:rsidRDefault="00E837A9" w:rsidP="00941289">
      <w:pPr>
        <w:rPr>
          <w:rFonts w:cs="AdvOTb92eb7df.I"/>
          <w:sz w:val="18"/>
          <w:szCs w:val="18"/>
        </w:rPr>
      </w:pPr>
      <w:r w:rsidRPr="00394B27">
        <w:rPr>
          <w:rFonts w:cs="AdvOTb92eb7df.I"/>
          <w:sz w:val="18"/>
          <w:szCs w:val="18"/>
        </w:rPr>
        <w:t>Faculty of Medicine and Health Sciences, University of East Anglia, Norwich Research Park, Norwich, Norfolk NR4 7TJ, UK</w:t>
      </w:r>
    </w:p>
    <w:p w:rsidR="00D97A6F" w:rsidRPr="00596D3A" w:rsidRDefault="00D97A6F" w:rsidP="00405A4C">
      <w:pPr>
        <w:jc w:val="both"/>
      </w:pPr>
      <w:r w:rsidRPr="00596D3A">
        <w:t>The authors have no conflicts of interest to disclose.</w:t>
      </w:r>
      <w:r w:rsidR="00596D3A">
        <w:t xml:space="preserve"> </w:t>
      </w:r>
      <w:r w:rsidRPr="00596D3A">
        <w:t>The content is solely the responsibility of the authors</w:t>
      </w:r>
      <w:r w:rsidR="00596D3A">
        <w:t>.</w:t>
      </w:r>
      <w:r w:rsidR="00524B87">
        <w:t xml:space="preserve"> </w:t>
      </w:r>
      <w:r w:rsidR="00405A4C">
        <w:t xml:space="preserve">All authors contributed to the review, drafted the paper, provided revisions of the paper and approved the final manuscript. </w:t>
      </w:r>
      <w:r w:rsidR="00AF530F">
        <w:t>Email</w:t>
      </w:r>
      <w:r w:rsidR="00524B87">
        <w:t xml:space="preserve"> for correspondence: </w:t>
      </w:r>
      <w:hyperlink r:id="rId8" w:history="1">
        <w:r w:rsidR="00BD211A" w:rsidRPr="00664F50">
          <w:rPr>
            <w:rStyle w:val="Hyperlink"/>
          </w:rPr>
          <w:t>a.peel@uea.ac.uk</w:t>
        </w:r>
      </w:hyperlink>
      <w:r w:rsidR="00524B87">
        <w:t xml:space="preserve">. </w:t>
      </w:r>
      <w:r w:rsidR="00BD211A">
        <w:t xml:space="preserve"> </w:t>
      </w:r>
      <w:r w:rsidR="00524B87">
        <w:t xml:space="preserve"> </w:t>
      </w:r>
    </w:p>
    <w:p w:rsidR="00BD4273" w:rsidRPr="00394B27" w:rsidRDefault="00BD4273" w:rsidP="00394B27">
      <w:pPr>
        <w:rPr>
          <w:rFonts w:asciiTheme="majorHAnsi" w:hAnsiTheme="majorHAnsi"/>
          <w:b/>
          <w:sz w:val="26"/>
          <w:szCs w:val="26"/>
        </w:rPr>
      </w:pPr>
      <w:r w:rsidRPr="00394B27">
        <w:rPr>
          <w:rFonts w:asciiTheme="majorHAnsi" w:hAnsiTheme="majorHAnsi"/>
          <w:b/>
          <w:sz w:val="26"/>
          <w:szCs w:val="26"/>
        </w:rPr>
        <w:t>Abstract</w:t>
      </w:r>
    </w:p>
    <w:p w:rsidR="007A63D9" w:rsidRDefault="00211BB3" w:rsidP="005C5563">
      <w:pPr>
        <w:jc w:val="both"/>
      </w:pPr>
      <w:r>
        <w:rPr>
          <w:i/>
        </w:rPr>
        <w:t>Background:</w:t>
      </w:r>
      <w:r>
        <w:t xml:space="preserve">  Non-adherence to oral medication for </w:t>
      </w:r>
      <w:r w:rsidR="005B31D1">
        <w:t>inflammatory bowel disease</w:t>
      </w:r>
      <w:r>
        <w:t xml:space="preserve"> has been estimated </w:t>
      </w:r>
      <w:r w:rsidR="00316BC4">
        <w:t>to be</w:t>
      </w:r>
      <w:r w:rsidR="001C7225">
        <w:t xml:space="preserve"> between 30-45%</w:t>
      </w:r>
      <w:r>
        <w:t xml:space="preserve">. </w:t>
      </w:r>
      <w:r w:rsidR="00280EF1">
        <w:t>F</w:t>
      </w:r>
      <w:r>
        <w:t xml:space="preserve">actors </w:t>
      </w:r>
      <w:r w:rsidR="003F6B4D">
        <w:t xml:space="preserve">found to be </w:t>
      </w:r>
      <w:r>
        <w:t>a</w:t>
      </w:r>
      <w:r w:rsidR="00373748">
        <w:t>ssociated with non-adherence</w:t>
      </w:r>
      <w:r w:rsidR="0095224E">
        <w:t>,</w:t>
      </w:r>
      <w:r w:rsidR="00BD08C4">
        <w:t xml:space="preserve"> </w:t>
      </w:r>
      <w:r w:rsidR="00373748">
        <w:t>while</w:t>
      </w:r>
      <w:r>
        <w:t xml:space="preserve"> </w:t>
      </w:r>
      <w:r w:rsidR="00373748">
        <w:t>frequently reported</w:t>
      </w:r>
      <w:r w:rsidR="0095224E">
        <w:t>,</w:t>
      </w:r>
      <w:r w:rsidR="00373748">
        <w:t xml:space="preserve"> are</w:t>
      </w:r>
      <w:r w:rsidR="00280EF1">
        <w:t xml:space="preserve"> </w:t>
      </w:r>
      <w:r w:rsidR="00FA00FF">
        <w:t>often conflicting.</w:t>
      </w:r>
      <w:r w:rsidR="007C2A0A">
        <w:t xml:space="preserve"> </w:t>
      </w:r>
      <w:r w:rsidR="009D5090">
        <w:t xml:space="preserve"> </w:t>
      </w:r>
    </w:p>
    <w:p w:rsidR="004F0471" w:rsidRDefault="00504173" w:rsidP="005C5563">
      <w:pPr>
        <w:jc w:val="both"/>
        <w:rPr>
          <w:rFonts w:cs="AdvOT863180fb"/>
        </w:rPr>
      </w:pPr>
      <w:r>
        <w:rPr>
          <w:i/>
        </w:rPr>
        <w:t>Methods:</w:t>
      </w:r>
      <w:r>
        <w:t xml:space="preserve"> </w:t>
      </w:r>
      <w:r w:rsidR="007C2A0A">
        <w:t>W</w:t>
      </w:r>
      <w:r w:rsidR="003F6B4D">
        <w:t>e</w:t>
      </w:r>
      <w:r w:rsidR="009440A8">
        <w:t xml:space="preserve"> </w:t>
      </w:r>
      <w:r w:rsidR="00A46ABD">
        <w:t>search</w:t>
      </w:r>
      <w:r w:rsidR="007C2A0A">
        <w:t>ed</w:t>
      </w:r>
      <w:r w:rsidR="00C02682">
        <w:t xml:space="preserve"> </w:t>
      </w:r>
      <w:r w:rsidR="007C2A0A">
        <w:t>E</w:t>
      </w:r>
      <w:r w:rsidR="00A46ABD">
        <w:t>mbase</w:t>
      </w:r>
      <w:r w:rsidR="008C309E">
        <w:t>, Medline, CINAHL and Psyc</w:t>
      </w:r>
      <w:r w:rsidR="007C2A0A">
        <w:t>INFO</w:t>
      </w:r>
      <w:r w:rsidR="00C02682">
        <w:t xml:space="preserve"> </w:t>
      </w:r>
      <w:r w:rsidR="009440A8">
        <w:t>to identify</w:t>
      </w:r>
      <w:r w:rsidR="00C02682">
        <w:t xml:space="preserve"> </w:t>
      </w:r>
      <w:r w:rsidR="00FC3009">
        <w:t>studies from</w:t>
      </w:r>
      <w:r w:rsidR="00A46ABD">
        <w:t xml:space="preserve"> 2008-2013</w:t>
      </w:r>
      <w:r w:rsidR="00C02682" w:rsidRPr="009440A8">
        <w:t>.</w:t>
      </w:r>
      <w:r w:rsidRPr="009440A8">
        <w:t xml:space="preserve"> </w:t>
      </w:r>
      <w:r w:rsidR="00E9457B">
        <w:t>A standardised d</w:t>
      </w:r>
      <w:r w:rsidR="003F6B4D">
        <w:t xml:space="preserve">ata </w:t>
      </w:r>
      <w:r w:rsidR="00E9457B">
        <w:t xml:space="preserve">extraction </w:t>
      </w:r>
      <w:r w:rsidR="007C2A0A">
        <w:t>sheet</w:t>
      </w:r>
      <w:r w:rsidR="003F6B4D">
        <w:t xml:space="preserve"> </w:t>
      </w:r>
      <w:r w:rsidR="00E9457B">
        <w:t xml:space="preserve">was used </w:t>
      </w:r>
      <w:r w:rsidR="003F6B4D">
        <w:t>and m</w:t>
      </w:r>
      <w:r w:rsidR="00E9457B">
        <w:rPr>
          <w:rFonts w:cs="AdvOT863180fb"/>
        </w:rPr>
        <w:t>ethodological quality</w:t>
      </w:r>
      <w:r w:rsidR="009440A8">
        <w:rPr>
          <w:rFonts w:cs="AdvOT863180fb"/>
        </w:rPr>
        <w:t xml:space="preserve"> </w:t>
      </w:r>
      <w:r w:rsidR="009440A8" w:rsidRPr="009440A8">
        <w:rPr>
          <w:rFonts w:cs="AdvOT863180fb"/>
        </w:rPr>
        <w:t>assessed against a quality indicator tool</w:t>
      </w:r>
      <w:r w:rsidR="003F6B4D">
        <w:rPr>
          <w:rFonts w:cs="AdvOT863180fb"/>
        </w:rPr>
        <w:t xml:space="preserve">. </w:t>
      </w:r>
      <w:r w:rsidR="00F27735">
        <w:rPr>
          <w:rFonts w:cs="AdvOT863180fb"/>
        </w:rPr>
        <w:t>Results were summarised through vote count, with reference to study quality and participant number</w:t>
      </w:r>
      <w:r w:rsidR="004F0471">
        <w:rPr>
          <w:rFonts w:cs="AdvOT863180fb"/>
        </w:rPr>
        <w:t>.</w:t>
      </w:r>
    </w:p>
    <w:p w:rsidR="00714DB5" w:rsidRDefault="00504173" w:rsidP="005C5563">
      <w:pPr>
        <w:jc w:val="both"/>
      </w:pPr>
      <w:r>
        <w:rPr>
          <w:i/>
        </w:rPr>
        <w:t>Results:</w:t>
      </w:r>
      <w:r>
        <w:t xml:space="preserve"> </w:t>
      </w:r>
      <w:r w:rsidR="009440A8">
        <w:t>We identifie</w:t>
      </w:r>
      <w:r w:rsidR="00132B52">
        <w:t>d 1,639</w:t>
      </w:r>
      <w:r w:rsidR="008918C6">
        <w:t xml:space="preserve"> records of which 17</w:t>
      </w:r>
      <w:r w:rsidR="009440A8">
        <w:t xml:space="preserve"> met the inclusion criteria.</w:t>
      </w:r>
      <w:r w:rsidR="00E90F2F">
        <w:t xml:space="preserve"> T</w:t>
      </w:r>
      <w:r w:rsidR="00BD08C4">
        <w:t>hese were analysed alongside</w:t>
      </w:r>
      <w:r w:rsidR="00E90F2F">
        <w:t xml:space="preserve"> 1</w:t>
      </w:r>
      <w:r w:rsidR="005A0CDA">
        <w:t>5</w:t>
      </w:r>
      <w:r w:rsidR="00E90F2F">
        <w:t xml:space="preserve"> papers ident</w:t>
      </w:r>
      <w:r w:rsidR="00296D7F">
        <w:t xml:space="preserve">ified by </w:t>
      </w:r>
      <w:r w:rsidR="0002014B">
        <w:t>a</w:t>
      </w:r>
      <w:r w:rsidR="00296D7F">
        <w:t xml:space="preserve"> </w:t>
      </w:r>
      <w:r w:rsidR="00E90F2F">
        <w:t>review</w:t>
      </w:r>
      <w:r w:rsidR="0002014B">
        <w:t xml:space="preserve"> of the literature up to 2008 (Jackson et al, 2010)</w:t>
      </w:r>
      <w:r w:rsidR="00E90F2F">
        <w:t xml:space="preserve">. </w:t>
      </w:r>
      <w:r w:rsidR="00F27735">
        <w:t xml:space="preserve">12,167 participants were included in what were largely cross-sectional surveys. </w:t>
      </w:r>
      <w:r w:rsidR="00E90F2F">
        <w:t xml:space="preserve"> We identified </w:t>
      </w:r>
      <w:r w:rsidR="00FA00FF">
        <w:t>4</w:t>
      </w:r>
      <w:r w:rsidR="0064177B">
        <w:t>5</w:t>
      </w:r>
      <w:r w:rsidR="009440A8">
        <w:t xml:space="preserve"> factors</w:t>
      </w:r>
      <w:r w:rsidR="007C2A0A">
        <w:t xml:space="preserve"> </w:t>
      </w:r>
      <w:r w:rsidR="00862754">
        <w:t>relat</w:t>
      </w:r>
      <w:r w:rsidR="007C2A0A">
        <w:t>ed</w:t>
      </w:r>
      <w:r w:rsidR="0095224E">
        <w:t xml:space="preserve"> to adherence. </w:t>
      </w:r>
      <w:r w:rsidR="002C65A8">
        <w:t>These were</w:t>
      </w:r>
      <w:r w:rsidR="0004699A">
        <w:t xml:space="preserve"> </w:t>
      </w:r>
      <w:r w:rsidR="00BD08C4">
        <w:t>condensed into</w:t>
      </w:r>
      <w:r w:rsidR="0004699A">
        <w:t xml:space="preserve"> 25</w:t>
      </w:r>
      <w:r w:rsidR="007C2A0A">
        <w:t xml:space="preserve"> </w:t>
      </w:r>
      <w:r w:rsidR="0004699A">
        <w:t xml:space="preserve">factors </w:t>
      </w:r>
      <w:r w:rsidR="00456923">
        <w:t xml:space="preserve">and </w:t>
      </w:r>
      <w:r w:rsidR="000B5F09">
        <w:t>grouped int</w:t>
      </w:r>
      <w:r w:rsidR="00280EF1">
        <w:t>o four</w:t>
      </w:r>
      <w:r w:rsidR="00862754">
        <w:t xml:space="preserve"> themes</w:t>
      </w:r>
      <w:r w:rsidR="0095224E">
        <w:t>;</w:t>
      </w:r>
      <w:r w:rsidR="0004699A">
        <w:t xml:space="preserve"> </w:t>
      </w:r>
      <w:r w:rsidR="000B5F09">
        <w:t>demographic</w:t>
      </w:r>
      <w:r w:rsidR="00B3277E">
        <w:t>, psychosocial</w:t>
      </w:r>
      <w:r w:rsidR="000B5F09">
        <w:t>, clinical and medication factors</w:t>
      </w:r>
      <w:r w:rsidR="00280EF1" w:rsidRPr="0019223A">
        <w:t>.</w:t>
      </w:r>
      <w:r w:rsidR="0002014B">
        <w:t xml:space="preserve"> T</w:t>
      </w:r>
      <w:r w:rsidR="00ED1719">
        <w:t>he majority of factor</w:t>
      </w:r>
      <w:r w:rsidR="004266F8">
        <w:t>s</w:t>
      </w:r>
      <w:r w:rsidR="00ED1719">
        <w:t xml:space="preserve"> were not </w:t>
      </w:r>
      <w:r w:rsidR="0002014B">
        <w:t xml:space="preserve">found to be </w:t>
      </w:r>
      <w:r w:rsidR="00ED1719">
        <w:t>consistently associated with adherence</w:t>
      </w:r>
      <w:r w:rsidR="000B5F09" w:rsidRPr="00450CD2">
        <w:t>.</w:t>
      </w:r>
      <w:r w:rsidR="000B5F09" w:rsidRPr="0019223A">
        <w:rPr>
          <w:i/>
        </w:rPr>
        <w:t xml:space="preserve"> </w:t>
      </w:r>
      <w:r w:rsidR="00ED1719" w:rsidRPr="00ED1719">
        <w:t xml:space="preserve">The exceptions to this were </w:t>
      </w:r>
      <w:r w:rsidR="00301B3D">
        <w:t>attitudes towa</w:t>
      </w:r>
      <w:r w:rsidR="004F0471">
        <w:t>rds and beliefs about treatment,</w:t>
      </w:r>
      <w:r w:rsidR="00301B3D">
        <w:t xml:space="preserve"> barriers </w:t>
      </w:r>
      <w:r w:rsidR="00ED1719" w:rsidRPr="00ED1719">
        <w:t>to taking medication</w:t>
      </w:r>
      <w:r w:rsidR="004F0471">
        <w:t>,</w:t>
      </w:r>
      <w:r w:rsidR="00301B3D">
        <w:t xml:space="preserve"> and</w:t>
      </w:r>
      <w:r w:rsidR="00ED1719" w:rsidRPr="00ED1719">
        <w:t xml:space="preserve"> membership of a patient support group.</w:t>
      </w:r>
      <w:r w:rsidR="00ED1719">
        <w:rPr>
          <w:i/>
        </w:rPr>
        <w:t xml:space="preserve"> </w:t>
      </w:r>
      <w:r w:rsidR="000F417B">
        <w:t>The review</w:t>
      </w:r>
      <w:r w:rsidR="00F27735">
        <w:t xml:space="preserve"> was limited by</w:t>
      </w:r>
      <w:r w:rsidR="00462A28">
        <w:t xml:space="preserve"> </w:t>
      </w:r>
      <w:r w:rsidR="00456923">
        <w:t>study quality and</w:t>
      </w:r>
      <w:r w:rsidR="000F417B">
        <w:t xml:space="preserve"> </w:t>
      </w:r>
      <w:r w:rsidR="00EA4E02">
        <w:t xml:space="preserve">the </w:t>
      </w:r>
      <w:r w:rsidR="000F417B">
        <w:t>prevalence of cross-sectional survey</w:t>
      </w:r>
      <w:r w:rsidR="0095224E">
        <w:t>s</w:t>
      </w:r>
      <w:r w:rsidR="00714DB5">
        <w:t>.</w:t>
      </w:r>
    </w:p>
    <w:p w:rsidR="002C65A8" w:rsidRDefault="00504173" w:rsidP="005C5563">
      <w:pPr>
        <w:jc w:val="both"/>
      </w:pPr>
      <w:r>
        <w:rPr>
          <w:i/>
        </w:rPr>
        <w:t>Conclusions:</w:t>
      </w:r>
      <w:r w:rsidR="00744610">
        <w:t xml:space="preserve"> </w:t>
      </w:r>
      <w:r w:rsidR="00B43D01">
        <w:t xml:space="preserve">Clinicians should be aware </w:t>
      </w:r>
      <w:r w:rsidR="00280EF1">
        <w:t xml:space="preserve">that </w:t>
      </w:r>
      <w:r w:rsidR="00373748">
        <w:t xml:space="preserve">many factors </w:t>
      </w:r>
      <w:r w:rsidR="00B43D01">
        <w:t xml:space="preserve">reported to be associated with adherence to oral medication for IBD </w:t>
      </w:r>
      <w:r w:rsidR="00280EF1">
        <w:t xml:space="preserve">are </w:t>
      </w:r>
      <w:r w:rsidR="00373748">
        <w:t xml:space="preserve">not </w:t>
      </w:r>
      <w:r w:rsidR="00296D7F">
        <w:t xml:space="preserve">supported with any </w:t>
      </w:r>
      <w:r w:rsidR="00373748">
        <w:t>consisten</w:t>
      </w:r>
      <w:r w:rsidR="00296D7F">
        <w:t>cy</w:t>
      </w:r>
      <w:r w:rsidR="00B43D01">
        <w:t>. Further research should be conducted into those areas shown to be consistently associated with adherence and amenable to targeted interventions</w:t>
      </w:r>
      <w:r w:rsidR="0095224E">
        <w:t>,</w:t>
      </w:r>
      <w:r w:rsidR="002C65A8">
        <w:t xml:space="preserve"> s</w:t>
      </w:r>
      <w:r w:rsidR="000744A3">
        <w:t>pecifically attitudes</w:t>
      </w:r>
      <w:r w:rsidR="00301B3D">
        <w:t xml:space="preserve"> </w:t>
      </w:r>
      <w:r w:rsidR="000516BD">
        <w:t>and</w:t>
      </w:r>
      <w:r w:rsidR="000D7F01">
        <w:t xml:space="preserve"> bel</w:t>
      </w:r>
      <w:r w:rsidR="000744A3">
        <w:t>iefs</w:t>
      </w:r>
      <w:r w:rsidR="00301B3D">
        <w:t>,</w:t>
      </w:r>
      <w:r w:rsidR="000744A3">
        <w:t xml:space="preserve"> </w:t>
      </w:r>
      <w:r w:rsidR="00BB637A">
        <w:t xml:space="preserve">and </w:t>
      </w:r>
      <w:r w:rsidR="000744A3">
        <w:t>barriers to taking medication</w:t>
      </w:r>
      <w:r w:rsidR="000F417B">
        <w:t>.</w:t>
      </w:r>
      <w:r w:rsidR="00F83E69">
        <w:t xml:space="preserve"> </w:t>
      </w:r>
    </w:p>
    <w:p w:rsidR="00504173" w:rsidRDefault="00504173" w:rsidP="005C5563">
      <w:pPr>
        <w:jc w:val="both"/>
      </w:pPr>
      <w:r>
        <w:rPr>
          <w:i/>
        </w:rPr>
        <w:t>Key Words:</w:t>
      </w:r>
      <w:r>
        <w:t xml:space="preserve"> Inflamm</w:t>
      </w:r>
      <w:r w:rsidR="00E17D03">
        <w:t>atory Bowel Disease, Adherence,</w:t>
      </w:r>
      <w:r>
        <w:t xml:space="preserve"> Concordance</w:t>
      </w:r>
      <w:r w:rsidR="00E17D03">
        <w:t>, Predictive Factors.</w:t>
      </w:r>
      <w:r>
        <w:t xml:space="preserve"> </w:t>
      </w:r>
    </w:p>
    <w:p w:rsidR="00BD4273" w:rsidRPr="005C5563" w:rsidRDefault="00BD4273" w:rsidP="005C5563">
      <w:pPr>
        <w:pStyle w:val="Heading2"/>
        <w:jc w:val="both"/>
        <w:rPr>
          <w:color w:val="auto"/>
        </w:rPr>
      </w:pPr>
      <w:r w:rsidRPr="005C5563">
        <w:rPr>
          <w:color w:val="auto"/>
        </w:rPr>
        <w:lastRenderedPageBreak/>
        <w:t>Introduction</w:t>
      </w:r>
    </w:p>
    <w:p w:rsidR="00BD4273" w:rsidRDefault="00BD4273" w:rsidP="005C5563">
      <w:pPr>
        <w:jc w:val="both"/>
      </w:pPr>
      <w:r w:rsidRPr="007D464C">
        <w:t xml:space="preserve">Inflammatory bowel disease (IBD) is </w:t>
      </w:r>
      <w:r w:rsidR="0047056A">
        <w:t xml:space="preserve">an umbrella term </w:t>
      </w:r>
      <w:r w:rsidR="00022661">
        <w:t>for</w:t>
      </w:r>
      <w:r w:rsidR="0047056A">
        <w:t xml:space="preserve"> </w:t>
      </w:r>
      <w:r w:rsidR="00022661">
        <w:t xml:space="preserve">conditions of the gastrointestinal tract – such as </w:t>
      </w:r>
      <w:r w:rsidR="0047056A">
        <w:t>ulcerative colitis</w:t>
      </w:r>
      <w:r w:rsidR="00022661">
        <w:t xml:space="preserve"> </w:t>
      </w:r>
      <w:r w:rsidR="00F947F2">
        <w:t xml:space="preserve">(UC) </w:t>
      </w:r>
      <w:r w:rsidR="00022661">
        <w:t>and</w:t>
      </w:r>
      <w:r w:rsidR="0047056A">
        <w:t xml:space="preserve"> Crohn’s disease</w:t>
      </w:r>
      <w:r w:rsidR="00022661">
        <w:t xml:space="preserve"> </w:t>
      </w:r>
      <w:r w:rsidR="00F947F2">
        <w:t xml:space="preserve">(CD) </w:t>
      </w:r>
      <w:r w:rsidR="00022661">
        <w:t xml:space="preserve">- </w:t>
      </w:r>
      <w:r w:rsidR="0047056A">
        <w:t xml:space="preserve">caused by </w:t>
      </w:r>
      <w:r w:rsidR="00B211DD">
        <w:t>an aberrant immune response</w:t>
      </w:r>
      <w:r w:rsidR="0047056A">
        <w:t>. IBD</w:t>
      </w:r>
      <w:r w:rsidR="00B211DD">
        <w:t xml:space="preserve"> is </w:t>
      </w:r>
      <w:r w:rsidRPr="007D464C">
        <w:t>characterised by chronic inflammation and ulceration of the gastrointestinal mucosa</w:t>
      </w:r>
      <w:r w:rsidR="003415E8">
        <w:t>;</w:t>
      </w:r>
      <w:r w:rsidR="00FA00FF">
        <w:t xml:space="preserve"> </w:t>
      </w:r>
      <w:r w:rsidR="00E87345">
        <w:t>fr</w:t>
      </w:r>
      <w:r w:rsidR="00C76F7F">
        <w:t>equently</w:t>
      </w:r>
      <w:r w:rsidR="00FA00FF">
        <w:t xml:space="preserve"> </w:t>
      </w:r>
      <w:r w:rsidR="003415E8">
        <w:t xml:space="preserve">this </w:t>
      </w:r>
      <w:r>
        <w:t>tak</w:t>
      </w:r>
      <w:r w:rsidR="003415E8">
        <w:t>es</w:t>
      </w:r>
      <w:r>
        <w:t xml:space="preserve"> a relapsing and remitting course. </w:t>
      </w:r>
      <w:r w:rsidR="00FE6ED6" w:rsidRPr="007D464C">
        <w:t xml:space="preserve">Current NICE </w:t>
      </w:r>
      <w:r w:rsidR="00FE6ED6">
        <w:t xml:space="preserve">treatment </w:t>
      </w:r>
      <w:r w:rsidR="00FE6ED6" w:rsidRPr="007D464C">
        <w:t xml:space="preserve">guidelines </w:t>
      </w:r>
      <w:r w:rsidR="007F6427">
        <w:t>(NICE, 2012; NICE, 2013)</w:t>
      </w:r>
      <w:r w:rsidR="00FE6ED6">
        <w:t xml:space="preserve"> </w:t>
      </w:r>
      <w:r w:rsidR="00FE6ED6" w:rsidRPr="007D464C">
        <w:t xml:space="preserve">recommend </w:t>
      </w:r>
      <w:r w:rsidR="00FE6ED6">
        <w:t>oral medications including aminosalicylate</w:t>
      </w:r>
      <w:r w:rsidR="0047056A">
        <w:t>s</w:t>
      </w:r>
      <w:r w:rsidR="00FE6ED6">
        <w:t xml:space="preserve">, </w:t>
      </w:r>
      <w:r w:rsidR="00FE6ED6" w:rsidRPr="007D464C">
        <w:t>azathioprine</w:t>
      </w:r>
      <w:r w:rsidR="00961DFE">
        <w:t>,</w:t>
      </w:r>
      <w:r w:rsidR="00FE6ED6" w:rsidRPr="007D464C">
        <w:t xml:space="preserve"> mercaptopurine</w:t>
      </w:r>
      <w:r w:rsidR="00456923">
        <w:t xml:space="preserve"> and</w:t>
      </w:r>
      <w:r w:rsidR="00961DFE">
        <w:t xml:space="preserve"> methotrexate</w:t>
      </w:r>
      <w:r w:rsidR="007F6F15">
        <w:t xml:space="preserve"> for</w:t>
      </w:r>
      <w:r w:rsidR="00FE6ED6" w:rsidRPr="007D464C">
        <w:t xml:space="preserve"> </w:t>
      </w:r>
      <w:r w:rsidR="00FE6ED6">
        <w:t>the mai</w:t>
      </w:r>
      <w:r w:rsidR="00C97ECA">
        <w:t>ntenance of remission in IBD</w:t>
      </w:r>
      <w:r w:rsidR="00D14579">
        <w:t xml:space="preserve">. </w:t>
      </w:r>
      <w:r w:rsidR="00632B7E">
        <w:t>T</w:t>
      </w:r>
      <w:r w:rsidR="00FE6ED6">
        <w:t xml:space="preserve">reatment for acute flares of disease activity include beclometasone, prednisolone, </w:t>
      </w:r>
      <w:r w:rsidR="00D14579">
        <w:t>budesonide,</w:t>
      </w:r>
      <w:r w:rsidR="00017414">
        <w:t xml:space="preserve"> </w:t>
      </w:r>
      <w:r w:rsidR="00FE6ED6">
        <w:t>tacrolimus</w:t>
      </w:r>
      <w:r w:rsidR="00017414">
        <w:t xml:space="preserve"> and ciclosporin</w:t>
      </w:r>
      <w:r w:rsidR="00FE6ED6">
        <w:t xml:space="preserve">, and may also include </w:t>
      </w:r>
      <w:r w:rsidR="00017414">
        <w:t xml:space="preserve">topical and </w:t>
      </w:r>
      <w:r w:rsidR="00FE6ED6">
        <w:t xml:space="preserve">intravenous medications. </w:t>
      </w:r>
      <w:r w:rsidR="00FE6ED6" w:rsidRPr="007D464C">
        <w:t>Medication has been show</w:t>
      </w:r>
      <w:r w:rsidR="00FE6ED6">
        <w:t>n to be effective in treating acute symptoms and</w:t>
      </w:r>
      <w:r w:rsidR="00FE6ED6" w:rsidRPr="007D464C">
        <w:t xml:space="preserve"> maintain</w:t>
      </w:r>
      <w:r w:rsidR="00FE6ED6">
        <w:t>ing</w:t>
      </w:r>
      <w:r w:rsidR="00FE6ED6" w:rsidRPr="007D464C">
        <w:t xml:space="preserve"> periods of remission </w:t>
      </w:r>
      <w:r w:rsidR="004A2EA4">
        <w:t>(</w:t>
      </w:r>
      <w:r w:rsidR="007F6427">
        <w:t>Borowicz &amp; Fedorak, 2011; Fegan &amp; Macdonald, 2012)</w:t>
      </w:r>
      <w:r w:rsidR="00FE6ED6">
        <w:t xml:space="preserve">. </w:t>
      </w:r>
      <w:r w:rsidR="00FA00FF">
        <w:t>However, it has been suggested that between one third and one half of all self-administered medicines are not t</w:t>
      </w:r>
      <w:r w:rsidR="0000084A">
        <w:t xml:space="preserve">aken as </w:t>
      </w:r>
      <w:r w:rsidR="00243CD7">
        <w:t>recommended</w:t>
      </w:r>
      <w:r w:rsidR="0000084A">
        <w:t xml:space="preserve"> </w:t>
      </w:r>
      <w:r w:rsidR="007F6427">
        <w:t>(NICE, 2009)</w:t>
      </w:r>
      <w:r w:rsidR="00A20BC1">
        <w:t>.</w:t>
      </w:r>
      <w:r w:rsidR="00F753C1">
        <w:t xml:space="preserve"> </w:t>
      </w:r>
      <w:r w:rsidR="00A20BC1">
        <w:t xml:space="preserve">Jackson et al </w:t>
      </w:r>
      <w:r w:rsidR="007F6427">
        <w:t xml:space="preserve">(2010) </w:t>
      </w:r>
      <w:r w:rsidR="00A20BC1">
        <w:t xml:space="preserve">report that most of the studies in their review </w:t>
      </w:r>
      <w:r w:rsidR="002B4DB1">
        <w:t xml:space="preserve">of oral medications for IBD </w:t>
      </w:r>
      <w:r w:rsidR="00A20BC1">
        <w:t>found non-adherence rates</w:t>
      </w:r>
      <w:r w:rsidR="0045127B">
        <w:t xml:space="preserve"> of</w:t>
      </w:r>
      <w:r w:rsidR="00A20BC1">
        <w:t xml:space="preserve"> between 30-45%. </w:t>
      </w:r>
      <w:r w:rsidR="00FE6ED6">
        <w:t xml:space="preserve">Poor </w:t>
      </w:r>
      <w:r w:rsidR="00FE6ED6" w:rsidRPr="00AB5B93">
        <w:rPr>
          <w:rFonts w:eastAsia="TimesLTStd-Roman" w:cs="TimesLTStd-Roman"/>
        </w:rPr>
        <w:t xml:space="preserve">adherence </w:t>
      </w:r>
      <w:r w:rsidR="00FE6ED6">
        <w:rPr>
          <w:rFonts w:eastAsia="TimesLTStd-Roman" w:cs="TimesLTStd-Roman"/>
        </w:rPr>
        <w:t>to oral medication can lead to</w:t>
      </w:r>
      <w:r w:rsidR="00FE6ED6" w:rsidRPr="00AB5B93">
        <w:rPr>
          <w:rFonts w:eastAsia="TimesLTStd-Roman" w:cs="TimesLTStd-Roman"/>
        </w:rPr>
        <w:t xml:space="preserve"> suboptimal</w:t>
      </w:r>
      <w:r w:rsidR="00FE6ED6">
        <w:rPr>
          <w:rFonts w:eastAsia="TimesLTStd-Roman" w:cs="TimesLTStd-Roman"/>
        </w:rPr>
        <w:t xml:space="preserve"> </w:t>
      </w:r>
      <w:r w:rsidR="00FE6ED6" w:rsidRPr="00AB5B93">
        <w:rPr>
          <w:rFonts w:eastAsia="TimesLTStd-Roman" w:cs="TimesLTStd-Roman"/>
        </w:rPr>
        <w:t>clinical benefits</w:t>
      </w:r>
      <w:r w:rsidR="00FE6ED6">
        <w:rPr>
          <w:rFonts w:eastAsia="TimesLTStd-Roman" w:cs="TimesLTStd-Roman"/>
        </w:rPr>
        <w:t xml:space="preserve">, </w:t>
      </w:r>
      <w:r w:rsidR="00961DFE">
        <w:rPr>
          <w:rFonts w:eastAsia="TimesLTStd-Roman" w:cs="TimesLTStd-Roman"/>
        </w:rPr>
        <w:t>indeed</w:t>
      </w:r>
      <w:r w:rsidR="00FE6ED6">
        <w:rPr>
          <w:rFonts w:eastAsia="TimesLTStd-Roman" w:cs="TimesLTStd-Roman"/>
        </w:rPr>
        <w:t xml:space="preserve"> the World Health Organisation </w:t>
      </w:r>
      <w:r w:rsidR="007F6427">
        <w:rPr>
          <w:rFonts w:eastAsia="TimesLTStd-Roman" w:cs="TimesLTStd-Roman"/>
        </w:rPr>
        <w:t xml:space="preserve">(Sabate, 2003) </w:t>
      </w:r>
      <w:r w:rsidR="00FE6ED6">
        <w:rPr>
          <w:rFonts w:eastAsia="TimesLTStd-Roman" w:cs="TimesLTStd-Roman"/>
        </w:rPr>
        <w:t xml:space="preserve">state that increasing adherence </w:t>
      </w:r>
      <w:r w:rsidR="00FE6ED6" w:rsidRPr="00AB5B93">
        <w:rPr>
          <w:rFonts w:eastAsia="TimesLTStd-Roman" w:cs="TimesLTStd-Roman"/>
        </w:rPr>
        <w:t>may have a greater effect</w:t>
      </w:r>
      <w:r w:rsidR="00FE6ED6">
        <w:rPr>
          <w:rFonts w:eastAsia="TimesLTStd-Roman" w:cs="TimesLTStd-Roman"/>
        </w:rPr>
        <w:t xml:space="preserve"> </w:t>
      </w:r>
      <w:r w:rsidR="00FE6ED6" w:rsidRPr="00AB5B93">
        <w:rPr>
          <w:rFonts w:eastAsia="TimesLTStd-Roman" w:cs="TimesLTStd-Roman"/>
        </w:rPr>
        <w:t>on health than any improvement in specific medical</w:t>
      </w:r>
      <w:r w:rsidR="00FE6ED6">
        <w:rPr>
          <w:rFonts w:eastAsia="TimesLTStd-Roman" w:cs="TimesLTStd-Roman"/>
        </w:rPr>
        <w:t xml:space="preserve"> treatments</w:t>
      </w:r>
      <w:r w:rsidR="00C97ECA">
        <w:rPr>
          <w:rFonts w:eastAsia="TimesLTStd-Roman" w:cs="TimesLTStd-Roman"/>
        </w:rPr>
        <w:t>.</w:t>
      </w:r>
      <w:r w:rsidR="00FA00FF">
        <w:t xml:space="preserve"> </w:t>
      </w:r>
      <w:r w:rsidR="00047F9E">
        <w:t xml:space="preserve">Adherence to medication may be defined as the extent to which a person’s behaviour corresponds with agreed recommendations </w:t>
      </w:r>
      <w:r w:rsidR="007F6427">
        <w:t>(Sabate, 2003</w:t>
      </w:r>
      <w:r w:rsidR="00D30919">
        <w:t>)</w:t>
      </w:r>
      <w:r w:rsidR="00047F9E">
        <w:t xml:space="preserve">. </w:t>
      </w:r>
      <w:r w:rsidRPr="007D464C">
        <w:t xml:space="preserve">There </w:t>
      </w:r>
      <w:r>
        <w:t xml:space="preserve">are a plethora of </w:t>
      </w:r>
      <w:r w:rsidR="00456923">
        <w:t>studies reporting</w:t>
      </w:r>
      <w:r w:rsidRPr="007D464C">
        <w:t xml:space="preserve"> factors associated with non-adherence to </w:t>
      </w:r>
      <w:r>
        <w:t xml:space="preserve">oral </w:t>
      </w:r>
      <w:r w:rsidRPr="007D464C">
        <w:t>medication for IBD</w:t>
      </w:r>
      <w:r w:rsidR="00C97ECA">
        <w:t>;</w:t>
      </w:r>
      <w:r w:rsidR="00C97ECA">
        <w:rPr>
          <w:rFonts w:eastAsia="TimesLTStd-Roman" w:cs="TimesLTStd-Roman"/>
        </w:rPr>
        <w:t xml:space="preserve"> </w:t>
      </w:r>
      <w:r w:rsidR="00D30919">
        <w:t>s</w:t>
      </w:r>
      <w:r w:rsidR="003F5593">
        <w:t xml:space="preserve">ome authors </w:t>
      </w:r>
      <w:r w:rsidR="007F6427">
        <w:t xml:space="preserve">(Horne et al, </w:t>
      </w:r>
      <w:r w:rsidR="0019216F">
        <w:t>2009; Cook et al, 2010)</w:t>
      </w:r>
      <w:r w:rsidR="003F5593">
        <w:t xml:space="preserve"> have suggested </w:t>
      </w:r>
      <w:r w:rsidR="0088541A">
        <w:t>that this may help clinicians identify ‘at risk’ groups. H</w:t>
      </w:r>
      <w:r w:rsidR="00FA00FF">
        <w:t>owever, the</w:t>
      </w:r>
      <w:r w:rsidRPr="007D464C">
        <w:t xml:space="preserve"> systematic review </w:t>
      </w:r>
      <w:r w:rsidR="00A546E3">
        <w:t xml:space="preserve">undertaken </w:t>
      </w:r>
      <w:r w:rsidRPr="007D464C">
        <w:t>by Jackson</w:t>
      </w:r>
      <w:r w:rsidR="000A7CD2">
        <w:t xml:space="preserve"> et al</w:t>
      </w:r>
      <w:r w:rsidR="0019216F">
        <w:t xml:space="preserve"> (2010)</w:t>
      </w:r>
      <w:r w:rsidRPr="007D464C">
        <w:t xml:space="preserve"> </w:t>
      </w:r>
      <w:r>
        <w:t xml:space="preserve">found that </w:t>
      </w:r>
      <w:r w:rsidR="00373748">
        <w:t xml:space="preserve">many of the </w:t>
      </w:r>
      <w:r>
        <w:t xml:space="preserve">significant correlations reported (between non-adherence and any given factor) </w:t>
      </w:r>
      <w:r w:rsidR="005D415E">
        <w:t>were</w:t>
      </w:r>
      <w:r>
        <w:t xml:space="preserve"> </w:t>
      </w:r>
      <w:r w:rsidR="0019223A">
        <w:t>found to be non-significant by</w:t>
      </w:r>
      <w:r w:rsidR="00E87345">
        <w:t xml:space="preserve"> other papers. </w:t>
      </w:r>
      <w:r w:rsidR="00B52B0D">
        <w:t>We aim</w:t>
      </w:r>
      <w:r w:rsidR="008B7A49">
        <w:t xml:space="preserve"> </w:t>
      </w:r>
      <w:r>
        <w:t>to review those studies identified by Jackson et al</w:t>
      </w:r>
      <w:r w:rsidR="0019216F">
        <w:t xml:space="preserve"> (2010)</w:t>
      </w:r>
      <w:r w:rsidR="004E1715">
        <w:t xml:space="preserve"> </w:t>
      </w:r>
      <w:r>
        <w:t>and those published since in order to provide a synthesis o</w:t>
      </w:r>
      <w:r w:rsidR="0019223A">
        <w:t>f the literature, clarifying which</w:t>
      </w:r>
      <w:r>
        <w:t xml:space="preserve"> (if any) factors are consistently associated with non-adherence</w:t>
      </w:r>
      <w:r w:rsidR="00680B30">
        <w:t>.</w:t>
      </w:r>
    </w:p>
    <w:p w:rsidR="00D30919" w:rsidRPr="00D30919" w:rsidRDefault="00DA5177" w:rsidP="004A2EA4">
      <w:pPr>
        <w:pStyle w:val="Heading2"/>
      </w:pPr>
      <w:r w:rsidRPr="005C5563">
        <w:rPr>
          <w:color w:val="auto"/>
        </w:rPr>
        <w:t>Methods</w:t>
      </w:r>
    </w:p>
    <w:p w:rsidR="000B13A6" w:rsidRDefault="004A2EA4" w:rsidP="005C5563">
      <w:pPr>
        <w:jc w:val="both"/>
      </w:pPr>
      <w:r>
        <w:t>A</w:t>
      </w:r>
      <w:r w:rsidR="00B52B0D">
        <w:t xml:space="preserve"> se</w:t>
      </w:r>
      <w:r w:rsidR="00DA5177" w:rsidRPr="001A04AF">
        <w:t>arch</w:t>
      </w:r>
      <w:r>
        <w:t xml:space="preserve"> of</w:t>
      </w:r>
      <w:r w:rsidR="00DA5177" w:rsidRPr="001A04AF">
        <w:t xml:space="preserve"> Embase, Medline (Ebsco), CINAHL</w:t>
      </w:r>
      <w:r w:rsidR="0019216F">
        <w:t>,</w:t>
      </w:r>
      <w:r w:rsidR="004E1715">
        <w:t xml:space="preserve"> </w:t>
      </w:r>
      <w:r w:rsidR="005C5563">
        <w:t>and Psyc</w:t>
      </w:r>
      <w:r w:rsidR="00DA5177" w:rsidRPr="001A04AF">
        <w:t>INFO</w:t>
      </w:r>
      <w:r w:rsidR="004E1715">
        <w:t xml:space="preserve"> </w:t>
      </w:r>
      <w:r w:rsidR="00B52B0D">
        <w:t>databases</w:t>
      </w:r>
      <w:r w:rsidR="00DA5177" w:rsidRPr="001A04AF">
        <w:t xml:space="preserve"> </w:t>
      </w:r>
      <w:r>
        <w:t xml:space="preserve">was conducted </w:t>
      </w:r>
      <w:r w:rsidR="00DA5177" w:rsidRPr="001A04AF">
        <w:t xml:space="preserve">using terms </w:t>
      </w:r>
      <w:r w:rsidR="00632B7E">
        <w:t>referring to adherence, treatment</w:t>
      </w:r>
      <w:r w:rsidR="00DA5177" w:rsidRPr="001A04AF">
        <w:t xml:space="preserve"> </w:t>
      </w:r>
      <w:r w:rsidR="00632B7E">
        <w:t>and</w:t>
      </w:r>
      <w:r w:rsidR="00D901C4">
        <w:t xml:space="preserve"> </w:t>
      </w:r>
      <w:r w:rsidR="00DA5177" w:rsidRPr="001A04AF">
        <w:t>IBD</w:t>
      </w:r>
      <w:r w:rsidR="00C678A4">
        <w:t>. T</w:t>
      </w:r>
      <w:r w:rsidR="00DA5177" w:rsidRPr="001A04AF">
        <w:t>runcations and wild cards were used to</w:t>
      </w:r>
      <w:r w:rsidR="00DA5177">
        <w:t xml:space="preserve"> broaden the search window. </w:t>
      </w:r>
      <w:r>
        <w:t xml:space="preserve">Criteria for inclusion were </w:t>
      </w:r>
      <w:r w:rsidR="00DA5177" w:rsidRPr="001A04AF">
        <w:t>- Abstract in English; Full paper available and in English; Primary data; Quantitative data with inferenti</w:t>
      </w:r>
      <w:r w:rsidR="00BA533A">
        <w:t>al statistics; Participants with</w:t>
      </w:r>
      <w:r w:rsidR="00DA5177" w:rsidRPr="001A04AF">
        <w:t xml:space="preserve"> </w:t>
      </w:r>
      <w:r w:rsidR="00DA5177">
        <w:t xml:space="preserve">a </w:t>
      </w:r>
      <w:r w:rsidR="00DA5177" w:rsidRPr="001A04AF">
        <w:t xml:space="preserve">diagnosis of IBD; Characteristics </w:t>
      </w:r>
      <w:r w:rsidR="005406DB">
        <w:t xml:space="preserve">associated with adherence </w:t>
      </w:r>
      <w:r w:rsidR="00DA5177" w:rsidRPr="001A04AF">
        <w:t>measured; Ad</w:t>
      </w:r>
      <w:r w:rsidR="005406DB">
        <w:t>herence to oral medication</w:t>
      </w:r>
      <w:r w:rsidR="00DA5177" w:rsidRPr="001A04AF">
        <w:t xml:space="preserve"> measured; Adult participants; Participants not pregnant; and </w:t>
      </w:r>
      <w:r w:rsidR="007A7D95">
        <w:t>Paper p</w:t>
      </w:r>
      <w:r w:rsidR="00DA5177" w:rsidRPr="001A04AF">
        <w:t xml:space="preserve">ublished in a peer reviewed journal. </w:t>
      </w:r>
    </w:p>
    <w:p w:rsidR="000B13A6" w:rsidRDefault="00B52B0D" w:rsidP="000B13A6">
      <w:pPr>
        <w:jc w:val="both"/>
      </w:pPr>
      <w:r>
        <w:t xml:space="preserve">The </w:t>
      </w:r>
      <w:r w:rsidR="005E44E1">
        <w:t xml:space="preserve">search </w:t>
      </w:r>
      <w:r w:rsidR="00680B30">
        <w:t xml:space="preserve">was conducted in October 2013 and </w:t>
      </w:r>
      <w:r w:rsidR="005E44E1">
        <w:t xml:space="preserve">identified 1,639 papers of which 18 papers met the inclusion criteria. These 18 papers together with the 17 identified by Jackson et al </w:t>
      </w:r>
      <w:r w:rsidR="00CA519E">
        <w:t>(2010)</w:t>
      </w:r>
      <w:r w:rsidR="004E1715">
        <w:t xml:space="preserve"> </w:t>
      </w:r>
      <w:r w:rsidR="005E44E1">
        <w:t>were</w:t>
      </w:r>
      <w:r w:rsidR="005E44E1" w:rsidRPr="001A04AF">
        <w:t xml:space="preserve"> </w:t>
      </w:r>
      <w:r w:rsidR="005E44E1">
        <w:t xml:space="preserve">then </w:t>
      </w:r>
      <w:r w:rsidR="005E44E1" w:rsidRPr="001A04AF">
        <w:t>reviewed usi</w:t>
      </w:r>
      <w:r>
        <w:t>ng the</w:t>
      </w:r>
      <w:r w:rsidR="005E44E1">
        <w:t xml:space="preserve"> quality assessment tool</w:t>
      </w:r>
      <w:r>
        <w:t xml:space="preserve"> developed by Daley et al (2012)</w:t>
      </w:r>
      <w:r w:rsidR="005E44E1">
        <w:t>.</w:t>
      </w:r>
      <w:r w:rsidR="005E44E1" w:rsidRPr="003931AB">
        <w:t xml:space="preserve">  </w:t>
      </w:r>
      <w:r w:rsidR="00667F69">
        <w:t>In each of the quality assessment categories</w:t>
      </w:r>
      <w:r w:rsidR="00D3195E">
        <w:t>,</w:t>
      </w:r>
      <w:r w:rsidR="00667F69">
        <w:t xml:space="preserve"> studies were awarded either a tick for good quality (no evidence of bias), a cross for poor quality (potential for bias), a question </w:t>
      </w:r>
      <w:r w:rsidR="00667F69">
        <w:lastRenderedPageBreak/>
        <w:t>mark for poor reporting (unable to assess potential for bias), or NA for not-applicable to that study design.  The number of ticks for good quality were divided by the overall number of items (excluding NA’s) in order to produce a percentage</w:t>
      </w:r>
      <w:r w:rsidR="006C4EF6">
        <w:t xml:space="preserve"> reflecting methodological quality</w:t>
      </w:r>
      <w:r w:rsidR="00667F69">
        <w:t xml:space="preserve">. </w:t>
      </w:r>
      <w:r w:rsidR="006C4EF6">
        <w:t>S</w:t>
      </w:r>
      <w:r w:rsidR="00667F69">
        <w:t>tudies scoring above 70% were deemed high</w:t>
      </w:r>
      <w:r w:rsidR="006C4EF6">
        <w:t xml:space="preserve"> in quality</w:t>
      </w:r>
      <w:r w:rsidR="00667F69">
        <w:t>, those under 40% low</w:t>
      </w:r>
      <w:r w:rsidR="006C4EF6">
        <w:t xml:space="preserve">, </w:t>
      </w:r>
      <w:r w:rsidR="007C1CDA">
        <w:t>and those in-</w:t>
      </w:r>
      <w:r w:rsidR="00667F69">
        <w:t>between moderate</w:t>
      </w:r>
      <w:r w:rsidR="006C4EF6">
        <w:t>.</w:t>
      </w:r>
      <w:r w:rsidR="00667F69">
        <w:t xml:space="preserve"> </w:t>
      </w:r>
    </w:p>
    <w:p w:rsidR="00546D48" w:rsidRDefault="00D3195E" w:rsidP="000B13A6">
      <w:pPr>
        <w:jc w:val="both"/>
      </w:pPr>
      <w:r>
        <w:t xml:space="preserve">Data was </w:t>
      </w:r>
      <w:r w:rsidR="009F3372">
        <w:t>extracted usin</w:t>
      </w:r>
      <w:r w:rsidR="00E3273F">
        <w:t>g a standardised form and consisted of s</w:t>
      </w:r>
      <w:r w:rsidR="001F5B6D">
        <w:t xml:space="preserve">tatistical </w:t>
      </w:r>
      <w:r w:rsidR="009D5090">
        <w:t xml:space="preserve">significance scores </w:t>
      </w:r>
      <w:r w:rsidR="001F5B6D">
        <w:t xml:space="preserve">- </w:t>
      </w:r>
      <w:r w:rsidR="009D5090">
        <w:t>either p-value</w:t>
      </w:r>
      <w:r w:rsidR="001F5B6D">
        <w:t>s or o</w:t>
      </w:r>
      <w:r w:rsidR="009D5090">
        <w:t>dds ratio</w:t>
      </w:r>
      <w:r w:rsidR="001F5B6D">
        <w:t>s</w:t>
      </w:r>
      <w:r w:rsidR="009D5090">
        <w:t>.</w:t>
      </w:r>
      <w:r w:rsidR="00C23CE2">
        <w:t xml:space="preserve"> In </w:t>
      </w:r>
      <w:r w:rsidR="002F54AE">
        <w:t>summaris</w:t>
      </w:r>
      <w:r w:rsidR="009D5090">
        <w:t>ing the data we used</w:t>
      </w:r>
      <w:r w:rsidR="00C23CE2">
        <w:t xml:space="preserve"> a simple vote count with reference to </w:t>
      </w:r>
      <w:r w:rsidR="009D5090">
        <w:t xml:space="preserve">both </w:t>
      </w:r>
      <w:r w:rsidR="00E168D6">
        <w:t xml:space="preserve">quality assessment </w:t>
      </w:r>
      <w:r w:rsidR="009D5090">
        <w:t xml:space="preserve">score </w:t>
      </w:r>
      <w:r w:rsidR="00E168D6">
        <w:t>and participant number</w:t>
      </w:r>
      <w:r w:rsidR="00044174">
        <w:t xml:space="preserve"> in order to rank the factor</w:t>
      </w:r>
      <w:r w:rsidR="00E3273F">
        <w:t xml:space="preserve">s </w:t>
      </w:r>
      <w:r w:rsidR="00044174">
        <w:t xml:space="preserve">according to the overall weight of evidence. </w:t>
      </w:r>
      <w:r w:rsidR="003B4297">
        <w:t>S</w:t>
      </w:r>
      <w:r w:rsidR="004B3280">
        <w:t xml:space="preserve">tudies using a direct </w:t>
      </w:r>
      <w:r w:rsidR="00667F69">
        <w:t>me</w:t>
      </w:r>
      <w:r>
        <w:t>thod</w:t>
      </w:r>
      <w:r w:rsidR="00667F69">
        <w:t xml:space="preserve"> of adherence assessment </w:t>
      </w:r>
      <w:r w:rsidR="004B3280">
        <w:t xml:space="preserve">(where </w:t>
      </w:r>
      <w:r w:rsidR="001F5B6D">
        <w:t xml:space="preserve">the </w:t>
      </w:r>
      <w:r w:rsidR="004B3280">
        <w:t xml:space="preserve">presence of a </w:t>
      </w:r>
      <w:r w:rsidR="005406DB">
        <w:t>drug or its metabolites wa</w:t>
      </w:r>
      <w:r w:rsidR="001F5B6D">
        <w:t>s</w:t>
      </w:r>
      <w:r w:rsidR="004B3280">
        <w:t xml:space="preserve"> measured) </w:t>
      </w:r>
      <w:r>
        <w:t>were awarded a tick in the</w:t>
      </w:r>
      <w:r w:rsidR="00667F69">
        <w:t xml:space="preserve"> </w:t>
      </w:r>
      <w:r>
        <w:t>‘</w:t>
      </w:r>
      <w:r w:rsidR="00667F69">
        <w:t>assessment methodology</w:t>
      </w:r>
      <w:r w:rsidR="006C4EF6">
        <w:t>’</w:t>
      </w:r>
      <w:r w:rsidR="00667F69">
        <w:t xml:space="preserve"> s</w:t>
      </w:r>
      <w:r w:rsidR="009334DD">
        <w:t>ection</w:t>
      </w:r>
      <w:r w:rsidR="004B3280">
        <w:t>, likewise those using an indirect method such as prescription refill data in which</w:t>
      </w:r>
      <w:r w:rsidR="005A2059">
        <w:t xml:space="preserve"> the risk of</w:t>
      </w:r>
      <w:r w:rsidR="004B3280">
        <w:t xml:space="preserve"> recall b</w:t>
      </w:r>
      <w:r w:rsidR="00523AC4">
        <w:t>ias, social desirability bias and</w:t>
      </w:r>
      <w:r w:rsidR="004B3280">
        <w:t xml:space="preserve"> estimati</w:t>
      </w:r>
      <w:r w:rsidR="001F5B6D">
        <w:t>on errors</w:t>
      </w:r>
      <w:r w:rsidR="007C1CDA">
        <w:t xml:space="preserve"> </w:t>
      </w:r>
      <w:r w:rsidR="005A2059">
        <w:t>are minimized</w:t>
      </w:r>
      <w:r w:rsidR="004B3280">
        <w:t>. T</w:t>
      </w:r>
      <w:r w:rsidR="007C1CDA">
        <w:t>hose using self-report</w:t>
      </w:r>
      <w:r w:rsidR="004B3280">
        <w:t xml:space="preserve"> were awarded </w:t>
      </w:r>
      <w:r w:rsidR="007C1CDA">
        <w:t>a cross</w:t>
      </w:r>
      <w:r w:rsidR="00667F69">
        <w:t xml:space="preserve">. </w:t>
      </w:r>
      <w:r w:rsidR="00EB3240">
        <w:t xml:space="preserve">Garber et al </w:t>
      </w:r>
      <w:r w:rsidR="00CA519E">
        <w:t>(2004)</w:t>
      </w:r>
      <w:r w:rsidR="00EB3240">
        <w:t xml:space="preserve"> </w:t>
      </w:r>
      <w:r w:rsidR="003E7C15">
        <w:t>in their sys</w:t>
      </w:r>
      <w:r w:rsidR="00B52B0D">
        <w:t xml:space="preserve">tematic review </w:t>
      </w:r>
      <w:r w:rsidR="00044174">
        <w:t xml:space="preserve">found </w:t>
      </w:r>
      <w:r w:rsidR="00523AC4">
        <w:t xml:space="preserve">a concordance rate of </w:t>
      </w:r>
      <w:r w:rsidR="00044174">
        <w:t xml:space="preserve">only 43% </w:t>
      </w:r>
      <w:r w:rsidR="00523AC4">
        <w:t>be</w:t>
      </w:r>
      <w:r w:rsidR="00044174">
        <w:t xml:space="preserve">tween </w:t>
      </w:r>
      <w:r w:rsidR="00B52B0D">
        <w:t>self-report and direct measures</w:t>
      </w:r>
      <w:r w:rsidR="00EB3240">
        <w:t>.</w:t>
      </w:r>
      <w:r w:rsidR="003E7C15">
        <w:t xml:space="preserve"> In light of this, w</w:t>
      </w:r>
      <w:r w:rsidR="00E168D6">
        <w:t>he</w:t>
      </w:r>
      <w:r w:rsidR="00ED5F3A">
        <w:t>re studies used both self-report and an objective</w:t>
      </w:r>
      <w:r w:rsidR="00667F69">
        <w:t xml:space="preserve"> measure, </w:t>
      </w:r>
      <w:r w:rsidR="00ED5F3A">
        <w:t xml:space="preserve">we </w:t>
      </w:r>
      <w:r w:rsidR="006C4EF6">
        <w:t xml:space="preserve">reported </w:t>
      </w:r>
      <w:r w:rsidR="00ED5F3A">
        <w:t>only the results</w:t>
      </w:r>
      <w:r>
        <w:t xml:space="preserve"> based on the objective measure</w:t>
      </w:r>
      <w:r w:rsidR="00ED5F3A">
        <w:t>.</w:t>
      </w:r>
      <w:r w:rsidR="002E0431">
        <w:t xml:space="preserve"> </w:t>
      </w:r>
      <w:r w:rsidR="00044174">
        <w:t>Methodological limitations include</w:t>
      </w:r>
      <w:r w:rsidR="00E3273F">
        <w:t>d</w:t>
      </w:r>
      <w:r w:rsidR="00044174">
        <w:t xml:space="preserve"> p</w:t>
      </w:r>
      <w:r w:rsidR="004F006E">
        <w:t xml:space="preserve">oor reporting </w:t>
      </w:r>
      <w:r w:rsidR="00044174">
        <w:t xml:space="preserve">by studies </w:t>
      </w:r>
      <w:r w:rsidR="004F006E">
        <w:t xml:space="preserve">of </w:t>
      </w:r>
      <w:r w:rsidR="009D5090">
        <w:rPr>
          <w:rFonts w:eastAsia="TimesLTStd-Roman" w:cs="TimesLTStd-Roman"/>
        </w:rPr>
        <w:t>non-significant outcomes</w:t>
      </w:r>
      <w:r w:rsidR="002B6C1E">
        <w:rPr>
          <w:rFonts w:eastAsia="TimesLTStd-Roman" w:cs="TimesLTStd-Roman"/>
        </w:rPr>
        <w:t>; this</w:t>
      </w:r>
      <w:r w:rsidR="00044174">
        <w:rPr>
          <w:rFonts w:eastAsia="TimesLTStd-Roman" w:cs="TimesLTStd-Roman"/>
        </w:rPr>
        <w:t xml:space="preserve"> </w:t>
      </w:r>
      <w:r w:rsidR="009D5090">
        <w:rPr>
          <w:rFonts w:eastAsia="TimesLTStd-Roman" w:cs="TimesLTStd-Roman"/>
        </w:rPr>
        <w:t xml:space="preserve">may affect the results of this review by under-representing non-significant findings.  </w:t>
      </w:r>
      <w:r w:rsidR="00044174">
        <w:rPr>
          <w:rFonts w:eastAsia="TimesLTStd-Roman" w:cs="TimesLTStd-Roman"/>
        </w:rPr>
        <w:t>Similarly t</w:t>
      </w:r>
      <w:r w:rsidR="009D5090">
        <w:rPr>
          <w:rFonts w:eastAsia="TimesLTStd-Roman" w:cs="TimesLTStd-Roman"/>
        </w:rPr>
        <w:t>he search by Jackson et al</w:t>
      </w:r>
      <w:r w:rsidR="00CA519E">
        <w:rPr>
          <w:rFonts w:eastAsia="TimesLTStd-Roman" w:cs="TimesLTStd-Roman"/>
        </w:rPr>
        <w:t xml:space="preserve"> (2010)</w:t>
      </w:r>
      <w:r w:rsidR="009D5090">
        <w:rPr>
          <w:rFonts w:eastAsia="TimesLTStd-Roman" w:cs="TimesLTStd-Roman"/>
        </w:rPr>
        <w:t xml:space="preserve"> </w:t>
      </w:r>
      <w:r w:rsidR="00523AC4">
        <w:rPr>
          <w:rFonts w:eastAsia="TimesLTStd-Roman" w:cs="TimesLTStd-Roman"/>
        </w:rPr>
        <w:t xml:space="preserve">(and replicated by the authors of this paper) </w:t>
      </w:r>
      <w:r w:rsidR="009D5090">
        <w:rPr>
          <w:rFonts w:eastAsia="TimesLTStd-Roman" w:cs="TimesLTStd-Roman"/>
        </w:rPr>
        <w:t>did not include grey</w:t>
      </w:r>
      <w:r w:rsidR="009D5090">
        <w:t xml:space="preserve"> </w:t>
      </w:r>
      <w:r w:rsidR="00044174">
        <w:t>literature which</w:t>
      </w:r>
      <w:r w:rsidR="00ED17F9">
        <w:t xml:space="preserve"> leaves the review </w:t>
      </w:r>
      <w:r w:rsidR="009D5090">
        <w:t>vulnerable to the effects of publication bias and an overestimation of significant effects</w:t>
      </w:r>
      <w:r w:rsidR="00ED17F9">
        <w:t xml:space="preserve">.  </w:t>
      </w:r>
    </w:p>
    <w:p w:rsidR="009B2285" w:rsidRPr="005C5563" w:rsidRDefault="00DA5177" w:rsidP="00B13B73">
      <w:pPr>
        <w:pStyle w:val="Heading2"/>
        <w:rPr>
          <w:color w:val="auto"/>
        </w:rPr>
      </w:pPr>
      <w:r w:rsidRPr="005C5563">
        <w:rPr>
          <w:color w:val="auto"/>
        </w:rPr>
        <w:t>Results</w:t>
      </w:r>
    </w:p>
    <w:p w:rsidR="00B52B0D" w:rsidRDefault="00044174" w:rsidP="005C5563">
      <w:pPr>
        <w:jc w:val="both"/>
      </w:pPr>
      <w:r>
        <w:t>Of the seventeen</w:t>
      </w:r>
      <w:r w:rsidR="002B4DB1">
        <w:t xml:space="preserve"> papers identified by Jackson et al</w:t>
      </w:r>
      <w:r w:rsidR="00CA519E">
        <w:t xml:space="preserve"> (2010)</w:t>
      </w:r>
      <w:r>
        <w:t>, two</w:t>
      </w:r>
      <w:r w:rsidR="002B4DB1">
        <w:t xml:space="preserve"> were excluded from our analysis as the full papers were not available in English</w:t>
      </w:r>
      <w:r w:rsidR="007E5775">
        <w:t xml:space="preserve"> </w:t>
      </w:r>
      <w:r w:rsidR="00CA519E">
        <w:t>(Karbach et al, 1984</w:t>
      </w:r>
      <w:r w:rsidR="00FC05CB">
        <w:t>; Dewulf et al, 2007</w:t>
      </w:r>
      <w:r w:rsidR="00CA519E">
        <w:t>)</w:t>
      </w:r>
      <w:r w:rsidR="002B4DB1">
        <w:t>.</w:t>
      </w:r>
      <w:r w:rsidR="002B4DB1" w:rsidRPr="003931AB">
        <w:t xml:space="preserve"> </w:t>
      </w:r>
      <w:r w:rsidR="002B4DB1">
        <w:t xml:space="preserve">The PRISMA diagram </w:t>
      </w:r>
      <w:r w:rsidR="00AB6F41">
        <w:t>(</w:t>
      </w:r>
      <w:r w:rsidR="005C5563">
        <w:t>F</w:t>
      </w:r>
      <w:r w:rsidR="00AB6F41">
        <w:t xml:space="preserve">igure 1) </w:t>
      </w:r>
      <w:r w:rsidR="002B4DB1">
        <w:t>shows the stages of the study identif</w:t>
      </w:r>
      <w:r w:rsidR="00581D75">
        <w:t>ication process while</w:t>
      </w:r>
      <w:r w:rsidR="002B4DB1">
        <w:t xml:space="preserve"> </w:t>
      </w:r>
      <w:r w:rsidR="00FB6BE5">
        <w:t>Table 1</w:t>
      </w:r>
      <w:r w:rsidR="00151729">
        <w:t xml:space="preserve"> </w:t>
      </w:r>
      <w:r w:rsidR="00B52B0D">
        <w:t>(</w:t>
      </w:r>
      <w:r w:rsidR="00151729">
        <w:t>appendix)</w:t>
      </w:r>
      <w:r w:rsidR="00FB6BE5">
        <w:t xml:space="preserve"> lists the included studies.</w:t>
      </w:r>
    </w:p>
    <w:p w:rsidR="00B52B0D" w:rsidRDefault="00B52B0D" w:rsidP="005C5563">
      <w:pPr>
        <w:jc w:val="both"/>
      </w:pPr>
    </w:p>
    <w:p w:rsidR="002B4DB1" w:rsidRDefault="00FB6BE5" w:rsidP="005C5563">
      <w:pPr>
        <w:jc w:val="both"/>
      </w:pPr>
      <w:r>
        <w:t xml:space="preserve"> </w:t>
      </w:r>
    </w:p>
    <w:p w:rsidR="00E60FAA" w:rsidRDefault="00E60FAA" w:rsidP="005C5563">
      <w:pPr>
        <w:jc w:val="both"/>
      </w:pPr>
    </w:p>
    <w:p w:rsidR="00E60FAA" w:rsidRDefault="00E60FAA" w:rsidP="005C5563">
      <w:pPr>
        <w:jc w:val="both"/>
      </w:pPr>
    </w:p>
    <w:p w:rsidR="00E3273F" w:rsidRDefault="00E3273F" w:rsidP="005C5563">
      <w:pPr>
        <w:jc w:val="both"/>
      </w:pPr>
    </w:p>
    <w:p w:rsidR="00E3273F" w:rsidRDefault="00E3273F" w:rsidP="005C5563">
      <w:pPr>
        <w:jc w:val="both"/>
      </w:pPr>
    </w:p>
    <w:p w:rsidR="00E3273F" w:rsidRDefault="00E3273F" w:rsidP="005C5563">
      <w:pPr>
        <w:jc w:val="both"/>
      </w:pPr>
    </w:p>
    <w:p w:rsidR="00E3273F" w:rsidRDefault="00E3273F" w:rsidP="005C5563">
      <w:pPr>
        <w:jc w:val="both"/>
      </w:pPr>
    </w:p>
    <w:p w:rsidR="00E3273F" w:rsidRDefault="00E3273F" w:rsidP="005C5563">
      <w:pPr>
        <w:jc w:val="both"/>
      </w:pPr>
    </w:p>
    <w:p w:rsidR="00E3273F" w:rsidRDefault="00E3273F" w:rsidP="005C5563">
      <w:pPr>
        <w:jc w:val="both"/>
      </w:pPr>
    </w:p>
    <w:p w:rsidR="00151729" w:rsidRDefault="00A47871" w:rsidP="00151729">
      <w:r>
        <w:rPr>
          <w:noProof/>
          <w:u w:val="single"/>
          <w:lang w:eastAsia="en-GB"/>
        </w:rPr>
        <mc:AlternateContent>
          <mc:Choice Requires="wps">
            <w:drawing>
              <wp:anchor distT="36576" distB="36576" distL="36576" distR="36576" simplePos="0" relativeHeight="251660288" behindDoc="0" locked="0" layoutInCell="1" allowOverlap="1">
                <wp:simplePos x="0" y="0"/>
                <wp:positionH relativeFrom="column">
                  <wp:posOffset>1600200</wp:posOffset>
                </wp:positionH>
                <wp:positionV relativeFrom="paragraph">
                  <wp:posOffset>1497330</wp:posOffset>
                </wp:positionV>
                <wp:extent cx="0" cy="558800"/>
                <wp:effectExtent l="57150" t="7620" r="57150" b="14605"/>
                <wp:wrapNone/>
                <wp:docPr id="1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88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7B4AD2C" id="_x0000_t32" coordsize="21600,21600" o:spt="32" o:oned="t" path="m,l21600,21600e" filled="f">
                <v:path arrowok="t" fillok="f" o:connecttype="none"/>
                <o:lock v:ext="edit" shapetype="t"/>
              </v:shapetype>
              <v:shape id="AutoShape 2" o:spid="_x0000_s1026" type="#_x0000_t32" style="position:absolute;margin-left:126pt;margin-top:117.9pt;width:0;height:44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pyVqAIAAJYFAAAOAAAAZHJzL2Uyb0RvYy54bWysVF1vmzAUfZ+0/2D5nQIJ5AM1qVJC9tJt&#10;ldppzw42wZqxke2ERNP+e69NQpvuZZrKA/K1fb/OOde3d8dGoAPThiu5wPFNhBGTpaJc7hb4x/Mm&#10;mGFkLJGUCCXZAp+YwXfLz59uuzZjI1UrQZlGEESarGsXuLa2zcLQlDVriLlRLZNwWCndEAum3oVU&#10;kw6iNyIcRdEk7JSmrVYlMwZ21/0hXvr4VcVK+72qDLNILDDUZv1f+//W/cPlLcl2mrQ1L89lkP+o&#10;oiFcQtIh1JpYgvaa/xWq4aVWRlX2plRNqKqKl8z3AN3E0btunmrSMt8LgGPaASbzcWHLb4dHjTgF&#10;7uYYSdIAR6u9VT41Gjl8utZkcC2Xj9p1WB7lU/ugyl8GSZXXRO6Yv/x8asE3dh7hlYszTAtZtt1X&#10;ReEOgfgerGOlGxcSYEBHz8lp4IQdLSr7zRJ203Q2izxdIckufq029gtTDXKLBTZWE76rba6kBOKV&#10;jn0Wcngw1lVFsouDSyrVhgvh+RcSdQs8T0epdzBKcOoO3TWjd9tcaHQgTkH+8y3CydtrWu0l9cFq&#10;RmhxXlvCBayR9dhYzQEtwbDL1jCKkWAwNG7Vlyeky8i8bPuawTpaWPp9QMRL6vc8mhezYpYEyWhS&#10;BEm0XgerTZ4Ek008TdfjdZ6v4z+ulTjJak4pk66bi7zj5N/kcx60XpiDwAfYwuvoHl8o9rrS1SaN&#10;psl4Fkyn6ThIxkUU3M82ebDK48lkWtzn98W7SgvfvfmYYgcoXVVqb5l+qmmHKHdyGafzUYzBgOdg&#10;NO2ZRUTsgJLSaoy0sj+5rb24nSxdjCs15P47czdE74G4cOisgYVzb69QgSQv/PqZcWPSD9xW0dOj&#10;drJw4wPD753OD5V7Xd7a/tbrc7p8AQAA//8DAFBLAwQUAAYACAAAACEAX7kVxN8AAAALAQAADwAA&#10;AGRycy9kb3ducmV2LnhtbEyPQU/DMAyF70j8h8hI3Fi6lo6pNJ3QJBDajTIQx6wxbUXjVEm2lf16&#10;PHGAm+339Py9cjXZQRzQh96RgvksAYHUONNTq2D7+nizBBGiJqMHR6jgGwOsqsuLUhfGHekFD3Vs&#10;BYdQKLSCLsaxkDI0HVodZm5EYu3Teasjr76Vxusjh9tBpkmykFb3xB86PeK6w+ar3lsF02mTY/ve&#10;38bn+dOd3+Trj+ytVur6anq4BxFxin9mOOMzOlTMtHN7MkEMCtI85S6RhyznDuz4vewUZGm2BFmV&#10;8n+H6gcAAP//AwBQSwECLQAUAAYACAAAACEAtoM4kv4AAADhAQAAEwAAAAAAAAAAAAAAAAAAAAAA&#10;W0NvbnRlbnRfVHlwZXNdLnhtbFBLAQItABQABgAIAAAAIQA4/SH/1gAAAJQBAAALAAAAAAAAAAAA&#10;AAAAAC8BAABfcmVscy8ucmVsc1BLAQItABQABgAIAAAAIQAwhpyVqAIAAJYFAAAOAAAAAAAAAAAA&#10;AAAAAC4CAABkcnMvZTJvRG9jLnhtbFBLAQItABQABgAIAAAAIQBfuRXE3wAAAAsBAAAPAAAAAAAA&#10;AAAAAAAAAAIFAABkcnMvZG93bnJldi54bWxQSwUGAAAAAAQABADzAAAADgYAAAAA&#10;">
                <v:stroke endarrow="block"/>
                <v:shadow color="#ccc"/>
              </v:shape>
            </w:pict>
          </mc:Fallback>
        </mc:AlternateContent>
      </w:r>
      <w:r>
        <w:rPr>
          <w:noProof/>
          <w:u w:val="single"/>
          <w:lang w:eastAsia="en-GB"/>
        </w:rPr>
        <mc:AlternateContent>
          <mc:Choice Requires="wps">
            <w:drawing>
              <wp:anchor distT="36576" distB="36576" distL="36576" distR="36576" simplePos="0" relativeHeight="251661312" behindDoc="0" locked="0" layoutInCell="1" allowOverlap="1">
                <wp:simplePos x="0" y="0"/>
                <wp:positionH relativeFrom="column">
                  <wp:posOffset>3886200</wp:posOffset>
                </wp:positionH>
                <wp:positionV relativeFrom="paragraph">
                  <wp:posOffset>1497330</wp:posOffset>
                </wp:positionV>
                <wp:extent cx="0" cy="558800"/>
                <wp:effectExtent l="57150" t="7620" r="57150" b="14605"/>
                <wp:wrapNone/>
                <wp:docPr id="18"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88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ACDF8DD" id="AutoShape 3" o:spid="_x0000_s1026" type="#_x0000_t32" style="position:absolute;margin-left:306pt;margin-top:117.9pt;width:0;height:4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yqAIAAJYFAAAOAAAAZHJzL2Uyb0RvYy54bWysVF1vmzAUfZ+0/2D5nQIJ5AM1qVJC9tJt&#10;ldppzw42wZqxke2ERNP+e69NQpvuZZrKA/K1fb/OOde3d8dGoAPThiu5wPFNhBGTpaJc7hb4x/Mm&#10;mGFkLJGUCCXZAp+YwXfLz59uuzZjI1UrQZlGEESarGsXuLa2zcLQlDVriLlRLZNwWCndEAum3oVU&#10;kw6iNyIcRdEk7JSmrVYlMwZ21/0hXvr4VcVK+72qDLNILDDUZv1f+//W/cPlLcl2mrQ1L89lkP+o&#10;oiFcQtIh1JpYgvaa/xWq4aVWRlX2plRNqKqKl8z3AN3E0btunmrSMt8LgGPaASbzcWHLb4dHjTgF&#10;7oApSRrgaLW3yqdGY4dP15oMruXyUbsOy6N8ah9U+csgqfKayB3zl59PLfjGziO8cnGGaSHLtvuq&#10;KNwhEN+Ddax040ICDOjoOTkNnLCjRWW/WcJums5mkacrJNnFr9XGfmGqQW6xwMZqwne1zZWUQLzS&#10;sc9CDg/GuqpIdnFwSaXacCE8/0KiboHn6Sj1DkYJTt2hu2b0bpsLjQ7EKch/vkU4eXtNq72kPljN&#10;CC3Oa0u4gDWyHhurOaAlGHbZGkYxEgyGxq368oR0GZmXbV8zWEcLS78PiHhJ/Z5H82JWzJIgGU2K&#10;IInW62C1yZNgsomn6Xq8zvN1/Me1EidZzSll0nVzkXec/Jt8zoPWC3MQ+ABbeB3d4wvFXle62qTR&#10;NBnPguk0HQfJuIiC+9kmD1Z5PJlMi/v8vnhXaeG7Nx9T7AClq0rtLdNPNe0Q5U4u43Q+ijEY8ByM&#10;pj2ziIgdUFJajZFW9ie3tRe3k6WLcaWG3H9n7oboPRAXDp01sHDu7RUqkOSFXz8zbkz6gdsqenrU&#10;ThZufGD4vdP5oXKvy1vb33p9TpcvAAAA//8DAFBLAwQUAAYACAAAACEAxJM9qOAAAAALAQAADwAA&#10;AGRycy9kb3ducmV2LnhtbEyPy07DMBBF90j8gzVI7KjzIKUKmVSoEgh1R3iIpRsPSUQ8jmy3DXw9&#10;Rl3Acmau7pxTrWczigM5P1hGSBcJCOLW6oE7hJfn+6sVCB8UazVaJoQv8rCuz88qVWp75Cc6NKET&#10;sYR9qRD6EKZSSt/2ZJRf2Ik43j6sMyrE0XVSO3WM5WaUWZIspVEDxw+9mmjTU/vZ7A3C/L0tqHsb&#10;rsNj+nDjtsXmPX9tEC8v5rtbEIHm8BeGX/yIDnVk2tk9ay9GhGWaRZeAkOVFdIiJ02aHkGf5CmRd&#10;yf8O9Q8AAAD//wMAUEsBAi0AFAAGAAgAAAAhALaDOJL+AAAA4QEAABMAAAAAAAAAAAAAAAAAAAAA&#10;AFtDb250ZW50X1R5cGVzXS54bWxQSwECLQAUAAYACAAAACEAOP0h/9YAAACUAQAACwAAAAAAAAAA&#10;AAAAAAAvAQAAX3JlbHMvLnJlbHNQSwECLQAUAAYACAAAACEAvszfsqgCAACWBQAADgAAAAAAAAAA&#10;AAAAAAAuAgAAZHJzL2Uyb0RvYy54bWxQSwECLQAUAAYACAAAACEAxJM9qOAAAAALAQAADwAAAAAA&#10;AAAAAAAAAAACBQAAZHJzL2Rvd25yZXYueG1sUEsFBgAAAAAEAAQA8wAAAA8GAAAAAA==&#10;">
                <v:stroke endarrow="block"/>
                <v:shadow color="#ccc"/>
              </v:shape>
            </w:pict>
          </mc:Fallback>
        </mc:AlternateContent>
      </w:r>
      <w:r>
        <w:rPr>
          <w:noProof/>
          <w:u w:val="single"/>
          <w:lang w:eastAsia="en-GB"/>
        </w:rPr>
        <mc:AlternateContent>
          <mc:Choice Requires="wps">
            <w:drawing>
              <wp:anchor distT="0" distB="0" distL="114300" distR="114300" simplePos="0" relativeHeight="251662336" behindDoc="0" locked="0" layoutInCell="1" allowOverlap="1">
                <wp:simplePos x="0" y="0"/>
                <wp:positionH relativeFrom="column">
                  <wp:posOffset>1908175</wp:posOffset>
                </wp:positionH>
                <wp:positionV relativeFrom="paragraph">
                  <wp:posOffset>3211830</wp:posOffset>
                </wp:positionV>
                <wp:extent cx="1670050" cy="571500"/>
                <wp:effectExtent l="12700" t="7620" r="12700" b="11430"/>
                <wp:wrapNone/>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rsidR="00E60FAA" w:rsidRDefault="00E60FAA" w:rsidP="00151729">
                            <w:r>
                              <w:t>Records screened</w:t>
                            </w:r>
                            <w:r>
                              <w:br/>
                              <w:t>(n = 129)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50.25pt;margin-top:252.9pt;width:131.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5tKIwIAAEgEAAAOAAAAZHJzL2Uyb0RvYy54bWysVF1v0zAUfUfiP1h+p0mqdt2iptPUUYQ0&#10;YGLwAxzHSSz8xbXbtPx6rp2uZMATIg+Wr319fO4511nfHrUiBwFeWlPRYpZTIgy3jTRdRb9+2b25&#10;psQHZhqmrBEVPQlPbzevX60HV4q57a1qBBAEMb4cXEX7EFyZZZ73QjM/s04Y3GwtaBYwhC5rgA2I&#10;rlU2z/OrbLDQOLBceI+r9+Mm3ST8thU8fGpbLwJRFUVuIY2QxjqO2WbNyg6Y6yU/02D/wEIzafDS&#10;C9Q9C4zsQf4BpSUH620bZtzqzLat5CLVgNUU+W/VPPXMiVQLiuPdRSb//2D5x8MjENmgdytKDNPo&#10;0WdUjZlOCbKI+gzOl5j25B4hVujdg+XfPDF222OWuAOwQy9Yg6yKmJ+9OBADj0dJPXywDaKzfbBJ&#10;qmMLOgKiCOSYHDldHBHHQDguFlerPF+icRz3lqtimSfLMlY+n3bgwzthNYmTigJyT+js8OBDZMPK&#10;55TE3irZ7KRSKYCu3iogB4bdsUtfKgCLnKYpQ4aK3izny4T8Ys9PIfL0/Q1Cy4BtrqSu6PUliZVR&#10;tremSU0YmFTjHCkrc9YxSjdaEI718exGbZsTKgp2bGd8fjjpLfygZMBWrqj/vmcgKFHvDbpyUywW&#10;sfenAUyDehowwxGqooGScboN43vZO5BdjzcVSQZj79DJViaRo8sjqzNvbNek/flpxfcwjVPWrx/A&#10;5icAAAD//wMAUEsDBBQABgAIAAAAIQAzn+v33gAAAAsBAAAPAAAAZHJzL2Rvd25yZXYueG1sTI/N&#10;TsMwEITvSLyDtUjcqA2RSxviVPyIE+LQgODqxkscEa+j2G3Tt2c5wW13djT7TbWZwyAOOKU+koHr&#10;hQKB1EbXU2fg/e35agUiZUvODpHQwAkTbOrzs8qWLh5pi4cmd4JDKJXWgM95LKVMrcdg0yKOSHz7&#10;ilOwmdepk26yRw4Pg7xRaimD7Yk/eDvio8f2u9kHA7ddfmraB91+vPrT6mU9F2nbfBpzeTHf34HI&#10;OOc/M/ziMzrUzLSLe3JJDAYKpTRbDWiluQM79LJgZcfDmhVZV/J/h/oHAAD//wMAUEsBAi0AFAAG&#10;AAgAAAAhALaDOJL+AAAA4QEAABMAAAAAAAAAAAAAAAAAAAAAAFtDb250ZW50X1R5cGVzXS54bWxQ&#10;SwECLQAUAAYACAAAACEAOP0h/9YAAACUAQAACwAAAAAAAAAAAAAAAAAvAQAAX3JlbHMvLnJlbHNQ&#10;SwECLQAUAAYACAAAACEAKyObSiMCAABIBAAADgAAAAAAAAAAAAAAAAAuAgAAZHJzL2Uyb0RvYy54&#10;bWxQSwECLQAUAAYACAAAACEAM5/r994AAAALAQAADwAAAAAAAAAAAAAAAAB9BAAAZHJzL2Rvd25y&#10;ZXYueG1sUEsFBgAAAAAEAAQA8wAAAIgFAAAAAA==&#10;">
                <v:textbox inset=",7.2pt,,7.2pt">
                  <w:txbxContent>
                    <w:p w:rsidR="00E60FAA" w:rsidRDefault="00E60FAA" w:rsidP="00151729">
                      <w:r>
                        <w:t>Records screened</w:t>
                      </w:r>
                      <w:r>
                        <w:br/>
                        <w:t>(n = 129)</w:t>
                      </w:r>
                    </w:p>
                  </w:txbxContent>
                </v:textbox>
              </v:rect>
            </w:pict>
          </mc:Fallback>
        </mc:AlternateContent>
      </w:r>
      <w:r>
        <w:rPr>
          <w:noProof/>
          <w:u w:val="single"/>
          <w:lang w:eastAsia="en-GB"/>
        </w:rPr>
        <mc:AlternateContent>
          <mc:Choice Requires="wps">
            <w:drawing>
              <wp:anchor distT="36576" distB="36576" distL="36576" distR="36576" simplePos="0" relativeHeight="251663360" behindDoc="0" locked="0" layoutInCell="1" allowOverlap="1">
                <wp:simplePos x="0" y="0"/>
                <wp:positionH relativeFrom="column">
                  <wp:posOffset>2743200</wp:posOffset>
                </wp:positionH>
                <wp:positionV relativeFrom="paragraph">
                  <wp:posOffset>3783330</wp:posOffset>
                </wp:positionV>
                <wp:extent cx="0" cy="571500"/>
                <wp:effectExtent l="57150" t="7620" r="57150" b="20955"/>
                <wp:wrapNone/>
                <wp:docPr id="1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871D2C5" id="AutoShape 5" o:spid="_x0000_s1026" type="#_x0000_t32" style="position:absolute;margin-left:3in;margin-top:297.9pt;width:0;height:45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cC2qAIAAJYFAAAOAAAAZHJzL2Uyb0RvYy54bWysVF1vmzAUfZ+0/2D5nQIJ5AM1qVJC9tJt&#10;ldppzw42wZqxke2ERNP+e69NQpvuZZrKA/K1fb/OOde3d8dGoAPThiu5wPFNhBGTpaJc7hb4x/Mm&#10;mGFkLJGUCCXZAp+YwXfLz59uuzZjI1UrQZlGEESarGsXuLa2zcLQlDVriLlRLZNwWCndEAum3oVU&#10;kw6iNyIcRdEk7JSmrVYlMwZ21/0hXvr4VcVK+72qDLNILDDUZv1f+//W/cPlLcl2mrQ1L89lkP+o&#10;oiFcQtIh1JpYgvaa/xWq4aVWRlX2plRNqKqKl8z3AN3E0btunmrSMt8LgGPaASbzcWHLb4dHjTgF&#10;7iYYSdIAR6u9VT41Sh0+XWsyuJbLR+06LI/yqX1Q5S+DpMprInfMX34+teAbO4/wysUZpoUs2+6r&#10;onCHQHwP1rHSjQsJMKCj5+Q0cMKOFpX9Zgm76TROI09XSLKLX6uN/cJUg9xigY3VhO9qmyspgXil&#10;Y5+FHB6MdVWR7OLgkkq14UJ4/oVE3QLP01HqHYwSnLpDd83o3TYXGh2IU5D/fItw8vaaVntJfbCa&#10;EVqc15ZwAWtkPTZWc0BLMOyyNYxiJBgMjVv15QnpMjIv275msI4Wln4fEPGS+j2P5sWsmCVBMpoU&#10;QRKt18FqkyfBZBNP0/V4nefr+I9rJU6ymlPKpOvmIu84+Tf5nAetF+Yg8AG28Dq6xxeKva50tUmj&#10;aTKeBdNpOg6ScREF97NNHqzyeDKZFvf5ffGu0sJ3bz6m2AFKV5XaW6afatohyp1cxul8FGMw4DkY&#10;TXtmERE7oKS0GiOt7E9uay9uJ0sX40oNuf/O3A3ReyAuHDprYOHc2ytUIMkLv35m3Jj0A7dV9PSo&#10;nSzc+MDwe6fzQ+Vel7e2v/X6nC5fAAAA//8DAFBLAwQUAAYACAAAACEAOdT5A98AAAALAQAADwAA&#10;AGRycy9kb3ducmV2LnhtbEyPS0/DMBCE70j8B2uRuFGnj5QSsqlQJRDqreEhjm68JBHxOordNvDr&#10;WcQBjjs7mpkvX4+uU0caQusZYTpJQBFX3rZcIzw/3V+tQIVo2JrOMyF8UoB1cX6Wm8z6E+/oWMZa&#10;SQiHzCA0MfaZ1qFqyJkw8T2x/N794EyUc6i1HcxJwl2nZ0my1M60LA2N6WnTUPVRHhzC+LVNqX5t&#10;F/Fx+nA9bNPN2/ylRLy8GO9uQUUa458ZfubLdChk094f2AbVISzmM2GJCOlNKgzi+FX2CMuVKLrI&#10;9X+G4hsAAP//AwBQSwECLQAUAAYACAAAACEAtoM4kv4AAADhAQAAEwAAAAAAAAAAAAAAAAAAAAAA&#10;W0NvbnRlbnRfVHlwZXNdLnhtbFBLAQItABQABgAIAAAAIQA4/SH/1gAAAJQBAAALAAAAAAAAAAAA&#10;AAAAAC8BAABfcmVscy8ucmVsc1BLAQItABQABgAIAAAAIQAq8cC2qAIAAJYFAAAOAAAAAAAAAAAA&#10;AAAAAC4CAABkcnMvZTJvRG9jLnhtbFBLAQItABQABgAIAAAAIQA51PkD3wAAAAsBAAAPAAAAAAAA&#10;AAAAAAAAAAIFAABkcnMvZG93bnJldi54bWxQSwUGAAAAAAQABADzAAAADgYAAAAA&#10;">
                <v:stroke endarrow="block"/>
                <v:shadow color="#ccc"/>
              </v:shape>
            </w:pict>
          </mc:Fallback>
        </mc:AlternateContent>
      </w:r>
      <w:r w:rsidR="00151729" w:rsidRPr="00151729">
        <w:rPr>
          <w:u w:val="single"/>
        </w:rPr>
        <w:t>Figure 1</w:t>
      </w:r>
      <w:r w:rsidR="00151729">
        <w:t xml:space="preserve"> – PRISMA diagram: identification and screening of studies post-2008.</w:t>
      </w:r>
      <w:r w:rsidR="00151729">
        <w:tab/>
      </w:r>
    </w:p>
    <w:p w:rsidR="00151729" w:rsidRDefault="00A47871" w:rsidP="00151729">
      <w:r>
        <w:rPr>
          <w:noProof/>
          <w:lang w:eastAsia="en-GB"/>
        </w:rPr>
        <mc:AlternateContent>
          <mc:Choice Requires="wps">
            <w:drawing>
              <wp:anchor distT="0" distB="0" distL="114300" distR="114300" simplePos="0" relativeHeight="251664384" behindDoc="0" locked="0" layoutInCell="1" allowOverlap="1">
                <wp:simplePos x="0" y="0"/>
                <wp:positionH relativeFrom="column">
                  <wp:posOffset>2914650</wp:posOffset>
                </wp:positionH>
                <wp:positionV relativeFrom="paragraph">
                  <wp:posOffset>328295</wp:posOffset>
                </wp:positionV>
                <wp:extent cx="2228850" cy="863600"/>
                <wp:effectExtent l="9525" t="8255" r="9525" b="13970"/>
                <wp:wrapNone/>
                <wp:docPr id="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863600"/>
                        </a:xfrm>
                        <a:prstGeom prst="rect">
                          <a:avLst/>
                        </a:prstGeom>
                        <a:solidFill>
                          <a:srgbClr val="FFFFFF"/>
                        </a:solidFill>
                        <a:ln w="9525">
                          <a:solidFill>
                            <a:srgbClr val="000000"/>
                          </a:solidFill>
                          <a:miter lim="800000"/>
                          <a:headEnd/>
                          <a:tailEnd/>
                        </a:ln>
                      </wps:spPr>
                      <wps:txbx>
                        <w:txbxContent>
                          <w:p w:rsidR="00E60FAA" w:rsidRDefault="00E60FAA" w:rsidP="00151729">
                            <w:r>
                              <w:t>Additional records identified through other sources</w:t>
                            </w:r>
                            <w:r>
                              <w:br/>
                              <w:t>(n = 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7" style="position:absolute;margin-left:229.5pt;margin-top:25.85pt;width:175.5pt;height:6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SsJQIAAE8EAAAOAAAAZHJzL2Uyb0RvYy54bWysVNuO0zAQfUfiHyy/06RhW3WjpqtVlyKk&#10;hV2x8AGO4yQWvjF2my5fz9hpSxZ4QuTB8sTjkzPnzGR9c9SKHAR4aU1F57OcEmG4baTpKvr1y+7N&#10;ihIfmGmYskZU9Fl4erN5/Wo9uFIUtreqEUAQxPhycBXtQ3BllnneC838zDph8LC1oFnAELqsATYg&#10;ulZZkefLbLDQOLBceI9v78ZDukn4bSt4eGhbLwJRFUVuIa2Q1jqu2WbNyg6Y6yU/0WD/wEIzafCj&#10;F6g7FhjZg/wDSksO1ts2zLjVmW1byUWqAauZ579V89QzJ1ItKI53F5n8/4Plnw6PQGSD3i0oMUyj&#10;R59RNWY6Jcgy6jM4X2Lak3uEWKF395Z/88TYbY9Z4hbADr1gDbKax/zsxYUYeLxK6uGjbRCd7YNN&#10;Uh1b0BEQRSDH5MjzxRFxDITjy6IoVqsFGsfxbLV8u8yTZRkrz7cd+PBeWE3ipqKA3BM6O9z7ENmw&#10;8pyS2Fslm51UKgXQ1VsF5MCwO3bpSQVgkdM0ZchQ0etFsUjIL878FCJPz98gtAzY5kpqrOKSxMoo&#10;2zvTpCYMTKpxj5SVOekYpRstCMf6OBp1NqW2zTMKC3bsapxC3PQWflAyYEdX1H/fMxCUqA8Gzbme&#10;X13FEZgGMA3qacAMR6iKBkrG7TaMY7N3ILsevzRPahh7i4a2MmkdzR5Znehj1yYLThMWx2Iap6xf&#10;/4HNTwAAAP//AwBQSwMEFAAGAAgAAAAhAFSSXpjfAAAACgEAAA8AAABkcnMvZG93bnJldi54bWxM&#10;j01PwzAMhu9I/IfISNxYWqC0K00nPsQJ7bCCtmuWmqaicaom27p/jznB0faj189brWY3iCNOofek&#10;IF0kIJCMb3vqFHx+vN0UIELU1OrBEyo4Y4BVfXlR6bL1J9rgsYmd4BAKpVZgYxxLKYOx6HRY+BGJ&#10;b19+cjryOHWynfSJw90gb5PkQTrdE3+wesQXi+a7OTgFeRdfG/Ocme3anov35XwXNs1Oqeur+ekR&#10;RMQ5/sHwq8/qULPT3h+oDWJQcJ8tuUtUkKU5CAaKNOHFnskiz0HWlfxfof4BAAD//wMAUEsBAi0A&#10;FAAGAAgAAAAhALaDOJL+AAAA4QEAABMAAAAAAAAAAAAAAAAAAAAAAFtDb250ZW50X1R5cGVzXS54&#10;bWxQSwECLQAUAAYACAAAACEAOP0h/9YAAACUAQAACwAAAAAAAAAAAAAAAAAvAQAAX3JlbHMvLnJl&#10;bHNQSwECLQAUAAYACAAAACEALG/krCUCAABPBAAADgAAAAAAAAAAAAAAAAAuAgAAZHJzL2Uyb0Rv&#10;Yy54bWxQSwECLQAUAAYACAAAACEAVJJemN8AAAAKAQAADwAAAAAAAAAAAAAAAAB/BAAAZHJzL2Rv&#10;d25yZXYueG1sUEsFBgAAAAAEAAQA8wAAAIsFAAAAAA==&#10;">
                <v:textbox inset=",7.2pt,,7.2pt">
                  <w:txbxContent>
                    <w:p w:rsidR="00E60FAA" w:rsidRDefault="00E60FAA" w:rsidP="00151729">
                      <w:r>
                        <w:t>Additional records identified through other sources</w:t>
                      </w:r>
                      <w:r>
                        <w:br/>
                        <w:t>(n = 0)</w:t>
                      </w:r>
                    </w:p>
                  </w:txbxContent>
                </v:textbox>
              </v:rect>
            </w:pict>
          </mc:Fallback>
        </mc:AlternateContent>
      </w:r>
      <w:r>
        <w:rPr>
          <w:noProof/>
          <w:lang w:eastAsia="en-GB"/>
        </w:rPr>
        <mc:AlternateContent>
          <mc:Choice Requires="wps">
            <w:drawing>
              <wp:anchor distT="0" distB="0" distL="114300" distR="114300" simplePos="0" relativeHeight="251665408" behindDoc="0" locked="0" layoutInCell="1" allowOverlap="1">
                <wp:simplePos x="0" y="0"/>
                <wp:positionH relativeFrom="column">
                  <wp:posOffset>342900</wp:posOffset>
                </wp:positionH>
                <wp:positionV relativeFrom="paragraph">
                  <wp:posOffset>328295</wp:posOffset>
                </wp:positionV>
                <wp:extent cx="2228850" cy="860425"/>
                <wp:effectExtent l="9525" t="8255" r="9525" b="7620"/>
                <wp:wrapNone/>
                <wp:docPr id="1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860425"/>
                        </a:xfrm>
                        <a:prstGeom prst="rect">
                          <a:avLst/>
                        </a:prstGeom>
                        <a:solidFill>
                          <a:srgbClr val="FFFFFF"/>
                        </a:solidFill>
                        <a:ln w="9525">
                          <a:solidFill>
                            <a:srgbClr val="000000"/>
                          </a:solidFill>
                          <a:miter lim="800000"/>
                          <a:headEnd/>
                          <a:tailEnd/>
                        </a:ln>
                      </wps:spPr>
                      <wps:txbx>
                        <w:txbxContent>
                          <w:p w:rsidR="00E60FAA" w:rsidRDefault="00E60FAA" w:rsidP="00151729">
                            <w:r>
                              <w:t>Records identified through database searching</w:t>
                            </w:r>
                            <w:r>
                              <w:br/>
                              <w:t>(n = 1,639)</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8" style="position:absolute;margin-left:27pt;margin-top:25.85pt;width:175.5pt;height:67.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iJcIQIAAE8EAAAOAAAAZHJzL2Uyb0RvYy54bWysVNuO0zAQfUfiHyy/06RRu3SjpqtVlyKk&#10;BVYsfIDjOImFb4zdJuXrGTvdbrmIB0QeLI89PnPmzEzWN6NW5CDAS2sqOp/llAjDbSNNV9Evn3ev&#10;VpT4wEzDlDWiokfh6c3m5Yv14EpR2N6qRgBBEOPLwVW0D8GVWeZ5LzTzM+uEwcvWgmYBTeiyBtiA&#10;6FplRZ5fZYOFxoHlwns8vZsu6Sbht63g4WPbehGIqihyC2mFtNZxzTZrVnbAXC/5iQb7BxaaSYNB&#10;z1B3LDCyB/kblJYcrLdtmHGrM9u2kouUA2Yzz3/J5rFnTqRcUBzvzjL5/wfLPxwegMgGa7egxDCN&#10;NfqEqjHTKUFeR30G50t0e3QPEDP07t7yr54Yu+3RS9wC2KEXrEFW8+if/fQgGh6fknp4bxtEZ/tg&#10;k1RjCzoCoghkTBU5nisixkA4HhZFsVotsXAc71ZX+aJYphCsfHrtwIe3wmoSNxUF5J7Q2eHeh8iG&#10;lU8uib1VstlJpZIBXb1VQA4Mu2OXvhO6v3RThgwVvV5i7L9D5On7E4SWAdtcSY1ZnJ1YGWV7Y5rU&#10;hIFJNe2RsjInHaN0UwnCWI+pUEUMEGWtbXNEYcFOXY1TiJvewndKBuzoivpvewaCEvXOYHGu54tF&#10;HIFLAy6N+tJghiNURQMl03YbprHZO5Bdj5HmSQ1jb7GgrUxaP7M60ceuTSU4TVgci0s7eT3/BzY/&#10;AAAA//8DAFBLAwQUAAYACAAAACEAqjE8Vt4AAAAJAQAADwAAAGRycy9kb3ducmV2LnhtbEyPzU7D&#10;MBCE70i8g7VI3KjT0pAQ4lT8iBPi0IDg6tpLHBGvo9ht07dnOcFptTuj2W/qzewHccAp9oEULBcZ&#10;CCQTbE+dgve356sSREyarB4CoYITRtg052e1rmw40hYPbeoEh1CstAKX0lhJGY1Dr+MijEisfYXJ&#10;68Tr1Ek76SOH+0GusuxGet0Tf3B6xEeH5rvdewVFl55a85Cbj1d3Kl9u5+u4bT+VuryY7+9AJJzT&#10;nxl+8RkdGmbahT3ZKAYF+ZqrJJ7LAgTr6yznw46NZbEC2dTyf4PmBwAA//8DAFBLAQItABQABgAI&#10;AAAAIQC2gziS/gAAAOEBAAATAAAAAAAAAAAAAAAAAAAAAABbQ29udGVudF9UeXBlc10ueG1sUEsB&#10;Ai0AFAAGAAgAAAAhADj9If/WAAAAlAEAAAsAAAAAAAAAAAAAAAAALwEAAF9yZWxzLy5yZWxzUEsB&#10;Ai0AFAAGAAgAAAAhAPaeIlwhAgAATwQAAA4AAAAAAAAAAAAAAAAALgIAAGRycy9lMm9Eb2MueG1s&#10;UEsBAi0AFAAGAAgAAAAhAKoxPFbeAAAACQEAAA8AAAAAAAAAAAAAAAAAewQAAGRycy9kb3ducmV2&#10;LnhtbFBLBQYAAAAABAAEAPMAAACGBQAAAAA=&#10;">
                <v:textbox inset=",7.2pt,,7.2pt">
                  <w:txbxContent>
                    <w:p w:rsidR="00E60FAA" w:rsidRDefault="00E60FAA" w:rsidP="00151729">
                      <w:r>
                        <w:t>Records identified through database searching</w:t>
                      </w:r>
                      <w:r>
                        <w:br/>
                        <w:t>(n = 1,639)</w:t>
                      </w:r>
                    </w:p>
                  </w:txbxContent>
                </v:textbox>
              </v:rect>
            </w:pict>
          </mc:Fallback>
        </mc:AlternateContent>
      </w:r>
      <w:r>
        <w:rPr>
          <w:noProof/>
          <w:lang w:eastAsia="en-GB"/>
        </w:rPr>
        <mc:AlternateContent>
          <mc:Choice Requires="wps">
            <w:drawing>
              <wp:anchor distT="0" distB="0" distL="114300" distR="114300" simplePos="0" relativeHeight="251666432" behindDoc="0" locked="0" layoutInCell="1" allowOverlap="1">
                <wp:simplePos x="0" y="0"/>
                <wp:positionH relativeFrom="column">
                  <wp:posOffset>-890270</wp:posOffset>
                </wp:positionH>
                <wp:positionV relativeFrom="paragraph">
                  <wp:posOffset>692785</wp:posOffset>
                </wp:positionV>
                <wp:extent cx="1371600" cy="504825"/>
                <wp:effectExtent l="9525" t="6350" r="9525" b="12700"/>
                <wp:wrapNone/>
                <wp:docPr id="1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504825"/>
                        </a:xfrm>
                        <a:prstGeom prst="roundRect">
                          <a:avLst>
                            <a:gd name="adj" fmla="val 16667"/>
                          </a:avLst>
                        </a:prstGeom>
                        <a:solidFill>
                          <a:srgbClr val="CCECFF"/>
                        </a:solidFill>
                        <a:ln w="9525">
                          <a:solidFill>
                            <a:srgbClr val="000000"/>
                          </a:solidFill>
                          <a:round/>
                          <a:headEnd/>
                          <a:tailEnd/>
                        </a:ln>
                      </wps:spPr>
                      <wps:txbx>
                        <w:txbxContent>
                          <w:p w:rsidR="00E60FAA" w:rsidRDefault="00E60FAA" w:rsidP="00151729">
                            <w:pPr>
                              <w:pStyle w:val="Heading2"/>
                            </w:pPr>
                            <w: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8" o:spid="_x0000_s1029" style="position:absolute;margin-left:-70.1pt;margin-top:54.55pt;width:108pt;height:39.75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xOQPwIAAIUEAAAOAAAAZHJzL2Uyb0RvYy54bWysVNuO0zAQfUfiHyy/0zTt9kLVdLXKbhHS&#10;AisWPsC1ncTgeIztNunfM3ZDtwWJB0QerBl7fDxzzkzWt32ryUE6r8AUNB+NKZGGg1CmLujXL9s3&#10;S0p8YEYwDUYW9Cg9vd28frXu7EpOoAEtpCMIYvyqswVtQrCrLPO8kS3zI7DS4GEFrmUBXVdnwrEO&#10;0VudTcbjedaBE9YBl97j7v3pkG4SflVJHj5VlZeB6IJibiGtLq27uGabNVvVjtlG8SEN9g9ZtEwZ&#10;fPQMdc8CI3un/oBqFXfgoQojDm0GVaW4TDVgNfn4t2qeG2ZlqgXJ8fZMk/9/sPzj4ckRJVC7KSWG&#10;tajR3T5AeposIz+d9SsMe7ZPLlbo7SPw754YKBtmannnHHSNZAKzymN8dnUhOh6vkl33AQSiM0RP&#10;VPWVa4kDlCSfo5T4pW3khPRJoONZINkHwnEzny7yOcYRjmez8c1yMksvslUEi9lZ58M7CS2JRkEd&#10;7I34jF2QoNnh0YekkhhKZeIbJVWrUfMD0ySfz+eLAXEIzl4wU/WgldgqrZPj6l2pHcGrBS3Lh3K7&#10;HS77yzBtSFfQtzNM9u8QiYTUk/jqFUSqI/VqZPrBiGQHpvTJxnhtBuoj2yfVQr/rk7bTmFZUYgfi&#10;iFok1pFGHFwkKa6TBbodzkFB/Y89c5IS/d6gpDezxSQOzqXjLp3dpcMMbwDHK1ByMstwGra9dapu&#10;otaJAwOxySoVfvXLKbGhAux1tK6G6dJPUS9/j81PAAAA//8DAFBLAwQUAAYACAAAACEA9H7Lqd4A&#10;AAAIAQAADwAAAGRycy9kb3ducmV2LnhtbEyPwU7DMBBE70j8g7VI3FqbqE1pyKZCFZw4NSAQNyde&#10;kpR4HWKnDX+POcFxNKOZN/lutr040eg7xwg3SwWCuHam4wbh5flxcQvCB81G944J4Zs87IrLi1xn&#10;xp35QKcyNCKWsM80QhvCkEnp65as9ks3EEfvw41WhyjHRppRn2O57WWiVCqt7jgutHqgfUv1ZzlZ&#10;hCbpDyV/HdO3/cPq/TillVKvT4jXV/P9HYhAc/gLwy9+RIciMlVuYuNFj7DYJPFLQFipLYgY2KxB&#10;VAjJOt2CLHL5/0DxAwAA//8DAFBLAQItABQABgAIAAAAIQC2gziS/gAAAOEBAAATAAAAAAAAAAAA&#10;AAAAAAAAAABbQ29udGVudF9UeXBlc10ueG1sUEsBAi0AFAAGAAgAAAAhADj9If/WAAAAlAEAAAsA&#10;AAAAAAAAAAAAAAAALwEAAF9yZWxzLy5yZWxzUEsBAi0AFAAGAAgAAAAhAPMTE5A/AgAAhQQAAA4A&#10;AAAAAAAAAAAAAAAALgIAAGRycy9lMm9Eb2MueG1sUEsBAi0AFAAGAAgAAAAhAPR+y6neAAAACAEA&#10;AA8AAAAAAAAAAAAAAAAAmQQAAGRycy9kb3ducmV2LnhtbFBLBQYAAAAABAAEAPMAAACkBQAAAAA=&#10;" fillcolor="#ccecff">
                <v:textbox style="layout-flow:vertical;mso-layout-flow-alt:bottom-to-top" inset="3.6pt,,3.6pt">
                  <w:txbxContent>
                    <w:p w:rsidR="00E60FAA" w:rsidRDefault="00E60FAA" w:rsidP="00151729">
                      <w:pPr>
                        <w:pStyle w:val="Heading2"/>
                      </w:pPr>
                      <w:r>
                        <w:t>Identification</w:t>
                      </w:r>
                    </w:p>
                  </w:txbxContent>
                </v:textbox>
              </v:roundrect>
            </w:pict>
          </mc:Fallback>
        </mc:AlternateContent>
      </w:r>
    </w:p>
    <w:p w:rsidR="00151729" w:rsidRDefault="00151729" w:rsidP="00151729"/>
    <w:p w:rsidR="00151729" w:rsidRDefault="00151729" w:rsidP="00151729"/>
    <w:p w:rsidR="00151729" w:rsidRDefault="00151729" w:rsidP="00151729"/>
    <w:p w:rsidR="00151729" w:rsidRDefault="00151729" w:rsidP="00151729"/>
    <w:p w:rsidR="00151729" w:rsidRDefault="00A47871" w:rsidP="00151729">
      <w:r>
        <w:rPr>
          <w:noProof/>
          <w:lang w:eastAsia="en-GB"/>
        </w:rPr>
        <mc:AlternateContent>
          <mc:Choice Requires="wps">
            <w:drawing>
              <wp:anchor distT="0" distB="0" distL="114300" distR="114300" simplePos="0" relativeHeight="251667456" behindDoc="0" locked="0" layoutInCell="1" allowOverlap="1">
                <wp:simplePos x="0" y="0"/>
                <wp:positionH relativeFrom="column">
                  <wp:posOffset>1356995</wp:posOffset>
                </wp:positionH>
                <wp:positionV relativeFrom="paragraph">
                  <wp:posOffset>10795</wp:posOffset>
                </wp:positionV>
                <wp:extent cx="2771775" cy="896620"/>
                <wp:effectExtent l="13970" t="13970" r="5080" b="13335"/>
                <wp:wrapNone/>
                <wp:docPr id="1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896620"/>
                        </a:xfrm>
                        <a:prstGeom prst="rect">
                          <a:avLst/>
                        </a:prstGeom>
                        <a:solidFill>
                          <a:srgbClr val="FFFFFF"/>
                        </a:solidFill>
                        <a:ln w="9525">
                          <a:solidFill>
                            <a:srgbClr val="000000"/>
                          </a:solidFill>
                          <a:miter lim="800000"/>
                          <a:headEnd/>
                          <a:tailEnd/>
                        </a:ln>
                      </wps:spPr>
                      <wps:txbx>
                        <w:txbxContent>
                          <w:p w:rsidR="00E60FAA" w:rsidRDefault="00E60FAA" w:rsidP="00151729">
                            <w:r>
                              <w:t>Records after duplicates and studies unrelated to IBD were removed</w:t>
                            </w:r>
                          </w:p>
                          <w:p w:rsidR="00E60FAA" w:rsidRDefault="00E60FAA" w:rsidP="00151729">
                            <w:r>
                              <w:t>(n = 129)</w:t>
                            </w:r>
                            <w:r>
                              <w:br/>
                              <w:t>(n =  131 )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0" style="position:absolute;margin-left:106.85pt;margin-top:.85pt;width:218.25pt;height:70.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Fr7JgIAAE8EAAAOAAAAZHJzL2Uyb0RvYy54bWysVNuO0zAQfUfiHyy/0zRRL9uo6WrVpQhp&#10;gRULH+A4TmLh2GbsNlm+nrHTlizwhMiD5YnHJ2fOmcn2dugUOQlw0uiCprM5JUJzU0ndFPTrl8Ob&#10;G0qcZ7piymhR0Gfh6O3u9attb3ORmdaoSgBBEO3y3ha09d7mSeJ4KzrmZsYKjYe1gY55DKFJKmA9&#10;oncqyebzVdIbqCwYLpzDt/fjId1F/LoW3H+qayc8UQVFbj6uENcyrMluy/IGmG0lP9Ng/8CiY1Lj&#10;R69Q98wzcgT5B1QnORhnaj/jpktMXUsuYg1YTTr/rZqnllkRa0FxnL3K5P4fLP94egQiK/Quo0Sz&#10;Dj36jKox3ShBNkGf3roc057sI4QKnX0w/Jsj2uxbzBJ3AKZvBauQVRrykxcXQuDwKin7D6ZCdHb0&#10;Jko11NAFQBSBDNGR56sjYvCE48tsvU7X6yUlHM9uNqtVFi1LWH65bcH5d8J0JGwKCsg9orPTg/OB&#10;DcsvKZG9UbI6SKViAE25V0BODLvjEJ9YABY5TVOa9AXdLLNlRH5x5qYQ8/j8DaKTHttcyQ6ruCax&#10;PMj2VlexCT2TatwjZaXPOgbpRgv8UA7RqMXFlNJUzygsmLGrcQpx0xr4QUmPHV1Q9/3IQFCi3ms0&#10;Z5MuFmEEpgFMg3IaMM0RqqCeknG79+PYHC3IpsUvpVENbe7Q0FpGrYPZI6szfezaaMF5wsJYTOOY&#10;9es/sPsJAAD//wMAUEsDBBQABgAIAAAAIQDgXgHT3gAAAAkBAAAPAAAAZHJzL2Rvd25yZXYueG1s&#10;TI9LT8MwEITvSPwHa5G4UacpfYU4FQ9xQhwaEFxde4kj4nUUu23677s9wWk1+kazM+Vm9J044BDb&#10;QAqmkwwEkgm2pUbB58fr3QpETJqs7gKhghNG2FTXV6UubDjSFg91agSHUCy0ApdSX0gZjUOv4yT0&#10;SMx+wuB1Yjk00g76yOG+k3mWLaTXLfEHp3t8dmh+671XsGzSS22e5ubr3Z1Wb+txFrf1t1K3N+Pj&#10;A4iEY/ozw6U+V4eKO+3CnmwUnYJ8OluylQEf5ot5loPYsb7P1yCrUv5fUJ0BAAD//wMAUEsBAi0A&#10;FAAGAAgAAAAhALaDOJL+AAAA4QEAABMAAAAAAAAAAAAAAAAAAAAAAFtDb250ZW50X1R5cGVzXS54&#10;bWxQSwECLQAUAAYACAAAACEAOP0h/9YAAACUAQAACwAAAAAAAAAAAAAAAAAvAQAAX3JlbHMvLnJl&#10;bHNQSwECLQAUAAYACAAAACEAzaRa+yYCAABPBAAADgAAAAAAAAAAAAAAAAAuAgAAZHJzL2Uyb0Rv&#10;Yy54bWxQSwECLQAUAAYACAAAACEA4F4B094AAAAJAQAADwAAAAAAAAAAAAAAAACABAAAZHJzL2Rv&#10;d25yZXYueG1sUEsFBgAAAAAEAAQA8wAAAIsFAAAAAA==&#10;">
                <v:textbox inset=",7.2pt,,7.2pt">
                  <w:txbxContent>
                    <w:p w:rsidR="00E60FAA" w:rsidRDefault="00E60FAA" w:rsidP="00151729">
                      <w:r>
                        <w:t>Records after duplicates and studies unrelated to IBD were removed</w:t>
                      </w:r>
                    </w:p>
                    <w:p w:rsidR="00E60FAA" w:rsidRDefault="00E60FAA" w:rsidP="00151729">
                      <w:r>
                        <w:t>(n = 129)</w:t>
                      </w:r>
                      <w:r>
                        <w:br/>
                        <w:t>(n =  131 )</w:t>
                      </w:r>
                    </w:p>
                  </w:txbxContent>
                </v:textbox>
              </v:rect>
            </w:pict>
          </mc:Fallback>
        </mc:AlternateContent>
      </w:r>
      <w:r>
        <w:rPr>
          <w:noProof/>
          <w:lang w:eastAsia="en-GB"/>
        </w:rPr>
        <mc:AlternateContent>
          <mc:Choice Requires="wps">
            <w:drawing>
              <wp:anchor distT="36576" distB="36576" distL="36576" distR="36576" simplePos="0" relativeHeight="251668480" behindDoc="0" locked="0" layoutInCell="1" allowOverlap="1">
                <wp:simplePos x="0" y="0"/>
                <wp:positionH relativeFrom="column">
                  <wp:posOffset>2743200</wp:posOffset>
                </wp:positionH>
                <wp:positionV relativeFrom="paragraph">
                  <wp:posOffset>907415</wp:posOffset>
                </wp:positionV>
                <wp:extent cx="0" cy="259080"/>
                <wp:effectExtent l="57150" t="5715" r="57150" b="20955"/>
                <wp:wrapNone/>
                <wp:docPr id="1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908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76399AA" id="AutoShape 10" o:spid="_x0000_s1026" type="#_x0000_t32" style="position:absolute;margin-left:3in;margin-top:71.45pt;width:0;height:20.4pt;z-index:251668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fg2qgIAAJcFAAAOAAAAZHJzL2Uyb0RvYy54bWysVMlu2zAQvRfoPxC8K1osb0LkwJHlXtI2&#10;QFL0TIuURZQiBZK2bBT99wxpW4nTS1FEB4FDzvLmzSNv7w6tQHumDVcyx/FNhBGTlaJcbnP843kd&#10;zDAylkhKhJIsx0dm8N3i86fbvstYoholKNMIkkiT9V2OG2u7LAxN1bCWmBvVMQmHtdItsWDqbUg1&#10;6SF7K8IkiiZhrzTttKqYMbC7Oh3ihc9f16yy3+vaMItEjgGb9X/t/xv3Dxe3JNtq0jW8OsMg/4Gi&#10;JVxC0SHViliCdpr/larllVZG1famUm2o6ppXzPcA3cTRu26eGtIx3wuQY7qBJvNxaatv+0eNOIXZ&#10;xRhJ0sKMljurfGkUe4L6zmTgV8hH7VqsDvKpe1DVL4OkKhoit8x7Px87CI4dpeFViDNMB2U2/VdF&#10;wYdAAc/WodatSwk8oIMfynEYCjtYVJ02K9hNxvNo5uGEJLvEddrYL0y1yC1ybKwmfNvYQkkJk1c6&#10;9lXI/sFYh4pklwBXVKo1F8ILQEjU53g+TsY+wCjBqTt0bkZvN4XQaE+chPznW4STt25a7ST1yRpG&#10;aHleW8IFrJH13FjNgS3BsKvWMoqRYHBr3OoET0hXkXndnjCDdbCw9PvAiNfU73k0L2flLA3SZFIG&#10;abRaBct1kQaTdTwdr0aroljFf1wrcZo1nFImXTcXfcfpv+nnfNNOyhwUPtAWXmf3/ALYa6TL9Tia&#10;pqNZMJ2OR0E6KqPgfrYugmURTybT8r64L98hLX335mPADlQ6VGpnmX5qaI8od3IZjecJiJ5yeA+S&#10;6WmyiIgtjKSyGiOt7E9uGy9uJ0uX40oNhf/Osxuyn4i4zNBZwxTOvb1SBZK8zNffGXdN3Ntlso2i&#10;x0ftZOEsuP0+6PxSueflre29Xt/TxQsAAAD//wMAUEsDBBQABgAIAAAAIQBJPLJR3wAAAAsBAAAP&#10;AAAAZHJzL2Rvd25yZXYueG1sTI/NTsMwEITvSLyDtUjcqNMkpSXEqVAlEOqt4Ucc3XhJIuJ1ZLtt&#10;4OlZxAGOOzOa/aZcT3YQR/Shd6RgPktAIDXO9NQqeH66v1qBCFGT0YMjVPCJAdbV+VmpC+NOtMNj&#10;HVvBJRQKraCLcSykDE2HVoeZG5HYe3fe6sinb6Xx+sTldpBpklxLq3viD50ecdNh81EfrILpa7vA&#10;9rXP4+P8Yem3i81b9lIrdXkx3d2CiDjFvzD84DM6VMy0dwcyQQwK8izlLZGNPL0BwYlfZc/KKluC&#10;rEr5f0P1DQAA//8DAFBLAQItABQABgAIAAAAIQC2gziS/gAAAOEBAAATAAAAAAAAAAAAAAAAAAAA&#10;AABbQ29udGVudF9UeXBlc10ueG1sUEsBAi0AFAAGAAgAAAAhADj9If/WAAAAlAEAAAsAAAAAAAAA&#10;AAAAAAAALwEAAF9yZWxzLy5yZWxzUEsBAi0AFAAGAAgAAAAhAB9t+DaqAgAAlwUAAA4AAAAAAAAA&#10;AAAAAAAALgIAAGRycy9lMm9Eb2MueG1sUEsBAi0AFAAGAAgAAAAhAEk8slHfAAAACwEAAA8AAAAA&#10;AAAAAAAAAAAABAUAAGRycy9kb3ducmV2LnhtbFBLBQYAAAAABAAEAPMAAAAQBgAAAAA=&#10;">
                <v:stroke endarrow="block"/>
                <v:shadow color="#ccc"/>
              </v:shape>
            </w:pict>
          </mc:Fallback>
        </mc:AlternateContent>
      </w:r>
      <w:r>
        <w:rPr>
          <w:noProof/>
          <w:lang w:eastAsia="en-GB"/>
        </w:rPr>
        <mc:AlternateContent>
          <mc:Choice Requires="wps">
            <w:drawing>
              <wp:anchor distT="0" distB="0" distL="114300" distR="114300" simplePos="0" relativeHeight="251669504" behindDoc="0" locked="0" layoutInCell="1" allowOverlap="1">
                <wp:simplePos x="0" y="0"/>
                <wp:positionH relativeFrom="column">
                  <wp:posOffset>-890270</wp:posOffset>
                </wp:positionH>
                <wp:positionV relativeFrom="paragraph">
                  <wp:posOffset>677545</wp:posOffset>
                </wp:positionV>
                <wp:extent cx="1371600" cy="504825"/>
                <wp:effectExtent l="9525" t="9525" r="9525" b="9525"/>
                <wp:wrapNone/>
                <wp:docPr id="1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504825"/>
                        </a:xfrm>
                        <a:prstGeom prst="roundRect">
                          <a:avLst>
                            <a:gd name="adj" fmla="val 16667"/>
                          </a:avLst>
                        </a:prstGeom>
                        <a:solidFill>
                          <a:srgbClr val="CCECFF"/>
                        </a:solidFill>
                        <a:ln w="9525">
                          <a:solidFill>
                            <a:srgbClr val="000000"/>
                          </a:solidFill>
                          <a:round/>
                          <a:headEnd/>
                          <a:tailEnd/>
                        </a:ln>
                      </wps:spPr>
                      <wps:txbx>
                        <w:txbxContent>
                          <w:p w:rsidR="00E60FAA" w:rsidRDefault="00E60FAA" w:rsidP="00151729">
                            <w:pPr>
                              <w:pStyle w:val="Heading2"/>
                            </w:pPr>
                            <w: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 o:spid="_x0000_s1031" style="position:absolute;margin-left:-70.1pt;margin-top:53.35pt;width:108pt;height:39.75pt;rotation:-9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orpPwIAAIYEAAAOAAAAZHJzL2Uyb0RvYy54bWysVFFv0zAQfkfiP1h+p2nK2o6q6TR1K0Ia&#10;MDH4AY7tNAbHZ2y36f4952vWdSDxgMiD5fOdP999312WV4fOsr0O0YCreDkac6adBGXctuLfvm7e&#10;XHIWk3BKWHC64o868qvV61fL3i/0BFqwSgeGIC4uel/xNiW/KIooW92JOAKvHTobCJ1IaIZtoYLo&#10;Eb2zxWQ8nhU9BOUDSB0jnt4cnXxF+E2jZfrcNFEnZiuOuSVaA611XovVUiy2QfjWyCEN8Q9ZdMI4&#10;fPQEdSOSYLtg/oDqjAwQoUkjCV0BTWOkphqwmnL8WzUPrfCaakFyoj/RFP8frPy0vw/MKNQO6XGi&#10;Q42udwnoaVaWmaDexwXGPfj7kEuM/g7kj8gcrFvhtvo6BOhbLRSmRfHFiwvZiHiV1f1HUAgvEJ64&#10;OjShYwFQk3KGWuJHx0gKO5BCjyeF9CExiYfl23k5wzgm0TcdX1xOpjnDQiwyWM7Oh5jea+hY3lQ8&#10;wM6pL9gGBC32dzGRTGqoVajvnDWdRdH3wrJyNpvNB8QhGLGfMKl6sEZtjLVkhG29toHh1Yqv17fr&#10;zWa4HM/DrGN9xd9NMdm/QxAJ1JT46gsIqoOaNTN96xTtkzD2uMd465CIJ7aPqqVDfSBxiaXsq0E9&#10;ohbEOtKIk4sk5XUyR7PHQah4/LkTQXNmPziU9GI6n6ArnRvh3KjPDeFkCzhfibPjdp2O07bzwWzb&#10;rDVx4CB3WWNSVu85scHAZidRh8HM03RuU9Tz72P1CwAA//8DAFBLAwQUAAYACAAAACEASTKBhd8A&#10;AAAIAQAADwAAAGRycy9kb3ducmV2LnhtbEyPwU7DMBBE70j8g7VI3Fqb0KRVGqdCFZw4NSAQNyfe&#10;Jin2OsROG/4ec4LTaDWj2TfFbraGnXH0vSMJd0sBDKlxuqdWwuvL02IDzAdFWhlHKOEbPezK66tC&#10;5dpd6IDnKrQslpDPlYQuhCHn3DcdWuWXbkCK3tGNVoV4ji3Xo7rEcmt4IkTGreopfujUgPsOm89q&#10;shLaxBwq+jpl7/vH1cdpymoh3p6lvL2ZH7bAAs7hLwy/+BEdyshUu4m0Z0bCYp3ELUHC/SYFFgPr&#10;KLWEJF2lwMuC/x9Q/gAAAP//AwBQSwECLQAUAAYACAAAACEAtoM4kv4AAADhAQAAEwAAAAAAAAAA&#10;AAAAAAAAAAAAW0NvbnRlbnRfVHlwZXNdLnhtbFBLAQItABQABgAIAAAAIQA4/SH/1gAAAJQBAAAL&#10;AAAAAAAAAAAAAAAAAC8BAABfcmVscy8ucmVsc1BLAQItABQABgAIAAAAIQABKorpPwIAAIYEAAAO&#10;AAAAAAAAAAAAAAAAAC4CAABkcnMvZTJvRG9jLnhtbFBLAQItABQABgAIAAAAIQBJMoGF3wAAAAgB&#10;AAAPAAAAAAAAAAAAAAAAAJkEAABkcnMvZG93bnJldi54bWxQSwUGAAAAAAQABADzAAAApQUAAAAA&#10;" fillcolor="#ccecff">
                <v:textbox style="layout-flow:vertical;mso-layout-flow-alt:bottom-to-top" inset="3.6pt,,3.6pt">
                  <w:txbxContent>
                    <w:p w:rsidR="00E60FAA" w:rsidRDefault="00E60FAA" w:rsidP="00151729">
                      <w:pPr>
                        <w:pStyle w:val="Heading2"/>
                      </w:pPr>
                      <w:r>
                        <w:t>Screening</w:t>
                      </w:r>
                    </w:p>
                  </w:txbxContent>
                </v:textbox>
              </v:roundrect>
            </w:pict>
          </mc:Fallback>
        </mc:AlternateContent>
      </w:r>
    </w:p>
    <w:p w:rsidR="00151729" w:rsidRDefault="00151729" w:rsidP="00151729"/>
    <w:p w:rsidR="00151729" w:rsidRDefault="00A47871" w:rsidP="00151729">
      <w:r>
        <w:rPr>
          <w:noProof/>
          <w:lang w:eastAsia="en-GB"/>
        </w:rPr>
        <mc:AlternateContent>
          <mc:Choice Requires="wps">
            <w:drawing>
              <wp:anchor distT="0" distB="0" distL="114300" distR="114300" simplePos="0" relativeHeight="251675648" behindDoc="0" locked="0" layoutInCell="1" allowOverlap="1">
                <wp:simplePos x="0" y="0"/>
                <wp:positionH relativeFrom="column">
                  <wp:posOffset>4229100</wp:posOffset>
                </wp:positionH>
                <wp:positionV relativeFrom="paragraph">
                  <wp:posOffset>332105</wp:posOffset>
                </wp:positionV>
                <wp:extent cx="1714500" cy="884555"/>
                <wp:effectExtent l="9525" t="7620" r="9525" b="12700"/>
                <wp:wrapNone/>
                <wp:docPr id="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884555"/>
                        </a:xfrm>
                        <a:prstGeom prst="rect">
                          <a:avLst/>
                        </a:prstGeom>
                        <a:solidFill>
                          <a:srgbClr val="FFFFFF"/>
                        </a:solidFill>
                        <a:ln w="9525">
                          <a:solidFill>
                            <a:srgbClr val="000000"/>
                          </a:solidFill>
                          <a:miter lim="800000"/>
                          <a:headEnd/>
                          <a:tailEnd/>
                        </a:ln>
                      </wps:spPr>
                      <wps:txbx>
                        <w:txbxContent>
                          <w:p w:rsidR="00E60FAA" w:rsidRDefault="00E60FAA" w:rsidP="00151729">
                            <w:r>
                              <w:t>Records excluded after review of title &amp; abstract (n = 93)</w:t>
                            </w:r>
                          </w:p>
                          <w:p w:rsidR="00E60FAA" w:rsidRDefault="00E60FAA" w:rsidP="00151729"/>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32" style="position:absolute;margin-left:333pt;margin-top:26.15pt;width:135pt;height:69.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X1rJQIAAE8EAAAOAAAAZHJzL2Uyb0RvYy54bWysVNtu2zAMfR+wfxD0vtgO4l6MOEWRLsOA&#10;bi3W7QNkWbaFyZJGKbGzrx8lp6m77WmYHwRRog4PD0mvb8ZekYMAJ40uabZIKRGam1rqtqTfvu7e&#10;XVHiPNM1U0aLkh6Fozebt2/Wgy3E0nRG1QIIgmhXDLaknfe2SBLHO9EztzBWaLxsDPTMowltUgMb&#10;EL1XyTJNL5LBQG3BcOEcnt5Nl3QT8ZtGcP/QNE54okqK3HxcIa5VWJPNmhUtMNtJfqLB/oFFz6TG&#10;oGeoO+YZ2YP8A6qXHIwzjV9w0yemaSQXMQfMJkt/y+apY1bEXFAcZ88yuf8Hyz8fHoHIuqTXlGjW&#10;Y4m+oGhMt0qQ7DLoM1hXoNuTfYSQobP3hn93RJtth27iFsAMnWA1ssqCf/LqQTAcPiXV8MnUCM/2&#10;3kSpxgb6AIgikDFW5HiuiBg94XiYXWarPMXCcby7ulrleR5DsOL5tQXnPwjTk7ApKSD5iM4O984H&#10;Nqx4donsjZL1TioVDWirrQJyYNgdu/id0N3cTWkyoD75Mo/Ir+7cHCKN398geumxzZXsMYuzEyuC&#10;bO91HZvQM6mmPVJW+qRjkG4qgR+rMRbqIgQIslamPqKwYKauxinETWfgJyUDdnRJ3Y89A0GJ+qix&#10;ONfZahVGYG7A3KjmBtMcoUrqKZm2Wz+Nzd6CbDuMlEU1tLnFgjYyav3C6kQfuzaW4DRhYSzmdvR6&#10;+Q9sfgEAAP//AwBQSwMEFAAGAAgAAAAhAHJ08rzfAAAACgEAAA8AAABkcnMvZG93bnJldi54bWxM&#10;j8tOwzAQRfdI/IM1SOyo00Y1TRqn4iFWiEUDolvXHuKIeBzFbpv+Pe6KLmfm6M651WZyPTviGDpP&#10;EuazDBiS9qajVsLX59vDCliIiozqPaGEMwbY1Lc3lSqNP9EWj01sWQqhUCoJNsah5Dxoi06FmR+Q&#10;0u3Hj07FNI4tN6M6pXDX80WWCe5UR+mDVQO+WNS/zcFJeGzja6Ofl/r7w55X78WUh22zk/L+bnpa&#10;A4s4xX8YLvpJHerktPcHMoH1EoQQqUuUsFzkwBJQ5JfFPpHFXACvK35dof4DAAD//wMAUEsBAi0A&#10;FAAGAAgAAAAhALaDOJL+AAAA4QEAABMAAAAAAAAAAAAAAAAAAAAAAFtDb250ZW50X1R5cGVzXS54&#10;bWxQSwECLQAUAAYACAAAACEAOP0h/9YAAACUAQAACwAAAAAAAAAAAAAAAAAvAQAAX3JlbHMvLnJl&#10;bHNQSwECLQAUAAYACAAAACEA3ll9ayUCAABPBAAADgAAAAAAAAAAAAAAAAAuAgAAZHJzL2Uyb0Rv&#10;Yy54bWxQSwECLQAUAAYACAAAACEAcnTyvN8AAAAKAQAADwAAAAAAAAAAAAAAAAB/BAAAZHJzL2Rv&#10;d25yZXYueG1sUEsFBgAAAAAEAAQA8wAAAIsFAAAAAA==&#10;">
                <v:textbox inset=",7.2pt,,7.2pt">
                  <w:txbxContent>
                    <w:p w:rsidR="00E60FAA" w:rsidRDefault="00E60FAA" w:rsidP="00151729">
                      <w:r>
                        <w:t>Records excluded after review of title &amp; abstract (n = 93)</w:t>
                      </w:r>
                    </w:p>
                    <w:p w:rsidR="00E60FAA" w:rsidRDefault="00E60FAA" w:rsidP="00151729"/>
                  </w:txbxContent>
                </v:textbox>
              </v:rect>
            </w:pict>
          </mc:Fallback>
        </mc:AlternateContent>
      </w:r>
      <w:r>
        <w:rPr>
          <w:noProof/>
          <w:lang w:eastAsia="en-GB"/>
        </w:rPr>
        <mc:AlternateContent>
          <mc:Choice Requires="wps">
            <w:drawing>
              <wp:anchor distT="0" distB="0" distL="114300" distR="114300" simplePos="0" relativeHeight="251676672" behindDoc="0" locked="0" layoutInCell="1" allowOverlap="1">
                <wp:simplePos x="0" y="0"/>
                <wp:positionH relativeFrom="column">
                  <wp:posOffset>1908175</wp:posOffset>
                </wp:positionH>
                <wp:positionV relativeFrom="paragraph">
                  <wp:posOffset>3141345</wp:posOffset>
                </wp:positionV>
                <wp:extent cx="1714500" cy="969645"/>
                <wp:effectExtent l="12700" t="6985" r="6350" b="13970"/>
                <wp:wrapNone/>
                <wp:docPr id="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969645"/>
                        </a:xfrm>
                        <a:prstGeom prst="rect">
                          <a:avLst/>
                        </a:prstGeom>
                        <a:solidFill>
                          <a:srgbClr val="FFFFFF"/>
                        </a:solidFill>
                        <a:ln w="9525">
                          <a:solidFill>
                            <a:srgbClr val="000000"/>
                          </a:solidFill>
                          <a:miter lim="800000"/>
                          <a:headEnd/>
                          <a:tailEnd/>
                        </a:ln>
                      </wps:spPr>
                      <wps:txbx>
                        <w:txbxContent>
                          <w:p w:rsidR="00E60FAA" w:rsidRDefault="00E60FAA" w:rsidP="00151729">
                            <w:r>
                              <w:t>Studies included in quantitative synthesis</w:t>
                            </w:r>
                            <w:r>
                              <w:br/>
                              <w:t>(n = 17)</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3" style="position:absolute;margin-left:150.25pt;margin-top:247.35pt;width:135pt;height:76.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J+GJAIAAE8EAAAOAAAAZHJzL2Uyb0RvYy54bWysVFFv0zAQfkfiP1h+p0mqtlujptPUUYQ0&#10;2MTgBziOk1g4tjm7Tcqv5+x0XQY8IfJg+ezzd3ffd5fNzdApchTgpNEFzWYpJUJzU0ndFPTb1/27&#10;a0qcZ7piymhR0JNw9Gb79s2mt7mYm9aoSgBBEO3y3ha09d7mSeJ4KzrmZsYKjZe1gY55NKFJKmA9&#10;oncqmafpKukNVBYMF87h6d14SbcRv64F9w917YQnqqCYm48rxLUMa7LdsLwBZlvJz2mwf8iiY1Jj&#10;0AvUHfOMHED+AdVJDsaZ2s+46RJT15KLWANWk6W/VfPUMitiLUiOsxea3P+D5Z+Pj0BkVVAUSrMO&#10;JfqCpDHdKEGy68BPb12Obk/2EUKFzt4b/t0RbXYtuolbANO3glWYVRb8k1cPguHwKSn7T6ZCeHbw&#10;JlI11NAFQCSBDFGR00URMXjC8TC7yhbLFIXjeLderVeLZQzB8ufXFpz/IExHwqaggMlHdHa8dz5k&#10;w/Jnl5i9UbLaS6WiAU25U0CODLtjH78zupu6KU16jL6cLyPyqzs3hUjj9zeITnpscyU75PnixPJA&#10;23tdxSb0TKpxjykrfeYxUDdK4IdyiEJdhQCB1tJUJyQWzNjVOIW4aQ38pKTHji6o+3FgIChRHzWK&#10;s84WizACUwOmRjk1mOYIVVBPybjd+XFsDhZk02KkLLKhzS0KWsvI9UtW5/Sxa6ME5wkLYzG1o9fL&#10;f2D7CwAA//8DAFBLAwQUAAYACAAAACEAiaUnSOAAAAALAQAADwAAAGRycy9kb3ducmV2LnhtbEyP&#10;y07DMBBF90j8gzVI7KgNTZo2xKl4iFXFogHB1rWHOCIeR7Hbpn+PuyrLmTm6c261nlzPDjiGzpOE&#10;+5kAhqS96aiV8PnxdrcEFqIio3pPKOGEAdb19VWlSuOPtMVDE1uWQiiUSoKNcSg5D9qiU2HmB6R0&#10;+/GjUzGNY8vNqI4p3PX8QYgFd6qj9MGqAV8s6t9m7yQUbXxt9HOuv97tablZTfOwbb6lvL2Znh6B&#10;RZziBYazflKHOjnt/J5MYL2EuRB5QiVkq6wAloi8OG92EhZZkQGvK/6/Q/0HAAD//wMAUEsBAi0A&#10;FAAGAAgAAAAhALaDOJL+AAAA4QEAABMAAAAAAAAAAAAAAAAAAAAAAFtDb250ZW50X1R5cGVzXS54&#10;bWxQSwECLQAUAAYACAAAACEAOP0h/9YAAACUAQAACwAAAAAAAAAAAAAAAAAvAQAAX3JlbHMvLnJl&#10;bHNQSwECLQAUAAYACAAAACEAXeifhiQCAABPBAAADgAAAAAAAAAAAAAAAAAuAgAAZHJzL2Uyb0Rv&#10;Yy54bWxQSwECLQAUAAYACAAAACEAiaUnSOAAAAALAQAADwAAAAAAAAAAAAAAAAB+BAAAZHJzL2Rv&#10;d25yZXYueG1sUEsFBgAAAAAEAAQA8wAAAIsFAAAAAA==&#10;">
                <v:textbox inset=",7.2pt,,7.2pt">
                  <w:txbxContent>
                    <w:p w:rsidR="00E60FAA" w:rsidRDefault="00E60FAA" w:rsidP="00151729">
                      <w:r>
                        <w:t>Studies included in quantitative synthesis</w:t>
                      </w:r>
                      <w:r>
                        <w:br/>
                        <w:t>(n = 17)</w:t>
                      </w:r>
                    </w:p>
                  </w:txbxContent>
                </v:textbox>
              </v:rect>
            </w:pict>
          </mc:Fallback>
        </mc:AlternateContent>
      </w:r>
    </w:p>
    <w:p w:rsidR="00151729" w:rsidRDefault="00151729" w:rsidP="00151729"/>
    <w:p w:rsidR="00151729" w:rsidRDefault="00A47871" w:rsidP="00151729">
      <w:r>
        <w:rPr>
          <w:noProof/>
          <w:lang w:eastAsia="en-GB"/>
        </w:rPr>
        <mc:AlternateContent>
          <mc:Choice Requires="wps">
            <w:drawing>
              <wp:anchor distT="36576" distB="36576" distL="36576" distR="36576" simplePos="0" relativeHeight="251674624" behindDoc="0" locked="0" layoutInCell="1" allowOverlap="1">
                <wp:simplePos x="0" y="0"/>
                <wp:positionH relativeFrom="column">
                  <wp:posOffset>3578225</wp:posOffset>
                </wp:positionH>
                <wp:positionV relativeFrom="paragraph">
                  <wp:posOffset>88265</wp:posOffset>
                </wp:positionV>
                <wp:extent cx="650875" cy="4445"/>
                <wp:effectExtent l="6350" t="55245" r="19050" b="54610"/>
                <wp:wrapNone/>
                <wp:docPr id="7"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444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AFF8DDE" id="AutoShape 16" o:spid="_x0000_s1026" type="#_x0000_t32" style="position:absolute;margin-left:281.75pt;margin-top:6.95pt;width:51.25pt;height:.35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RijrAIAAJkFAAAOAAAAZHJzL2Uyb0RvYy54bWysVFFvmzAQfp+0/2D5nQIJhASVVCkhe+m2&#10;Su20ZwebYM3YyHZCqmn/fWcnoUv3Mk3lAfls33d3333n27tjJ9CBacOVLHB8E2HEZK0ol7sCf3ve&#10;BHOMjCWSEqEkK/ALM/hu+fHD7dDnbKJaJSjTCECkyYe+wK21fR6Gpm5ZR8yN6pmEw0bpjlgw9S6k&#10;mgyA3olwEkWzcFCa9lrVzBjYXZ8O8dLjNw2r7demMcwiUWDIzfq/9v+t+4fLW5LvNOlbXp/TIP+R&#10;RUe4hKAj1JpYgvaa/wXV8Voroxp7U6suVE3Da+ZrgGri6E01Ty3pma8FyDH9SJN5P9j6y+FRI04L&#10;nGEkSQctWu2t8pFRPHP8DL3J4VopH7WrsD7Kp/5B1T8Mkqpsidwxf/v5pQfn2HmEVy7OMD1E2Q6f&#10;FYU7BAJ4so6N7hwk0ICOvicvY0/Y0aIaNmdpNM9SjGo4SpIk9fgkv7j22thPTHXILQpsrCZ819pS&#10;SQm9Vzr2gcjhwViXGMkvDi6uVBsuhJeAkGgo8CKdpN7BKMGpO3TXjN5tS6HRgTgR+e+cxdU1rfaS&#10;erCWEVqd15ZwAWtkPT1WcyBMMOyidYxiJBjMjVud0hPSRWReuaecwTpaWPp9IMWr6uciWlTzap4E&#10;yWRWBUm0XgerTZkEs02cpevpuizX8S9XSpzkLaeUSVfNReFx8m8KOs/aSZujxkfawmt0zy8ke53p&#10;apNGWTKdB1mWToNkWkXB/XxTBqsyns2y6r68r95kWvnqzfskO1LpslJ7y/RTSwdEuZPLNF1MYgwG&#10;vAiT7NRZRMQOWlJbjZFW9ju3rde3U6bDuFJD6b9z70b0ExGXHjpr7MK5tleqQJKX/vqxcZNymrmt&#10;oi+P2snCTRDMv3c6v1XugfnT9rdeX9TlbwAAAP//AwBQSwMEFAAGAAgAAAAhAFIuLF7eAAAACQEA&#10;AA8AAABkcnMvZG93bnJldi54bWxMj81OwzAQhO9IvIO1SNyoU9IYCHEqVAmEeiP8iKMbL0lEvI5s&#10;tw08PcsJjjvzaXamWs9uFAcMcfCkYbnIQCC13g7UaXh5vr+4BhGTIWtGT6jhCyOs69OTypTWH+kJ&#10;D03qBIdQLI2GPqWplDK2PToTF35CYu/DB2cSn6GTNpgjh7tRXmaZks4MxB96M+Gmx/az2TsN8/e2&#10;wO5tWKXH5cNV2Bab9/y10fr8bL67BZFwTn8w/Nbn6lBzp53fk41i1FCovGCUjfwGBANKKR63Y2Gl&#10;QNaV/L+g/gEAAP//AwBQSwECLQAUAAYACAAAACEAtoM4kv4AAADhAQAAEwAAAAAAAAAAAAAAAAAA&#10;AAAAW0NvbnRlbnRfVHlwZXNdLnhtbFBLAQItABQABgAIAAAAIQA4/SH/1gAAAJQBAAALAAAAAAAA&#10;AAAAAAAAAC8BAABfcmVscy8ucmVsc1BLAQItABQABgAIAAAAIQAcwRijrAIAAJkFAAAOAAAAAAAA&#10;AAAAAAAAAC4CAABkcnMvZTJvRG9jLnhtbFBLAQItABQABgAIAAAAIQBSLixe3gAAAAkBAAAPAAAA&#10;AAAAAAAAAAAAAAYFAABkcnMvZG93bnJldi54bWxQSwUGAAAAAAQABADzAAAAEQYAAAAA&#10;">
                <v:stroke endarrow="block"/>
                <v:shadow color="#ccc"/>
              </v:shape>
            </w:pict>
          </mc:Fallback>
        </mc:AlternateContent>
      </w:r>
    </w:p>
    <w:p w:rsidR="00151729" w:rsidRDefault="00A47871" w:rsidP="00151729">
      <w:pPr>
        <w:rPr>
          <w:color w:val="A6A6A6" w:themeColor="background1" w:themeShade="A6"/>
        </w:rPr>
      </w:pPr>
      <w:r>
        <w:rPr>
          <w:noProof/>
          <w:lang w:eastAsia="en-GB"/>
        </w:rPr>
        <mc:AlternateContent>
          <mc:Choice Requires="wps">
            <w:drawing>
              <wp:anchor distT="0" distB="0" distL="114300" distR="114300" simplePos="0" relativeHeight="251670528" behindDoc="0" locked="0" layoutInCell="1" allowOverlap="1">
                <wp:simplePos x="0" y="0"/>
                <wp:positionH relativeFrom="column">
                  <wp:posOffset>-890270</wp:posOffset>
                </wp:positionH>
                <wp:positionV relativeFrom="paragraph">
                  <wp:posOffset>2226945</wp:posOffset>
                </wp:positionV>
                <wp:extent cx="1371600" cy="504825"/>
                <wp:effectExtent l="9525" t="6350" r="9525" b="12700"/>
                <wp:wrapNone/>
                <wp:docPr id="6"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504825"/>
                        </a:xfrm>
                        <a:prstGeom prst="roundRect">
                          <a:avLst>
                            <a:gd name="adj" fmla="val 16667"/>
                          </a:avLst>
                        </a:prstGeom>
                        <a:solidFill>
                          <a:srgbClr val="CCECFF"/>
                        </a:solidFill>
                        <a:ln w="9525">
                          <a:solidFill>
                            <a:srgbClr val="000000"/>
                          </a:solidFill>
                          <a:round/>
                          <a:headEnd/>
                          <a:tailEnd/>
                        </a:ln>
                      </wps:spPr>
                      <wps:txbx>
                        <w:txbxContent>
                          <w:p w:rsidR="00E60FAA" w:rsidRDefault="00E60FAA" w:rsidP="00151729">
                            <w:pPr>
                              <w:pStyle w:val="Heading2"/>
                            </w:pPr>
                            <w: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 o:spid="_x0000_s1034" style="position:absolute;margin-left:-70.1pt;margin-top:175.35pt;width:108pt;height:39.7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KMbPwIAAIUEAAAOAAAAZHJzL2Uyb0RvYy54bWysVFFv0zAQfkfiP1h+p2nKmpao6TR1K0Ia&#10;MDH4AY7tJAbHZ2y36f79zm7oWpB4QOTBurPPn+++7y6r60OvyV46r8BUNJ9MKZGGg1Cmrei3r9s3&#10;S0p8YEYwDUZW9El6er1+/Wo12FLOoAMtpCMIYnw52Ip2IdgyyzzvZM/8BKw0eNiA61lA17WZcGxA&#10;9F5ns+m0yAZwwjrg0nvcvT0e0nXCbxrJw+em8TIQXVHMLaTVpbWOa7ZesbJ1zHaKj2mwf8iiZ8rg&#10;oyeoWxYY2Tn1B1SvuAMPTZhw6DNoGsVlqgGryae/VfPYMStTLUiOtyea/P+D5Z/2D44oUdGCEsN6&#10;lOhmFyC9TPJZ5GewvsSwR/vgYoXe3gP/4YmBTcdMK2+cg6GTTGBWeYzPLi5Ex+NVUg8fQSA8Q/hE&#10;1aFxPXGAkuQFSolf2kZOyCEJ9HQSSB4C4biZv13kBcYRjmfz6dVyNk8vsjKCxeys8+G9hJ5Eo6IO&#10;dkZ8wS5I0Gx/70NSSYy1MvGdkqbXqPmeaZIXRbEYEcfg7AUzVQ9aia3SOjmurTfaEbxa0c3mbrPd&#10;jpf9eZg2ZKjouzkm+3eIRELqSXz1AiLVkXo1Mn1nRLIDU/poY7w2I/WR7aNq4VAfkrbLmFZUogbx&#10;hFok1pFGHFwkKa6zBboDzkFF/c8dc5IS/cGgpFfzxSwOzrnjzp363GGGd4DjFSg5mptwHLaddart&#10;otaJAwOxyxoVfvXLMbGxAux1tC6G6dxPUS9/j/UzAAAA//8DAFBLAwQUAAYACAAAACEA3Ko2+uAA&#10;AAAJAQAADwAAAGRycy9kb3ducmV2LnhtbEyPwU7DMBBE70j8g7VI3FoHq03TNE6FKjhxakAgbk68&#10;JCn2OsROG/4ec4LTaDWj2TfFfraGnXH0vSMJd8sEGFLjdE+thJfnx0UGzAdFWhlHKOEbPezL66tC&#10;5dpd6IjnKrQslpDPlYQuhCHn3DcdWuWXbkCK3ocbrQrxHFuuR3WJ5dZwkSQpt6qn+KFTAx46bD6r&#10;yUpohTlW9HVK3w4Pq/fTlNZJ8vok5e3NfL8DFnAOf2H4xY/oUEam2k2kPTMSFhsRtwQJIhNrYDGx&#10;iVJLWG2zNfCy4P8XlD8AAAD//wMAUEsBAi0AFAAGAAgAAAAhALaDOJL+AAAA4QEAABMAAAAAAAAA&#10;AAAAAAAAAAAAAFtDb250ZW50X1R5cGVzXS54bWxQSwECLQAUAAYACAAAACEAOP0h/9YAAACUAQAA&#10;CwAAAAAAAAAAAAAAAAAvAQAAX3JlbHMvLnJlbHNQSwECLQAUAAYACAAAACEAKmCjGz8CAACFBAAA&#10;DgAAAAAAAAAAAAAAAAAuAgAAZHJzL2Uyb0RvYy54bWxQSwECLQAUAAYACAAAACEA3Ko2+uAAAAAJ&#10;AQAADwAAAAAAAAAAAAAAAACZBAAAZHJzL2Rvd25yZXYueG1sUEsFBgAAAAAEAAQA8wAAAKYFAAAA&#10;AA==&#10;" fillcolor="#ccecff">
                <v:textbox style="layout-flow:vertical;mso-layout-flow-alt:bottom-to-top" inset="3.6pt,,3.6pt">
                  <w:txbxContent>
                    <w:p w:rsidR="00E60FAA" w:rsidRDefault="00E60FAA" w:rsidP="00151729">
                      <w:pPr>
                        <w:pStyle w:val="Heading2"/>
                      </w:pPr>
                      <w:r>
                        <w:t>Included</w:t>
                      </w:r>
                    </w:p>
                  </w:txbxContent>
                </v:textbox>
              </v:roundrect>
            </w:pict>
          </mc:Fallback>
        </mc:AlternateContent>
      </w:r>
      <w:r>
        <w:rPr>
          <w:noProof/>
          <w:lang w:eastAsia="en-GB"/>
        </w:rPr>
        <mc:AlternateContent>
          <mc:Choice Requires="wps">
            <w:drawing>
              <wp:anchor distT="0" distB="0" distL="114300" distR="114300" simplePos="0" relativeHeight="251671552" behindDoc="0" locked="0" layoutInCell="1" allowOverlap="1">
                <wp:simplePos x="0" y="0"/>
                <wp:positionH relativeFrom="column">
                  <wp:posOffset>-890270</wp:posOffset>
                </wp:positionH>
                <wp:positionV relativeFrom="paragraph">
                  <wp:posOffset>626745</wp:posOffset>
                </wp:positionV>
                <wp:extent cx="1371600" cy="504825"/>
                <wp:effectExtent l="9525" t="6350" r="9525" b="12700"/>
                <wp:wrapNone/>
                <wp:docPr id="5"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504825"/>
                        </a:xfrm>
                        <a:prstGeom prst="roundRect">
                          <a:avLst>
                            <a:gd name="adj" fmla="val 16667"/>
                          </a:avLst>
                        </a:prstGeom>
                        <a:solidFill>
                          <a:srgbClr val="CCECFF"/>
                        </a:solidFill>
                        <a:ln w="9525">
                          <a:solidFill>
                            <a:srgbClr val="000000"/>
                          </a:solidFill>
                          <a:round/>
                          <a:headEnd/>
                          <a:tailEnd/>
                        </a:ln>
                      </wps:spPr>
                      <wps:txbx>
                        <w:txbxContent>
                          <w:p w:rsidR="00E60FAA" w:rsidRDefault="00E60FAA" w:rsidP="00151729">
                            <w:pPr>
                              <w:pStyle w:val="Heading2"/>
                            </w:pPr>
                            <w: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 o:spid="_x0000_s1035" style="position:absolute;margin-left:-70.1pt;margin-top:49.35pt;width:108pt;height:39.75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nCsPwIAAIUEAAAOAAAAZHJzL2Uyb0RvYy54bWysVFFv0zAQfkfiP1h+p2m6td2iptOUrQhp&#10;wMTgBzi2kxgcn7Hdpvv3O7uha0HiAZEH684+f777vrusbva9JjvpvAJT0nwypUQaDkKZtqTfvm7e&#10;XVHiAzOCaTCypM/S05v12zerwRZyBh1oIR1BEOOLwZa0C8EWWeZ5J3vmJ2ClwcMGXM8Cuq7NhGMD&#10;ovc6m02ni2wAJ6wDLr3H3bvDIV0n/KaRPHxuGi8D0SXF3EJaXVrruGbrFStax2yn+JgG+4cseqYM&#10;PnqEumOBka1Tf0D1ijvw0IQJhz6DplFcphqwmnz6WzVPHbMy1YLkeHukyf8/WP5p9+iIEiWdU2JY&#10;jxLdbgOkl0l+EfkZrC8w7Mk+ulihtw/Af3hioOqYaeWtczB0kgnMKo/x2dmF6Hi8SurhIwiEZwif&#10;qNo3ricOUJJ8gVLil7aRE7JPAj0fBZL7QDhu5hfLfIFxhOPZfHp5NZunF1kRwWJ21vnwXkJPolFS&#10;B1sjvmAXJGi2e/AhqSTGWpn4TknTa9R8xzTJF4vFckQcg7NXzFQ9aCU2SuvkuLautCN4taRVdV9t&#10;NuNlfxqmDRlKej3HZP8OkUhIPYmvnkGkOlKvRqbvjUh2YEofbIzXZqQ+sn1QLezrfdL2OqYVlahB&#10;PKMWiXWkEQcXSYrrbInugHNQUv9zy5ykRH8wKOnlfDmLg3PquFOnPnWY4R3geAVKDmYVDsO2tU61&#10;XdQ6cWAgdlmjwq9+OSQ2VoC9jtbZMJ36Ker177F+AQAA//8DAFBLAwQUAAYACAAAACEAdXY1oN8A&#10;AAAIAQAADwAAAGRycy9kb3ducmV2LnhtbEyPwU7DMBBE70j8g7VI3Fqb0KYoZFOhCk6cmiIQNyde&#10;kpR4HWKnDX+POcFptJrR7Jt8O9tenGj0nWOEm6UCQVw703GD8HJ4WtyB8EGz0b1jQvgmD9vi8iLX&#10;mXFn3tOpDI2IJewzjdCGMGRS+rolq/3SDcTR+3Cj1SGeYyPNqM+x3PYyUSqVVnccP7R6oF1L9Wc5&#10;WYQm6fclfx3Tt93j6v04pZVSr8+I11fzwz2IQHP4C8MvfkSHIjJVbmLjRY+w2CRxS0C4VWsQMbCJ&#10;UiEkq3QNssjl/wHFDwAAAP//AwBQSwECLQAUAAYACAAAACEAtoM4kv4AAADhAQAAEwAAAAAAAAAA&#10;AAAAAAAAAAAAW0NvbnRlbnRfVHlwZXNdLnhtbFBLAQItABQABgAIAAAAIQA4/SH/1gAAAJQBAAAL&#10;AAAAAAAAAAAAAAAAAC8BAABfcmVscy8ucmVsc1BLAQItABQABgAIAAAAIQDbSnCsPwIAAIUEAAAO&#10;AAAAAAAAAAAAAAAAAC4CAABkcnMvZTJvRG9jLnhtbFBLAQItABQABgAIAAAAIQB1djWg3wAAAAgB&#10;AAAPAAAAAAAAAAAAAAAAAJkEAABkcnMvZG93bnJldi54bWxQSwUGAAAAAAQABADzAAAApQUAAAAA&#10;" fillcolor="#ccecff">
                <v:textbox style="layout-flow:vertical;mso-layout-flow-alt:bottom-to-top" inset="3.6pt,,3.6pt">
                  <w:txbxContent>
                    <w:p w:rsidR="00E60FAA" w:rsidRDefault="00E60FAA" w:rsidP="00151729">
                      <w:pPr>
                        <w:pStyle w:val="Heading2"/>
                      </w:pPr>
                      <w:r>
                        <w:t>Eligibility</w:t>
                      </w:r>
                    </w:p>
                  </w:txbxContent>
                </v:textbox>
              </v:roundrect>
            </w:pict>
          </mc:Fallback>
        </mc:AlternateContent>
      </w:r>
    </w:p>
    <w:p w:rsidR="00151729" w:rsidRDefault="00151729" w:rsidP="00151729">
      <w:pPr>
        <w:pStyle w:val="Heading2"/>
      </w:pPr>
      <w:r>
        <w:t>.</w:t>
      </w:r>
    </w:p>
    <w:p w:rsidR="00151729" w:rsidRDefault="00A47871" w:rsidP="00151729">
      <w:pPr>
        <w:pStyle w:val="Heading2"/>
      </w:pPr>
      <w:r>
        <w:rPr>
          <w:noProof/>
          <w:lang w:eastAsia="en-GB"/>
        </w:rPr>
        <mc:AlternateContent>
          <mc:Choice Requires="wps">
            <w:drawing>
              <wp:anchor distT="0" distB="0" distL="114300" distR="114300" simplePos="0" relativeHeight="251672576" behindDoc="0" locked="0" layoutInCell="1" allowOverlap="1">
                <wp:simplePos x="0" y="0"/>
                <wp:positionH relativeFrom="column">
                  <wp:posOffset>4229100</wp:posOffset>
                </wp:positionH>
                <wp:positionV relativeFrom="paragraph">
                  <wp:posOffset>40640</wp:posOffset>
                </wp:positionV>
                <wp:extent cx="2095500" cy="4382135"/>
                <wp:effectExtent l="9525" t="6985" r="9525" b="11430"/>
                <wp:wrapNone/>
                <wp:docPr id="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4382135"/>
                        </a:xfrm>
                        <a:prstGeom prst="rect">
                          <a:avLst/>
                        </a:prstGeom>
                        <a:solidFill>
                          <a:srgbClr val="FFFFFF"/>
                        </a:solidFill>
                        <a:ln w="9525">
                          <a:solidFill>
                            <a:srgbClr val="000000"/>
                          </a:solidFill>
                          <a:miter lim="800000"/>
                          <a:headEnd/>
                          <a:tailEnd/>
                        </a:ln>
                      </wps:spPr>
                      <wps:txbx>
                        <w:txbxContent>
                          <w:p w:rsidR="00E60FAA" w:rsidRDefault="00E60FAA" w:rsidP="00151729">
                            <w:r>
                              <w:t xml:space="preserve">Full-text articles excluded       (n = 19). </w:t>
                            </w:r>
                          </w:p>
                          <w:p w:rsidR="00E60FAA" w:rsidRPr="00035114" w:rsidRDefault="00E60FAA" w:rsidP="00151729">
                            <w:r w:rsidRPr="00035114">
                              <w:t>Reasons fo</w:t>
                            </w:r>
                            <w:r>
                              <w:t>r exclusion</w:t>
                            </w:r>
                            <w:r w:rsidRPr="00035114">
                              <w:t>:</w:t>
                            </w:r>
                          </w:p>
                          <w:p w:rsidR="00E60FAA" w:rsidRDefault="00E60FAA" w:rsidP="00151729">
                            <w:r>
                              <w:t>Characteristics associated with adherence not measured (n = 10)</w:t>
                            </w:r>
                          </w:p>
                          <w:p w:rsidR="00E60FAA" w:rsidRDefault="00E60FAA" w:rsidP="00151729">
                            <w:r>
                              <w:t>Not in published in peer reviewed journal (n = 2)</w:t>
                            </w:r>
                          </w:p>
                          <w:p w:rsidR="00E60FAA" w:rsidRDefault="00E60FAA" w:rsidP="00151729">
                            <w:r>
                              <w:t>Secondary data (n = 3)</w:t>
                            </w:r>
                          </w:p>
                          <w:p w:rsidR="00E60FAA" w:rsidRDefault="00E60FAA" w:rsidP="00151729">
                            <w:r>
                              <w:t>Quantitative data / inferential statistics not used (n = 1)</w:t>
                            </w:r>
                          </w:p>
                          <w:p w:rsidR="00E60FAA" w:rsidRDefault="00E60FAA" w:rsidP="00151729">
                            <w:r>
                              <w:t>Oral medication not studied   (n = 2)</w:t>
                            </w:r>
                          </w:p>
                          <w:p w:rsidR="00E60FAA" w:rsidRPr="00BE5027" w:rsidRDefault="00E60FAA" w:rsidP="00151729">
                            <w:r>
                              <w:t>Excluded due to duplication  (n =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4" o:spid="_x0000_s1036" type="#_x0000_t202" style="position:absolute;margin-left:333pt;margin-top:3.2pt;width:165pt;height:345.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c1LLgIAAFoEAAAOAAAAZHJzL2Uyb0RvYy54bWysVNtu2zAMfR+wfxD0vthO7S0x4hRdugwD&#10;ugvQ7gNkWY6FyaImKbGzry8lp2l2exnmB4EUqUPykPTqeuwVOQjrJOiKZrOUEqE5NFLvKvr1Yftq&#10;QYnzTDdMgRYVPQpHr9cvX6wGU4o5dKAaYQmCaFcOpqKd96ZMEsc70TM3AyM0GluwPfOo2l3SWDYg&#10;eq+SeZq+TgawjbHAhXN4ezsZ6Trit63g/nPbOuGJqijm5uNp41mHM1mvWLmzzHSSn9Jg/5BFz6TG&#10;oGeoW+YZ2Vv5G1QvuQUHrZ9x6BNoW8lFrAGrydJfqrnvmBGxFiTHmTNN7v/B8k+HL5bIpqI5JZr1&#10;2KIHMXryFkaS5YGewbgSve4N+vkR77HNsVRn7oB/c0TDpmN6J26shaETrMH0svAyuXg64bgAUg8f&#10;ocE4bO8hAo2t7QN3yAZBdGzT8dyakAvHy3m6LIoUTRxt+dVinl0VMQYrn54b6/x7AT0JQkUt9j7C&#10;s8Od8yEdVj65hGgOlGy2Uqmo2F29UZYcGM7JNn4n9J/clCZDRZfFvJgY+CtEGr8/QfTS48Ar2Vd0&#10;cXZiZeDtnW7iOHom1SRjykqfiAzcTSz6sR5jy7I4v4HlGpojUmthGnBcSBQ6sD8oGXC4K+q+75kV&#10;lKgPGtuzzPI8bENU8uLNHBV7aakvLUxzhKqop2QSN37aoL2xctdhpGkgNNxgS1sZyX7O6pQ/DnDs&#10;wWnZwoZc6tHr+ZewfgQAAP//AwBQSwMEFAAGAAgAAAAhAAG4n/DdAAAACQEAAA8AAABkcnMvZG93&#10;bnJldi54bWxMj8FOwzAQRO9I/IO1SFwQdYBimhCnQkgguEFbwdWNt0mEvQ6xm4a/Z3uC2z7NaHam&#10;XE7eiRGH2AXScDXLQCDVwXbUaNisny4XIGIyZI0LhBp+MMKyOj0pTWHDgd5xXKVGcAjFwmhoU+oL&#10;KWPdojdxFnok1nZh8CYxDo20gzlwuHfyOsuU9KYj/tCaHh9brL9We69hMX8ZP+PrzdtHrXYuTxd3&#10;4/P3oPX52fRwDyLhlP7McKzP1aHiTtuwJxuF06CU4i2JjzkI1vP8yFvmXN2CrEr5f0H1CwAA//8D&#10;AFBLAQItABQABgAIAAAAIQC2gziS/gAAAOEBAAATAAAAAAAAAAAAAAAAAAAAAABbQ29udGVudF9U&#10;eXBlc10ueG1sUEsBAi0AFAAGAAgAAAAhADj9If/WAAAAlAEAAAsAAAAAAAAAAAAAAAAALwEAAF9y&#10;ZWxzLy5yZWxzUEsBAi0AFAAGAAgAAAAhAJORzUsuAgAAWgQAAA4AAAAAAAAAAAAAAAAALgIAAGRy&#10;cy9lMm9Eb2MueG1sUEsBAi0AFAAGAAgAAAAhAAG4n/DdAAAACQEAAA8AAAAAAAAAAAAAAAAAiAQA&#10;AGRycy9kb3ducmV2LnhtbFBLBQYAAAAABAAEAPMAAACSBQAAAAA=&#10;">
                <v:textbox>
                  <w:txbxContent>
                    <w:p w:rsidR="00E60FAA" w:rsidRDefault="00E60FAA" w:rsidP="00151729">
                      <w:r>
                        <w:t xml:space="preserve">Full-text articles excluded       (n = 19). </w:t>
                      </w:r>
                    </w:p>
                    <w:p w:rsidR="00E60FAA" w:rsidRPr="00035114" w:rsidRDefault="00E60FAA" w:rsidP="00151729">
                      <w:r w:rsidRPr="00035114">
                        <w:t>Reasons fo</w:t>
                      </w:r>
                      <w:r>
                        <w:t>r exclusion</w:t>
                      </w:r>
                      <w:r w:rsidRPr="00035114">
                        <w:t>:</w:t>
                      </w:r>
                    </w:p>
                    <w:p w:rsidR="00E60FAA" w:rsidRDefault="00E60FAA" w:rsidP="00151729">
                      <w:r>
                        <w:t>Characteristics associated with adherence not measured (n = 10)</w:t>
                      </w:r>
                    </w:p>
                    <w:p w:rsidR="00E60FAA" w:rsidRDefault="00E60FAA" w:rsidP="00151729">
                      <w:r>
                        <w:t>Not in published in peer reviewed journal (n = 2)</w:t>
                      </w:r>
                    </w:p>
                    <w:p w:rsidR="00E60FAA" w:rsidRDefault="00E60FAA" w:rsidP="00151729">
                      <w:r>
                        <w:t>Secondary data (n = 3)</w:t>
                      </w:r>
                    </w:p>
                    <w:p w:rsidR="00E60FAA" w:rsidRDefault="00E60FAA" w:rsidP="00151729">
                      <w:r>
                        <w:t>Quantitative data / inferential statistics not used (n = 1)</w:t>
                      </w:r>
                    </w:p>
                    <w:p w:rsidR="00E60FAA" w:rsidRDefault="00E60FAA" w:rsidP="00151729">
                      <w:r>
                        <w:t>Oral medication not studied   (n = 2)</w:t>
                      </w:r>
                    </w:p>
                    <w:p w:rsidR="00E60FAA" w:rsidRPr="00BE5027" w:rsidRDefault="00E60FAA" w:rsidP="00151729">
                      <w:r>
                        <w:t>Excluded due to duplication  (n = 1)</w:t>
                      </w:r>
                    </w:p>
                  </w:txbxContent>
                </v:textbox>
              </v:shape>
            </w:pict>
          </mc:Fallback>
        </mc:AlternateContent>
      </w:r>
      <w:r>
        <w:rPr>
          <w:noProof/>
          <w:lang w:eastAsia="en-GB"/>
        </w:rPr>
        <mc:AlternateContent>
          <mc:Choice Requires="wps">
            <w:drawing>
              <wp:anchor distT="36576" distB="36576" distL="36576" distR="36576" simplePos="0" relativeHeight="251677696" behindDoc="0" locked="0" layoutInCell="1" allowOverlap="1">
                <wp:simplePos x="0" y="0"/>
                <wp:positionH relativeFrom="column">
                  <wp:posOffset>2765425</wp:posOffset>
                </wp:positionH>
                <wp:positionV relativeFrom="paragraph">
                  <wp:posOffset>891540</wp:posOffset>
                </wp:positionV>
                <wp:extent cx="0" cy="571500"/>
                <wp:effectExtent l="60325" t="10160" r="53975" b="18415"/>
                <wp:wrapNone/>
                <wp:docPr id="3"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A0C5D94" id="AutoShape 19" o:spid="_x0000_s1026" type="#_x0000_t32" style="position:absolute;margin-left:217.75pt;margin-top:70.2pt;width:0;height:45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UmhqAIAAJYFAAAOAAAAZHJzL2Uyb0RvYy54bWysVF1vmzAUfZ+0/2D5nQIJ5AOVVCkhe+m2&#10;Su20ZwebYM3YyHZCqmn/fdcmYU33Mk3lAfnavl/nnOvbu1Mr0JFpw5XMcXwTYcRkpSiX+xx/e94G&#10;C4yMJZISoSTL8Qsz+G718cNt32VsoholKNMIgkiT9V2OG2u7LAxN1bCWmBvVMQmHtdItsWDqfUg1&#10;6SF6K8JJFM3CXmnaaVUxY2B3MxzilY9f16yyX+vaMItEjqE26//a/3fuH65uSbbXpGt4dS6D/EcV&#10;LeESko6hNsQSdND8r1Atr7QyqrY3lWpDVde8Yr4H6CaO3nTz1JCO+V4AHNONMJn3C1t9OT5qxGmO&#10;pxhJ0gJF64NVPjOKlw6fvjMZXCvko3YdVif51D2o6odBUhUNkXvmbz+/dOAcO4/wysUZpoMsu/6z&#10;onCHQAIP1qnWrQsJMKCT5+Rl5ISdLKqGzQp203mcRp6ukGQXv04b+4mpFrlFjo3VhO8bWygpgXil&#10;Y5+FHB+MdVWR7OLgkkq15UJ4/oVEfY6X6ST1DkYJTt2hu2b0flcIjY7EKch/vkU4eX1Nq4OkPljD&#10;CC3Pa0u4gDWyHhurOaAlGHbZWkYxEgyGxq2G8oR0GZmX7VAzWCcLS78PiHhJ/VxGy3JRLpIgmczK&#10;IIk2m2C9LZJgto3n6Wa6KYpN/Mu1EidZwyll0nVzkXec/Jt8zoM2CHMU+AhbeB3d4wvFXle63qbR&#10;PJkugvk8nQbJtIyC+8W2CNZFPJvNy/vivnxTaem7N+9T7Ailq0odLNNPDe0R5U4u03Q5iTEY8BxM&#10;5gOziIg9UFJZjZFW9ju3jRe3k6WLcaWGwn9n7sboAxAXDp01snDu7Q9UIMkLv35m3JgMA7dT9OVR&#10;O1m48YHh907nh8q9Lq9tf+vPc7r6DQAA//8DAFBLAwQUAAYACAAAACEAlAU4o94AAAALAQAADwAA&#10;AGRycy9kb3ducmV2LnhtbEyPwU7DMBBE70j8g7VI3KjTJikoxKlQJRDqjVAQRzfeJlHjdWS7beDr&#10;WcQBjjvzNDtTriY7iBP60DtSMJ8lIJAaZ3pqFWxfH2/uQISoyejBESr4xACr6vKi1IVxZ3rBUx1b&#10;wSEUCq2gi3EspAxNh1aHmRuR2Ns7b3Xk07fSeH3mcDvIRZIspdU98YdOj7jusDnUR6tg+trk2L73&#10;WXyeP936Tb7+SN9qpa6vpod7EBGn+AfDT32uDhV32rkjmSAGBVma54yykSUZCCZ+lZ2CRcqKrEr5&#10;f0P1DQAA//8DAFBLAQItABQABgAIAAAAIQC2gziS/gAAAOEBAAATAAAAAAAAAAAAAAAAAAAAAABb&#10;Q29udGVudF9UeXBlc10ueG1sUEsBAi0AFAAGAAgAAAAhADj9If/WAAAAlAEAAAsAAAAAAAAAAAAA&#10;AAAALwEAAF9yZWxzLy5yZWxzUEsBAi0AFAAGAAgAAAAhADFtSaGoAgAAlgUAAA4AAAAAAAAAAAAA&#10;AAAALgIAAGRycy9lMm9Eb2MueG1sUEsBAi0AFAAGAAgAAAAhAJQFOKPeAAAACwEAAA8AAAAAAAAA&#10;AAAAAAAAAgUAAGRycy9kb3ducmV2LnhtbFBLBQYAAAAABAAEAPMAAAANBgAAAAA=&#10;">
                <v:stroke endarrow="block"/>
                <v:shadow color="#ccc"/>
              </v:shape>
            </w:pict>
          </mc:Fallback>
        </mc:AlternateContent>
      </w:r>
      <w:r>
        <w:rPr>
          <w:noProof/>
          <w:lang w:eastAsia="en-GB"/>
        </w:rPr>
        <mc:AlternateContent>
          <mc:Choice Requires="wps">
            <w:drawing>
              <wp:anchor distT="0" distB="0" distL="114300" distR="114300" simplePos="0" relativeHeight="251678720" behindDoc="0" locked="0" layoutInCell="1" allowOverlap="1">
                <wp:simplePos x="0" y="0"/>
                <wp:positionH relativeFrom="column">
                  <wp:posOffset>1908175</wp:posOffset>
                </wp:positionH>
                <wp:positionV relativeFrom="paragraph">
                  <wp:posOffset>67310</wp:posOffset>
                </wp:positionV>
                <wp:extent cx="1714500" cy="824230"/>
                <wp:effectExtent l="12700" t="5080" r="6350" b="8890"/>
                <wp:wrapNone/>
                <wp:docPr id="2"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824230"/>
                        </a:xfrm>
                        <a:prstGeom prst="rect">
                          <a:avLst/>
                        </a:prstGeom>
                        <a:solidFill>
                          <a:srgbClr val="FFFFFF"/>
                        </a:solidFill>
                        <a:ln w="9525">
                          <a:solidFill>
                            <a:srgbClr val="000000"/>
                          </a:solidFill>
                          <a:miter lim="800000"/>
                          <a:headEnd/>
                          <a:tailEnd/>
                        </a:ln>
                      </wps:spPr>
                      <wps:txbx>
                        <w:txbxContent>
                          <w:p w:rsidR="00E60FAA" w:rsidRDefault="00E60FAA" w:rsidP="00151729">
                            <w:r>
                              <w:t>Full-text articles assessed for eligibility</w:t>
                            </w:r>
                            <w:r>
                              <w:br/>
                              <w:t>(n = 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37" style="position:absolute;margin-left:150.25pt;margin-top:5.3pt;width:135pt;height:64.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K1tJgIAAFAEAAAOAAAAZHJzL2Uyb0RvYy54bWysVNuO0zAQfUfiHyy/01xoYTdqulp1KUJa&#10;YMXCBziOk1j4xthtsnw9Y7fbzQJPiDxYHs/4+MyZmayvJq3IQYCX1tS0WOSUCMNtK01f029fd68u&#10;KPGBmZYpa0RNH4SnV5uXL9ajq0RpB6taAQRBjK9GV9MhBFdlmeeD0MwvrBMGnZ0FzQKa0GctsBHR&#10;tcrKPH+TjRZaB5YL7/H05uikm4TfdYKHz13nRSCqpsgtpBXS2sQ126xZ1QNzg+QnGuwfWGgmDT56&#10;hrphgZE9yD+gtORgve3Cglud2a6TXKQcMJsi/y2b+4E5kXJBcbw7y+T/Hyz/dLgDItualpQYprFE&#10;X1A0ZnolSJn0GZ2vMOze3UHM0Ltby797Yux2wDBxDWDHQbAWWRVRz+zZhWh4vEqa8aNtEZ7tg01S&#10;TR3oCIgikClV5OFcETEFwvGweFssVzkWjqPvolyWrxOljFWPtx348F5YTeKmpoDkEzo73PoQ2bDq&#10;MSSxt0q2O6lUMqBvtgrIgWF37NKXEsAk52HKkLGml6tylZCf+fwcIk/f3yC0DNjmSmrM4hzEqijb&#10;O9OmJgxMquMeKStz0jFKF5vZV2FqplSoIqkcjxrbPqCyYI9tjWOIm8HCT0pGbOma+h97BoIS9cFg&#10;dS6L5TLOwNyAudHMDWY4QtU0UHLcbsNxbvYOZD/gS0WSw9hrrGgnk9hPrE78sW1TDU4jFudibqeo&#10;px/B5hcAAAD//wMAUEsDBBQABgAIAAAAIQBtXc4d3gAAAAoBAAAPAAAAZHJzL2Rvd25yZXYueG1s&#10;TI9LT8MwEITvSPwHa5G4URva9BHiVDzECfXQgOjVjZc4Il5Hsdum/57tCY4782l2pliPvhNHHGIb&#10;SMP9RIFAqoNtqdHw+fF2twQRkyFrukCo4YwR1uX1VWFyG060xWOVGsEhFHOjwaXU51LG2qE3cRJ6&#10;JPa+w+BN4nNopB3MicN9Jx+UmktvWuIPzvT44rD+qQ5ew6JJr1X9nNVfG3devq/GadxWO61vb8an&#10;RxAJx/QHw6U+V4eSO+3DgWwUnYapUhmjbKg5CAayxUXYszBTM5BlIf9PKH8BAAD//wMAUEsBAi0A&#10;FAAGAAgAAAAhALaDOJL+AAAA4QEAABMAAAAAAAAAAAAAAAAAAAAAAFtDb250ZW50X1R5cGVzXS54&#10;bWxQSwECLQAUAAYACAAAACEAOP0h/9YAAACUAQAACwAAAAAAAAAAAAAAAAAvAQAAX3JlbHMvLnJl&#10;bHNQSwECLQAUAAYACAAAACEAL4CtbSYCAABQBAAADgAAAAAAAAAAAAAAAAAuAgAAZHJzL2Uyb0Rv&#10;Yy54bWxQSwECLQAUAAYACAAAACEAbV3OHd4AAAAKAQAADwAAAAAAAAAAAAAAAACABAAAZHJzL2Rv&#10;d25yZXYueG1sUEsFBgAAAAAEAAQA8wAAAIsFAAAAAA==&#10;">
                <v:textbox inset=",7.2pt,,7.2pt">
                  <w:txbxContent>
                    <w:p w:rsidR="00E60FAA" w:rsidRDefault="00E60FAA" w:rsidP="00151729">
                      <w:r>
                        <w:t>Full-text articles assessed for eligibility</w:t>
                      </w:r>
                      <w:r>
                        <w:br/>
                        <w:t>(n = 36)</w:t>
                      </w:r>
                    </w:p>
                  </w:txbxContent>
                </v:textbox>
              </v:rect>
            </w:pict>
          </mc:Fallback>
        </mc:AlternateContent>
      </w:r>
    </w:p>
    <w:p w:rsidR="00151729" w:rsidRDefault="00A47871" w:rsidP="00151729">
      <w:pPr>
        <w:pStyle w:val="Heading2"/>
      </w:pPr>
      <w:r>
        <w:rPr>
          <w:noProof/>
          <w:lang w:eastAsia="en-GB"/>
        </w:rPr>
        <mc:AlternateContent>
          <mc:Choice Requires="wps">
            <w:drawing>
              <wp:anchor distT="36576" distB="36576" distL="36576" distR="36576" simplePos="0" relativeHeight="251673600" behindDoc="0" locked="0" layoutInCell="1" allowOverlap="1">
                <wp:simplePos x="0" y="0"/>
                <wp:positionH relativeFrom="column">
                  <wp:posOffset>3622675</wp:posOffset>
                </wp:positionH>
                <wp:positionV relativeFrom="paragraph">
                  <wp:posOffset>130175</wp:posOffset>
                </wp:positionV>
                <wp:extent cx="606425" cy="0"/>
                <wp:effectExtent l="12700" t="55880" r="19050" b="58420"/>
                <wp:wrapNone/>
                <wp:docPr id="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28191F2" id="AutoShape 15" o:spid="_x0000_s1026" type="#_x0000_t32" style="position:absolute;margin-left:285.25pt;margin-top:10.25pt;width:47.75pt;height:0;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D5pgIAAJYFAAAOAAAAZHJzL2Uyb0RvYy54bWysVMuOmzAU3VfqP1jeM0BCXmjIKAOkmz5G&#10;mqm6drABq8ZGthMSVf33XjsJ8+imqoYF8rV9X+ec69u7YyfQgWnDlcxwfBNhxGSlKJdNhr8/bYMl&#10;RsYSSYlQkmX4xAy+W3/8cDv0KZuoVgnKNIIg0qRDn+HW2j4NQ1O1rCPmRvVMwmGtdEcsmLoJqSYD&#10;RO9EOImieTgoTXutKmYM7BbnQ7z28euaVfZbXRtmkcgw1Gb9X/v/zv3D9S1JG036lleXMsh/VNER&#10;LiHpGKoglqC95n+F6nillVG1valUF6q65hXzPUA3cfSmm8eW9Mz3AuCYfoTJvF/Y6uvhQSNOgTuM&#10;JOmAos3eKp8ZxTOHz9CbFK7l8kG7DqujfOw/q+qnQVLlLZEN87efTj04x84jfOXiDNNDlt3wRVG4&#10;QyCBB+tY686FBBjQ0XNyGjlhR4sq2JxH82Qyw6i6HoUkvfr12thPTHXILTJsrCa8aW2upATilY59&#10;FnL4bKyriqRXB5dUqi0XwvMvJBoyvJpBHndilODUHXpDN7tcaHQgTkH+8y2+uabVXlIfrGWElpe1&#10;JVzAGlmPjdUc0BIMu2wdoxgJBkPjVufyhHQZmZftuWawjhaWfh8Q8ZL6tYpW5bJcJkEymZdBEhVF&#10;sNnmSTDfxotZMS3yvIh/u1biJG05pUy6bq7yjpN/k89l0M7CHAU+wha+ju7xhWJfV7rZzqJFMl0G&#10;i8VsGiTTMgrul9s82OTxfL4o7/P78k2lpe/evE+xI5SuKrW3TD+2dECUO7lMZ6sJiJ5yeA4mizOz&#10;iIgGKKmsxkgr+4Pb1ovbydLFMC/VkPvvwt0Y/QzElUNnjSxcenuGCiR55dfPjBuT88DtFD09aCcL&#10;Nz4w/N7p8lC51+Wl7W89P6frPwAAAP//AwBQSwMEFAAGAAgAAAAhAPny8tffAAAACQEAAA8AAABk&#10;cnMvZG93bnJldi54bWxMj81OwzAQhO9IvIO1SL1Rpy1JUYhToUpUVW+EH3F04yWJiNeR7baBp2er&#10;HuC02p3R7DfFarS9OKIPnSMFs2kCAql2pqNGwevL0+09iBA1Gd07QgXfGGBVXl8VOjfuRM94rGIj&#10;OIRCrhW0MQ65lKFu0eowdQMSa5/OWx159Y00Xp843PZyniSZtLoj/tDqAdct1l/VwSoYf3YpNu/d&#10;XdzONku/S9cfi7dKqcnN+PgAIuIY/8xwxmd0KJlp7w5kgugVpMskZauC+XmyIcsyLre/HGRZyP8N&#10;yl8AAAD//wMAUEsBAi0AFAAGAAgAAAAhALaDOJL+AAAA4QEAABMAAAAAAAAAAAAAAAAAAAAAAFtD&#10;b250ZW50X1R5cGVzXS54bWxQSwECLQAUAAYACAAAACEAOP0h/9YAAACUAQAACwAAAAAAAAAAAAAA&#10;AAAvAQAAX3JlbHMvLnJlbHNQSwECLQAUAAYACAAAACEAjz5A+aYCAACWBQAADgAAAAAAAAAAAAAA&#10;AAAuAgAAZHJzL2Uyb0RvYy54bWxQSwECLQAUAAYACAAAACEA+fLy198AAAAJAQAADwAAAAAAAAAA&#10;AAAAAAAABQAAZHJzL2Rvd25yZXYueG1sUEsFBgAAAAAEAAQA8wAAAAwGAAAAAA==&#10;">
                <v:stroke endarrow="block"/>
                <v:shadow color="#ccc"/>
              </v:shape>
            </w:pict>
          </mc:Fallback>
        </mc:AlternateContent>
      </w:r>
    </w:p>
    <w:p w:rsidR="00151729" w:rsidRDefault="00151729" w:rsidP="00151729">
      <w:pPr>
        <w:pStyle w:val="Heading2"/>
      </w:pPr>
    </w:p>
    <w:p w:rsidR="00151729" w:rsidRDefault="00151729" w:rsidP="00151729">
      <w:pPr>
        <w:pStyle w:val="Heading2"/>
        <w:tabs>
          <w:tab w:val="left" w:pos="2370"/>
        </w:tabs>
      </w:pPr>
      <w:r>
        <w:tab/>
      </w:r>
    </w:p>
    <w:p w:rsidR="00151729" w:rsidRDefault="00151729" w:rsidP="00151729">
      <w:pPr>
        <w:pStyle w:val="Heading2"/>
      </w:pPr>
    </w:p>
    <w:p w:rsidR="00151729" w:rsidRDefault="00151729" w:rsidP="00151729">
      <w:pPr>
        <w:pStyle w:val="Heading2"/>
      </w:pPr>
    </w:p>
    <w:p w:rsidR="00151729" w:rsidRDefault="00151729" w:rsidP="00151729">
      <w:pPr>
        <w:pStyle w:val="Heading2"/>
      </w:pPr>
    </w:p>
    <w:p w:rsidR="00151729" w:rsidRDefault="00151729" w:rsidP="00151729"/>
    <w:p w:rsidR="00151729" w:rsidRDefault="00151729" w:rsidP="00151729"/>
    <w:p w:rsidR="00151729" w:rsidRDefault="00151729" w:rsidP="00151729"/>
    <w:p w:rsidR="00151729" w:rsidRDefault="00151729" w:rsidP="00151729"/>
    <w:p w:rsidR="00B52B0D" w:rsidRDefault="00B52B0D" w:rsidP="00151729">
      <w:pPr>
        <w:rPr>
          <w:i/>
        </w:rPr>
      </w:pPr>
    </w:p>
    <w:p w:rsidR="00D23EF8" w:rsidRDefault="009B2285" w:rsidP="00151729">
      <w:r w:rsidRPr="00BB672B">
        <w:rPr>
          <w:i/>
        </w:rPr>
        <w:t>Summary of studies:</w:t>
      </w:r>
      <w:r>
        <w:rPr>
          <w:i/>
        </w:rPr>
        <w:t xml:space="preserve"> </w:t>
      </w:r>
      <w:r>
        <w:t xml:space="preserve">A total of </w:t>
      </w:r>
      <w:r w:rsidR="00A156F6">
        <w:t>12,167</w:t>
      </w:r>
      <w:r>
        <w:t xml:space="preserve"> participants were included in what were largely cross-sectional survey</w:t>
      </w:r>
      <w:r w:rsidR="009334DD">
        <w:t>s</w:t>
      </w:r>
      <w:r>
        <w:t xml:space="preserve">. A range of demographic, clinical, </w:t>
      </w:r>
      <w:r w:rsidR="00B3277E">
        <w:t>medication</w:t>
      </w:r>
      <w:r>
        <w:t xml:space="preserve"> and psycho</w:t>
      </w:r>
      <w:r w:rsidR="005C56D2">
        <w:t>social variables were measured.</w:t>
      </w:r>
      <w:r w:rsidR="007D3BE6">
        <w:t xml:space="preserve"> </w:t>
      </w:r>
      <w:r w:rsidR="00112612">
        <w:t>Sampl</w:t>
      </w:r>
      <w:r w:rsidR="006D7AE6">
        <w:t>e sizes varied from 22 to 2,011</w:t>
      </w:r>
      <w:r w:rsidR="00112612">
        <w:t xml:space="preserve">. The majority of studies were European (20), ten </w:t>
      </w:r>
      <w:r w:rsidR="006D7AE6">
        <w:t xml:space="preserve">came </w:t>
      </w:r>
      <w:r w:rsidR="00112612">
        <w:t>from North America, two from Australia and one from India. Twenty six of the thi</w:t>
      </w:r>
      <w:r w:rsidR="00F947F2">
        <w:t xml:space="preserve">rty two studies looked at both </w:t>
      </w:r>
      <w:r w:rsidR="005C5563">
        <w:t>U</w:t>
      </w:r>
      <w:r w:rsidR="00112612">
        <w:t>C and CD</w:t>
      </w:r>
      <w:r w:rsidR="00A546E3">
        <w:t>. T</w:t>
      </w:r>
      <w:r w:rsidR="00D23EF8">
        <w:t xml:space="preserve">wenty six used a self-report </w:t>
      </w:r>
      <w:r w:rsidR="007D3BE6">
        <w:t xml:space="preserve">measure of adherence assessment; </w:t>
      </w:r>
      <w:r w:rsidR="00345902">
        <w:t>three</w:t>
      </w:r>
      <w:r w:rsidR="00D23EF8">
        <w:t xml:space="preserve"> used urinalysis</w:t>
      </w:r>
      <w:r w:rsidR="00966806">
        <w:t>, one blood testing</w:t>
      </w:r>
      <w:r w:rsidR="00345902">
        <w:t xml:space="preserve"> and </w:t>
      </w:r>
      <w:r w:rsidR="005C56D2">
        <w:t>two prescription refill data.</w:t>
      </w:r>
      <w:r w:rsidR="007D3BE6">
        <w:t xml:space="preserve"> </w:t>
      </w:r>
      <w:r w:rsidR="00D23EF8">
        <w:t xml:space="preserve">Non-adherence rates ranged from 9-81% of </w:t>
      </w:r>
      <w:r w:rsidR="00523AC4">
        <w:t>participants with a</w:t>
      </w:r>
      <w:r w:rsidR="00D23EF8">
        <w:t xml:space="preserve"> </w:t>
      </w:r>
      <w:r w:rsidR="00523AC4">
        <w:t>mean of</w:t>
      </w:r>
      <w:r w:rsidR="00D23EF8">
        <w:t xml:space="preserve"> 35%. </w:t>
      </w:r>
    </w:p>
    <w:p w:rsidR="009B2285" w:rsidRDefault="009B2285" w:rsidP="005C5563">
      <w:pPr>
        <w:jc w:val="both"/>
      </w:pPr>
      <w:r>
        <w:rPr>
          <w:rFonts w:eastAsia="TimesLTStd-Roman" w:cs="TimesLTStd-Roman"/>
          <w:i/>
        </w:rPr>
        <w:t xml:space="preserve">Threats to validity: </w:t>
      </w:r>
      <w:r w:rsidR="009334DD">
        <w:rPr>
          <w:rFonts w:eastAsia="TimesLTStd-Roman" w:cs="TimesLTStd-Roman"/>
          <w:i/>
        </w:rPr>
        <w:t>S</w:t>
      </w:r>
      <w:r>
        <w:rPr>
          <w:rFonts w:eastAsia="TimesLTStd-Roman" w:cs="TimesLTStd-Roman"/>
        </w:rPr>
        <w:t xml:space="preserve">tudies were assessed for </w:t>
      </w:r>
      <w:r w:rsidR="006B233D">
        <w:rPr>
          <w:rFonts w:eastAsia="TimesLTStd-Roman" w:cs="TimesLTStd-Roman"/>
        </w:rPr>
        <w:t xml:space="preserve">quality and </w:t>
      </w:r>
      <w:r>
        <w:rPr>
          <w:rFonts w:eastAsia="TimesLTStd-Roman" w:cs="TimesLTStd-Roman"/>
        </w:rPr>
        <w:t xml:space="preserve">threats to their validity using the </w:t>
      </w:r>
      <w:r>
        <w:t>generic use quality indica</w:t>
      </w:r>
      <w:r w:rsidR="00632B7E">
        <w:t>tor</w:t>
      </w:r>
      <w:r w:rsidR="00AB6F41">
        <w:t xml:space="preserve"> tool </w:t>
      </w:r>
      <w:r w:rsidR="007C3C2F">
        <w:t>developed by Daley et al</w:t>
      </w:r>
      <w:r w:rsidR="00CA519E">
        <w:t xml:space="preserve"> (2012)</w:t>
      </w:r>
      <w:r w:rsidR="00535368">
        <w:t>.</w:t>
      </w:r>
      <w:r w:rsidRPr="003931AB">
        <w:t xml:space="preserve"> None of the studies were deemed to be of high quality.</w:t>
      </w:r>
      <w:r w:rsidR="001B27AE">
        <w:t xml:space="preserve"> Seventeen of the thirty two studies were </w:t>
      </w:r>
      <w:r w:rsidR="00E60FAA">
        <w:t xml:space="preserve">graded </w:t>
      </w:r>
      <w:r w:rsidR="001B27AE">
        <w:t xml:space="preserve">moderate </w:t>
      </w:r>
      <w:r w:rsidR="00E60FAA">
        <w:t xml:space="preserve">and </w:t>
      </w:r>
      <w:r w:rsidR="001B27AE">
        <w:t>fifteen low</w:t>
      </w:r>
      <w:r w:rsidR="00E60FAA">
        <w:t xml:space="preserve">. </w:t>
      </w:r>
    </w:p>
    <w:p w:rsidR="006C4EF6" w:rsidRPr="00961DFE" w:rsidRDefault="006C4EF6" w:rsidP="005C5563">
      <w:pPr>
        <w:jc w:val="both"/>
        <w:rPr>
          <w:i/>
        </w:rPr>
      </w:pPr>
      <w:r w:rsidRPr="00961DFE">
        <w:rPr>
          <w:i/>
        </w:rPr>
        <w:t>Factors associated with non-adherence to oral medication for IBD</w:t>
      </w:r>
    </w:p>
    <w:p w:rsidR="006C4EF6" w:rsidRDefault="006C4EF6" w:rsidP="005C5563">
      <w:pPr>
        <w:jc w:val="both"/>
      </w:pPr>
      <w:r>
        <w:t>We found 45 different facto</w:t>
      </w:r>
      <w:r w:rsidR="009A069E">
        <w:t>rs reported in the literature; t</w:t>
      </w:r>
      <w:r>
        <w:t xml:space="preserve">hose which were similar were combined. This was </w:t>
      </w:r>
      <w:r w:rsidR="00581D75">
        <w:t xml:space="preserve">undertaken independently </w:t>
      </w:r>
      <w:r>
        <w:t>by AP and K</w:t>
      </w:r>
      <w:r w:rsidR="00E60FAA">
        <w:t>HO</w:t>
      </w:r>
      <w:r>
        <w:t>D and differences resolved through discussion. Th</w:t>
      </w:r>
      <w:r w:rsidR="00E844FF">
        <w:t>e</w:t>
      </w:r>
      <w:r>
        <w:t xml:space="preserve"> result</w:t>
      </w:r>
      <w:r w:rsidR="00E844FF">
        <w:t xml:space="preserve">ing 25 ‘condensed factors’ </w:t>
      </w:r>
      <w:r>
        <w:t xml:space="preserve">were grouped into </w:t>
      </w:r>
      <w:r w:rsidR="00523AC4">
        <w:t xml:space="preserve">four themes - demographic, clinical, medication </w:t>
      </w:r>
      <w:r w:rsidR="005C56D2">
        <w:t>and psychosocial factors.</w:t>
      </w:r>
      <w:r w:rsidR="003373D0">
        <w:t xml:space="preserve"> </w:t>
      </w:r>
      <w:r w:rsidR="00CE2B96">
        <w:t>Statistically significant associ</w:t>
      </w:r>
      <w:r w:rsidR="00346197">
        <w:t xml:space="preserve">ations </w:t>
      </w:r>
      <w:r w:rsidR="00632B7E">
        <w:t xml:space="preserve">(between adherence and a given factor) </w:t>
      </w:r>
      <w:r w:rsidR="00CE2B96">
        <w:t xml:space="preserve">reported by individual papers </w:t>
      </w:r>
      <w:r w:rsidR="00345902">
        <w:t>tended not to be</w:t>
      </w:r>
      <w:r w:rsidR="00CE2B96">
        <w:t xml:space="preserve"> consistently demonstrated across the literature as a whole:</w:t>
      </w:r>
      <w:r w:rsidR="003373D0">
        <w:t xml:space="preserve"> the number of studies in which there was found to be a statistically significant </w:t>
      </w:r>
      <w:r w:rsidR="00CE2B96">
        <w:t xml:space="preserve">relationship </w:t>
      </w:r>
      <w:r w:rsidR="00632B7E">
        <w:t>we</w:t>
      </w:r>
      <w:r w:rsidR="00CE2B96">
        <w:t>re frequently</w:t>
      </w:r>
      <w:r w:rsidR="003373D0">
        <w:t xml:space="preserve"> outnumbered by the number of studies </w:t>
      </w:r>
      <w:r w:rsidR="00CE2B96">
        <w:t xml:space="preserve">finding no such association. </w:t>
      </w:r>
      <w:r w:rsidR="00E844FF">
        <w:t>Table 2</w:t>
      </w:r>
      <w:r w:rsidR="006E7B20">
        <w:t xml:space="preserve"> ranks and summarises </w:t>
      </w:r>
      <w:r w:rsidR="004266F8">
        <w:t xml:space="preserve">the data for </w:t>
      </w:r>
      <w:r w:rsidR="006E7B20">
        <w:t>those factors</w:t>
      </w:r>
      <w:r w:rsidR="00E60FAA">
        <w:t xml:space="preserve"> for</w:t>
      </w:r>
      <w:r w:rsidR="00503CFA">
        <w:t xml:space="preserve"> which a significant association with adherence was consistently reported.</w:t>
      </w:r>
    </w:p>
    <w:p w:rsidR="00D25B0D" w:rsidRDefault="006C4EF6" w:rsidP="005C5563">
      <w:pPr>
        <w:jc w:val="both"/>
      </w:pPr>
      <w:r w:rsidRPr="00A72A60">
        <w:rPr>
          <w:i/>
        </w:rPr>
        <w:t>Demographic factors</w:t>
      </w:r>
      <w:r>
        <w:rPr>
          <w:i/>
        </w:rPr>
        <w:t>:</w:t>
      </w:r>
      <w:r>
        <w:t xml:space="preserve"> With the exception of ethnicity and smoking status, demographic factors were not found to be associated with adherence. Ethnicity wa</w:t>
      </w:r>
      <w:r w:rsidRPr="0047786E">
        <w:t xml:space="preserve">s the only factor </w:t>
      </w:r>
      <w:r>
        <w:t xml:space="preserve">where the number of studies reporting a relationship (two) outweighed those that did not (one). </w:t>
      </w:r>
      <w:r w:rsidRPr="0047786E">
        <w:t xml:space="preserve">However, </w:t>
      </w:r>
      <w:r>
        <w:t>the sample size of the single study finding no correlation</w:t>
      </w:r>
      <w:r w:rsidR="00961DFE">
        <w:t xml:space="preserve"> was</w:t>
      </w:r>
      <w:r>
        <w:t xml:space="preserve"> </w:t>
      </w:r>
      <w:r w:rsidR="00961DFE">
        <w:t>approximate to</w:t>
      </w:r>
      <w:r w:rsidR="002B6C1E">
        <w:t xml:space="preserve"> that of</w:t>
      </w:r>
      <w:r>
        <w:t xml:space="preserve"> the two studies reporting a relationship. Furthermore </w:t>
      </w:r>
      <w:r w:rsidRPr="0047786E">
        <w:t xml:space="preserve">the two studies finding </w:t>
      </w:r>
      <w:r w:rsidR="00961DFE">
        <w:t xml:space="preserve">a </w:t>
      </w:r>
      <w:r w:rsidRPr="0047786E">
        <w:t>relations</w:t>
      </w:r>
      <w:r w:rsidR="00961DFE">
        <w:t>hip</w:t>
      </w:r>
      <w:r>
        <w:t xml:space="preserve"> were in different countries</w:t>
      </w:r>
      <w:r w:rsidRPr="0047786E">
        <w:t xml:space="preserve"> </w:t>
      </w:r>
      <w:r>
        <w:t>and looking at different</w:t>
      </w:r>
      <w:r w:rsidRPr="0047786E">
        <w:t xml:space="preserve"> ethnicities. All three studies were of moder</w:t>
      </w:r>
      <w:r>
        <w:t xml:space="preserve">ate quality but the populations </w:t>
      </w:r>
      <w:r w:rsidRPr="0047786E">
        <w:t>and nature of the studies varied to such an extent that drawing any wider conclusions regar</w:t>
      </w:r>
      <w:r w:rsidR="00256A77">
        <w:t xml:space="preserve">ding ethnicity is not possible. </w:t>
      </w:r>
    </w:p>
    <w:p w:rsidR="00D25B0D" w:rsidRDefault="00D25B0D">
      <w:r>
        <w:br w:type="page"/>
      </w:r>
    </w:p>
    <w:p w:rsidR="00D25B0D" w:rsidRDefault="00D25B0D" w:rsidP="00D25B0D">
      <w:pPr>
        <w:sectPr w:rsidR="00D25B0D" w:rsidSect="00BD57AE">
          <w:footerReference w:type="default" r:id="rId9"/>
          <w:pgSz w:w="11906" w:h="16838"/>
          <w:pgMar w:top="1440" w:right="1440" w:bottom="1440" w:left="1440" w:header="708" w:footer="708" w:gutter="0"/>
          <w:cols w:space="708"/>
          <w:docGrid w:linePitch="360"/>
        </w:sectPr>
      </w:pPr>
    </w:p>
    <w:p w:rsidR="00831E46" w:rsidRDefault="00831E46" w:rsidP="00831E46">
      <w:r w:rsidRPr="00E529D7">
        <w:rPr>
          <w:u w:val="single"/>
        </w:rPr>
        <w:lastRenderedPageBreak/>
        <w:t xml:space="preserve">Table </w:t>
      </w:r>
      <w:r w:rsidR="00D25B0D">
        <w:rPr>
          <w:u w:val="single"/>
        </w:rPr>
        <w:t>2</w:t>
      </w:r>
      <w:r w:rsidRPr="00D02313">
        <w:t xml:space="preserve"> – Factors Associated with Non-adherence to Oral Medication for Inflammatory Bowel Disease</w:t>
      </w:r>
    </w:p>
    <w:tbl>
      <w:tblPr>
        <w:tblStyle w:val="LightShading1"/>
        <w:tblpPr w:leftFromText="180" w:rightFromText="180" w:vertAnchor="text" w:horzAnchor="margin" w:tblpY="423"/>
        <w:tblW w:w="14992" w:type="dxa"/>
        <w:tblLayout w:type="fixed"/>
        <w:tblLook w:val="04A0" w:firstRow="1" w:lastRow="0" w:firstColumn="1" w:lastColumn="0" w:noHBand="0" w:noVBand="1"/>
      </w:tblPr>
      <w:tblGrid>
        <w:gridCol w:w="709"/>
        <w:gridCol w:w="1418"/>
        <w:gridCol w:w="1701"/>
        <w:gridCol w:w="1950"/>
        <w:gridCol w:w="1134"/>
        <w:gridCol w:w="1418"/>
        <w:gridCol w:w="1701"/>
        <w:gridCol w:w="1701"/>
        <w:gridCol w:w="1417"/>
        <w:gridCol w:w="1843"/>
      </w:tblGrid>
      <w:tr w:rsidR="00831E46" w:rsidTr="00831E46">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r>
              <w:t>Rank</w:t>
            </w:r>
          </w:p>
        </w:tc>
        <w:tc>
          <w:tcPr>
            <w:tcW w:w="1418"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Factor associated with non-adherence</w:t>
            </w:r>
          </w:p>
        </w:tc>
        <w:tc>
          <w:tcPr>
            <w:tcW w:w="1701"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Authors</w:t>
            </w:r>
          </w:p>
        </w:tc>
        <w:tc>
          <w:tcPr>
            <w:tcW w:w="1950"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Study design</w:t>
            </w:r>
          </w:p>
        </w:tc>
        <w:tc>
          <w:tcPr>
            <w:tcW w:w="1134"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Study sample number</w:t>
            </w:r>
          </w:p>
        </w:tc>
        <w:tc>
          <w:tcPr>
            <w:tcW w:w="1418"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Study Non-adherent number</w:t>
            </w:r>
          </w:p>
        </w:tc>
        <w:tc>
          <w:tcPr>
            <w:tcW w:w="1701"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Comparison of total sample numbers</w:t>
            </w:r>
            <w:r>
              <w:rPr>
                <w:rStyle w:val="FootnoteReference"/>
              </w:rPr>
              <w:footnoteReference w:id="1"/>
            </w:r>
          </w:p>
        </w:tc>
        <w:tc>
          <w:tcPr>
            <w:tcW w:w="1701"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Comparison of papers / factors</w:t>
            </w:r>
          </w:p>
        </w:tc>
        <w:tc>
          <w:tcPr>
            <w:tcW w:w="1417"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Level of significance reported</w:t>
            </w:r>
          </w:p>
        </w:tc>
        <w:tc>
          <w:tcPr>
            <w:tcW w:w="1843" w:type="dxa"/>
          </w:tcPr>
          <w:p w:rsidR="00831E46" w:rsidRDefault="00831E46" w:rsidP="00831E46">
            <w:pPr>
              <w:cnfStyle w:val="100000000000" w:firstRow="1" w:lastRow="0" w:firstColumn="0" w:lastColumn="0" w:oddVBand="0" w:evenVBand="0" w:oddHBand="0" w:evenHBand="0" w:firstRowFirstColumn="0" w:firstRowLastColumn="0" w:lastRowFirstColumn="0" w:lastRowLastColumn="0"/>
            </w:pPr>
            <w:r>
              <w:t>Assessment of study quality</w:t>
            </w:r>
          </w:p>
        </w:tc>
      </w:tr>
      <w:tr w:rsidR="00831E46" w:rsidTr="00831E46">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r>
              <w:t>1</w:t>
            </w:r>
          </w:p>
        </w:tc>
        <w:tc>
          <w:tcPr>
            <w:tcW w:w="1418"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Barriers to taking medication</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D’Inca (x2)</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Ediger</w:t>
            </w:r>
          </w:p>
        </w:tc>
        <w:tc>
          <w:tcPr>
            <w:tcW w:w="1950"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tc>
        <w:tc>
          <w:tcPr>
            <w:tcW w:w="1134"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485</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326</w:t>
            </w:r>
          </w:p>
        </w:tc>
        <w:tc>
          <w:tcPr>
            <w:tcW w:w="1418"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187</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113</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811</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p>
          <w:p w:rsidR="00831E46" w:rsidRDefault="00831E46" w:rsidP="00831E46">
            <w:pPr>
              <w:cnfStyle w:val="000000100000" w:firstRow="0" w:lastRow="0" w:firstColumn="0" w:lastColumn="0" w:oddVBand="0" w:evenVBand="0" w:oddHBand="1" w:evenHBand="0" w:firstRowFirstColumn="0" w:firstRowLastColumn="0" w:lastRowFirstColumn="0" w:lastRowLastColumn="0"/>
            </w:pPr>
            <w:r>
              <w:rPr>
                <w:i/>
              </w:rPr>
              <w:t>n = 0</w:t>
            </w:r>
            <w:r>
              <w:t xml:space="preserve"> </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 xml:space="preserve">3 factors </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(2 papers)</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Pr="00176E03"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0 factors</w:t>
            </w:r>
          </w:p>
        </w:tc>
        <w:tc>
          <w:tcPr>
            <w:tcW w:w="1417"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OR 6.3</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OR 4.4</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OR 3.9-4.2</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tc>
        <w:tc>
          <w:tcPr>
            <w:tcW w:w="1843"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Low</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Moderate</w:t>
            </w:r>
          </w:p>
        </w:tc>
      </w:tr>
      <w:tr w:rsidR="00831E46" w:rsidTr="00831E46">
        <w:trPr>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r>
              <w:t>2</w:t>
            </w:r>
          </w:p>
        </w:tc>
        <w:tc>
          <w:tcPr>
            <w:tcW w:w="1418"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Membership of patient association</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Nahon 2011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Selinger</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Waters</w:t>
            </w:r>
          </w:p>
          <w:p w:rsidR="00831E46" w:rsidRPr="00FB29AB"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 xml:space="preserve">Sewitch </w:t>
            </w:r>
          </w:p>
        </w:tc>
        <w:tc>
          <w:tcPr>
            <w:tcW w:w="1950"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RCT</w:t>
            </w:r>
          </w:p>
          <w:p w:rsidR="00831E46" w:rsidRPr="00452C71"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x</w:t>
            </w:r>
            <w:r w:rsidRPr="00A23A2D">
              <w:rPr>
                <w:i/>
              </w:rPr>
              <w:t>-section survey</w:t>
            </w:r>
          </w:p>
        </w:tc>
        <w:tc>
          <w:tcPr>
            <w:tcW w:w="1134"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1663</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356</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69</w:t>
            </w:r>
          </w:p>
          <w:p w:rsidR="00831E46" w:rsidRPr="00452C71"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153</w:t>
            </w:r>
          </w:p>
        </w:tc>
        <w:tc>
          <w:tcPr>
            <w:tcW w:w="1418"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173</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102</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48</w:t>
            </w:r>
          </w:p>
          <w:p w:rsidR="00831E46" w:rsidRPr="00452C71"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63</w:t>
            </w: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2,088</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pPr>
            <w:r>
              <w:rPr>
                <w:i/>
              </w:rPr>
              <w:t>n = 153</w:t>
            </w:r>
            <w:r>
              <w:t xml:space="preserve"> </w:t>
            </w: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3 factors</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Pr="00176E03"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1 factor</w:t>
            </w:r>
          </w:p>
        </w:tc>
        <w:tc>
          <w:tcPr>
            <w:tcW w:w="1417"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OR 1.8</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P &lt; 0.0001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P = 0.018</w:t>
            </w:r>
          </w:p>
          <w:p w:rsidR="00831E46" w:rsidRPr="00FB29AB"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NS</w:t>
            </w:r>
          </w:p>
        </w:tc>
        <w:tc>
          <w:tcPr>
            <w:tcW w:w="1843"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Low</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Moderate</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Low</w:t>
            </w:r>
          </w:p>
          <w:p w:rsidR="00831E46" w:rsidRPr="00FB29AB"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Moderate</w:t>
            </w:r>
          </w:p>
        </w:tc>
      </w:tr>
      <w:tr w:rsidR="00831E46" w:rsidTr="00831E46">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r>
              <w:t>3</w:t>
            </w:r>
          </w:p>
        </w:tc>
        <w:tc>
          <w:tcPr>
            <w:tcW w:w="1418"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Attitudes &amp; Beliefs</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D’Inca</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 xml:space="preserve">Horne </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rsidRPr="002D78A1">
              <w:t>Moshkovska</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Nahon 2011</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Selinger</w:t>
            </w: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rPr>
                <w:i/>
              </w:rPr>
            </w:pPr>
            <w:r w:rsidRPr="002D78A1">
              <w:rPr>
                <w:i/>
              </w:rPr>
              <w:t>Nahon 2011</w:t>
            </w:r>
          </w:p>
          <w:p w:rsidR="00831E46" w:rsidRPr="00FB29AB" w:rsidRDefault="00831E46" w:rsidP="00831E46">
            <w:pPr>
              <w:cnfStyle w:val="000000100000" w:firstRow="0" w:lastRow="0" w:firstColumn="0" w:lastColumn="0" w:oddVBand="0" w:evenVBand="0" w:oddHBand="1" w:evenHBand="0" w:firstRowFirstColumn="0" w:firstRowLastColumn="0" w:lastRowFirstColumn="0" w:lastRowLastColumn="0"/>
              <w:rPr>
                <w:i/>
              </w:rPr>
            </w:pPr>
            <w:r w:rsidRPr="00FB29AB">
              <w:rPr>
                <w:i/>
              </w:rPr>
              <w:t>Selinger</w:t>
            </w: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rPr>
                <w:i/>
              </w:rPr>
            </w:pPr>
            <w:r w:rsidRPr="00FB29AB">
              <w:rPr>
                <w:i/>
              </w:rPr>
              <w:t>Sewitch</w:t>
            </w:r>
          </w:p>
        </w:tc>
        <w:tc>
          <w:tcPr>
            <w:tcW w:w="1950"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Pr="004D6FAC" w:rsidRDefault="00831E46" w:rsidP="00831E46">
            <w:pPr>
              <w:cnfStyle w:val="000000100000" w:firstRow="0" w:lastRow="0" w:firstColumn="0" w:lastColumn="0" w:oddVBand="0" w:evenVBand="0" w:oddHBand="1" w:evenHBand="0" w:firstRowFirstColumn="0" w:firstRowLastColumn="0" w:lastRowFirstColumn="0" w:lastRowLastColumn="0"/>
              <w:rPr>
                <w:i/>
              </w:rPr>
            </w:pPr>
            <w:r w:rsidRPr="004D6FAC">
              <w:rPr>
                <w:i/>
              </w:rP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x</w:t>
            </w:r>
            <w:r w:rsidRPr="004B4EE7">
              <w:rPr>
                <w:i/>
              </w:rPr>
              <w:t>-section survey</w:t>
            </w: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x-section survey</w:t>
            </w:r>
          </w:p>
        </w:tc>
        <w:tc>
          <w:tcPr>
            <w:tcW w:w="1134"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485</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1871</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151</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=1663</w:t>
            </w: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pPr>
            <w:r>
              <w:t>n = 356</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 = 1663</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 = 356</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rPr>
                <w:i/>
              </w:rPr>
              <w:t>n = 153</w:t>
            </w:r>
            <w:r>
              <w:t xml:space="preserve"> </w:t>
            </w:r>
          </w:p>
        </w:tc>
        <w:tc>
          <w:tcPr>
            <w:tcW w:w="1418"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187</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543</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90</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173</w:t>
            </w: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pPr>
            <w:r>
              <w:t>n = 102</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sidRPr="002D78A1">
              <w:rPr>
                <w:i/>
              </w:rPr>
              <w:t>n = 173</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 = 102</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rPr>
                <w:i/>
              </w:rPr>
              <w:t>n = 63</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4526</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 xml:space="preserve">n = 2172 </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5 factors</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p>
          <w:p w:rsidR="00831E46" w:rsidRPr="002D78A1"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3 factors</w:t>
            </w:r>
          </w:p>
        </w:tc>
        <w:tc>
          <w:tcPr>
            <w:tcW w:w="1417"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OR 1.5</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OR 1.79-4.59</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P = 0.028</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OR 0.27</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P &lt; 0.0001</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NS</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NS</w:t>
            </w:r>
          </w:p>
          <w:p w:rsidR="00831E46" w:rsidRPr="009651B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NS</w:t>
            </w:r>
          </w:p>
        </w:tc>
        <w:tc>
          <w:tcPr>
            <w:tcW w:w="1843"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Low</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Low</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Moderate</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Low</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Moderate</w:t>
            </w:r>
          </w:p>
          <w:p w:rsidR="00831E46" w:rsidRDefault="00831E46" w:rsidP="00831E46">
            <w:pPr>
              <w:jc w:val="both"/>
              <w:cnfStyle w:val="000000100000" w:firstRow="0" w:lastRow="0" w:firstColumn="0" w:lastColumn="0" w:oddVBand="0" w:evenVBand="0" w:oddHBand="1" w:evenHBand="0" w:firstRowFirstColumn="0" w:firstRowLastColumn="0" w:lastRowFirstColumn="0" w:lastRowLastColumn="0"/>
              <w:rPr>
                <w:i/>
              </w:rPr>
            </w:pPr>
            <w:r>
              <w:rPr>
                <w:i/>
              </w:rPr>
              <w:t>Low</w:t>
            </w:r>
          </w:p>
          <w:p w:rsidR="00831E46" w:rsidRDefault="00831E46" w:rsidP="00831E46">
            <w:pPr>
              <w:jc w:val="both"/>
              <w:cnfStyle w:val="000000100000" w:firstRow="0" w:lastRow="0" w:firstColumn="0" w:lastColumn="0" w:oddVBand="0" w:evenVBand="0" w:oddHBand="1" w:evenHBand="0" w:firstRowFirstColumn="0" w:firstRowLastColumn="0" w:lastRowFirstColumn="0" w:lastRowLastColumn="0"/>
              <w:rPr>
                <w:i/>
              </w:rPr>
            </w:pPr>
            <w:r>
              <w:rPr>
                <w:i/>
              </w:rPr>
              <w:t>Moderate</w:t>
            </w:r>
          </w:p>
          <w:p w:rsidR="00831E46" w:rsidRPr="009651B6" w:rsidRDefault="00831E46" w:rsidP="00831E46">
            <w:pPr>
              <w:jc w:val="both"/>
              <w:cnfStyle w:val="000000100000" w:firstRow="0" w:lastRow="0" w:firstColumn="0" w:lastColumn="0" w:oddVBand="0" w:evenVBand="0" w:oddHBand="1" w:evenHBand="0" w:firstRowFirstColumn="0" w:firstRowLastColumn="0" w:lastRowFirstColumn="0" w:lastRowLastColumn="0"/>
              <w:rPr>
                <w:i/>
              </w:rPr>
            </w:pPr>
            <w:r>
              <w:rPr>
                <w:i/>
              </w:rPr>
              <w:t>Moderate</w:t>
            </w:r>
          </w:p>
        </w:tc>
      </w:tr>
      <w:tr w:rsidR="00831E46" w:rsidTr="00831E46">
        <w:trPr>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tc>
        <w:tc>
          <w:tcPr>
            <w:tcW w:w="1418"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Smoking</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Horvath</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Nahon 2011</w:t>
            </w:r>
          </w:p>
          <w:p w:rsidR="00831E46" w:rsidRPr="00E51BD3" w:rsidRDefault="00831E46" w:rsidP="00831E46">
            <w:pPr>
              <w:cnfStyle w:val="000000000000" w:firstRow="0" w:lastRow="0" w:firstColumn="0" w:lastColumn="0" w:oddVBand="0" w:evenVBand="0" w:oddHBand="0" w:evenHBand="0" w:firstRowFirstColumn="0" w:firstRowLastColumn="0" w:lastRowFirstColumn="0" w:lastRowLastColumn="0"/>
              <w:rPr>
                <w:i/>
              </w:rPr>
            </w:pPr>
            <w:r w:rsidRPr="00E51BD3">
              <w:rPr>
                <w:i/>
              </w:rPr>
              <w:t>Lakatos</w:t>
            </w:r>
          </w:p>
          <w:p w:rsidR="00831E46" w:rsidRPr="00E51BD3" w:rsidRDefault="00831E46" w:rsidP="00831E46">
            <w:pPr>
              <w:cnfStyle w:val="000000000000" w:firstRow="0" w:lastRow="0" w:firstColumn="0" w:lastColumn="0" w:oddVBand="0" w:evenVBand="0" w:oddHBand="0" w:evenHBand="0" w:firstRowFirstColumn="0" w:firstRowLastColumn="0" w:lastRowFirstColumn="0" w:lastRowLastColumn="0"/>
              <w:rPr>
                <w:i/>
              </w:rPr>
            </w:pPr>
            <w:r w:rsidRPr="00E51BD3">
              <w:rPr>
                <w:i/>
              </w:rPr>
              <w:t>Cerveny (1)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rsidRPr="00E51BD3">
              <w:rPr>
                <w:i/>
              </w:rPr>
              <w:t>Cerveny (2)</w:t>
            </w:r>
          </w:p>
        </w:tc>
        <w:tc>
          <w:tcPr>
            <w:tcW w:w="1950"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tc>
        <w:tc>
          <w:tcPr>
            <w:tcW w:w="1134"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592</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1663</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655</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47</w:t>
            </w:r>
          </w:p>
          <w:p w:rsidR="00831E46" w:rsidRPr="00B608AC"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396</w:t>
            </w:r>
          </w:p>
        </w:tc>
        <w:tc>
          <w:tcPr>
            <w:tcW w:w="1418"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79</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173</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136</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6</w:t>
            </w:r>
          </w:p>
          <w:p w:rsidR="00831E46" w:rsidRPr="00B608AC"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129</w:t>
            </w: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2,255</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pPr>
            <w:r>
              <w:rPr>
                <w:i/>
              </w:rPr>
              <w:t>n = 1,098</w:t>
            </w: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2 factors</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p>
          <w:p w:rsidR="00831E46" w:rsidRPr="00DE3C4E"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3 factors</w:t>
            </w:r>
          </w:p>
        </w:tc>
        <w:tc>
          <w:tcPr>
            <w:tcW w:w="1417"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P=0.002</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OR=0.61</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NS</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NS</w:t>
            </w:r>
          </w:p>
          <w:p w:rsidR="00831E46" w:rsidRPr="008678B4"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NS</w:t>
            </w:r>
          </w:p>
        </w:tc>
        <w:tc>
          <w:tcPr>
            <w:tcW w:w="1843"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Moderate</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Low</w:t>
            </w:r>
          </w:p>
          <w:p w:rsidR="00831E46" w:rsidRPr="00E51BD3" w:rsidRDefault="00831E46" w:rsidP="00831E46">
            <w:pPr>
              <w:cnfStyle w:val="000000000000" w:firstRow="0" w:lastRow="0" w:firstColumn="0" w:lastColumn="0" w:oddVBand="0" w:evenVBand="0" w:oddHBand="0" w:evenHBand="0" w:firstRowFirstColumn="0" w:firstRowLastColumn="0" w:lastRowFirstColumn="0" w:lastRowLastColumn="0"/>
              <w:rPr>
                <w:i/>
              </w:rPr>
            </w:pPr>
            <w:r w:rsidRPr="00E51BD3">
              <w:rPr>
                <w:i/>
              </w:rPr>
              <w:t>Moderate</w:t>
            </w:r>
          </w:p>
          <w:p w:rsidR="00831E46" w:rsidRPr="00E51BD3" w:rsidRDefault="00831E46" w:rsidP="00831E46">
            <w:pPr>
              <w:cnfStyle w:val="000000000000" w:firstRow="0" w:lastRow="0" w:firstColumn="0" w:lastColumn="0" w:oddVBand="0" w:evenVBand="0" w:oddHBand="0" w:evenHBand="0" w:firstRowFirstColumn="0" w:firstRowLastColumn="0" w:lastRowFirstColumn="0" w:lastRowLastColumn="0"/>
              <w:rPr>
                <w:i/>
              </w:rPr>
            </w:pPr>
            <w:r w:rsidRPr="00E51BD3">
              <w:rPr>
                <w:i/>
              </w:rPr>
              <w:t xml:space="preserve">Low </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rsidRPr="00E51BD3">
              <w:rPr>
                <w:i/>
              </w:rPr>
              <w:t>Moderate</w:t>
            </w:r>
          </w:p>
        </w:tc>
      </w:tr>
      <w:tr w:rsidR="00831E46" w:rsidTr="00831E46">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r>
              <w:lastRenderedPageBreak/>
              <w:t xml:space="preserve"> </w:t>
            </w:r>
          </w:p>
        </w:tc>
        <w:tc>
          <w:tcPr>
            <w:tcW w:w="1418"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Ethnicity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Moshkovska</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Nguyen</w:t>
            </w:r>
          </w:p>
          <w:p w:rsidR="00831E46" w:rsidRPr="00FB29AB" w:rsidRDefault="00831E46" w:rsidP="00831E46">
            <w:pPr>
              <w:cnfStyle w:val="000000100000" w:firstRow="0" w:lastRow="0" w:firstColumn="0" w:lastColumn="0" w:oddVBand="0" w:evenVBand="0" w:oddHBand="1" w:evenHBand="0" w:firstRowFirstColumn="0" w:firstRowLastColumn="0" w:lastRowFirstColumn="0" w:lastRowLastColumn="0"/>
              <w:rPr>
                <w:i/>
              </w:rPr>
            </w:pPr>
            <w:r w:rsidRPr="00FB29AB">
              <w:rPr>
                <w:i/>
              </w:rPr>
              <w:t>Selinger</w:t>
            </w:r>
          </w:p>
        </w:tc>
        <w:tc>
          <w:tcPr>
            <w:tcW w:w="1950"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x-section survey</w:t>
            </w:r>
          </w:p>
          <w:p w:rsidR="00831E46" w:rsidRPr="004B4EE7"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x</w:t>
            </w:r>
            <w:r w:rsidRPr="004B4EE7">
              <w:rPr>
                <w:i/>
              </w:rPr>
              <w:t>-section survey</w:t>
            </w:r>
          </w:p>
        </w:tc>
        <w:tc>
          <w:tcPr>
            <w:tcW w:w="1134"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151</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235</w:t>
            </w:r>
          </w:p>
          <w:p w:rsidR="00831E46" w:rsidRPr="00C51CB6"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n = 356</w:t>
            </w:r>
          </w:p>
        </w:tc>
        <w:tc>
          <w:tcPr>
            <w:tcW w:w="1418"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90</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n = 79</w:t>
            </w:r>
          </w:p>
          <w:p w:rsidR="00831E46" w:rsidRPr="00C51CB6" w:rsidRDefault="00831E46" w:rsidP="00831E46">
            <w:pPr>
              <w:cnfStyle w:val="000000100000" w:firstRow="0" w:lastRow="0" w:firstColumn="0" w:lastColumn="0" w:oddVBand="0" w:evenVBand="0" w:oddHBand="1" w:evenHBand="0" w:firstRowFirstColumn="0" w:firstRowLastColumn="0" w:lastRowFirstColumn="0" w:lastRowLastColumn="0"/>
              <w:rPr>
                <w:i/>
              </w:rPr>
            </w:pPr>
            <w:r w:rsidRPr="00C51CB6">
              <w:rPr>
                <w:i/>
              </w:rPr>
              <w:t xml:space="preserve">n = 102 </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n = 386</w:t>
            </w:r>
          </w:p>
          <w:p w:rsidR="00831E46" w:rsidRDefault="00831E46" w:rsidP="00831E46">
            <w:pPr>
              <w:cnfStyle w:val="000000100000" w:firstRow="0" w:lastRow="0" w:firstColumn="0" w:lastColumn="0" w:oddVBand="0" w:evenVBand="0" w:oddHBand="1" w:evenHBand="0" w:firstRowFirstColumn="0" w:firstRowLastColumn="0" w:lastRowFirstColumn="0" w:lastRowLastColumn="0"/>
              <w:rPr>
                <w:i/>
              </w:rPr>
            </w:pPr>
          </w:p>
          <w:p w:rsidR="00831E46" w:rsidRDefault="00831E46" w:rsidP="00831E46">
            <w:pPr>
              <w:cnfStyle w:val="000000100000" w:firstRow="0" w:lastRow="0" w:firstColumn="0" w:lastColumn="0" w:oddVBand="0" w:evenVBand="0" w:oddHBand="1" w:evenHBand="0" w:firstRowFirstColumn="0" w:firstRowLastColumn="0" w:lastRowFirstColumn="0" w:lastRowLastColumn="0"/>
            </w:pPr>
            <w:r>
              <w:rPr>
                <w:i/>
              </w:rPr>
              <w:t>n</w:t>
            </w:r>
            <w:r>
              <w:t xml:space="preserve"> = 356</w:t>
            </w:r>
          </w:p>
        </w:tc>
        <w:tc>
          <w:tcPr>
            <w:tcW w:w="1701"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2 factors</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p>
          <w:p w:rsidR="00831E46" w:rsidRPr="0070410E" w:rsidRDefault="00831E46" w:rsidP="00831E46">
            <w:pPr>
              <w:cnfStyle w:val="000000100000" w:firstRow="0" w:lastRow="0" w:firstColumn="0" w:lastColumn="0" w:oddVBand="0" w:evenVBand="0" w:oddHBand="1" w:evenHBand="0" w:firstRowFirstColumn="0" w:firstRowLastColumn="0" w:lastRowFirstColumn="0" w:lastRowLastColumn="0"/>
              <w:rPr>
                <w:i/>
              </w:rPr>
            </w:pPr>
            <w:r>
              <w:rPr>
                <w:i/>
              </w:rPr>
              <w:t>1 factors</w:t>
            </w:r>
          </w:p>
        </w:tc>
        <w:tc>
          <w:tcPr>
            <w:tcW w:w="1417"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P=0.009</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P&lt;0.0001</w:t>
            </w:r>
          </w:p>
          <w:p w:rsidR="00831E46" w:rsidRPr="00FB29AB" w:rsidRDefault="00831E46" w:rsidP="00831E46">
            <w:pPr>
              <w:cnfStyle w:val="000000100000" w:firstRow="0" w:lastRow="0" w:firstColumn="0" w:lastColumn="0" w:oddVBand="0" w:evenVBand="0" w:oddHBand="1" w:evenHBand="0" w:firstRowFirstColumn="0" w:firstRowLastColumn="0" w:lastRowFirstColumn="0" w:lastRowLastColumn="0"/>
              <w:rPr>
                <w:i/>
              </w:rPr>
            </w:pPr>
            <w:r w:rsidRPr="00FB29AB">
              <w:rPr>
                <w:i/>
              </w:rPr>
              <w:t>NS</w:t>
            </w:r>
          </w:p>
        </w:tc>
        <w:tc>
          <w:tcPr>
            <w:tcW w:w="1843" w:type="dxa"/>
          </w:tcPr>
          <w:p w:rsidR="00831E46" w:rsidRDefault="00831E46" w:rsidP="00831E46">
            <w:pPr>
              <w:cnfStyle w:val="000000100000" w:firstRow="0" w:lastRow="0" w:firstColumn="0" w:lastColumn="0" w:oddVBand="0" w:evenVBand="0" w:oddHBand="1" w:evenHBand="0" w:firstRowFirstColumn="0" w:firstRowLastColumn="0" w:lastRowFirstColumn="0" w:lastRowLastColumn="0"/>
            </w:pPr>
            <w:r>
              <w:t>Moderate</w:t>
            </w:r>
          </w:p>
          <w:p w:rsidR="00831E46" w:rsidRDefault="00831E46" w:rsidP="00831E46">
            <w:pPr>
              <w:cnfStyle w:val="000000100000" w:firstRow="0" w:lastRow="0" w:firstColumn="0" w:lastColumn="0" w:oddVBand="0" w:evenVBand="0" w:oddHBand="1" w:evenHBand="0" w:firstRowFirstColumn="0" w:firstRowLastColumn="0" w:lastRowFirstColumn="0" w:lastRowLastColumn="0"/>
            </w:pPr>
            <w:r>
              <w:t>Moderate</w:t>
            </w:r>
          </w:p>
          <w:p w:rsidR="00831E46" w:rsidRPr="00FB29AB" w:rsidRDefault="00831E46" w:rsidP="00831E46">
            <w:pPr>
              <w:cnfStyle w:val="000000100000" w:firstRow="0" w:lastRow="0" w:firstColumn="0" w:lastColumn="0" w:oddVBand="0" w:evenVBand="0" w:oddHBand="1" w:evenHBand="0" w:firstRowFirstColumn="0" w:firstRowLastColumn="0" w:lastRowFirstColumn="0" w:lastRowLastColumn="0"/>
              <w:rPr>
                <w:i/>
              </w:rPr>
            </w:pPr>
            <w:r w:rsidRPr="00FB29AB">
              <w:rPr>
                <w:i/>
              </w:rPr>
              <w:t>Moderate</w:t>
            </w:r>
          </w:p>
        </w:tc>
      </w:tr>
      <w:tr w:rsidR="00831E46" w:rsidTr="00831E46">
        <w:trPr>
          <w:trHeight w:val="393"/>
        </w:trPr>
        <w:tc>
          <w:tcPr>
            <w:cnfStyle w:val="001000000000" w:firstRow="0" w:lastRow="0" w:firstColumn="1" w:lastColumn="0" w:oddVBand="0" w:evenVBand="0" w:oddHBand="0" w:evenHBand="0" w:firstRowFirstColumn="0" w:firstRowLastColumn="0" w:lastRowFirstColumn="0" w:lastRowLastColumn="0"/>
            <w:tcW w:w="709" w:type="dxa"/>
          </w:tcPr>
          <w:p w:rsidR="00831E46" w:rsidRDefault="00831E46" w:rsidP="00831E46"/>
        </w:tc>
        <w:tc>
          <w:tcPr>
            <w:tcW w:w="1418"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Frequency of follow-up</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Cook</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Horne</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Kane 2001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Sewitch x3</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Pr="00FB29AB"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Horne</w:t>
            </w:r>
            <w:r>
              <w:rPr>
                <w:i/>
              </w:rPr>
              <w:t xml:space="preserve"> x2</w:t>
            </w:r>
          </w:p>
          <w:p w:rsidR="00831E46" w:rsidRPr="00680229"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Lakatos</w:t>
            </w:r>
          </w:p>
        </w:tc>
        <w:tc>
          <w:tcPr>
            <w:tcW w:w="1950"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Controlled trial</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x-section survey</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x</w:t>
            </w:r>
            <w:r w:rsidRPr="004B4EE7">
              <w:rPr>
                <w:i/>
              </w:rPr>
              <w:t>-section survey</w:t>
            </w:r>
          </w:p>
          <w:p w:rsidR="00831E46" w:rsidRPr="004B4EE7"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x-section survey</w:t>
            </w:r>
          </w:p>
        </w:tc>
        <w:tc>
          <w:tcPr>
            <w:tcW w:w="1134"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135</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1871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94</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153</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sidRPr="004B4EE7">
              <w:rPr>
                <w:i/>
              </w:rPr>
              <w:t>n = 1871</w:t>
            </w:r>
          </w:p>
          <w:p w:rsidR="00831E46" w:rsidRPr="004B4EE7"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655</w:t>
            </w:r>
          </w:p>
        </w:tc>
        <w:tc>
          <w:tcPr>
            <w:tcW w:w="1418"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 16</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543</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56</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n = 63</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543</w:t>
            </w:r>
          </w:p>
          <w:p w:rsidR="00831E46" w:rsidRPr="004B4EE7"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n = 136</w:t>
            </w: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n =2,253</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Pr="00264C7B" w:rsidRDefault="00831E46" w:rsidP="00831E46">
            <w:pPr>
              <w:cnfStyle w:val="000000000000" w:firstRow="0" w:lastRow="0" w:firstColumn="0" w:lastColumn="0" w:oddVBand="0" w:evenVBand="0" w:oddHBand="0" w:evenHBand="0" w:firstRowFirstColumn="0" w:firstRowLastColumn="0" w:lastRowFirstColumn="0" w:lastRowLastColumn="0"/>
            </w:pPr>
            <w:r>
              <w:t xml:space="preserve"> </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Default="00831E46" w:rsidP="00831E46">
            <w:pPr>
              <w:cnfStyle w:val="000000000000" w:firstRow="0" w:lastRow="0" w:firstColumn="0" w:lastColumn="0" w:oddVBand="0" w:evenVBand="0" w:oddHBand="0" w:evenHBand="0" w:firstRowFirstColumn="0" w:firstRowLastColumn="0" w:lastRowFirstColumn="0" w:lastRowLastColumn="0"/>
            </w:pPr>
            <w:r>
              <w:rPr>
                <w:i/>
              </w:rPr>
              <w:t>n</w:t>
            </w:r>
            <w:r>
              <w:t xml:space="preserve"> =  2,526</w:t>
            </w:r>
          </w:p>
        </w:tc>
        <w:tc>
          <w:tcPr>
            <w:tcW w:w="1701"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6 factors</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(4 papers)</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p>
          <w:p w:rsidR="00831E46" w:rsidRDefault="00831E46" w:rsidP="00831E46">
            <w:pPr>
              <w:cnfStyle w:val="000000000000" w:firstRow="0" w:lastRow="0" w:firstColumn="0" w:lastColumn="0" w:oddVBand="0" w:evenVBand="0" w:oddHBand="0" w:evenHBand="0" w:firstRowFirstColumn="0" w:firstRowLastColumn="0" w:lastRowFirstColumn="0" w:lastRowLastColumn="0"/>
            </w:pPr>
          </w:p>
          <w:p w:rsidR="00831E46" w:rsidRDefault="00831E46" w:rsidP="00831E46">
            <w:pPr>
              <w:cnfStyle w:val="000000000000" w:firstRow="0" w:lastRow="0" w:firstColumn="0" w:lastColumn="0" w:oddVBand="0" w:evenVBand="0" w:oddHBand="0" w:evenHBand="0" w:firstRowFirstColumn="0" w:firstRowLastColumn="0" w:lastRowFirstColumn="0" w:lastRowLastColumn="0"/>
            </w:pP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3 factors</w:t>
            </w:r>
          </w:p>
          <w:p w:rsidR="00831E46" w:rsidRPr="0070410E" w:rsidRDefault="00831E46" w:rsidP="00831E46">
            <w:pPr>
              <w:cnfStyle w:val="000000000000" w:firstRow="0" w:lastRow="0" w:firstColumn="0" w:lastColumn="0" w:oddVBand="0" w:evenVBand="0" w:oddHBand="0" w:evenHBand="0" w:firstRowFirstColumn="0" w:firstRowLastColumn="0" w:lastRowFirstColumn="0" w:lastRowLastColumn="0"/>
              <w:rPr>
                <w:i/>
              </w:rPr>
            </w:pPr>
            <w:r>
              <w:rPr>
                <w:i/>
              </w:rPr>
              <w:t>(2 papers)</w:t>
            </w:r>
          </w:p>
        </w:tc>
        <w:tc>
          <w:tcPr>
            <w:tcW w:w="1417"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P &lt; 0.001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OR 0.61</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OR 0.96</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OR 0.43, 1.33 &amp; 0.40</w:t>
            </w:r>
          </w:p>
          <w:p w:rsidR="00831E46" w:rsidRPr="00FB29AB"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NS</w:t>
            </w:r>
            <w:r>
              <w:rPr>
                <w:i/>
              </w:rPr>
              <w:t xml:space="preserve"> </w:t>
            </w:r>
          </w:p>
          <w:p w:rsidR="00831E46" w:rsidRPr="00680229"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NS</w:t>
            </w:r>
          </w:p>
        </w:tc>
        <w:tc>
          <w:tcPr>
            <w:tcW w:w="1843" w:type="dxa"/>
          </w:tcPr>
          <w:p w:rsidR="00831E46" w:rsidRDefault="00831E46" w:rsidP="00831E46">
            <w:pPr>
              <w:cnfStyle w:val="000000000000" w:firstRow="0" w:lastRow="0" w:firstColumn="0" w:lastColumn="0" w:oddVBand="0" w:evenVBand="0" w:oddHBand="0" w:evenHBand="0" w:firstRowFirstColumn="0" w:firstRowLastColumn="0" w:lastRowFirstColumn="0" w:lastRowLastColumn="0"/>
            </w:pPr>
            <w:r>
              <w:t>Low</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Low</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Moderate</w:t>
            </w:r>
          </w:p>
          <w:p w:rsidR="00831E46" w:rsidRDefault="00831E46" w:rsidP="00831E46">
            <w:pPr>
              <w:cnfStyle w:val="000000000000" w:firstRow="0" w:lastRow="0" w:firstColumn="0" w:lastColumn="0" w:oddVBand="0" w:evenVBand="0" w:oddHBand="0" w:evenHBand="0" w:firstRowFirstColumn="0" w:firstRowLastColumn="0" w:lastRowFirstColumn="0" w:lastRowLastColumn="0"/>
            </w:pPr>
            <w:r>
              <w:t>Moderate</w:t>
            </w:r>
          </w:p>
          <w:p w:rsidR="00831E46" w:rsidRDefault="00831E46" w:rsidP="00831E46">
            <w:pPr>
              <w:cnfStyle w:val="000000000000" w:firstRow="0" w:lastRow="0" w:firstColumn="0" w:lastColumn="0" w:oddVBand="0" w:evenVBand="0" w:oddHBand="0" w:evenHBand="0" w:firstRowFirstColumn="0" w:firstRowLastColumn="0" w:lastRowFirstColumn="0" w:lastRowLastColumn="0"/>
              <w:rPr>
                <w:i/>
              </w:rPr>
            </w:pPr>
          </w:p>
          <w:p w:rsidR="00831E46" w:rsidRPr="00FB29AB"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Low</w:t>
            </w:r>
          </w:p>
          <w:p w:rsidR="00831E46" w:rsidRPr="00680229" w:rsidRDefault="00831E46" w:rsidP="00831E46">
            <w:pPr>
              <w:cnfStyle w:val="000000000000" w:firstRow="0" w:lastRow="0" w:firstColumn="0" w:lastColumn="0" w:oddVBand="0" w:evenVBand="0" w:oddHBand="0" w:evenHBand="0" w:firstRowFirstColumn="0" w:firstRowLastColumn="0" w:lastRowFirstColumn="0" w:lastRowLastColumn="0"/>
              <w:rPr>
                <w:i/>
              </w:rPr>
            </w:pPr>
            <w:r w:rsidRPr="00FB29AB">
              <w:rPr>
                <w:i/>
              </w:rPr>
              <w:t>Moderate</w:t>
            </w:r>
          </w:p>
        </w:tc>
      </w:tr>
    </w:tbl>
    <w:p w:rsidR="00831E46" w:rsidRDefault="00831E46" w:rsidP="00831E46">
      <w:pPr>
        <w:pStyle w:val="NoSpacing"/>
        <w:rPr>
          <w:i/>
        </w:rPr>
      </w:pPr>
    </w:p>
    <w:p w:rsidR="00E60FAA" w:rsidRDefault="00E60FAA" w:rsidP="00E60FAA">
      <w:pPr>
        <w:pStyle w:val="NoSpacing"/>
      </w:pPr>
      <w:r>
        <w:t>Where ‘x2’ or ‘x3’ appears in the authors column this indicates the number of different factors reported in a single paper.</w:t>
      </w:r>
    </w:p>
    <w:p w:rsidR="00831E46" w:rsidRDefault="00831E46" w:rsidP="00831E46">
      <w:pPr>
        <w:pStyle w:val="NoSpacing"/>
      </w:pPr>
      <w:r w:rsidRPr="005A726C">
        <w:rPr>
          <w:i/>
        </w:rPr>
        <w:t xml:space="preserve">Italicised </w:t>
      </w:r>
      <w:r w:rsidR="00D25B0D">
        <w:t>= papers reporting</w:t>
      </w:r>
      <w:r>
        <w:t xml:space="preserve"> non-significant findings </w:t>
      </w:r>
      <w:r w:rsidR="00E60FAA">
        <w:tab/>
      </w:r>
      <w:r w:rsidR="00E60FAA">
        <w:tab/>
      </w:r>
      <w:r>
        <w:t>X-section survey = cross sectional survey</w:t>
      </w:r>
    </w:p>
    <w:p w:rsidR="00831E46" w:rsidRDefault="00831E46" w:rsidP="00831E46">
      <w:pPr>
        <w:pStyle w:val="NoSpacing"/>
      </w:pPr>
      <w:r w:rsidRPr="00A445B3">
        <w:rPr>
          <w:i/>
        </w:rPr>
        <w:t>NS</w:t>
      </w:r>
      <w:r>
        <w:t xml:space="preserve"> = Not significant</w:t>
      </w:r>
      <w:r w:rsidR="00E60FAA">
        <w:tab/>
      </w:r>
      <w:r w:rsidR="00E60FAA">
        <w:tab/>
      </w:r>
      <w:r w:rsidR="00E60FAA">
        <w:tab/>
      </w:r>
      <w:r w:rsidR="00E60FAA">
        <w:tab/>
      </w:r>
      <w:r w:rsidR="00E60FAA">
        <w:tab/>
      </w:r>
      <w:r w:rsidR="00E60FAA">
        <w:tab/>
      </w:r>
      <w:r>
        <w:t>OR = Odds Ratio</w:t>
      </w:r>
    </w:p>
    <w:p w:rsidR="00151729" w:rsidRDefault="00151729" w:rsidP="005C5563">
      <w:pPr>
        <w:jc w:val="both"/>
      </w:pPr>
    </w:p>
    <w:p w:rsidR="00E529D7" w:rsidRDefault="00E529D7" w:rsidP="005C5563">
      <w:pPr>
        <w:jc w:val="both"/>
      </w:pPr>
    </w:p>
    <w:p w:rsidR="00E529D7" w:rsidRDefault="00E529D7" w:rsidP="005C5563">
      <w:pPr>
        <w:jc w:val="both"/>
      </w:pPr>
    </w:p>
    <w:p w:rsidR="00E529D7" w:rsidRDefault="00E529D7" w:rsidP="005C5563">
      <w:pPr>
        <w:jc w:val="both"/>
      </w:pPr>
    </w:p>
    <w:p w:rsidR="00E529D7" w:rsidRDefault="00E529D7" w:rsidP="005C5563">
      <w:pPr>
        <w:jc w:val="both"/>
      </w:pPr>
    </w:p>
    <w:p w:rsidR="00E529D7" w:rsidRDefault="00E529D7">
      <w:r>
        <w:br w:type="page"/>
      </w:r>
    </w:p>
    <w:p w:rsidR="00E529D7" w:rsidRDefault="00E529D7" w:rsidP="005C5563">
      <w:pPr>
        <w:jc w:val="both"/>
        <w:sectPr w:rsidR="00E529D7" w:rsidSect="00831E46">
          <w:pgSz w:w="16838" w:h="11906" w:orient="landscape"/>
          <w:pgMar w:top="1440" w:right="1440" w:bottom="1440" w:left="1440" w:header="709" w:footer="709" w:gutter="0"/>
          <w:cols w:space="708"/>
          <w:docGrid w:linePitch="360"/>
        </w:sectPr>
      </w:pPr>
    </w:p>
    <w:p w:rsidR="003256ED" w:rsidRPr="00990812" w:rsidRDefault="003256ED" w:rsidP="003256ED">
      <w:pPr>
        <w:jc w:val="both"/>
      </w:pPr>
      <w:r>
        <w:lastRenderedPageBreak/>
        <w:t xml:space="preserve">While the number of studies reporting a correlation between smoking status and adherence (two) were outnumbered by those that did not (three), the two studies had a larger combined sample size than the three. It should be noted however that the bulk of these came from the study by Nahon et al (2011) which was rated low in quality. In contrast to this the bulk of the participants in the studies reporting no correlation came from papers graded moderate in quality. To draw any firm conclusions from this is difficult.  </w:t>
      </w:r>
    </w:p>
    <w:p w:rsidR="009B2285" w:rsidRDefault="009B2285" w:rsidP="005C5563">
      <w:pPr>
        <w:jc w:val="both"/>
      </w:pPr>
      <w:r>
        <w:rPr>
          <w:i/>
        </w:rPr>
        <w:t xml:space="preserve">Clinical factors: </w:t>
      </w:r>
      <w:r>
        <w:t>No consistent association was found between adherenc</w:t>
      </w:r>
      <w:r w:rsidR="00953D62">
        <w:t xml:space="preserve">e and </w:t>
      </w:r>
      <w:r w:rsidR="0040043A">
        <w:t xml:space="preserve">the </w:t>
      </w:r>
      <w:r w:rsidR="00966806">
        <w:t>disease c</w:t>
      </w:r>
      <w:r w:rsidR="00953D62">
        <w:t>haracteristics</w:t>
      </w:r>
      <w:r w:rsidR="00EB2BB4">
        <w:t xml:space="preserve"> factor</w:t>
      </w:r>
      <w:r w:rsidR="00345902">
        <w:t xml:space="preserve"> </w:t>
      </w:r>
      <w:r w:rsidR="002B6C1E">
        <w:t>(</w:t>
      </w:r>
      <w:r w:rsidR="00953D62">
        <w:t>which includ</w:t>
      </w:r>
      <w:r w:rsidR="00B266CE">
        <w:t>ed</w:t>
      </w:r>
      <w:r w:rsidR="00953D62">
        <w:t xml:space="preserve"> </w:t>
      </w:r>
      <w:r>
        <w:t>disease type, extent, severity, duration, location, and behaviour; previous hospital admissions; quality of life; presence of co</w:t>
      </w:r>
      <w:r w:rsidR="00346197">
        <w:t>-</w:t>
      </w:r>
      <w:r>
        <w:t>morbid conditions; and family history of IBD</w:t>
      </w:r>
      <w:r w:rsidR="00457FD9">
        <w:t>)</w:t>
      </w:r>
      <w:r w:rsidR="005C56D2">
        <w:t xml:space="preserve">. </w:t>
      </w:r>
      <w:r>
        <w:t>Similarly there was no consistent association found between adherence and level of knowledge</w:t>
      </w:r>
      <w:r w:rsidR="00EB2BB4">
        <w:t>,</w:t>
      </w:r>
      <w:r>
        <w:t xml:space="preserve"> </w:t>
      </w:r>
      <w:r w:rsidR="00B266CE">
        <w:t>n</w:t>
      </w:r>
      <w:r>
        <w:t xml:space="preserve">or </w:t>
      </w:r>
      <w:r w:rsidR="00B266CE">
        <w:t xml:space="preserve">with </w:t>
      </w:r>
      <w:r w:rsidR="00990812">
        <w:t xml:space="preserve">the </w:t>
      </w:r>
      <w:r>
        <w:t>use of comp</w:t>
      </w:r>
      <w:r w:rsidR="004434AC">
        <w:t>lementary and alternative medicine</w:t>
      </w:r>
      <w:r w:rsidR="003E07DC">
        <w:t xml:space="preserve"> (CAM)</w:t>
      </w:r>
      <w:r w:rsidR="005950E7">
        <w:t>. F</w:t>
      </w:r>
      <w:r>
        <w:t>requency of clinical follow-up showed</w:t>
      </w:r>
      <w:r w:rsidR="00C432F8">
        <w:t xml:space="preserve"> a </w:t>
      </w:r>
      <w:r w:rsidR="00810F6E">
        <w:t>possible</w:t>
      </w:r>
      <w:r w:rsidR="00C432F8">
        <w:t xml:space="preserve"> association </w:t>
      </w:r>
      <w:r w:rsidR="00A435CE">
        <w:t xml:space="preserve">- </w:t>
      </w:r>
      <w:r w:rsidR="00C432F8">
        <w:t>four</w:t>
      </w:r>
      <w:r>
        <w:t xml:space="preserve"> studies</w:t>
      </w:r>
      <w:r w:rsidR="00C432F8">
        <w:t xml:space="preserve"> reporting</w:t>
      </w:r>
      <w:r w:rsidR="00E86E0A">
        <w:t xml:space="preserve"> a correlation</w:t>
      </w:r>
      <w:r w:rsidR="00C432F8">
        <w:t xml:space="preserve"> versus two reporting no</w:t>
      </w:r>
      <w:r w:rsidR="00E86E0A">
        <w:t>ne</w:t>
      </w:r>
      <w:r w:rsidR="00B72530">
        <w:t xml:space="preserve">. However </w:t>
      </w:r>
      <w:r w:rsidR="00523AC4">
        <w:t xml:space="preserve">just </w:t>
      </w:r>
      <w:r w:rsidR="00B72530">
        <w:t>one paper</w:t>
      </w:r>
      <w:r w:rsidR="00CA519E">
        <w:t xml:space="preserve"> (Horne et al, 2009)</w:t>
      </w:r>
      <w:r w:rsidR="00523AC4">
        <w:t xml:space="preserve"> graded low in quality</w:t>
      </w:r>
      <w:r w:rsidR="00B266CE">
        <w:t xml:space="preserve"> </w:t>
      </w:r>
      <w:r w:rsidR="00B72530">
        <w:t>provided the majority of participants for this factor</w:t>
      </w:r>
      <w:r w:rsidR="00E414A0">
        <w:t>;</w:t>
      </w:r>
      <w:r w:rsidR="00F947F2">
        <w:t xml:space="preserve"> one of the correlations ran</w:t>
      </w:r>
      <w:r w:rsidR="00D875CC">
        <w:t xml:space="preserve"> in the opposite direction to the others</w:t>
      </w:r>
      <w:r w:rsidR="00E414A0">
        <w:t xml:space="preserve">; and </w:t>
      </w:r>
      <w:r w:rsidR="00046E72">
        <w:t>there we</w:t>
      </w:r>
      <w:r w:rsidR="00C432F8">
        <w:t xml:space="preserve">re </w:t>
      </w:r>
      <w:r w:rsidR="00525A57">
        <w:t xml:space="preserve">a greater number of </w:t>
      </w:r>
      <w:r w:rsidR="002B6C1E">
        <w:t xml:space="preserve">participants in the </w:t>
      </w:r>
      <w:r w:rsidR="00345902">
        <w:t>studies</w:t>
      </w:r>
      <w:r w:rsidR="00C24A60">
        <w:t xml:space="preserve"> </w:t>
      </w:r>
      <w:r w:rsidR="004A6F1B">
        <w:t>reporting</w:t>
      </w:r>
      <w:r w:rsidR="004434AC">
        <w:t xml:space="preserve"> </w:t>
      </w:r>
      <w:r w:rsidR="00525A57">
        <w:t xml:space="preserve">no </w:t>
      </w:r>
      <w:r w:rsidR="00F947F2">
        <w:t>correlation</w:t>
      </w:r>
      <w:r w:rsidR="00525A57">
        <w:t>.</w:t>
      </w:r>
      <w:r w:rsidR="007C1051">
        <w:t xml:space="preserve"> This t</w:t>
      </w:r>
      <w:r w:rsidR="00957615">
        <w:t>hrow</w:t>
      </w:r>
      <w:r w:rsidR="007C1051">
        <w:t>s</w:t>
      </w:r>
      <w:r w:rsidR="00957615">
        <w:t xml:space="preserve"> the </w:t>
      </w:r>
      <w:r w:rsidR="00C432F8">
        <w:t>likelihood of a</w:t>
      </w:r>
      <w:r w:rsidR="00523AC4">
        <w:t>ny</w:t>
      </w:r>
      <w:r w:rsidR="00C432F8">
        <w:t xml:space="preserve"> relationship into doubt.</w:t>
      </w:r>
    </w:p>
    <w:p w:rsidR="006B3B1F" w:rsidRDefault="009B2285" w:rsidP="005C5563">
      <w:pPr>
        <w:jc w:val="both"/>
      </w:pPr>
      <w:r>
        <w:rPr>
          <w:i/>
        </w:rPr>
        <w:t xml:space="preserve">Medication factors: </w:t>
      </w:r>
      <w:r w:rsidR="007D2E6A">
        <w:t>N</w:t>
      </w:r>
      <w:r w:rsidR="00966806">
        <w:t>o consistent relationship was found between</w:t>
      </w:r>
      <w:r w:rsidR="00EB2BB4">
        <w:t xml:space="preserve"> adherence </w:t>
      </w:r>
      <w:r w:rsidR="00966806">
        <w:t>and drug t</w:t>
      </w:r>
      <w:r w:rsidR="007D2E6A">
        <w:t>ype</w:t>
      </w:r>
      <w:r w:rsidR="00EB2BB4">
        <w:t>,</w:t>
      </w:r>
      <w:r w:rsidR="00966806">
        <w:t xml:space="preserve"> medication r</w:t>
      </w:r>
      <w:r w:rsidR="005950E7">
        <w:t>egime (</w:t>
      </w:r>
      <w:r w:rsidR="007D2E6A">
        <w:t>includ</w:t>
      </w:r>
      <w:r w:rsidR="005950E7">
        <w:t>ing</w:t>
      </w:r>
      <w:r w:rsidR="007D2E6A">
        <w:t xml:space="preserve"> number </w:t>
      </w:r>
      <w:r w:rsidR="005950E7">
        <w:t>of daily doses,</w:t>
      </w:r>
      <w:r w:rsidR="007D2E6A">
        <w:t xml:space="preserve"> therapy</w:t>
      </w:r>
      <w:r w:rsidR="005950E7">
        <w:t xml:space="preserve"> duration</w:t>
      </w:r>
      <w:r w:rsidR="007D2E6A">
        <w:t xml:space="preserve"> and use of concomitant medications) </w:t>
      </w:r>
      <w:r w:rsidR="00966806">
        <w:t>or adverse e</w:t>
      </w:r>
      <w:r w:rsidR="005950E7">
        <w:t>vents (</w:t>
      </w:r>
      <w:r w:rsidR="00EB2BB4">
        <w:t>experience of them or fear of them)</w:t>
      </w:r>
      <w:r w:rsidR="007D2E6A">
        <w:t xml:space="preserve">. </w:t>
      </w:r>
      <w:r>
        <w:t xml:space="preserve">The </w:t>
      </w:r>
      <w:r w:rsidR="007C1051">
        <w:t>stronge</w:t>
      </w:r>
      <w:r w:rsidR="00966806">
        <w:t xml:space="preserve">st relationship </w:t>
      </w:r>
      <w:r w:rsidR="0040043A">
        <w:t xml:space="preserve">exhibited </w:t>
      </w:r>
      <w:r w:rsidR="00966806">
        <w:t xml:space="preserve">was </w:t>
      </w:r>
      <w:r w:rsidR="0040043A">
        <w:t>with</w:t>
      </w:r>
      <w:r w:rsidR="00966806">
        <w:t xml:space="preserve"> the barriers to taking m</w:t>
      </w:r>
      <w:r w:rsidR="007C1051">
        <w:t>edication</w:t>
      </w:r>
      <w:r w:rsidR="00966806">
        <w:t xml:space="preserve"> factor</w:t>
      </w:r>
      <w:r>
        <w:t>. This</w:t>
      </w:r>
      <w:r w:rsidR="00810F6E">
        <w:t xml:space="preserve"> factor was constructed </w:t>
      </w:r>
      <w:r w:rsidR="005950E7">
        <w:t>from</w:t>
      </w:r>
      <w:r>
        <w:t xml:space="preserve"> </w:t>
      </w:r>
      <w:r w:rsidR="00F9618B">
        <w:t>three</w:t>
      </w:r>
      <w:r>
        <w:t xml:space="preserve"> </w:t>
      </w:r>
      <w:r w:rsidR="00457FD9">
        <w:t>different factors relating</w:t>
      </w:r>
      <w:r w:rsidR="00725740">
        <w:t xml:space="preserve"> to</w:t>
      </w:r>
      <w:r w:rsidR="00F9618B">
        <w:t xml:space="preserve"> difficulty </w:t>
      </w:r>
      <w:r w:rsidR="00725740">
        <w:t xml:space="preserve">in </w:t>
      </w:r>
      <w:r w:rsidR="00F9618B">
        <w:t>taking medication</w:t>
      </w:r>
      <w:r w:rsidR="00E86E0A">
        <w:t>;</w:t>
      </w:r>
      <w:r>
        <w:t xml:space="preserve"> all three were found to be associated with adherence. Confidence in this relationship is limited by the fact that </w:t>
      </w:r>
      <w:r w:rsidR="00810F6E">
        <w:t>two of these factors came from one paper</w:t>
      </w:r>
      <w:r w:rsidR="00CA519E">
        <w:t xml:space="preserve"> (D’Inca et al, 2008)</w:t>
      </w:r>
      <w:r w:rsidR="005C56D2">
        <w:rPr>
          <w:color w:val="FF0000"/>
        </w:rPr>
        <w:t xml:space="preserve"> </w:t>
      </w:r>
      <w:r w:rsidR="00810F6E">
        <w:t xml:space="preserve">rated ‘low’ in quality and by the fact that </w:t>
      </w:r>
      <w:r>
        <w:t xml:space="preserve">the three factors were </w:t>
      </w:r>
      <w:r w:rsidR="00F9618B">
        <w:t xml:space="preserve">all </w:t>
      </w:r>
      <w:r w:rsidR="007C1051">
        <w:t xml:space="preserve">different - </w:t>
      </w:r>
      <w:r>
        <w:t>one was a physical b</w:t>
      </w:r>
      <w:r w:rsidR="00046E72">
        <w:t xml:space="preserve">arrier (difficulty swallowing) and </w:t>
      </w:r>
      <w:r w:rsidR="00990812">
        <w:t>one</w:t>
      </w:r>
      <w:r>
        <w:t xml:space="preserve"> a</w:t>
      </w:r>
      <w:r w:rsidR="00F9618B">
        <w:t xml:space="preserve"> </w:t>
      </w:r>
      <w:r>
        <w:t>social barrier (being at work)</w:t>
      </w:r>
      <w:r w:rsidR="00046E72">
        <w:t xml:space="preserve">. The </w:t>
      </w:r>
      <w:r w:rsidR="00DA5594">
        <w:t>third was a combination measure</w:t>
      </w:r>
      <w:r w:rsidR="00046E72">
        <w:t xml:space="preserve"> </w:t>
      </w:r>
      <w:r w:rsidR="00DA5594">
        <w:t>but</w:t>
      </w:r>
      <w:r w:rsidR="00046E72">
        <w:t xml:space="preserve"> </w:t>
      </w:r>
      <w:r>
        <w:t xml:space="preserve">the </w:t>
      </w:r>
      <w:r w:rsidR="00046E72">
        <w:t>most common</w:t>
      </w:r>
      <w:r w:rsidR="00DA5594">
        <w:t>ly stated reason</w:t>
      </w:r>
      <w:r w:rsidR="00046E72">
        <w:t xml:space="preserve"> by par</w:t>
      </w:r>
      <w:r w:rsidR="007C1051">
        <w:t>ticipants</w:t>
      </w:r>
      <w:r w:rsidR="00046E72">
        <w:t xml:space="preserve"> was </w:t>
      </w:r>
      <w:r w:rsidR="006A56BD">
        <w:t>financial</w:t>
      </w:r>
      <w:r>
        <w:t xml:space="preserve"> (cost of</w:t>
      </w:r>
      <w:r w:rsidR="00046E72">
        <w:t xml:space="preserve"> medication</w:t>
      </w:r>
      <w:r w:rsidR="00810F6E">
        <w:t xml:space="preserve">). </w:t>
      </w:r>
    </w:p>
    <w:p w:rsidR="00413AB2" w:rsidRDefault="009B2285" w:rsidP="009F0AD2">
      <w:pPr>
        <w:jc w:val="both"/>
      </w:pPr>
      <w:r w:rsidRPr="001D080D">
        <w:rPr>
          <w:i/>
        </w:rPr>
        <w:t>Psychosocial Factors:</w:t>
      </w:r>
      <w:r w:rsidRPr="001D080D">
        <w:t xml:space="preserve"> No over</w:t>
      </w:r>
      <w:r w:rsidR="0040043A">
        <w:t>all associa</w:t>
      </w:r>
      <w:r w:rsidR="005527C0">
        <w:t>tion was found with the mental h</w:t>
      </w:r>
      <w:r w:rsidRPr="001D080D">
        <w:t xml:space="preserve">ealth </w:t>
      </w:r>
      <w:r w:rsidR="0040043A">
        <w:t>factor</w:t>
      </w:r>
      <w:r w:rsidR="001D2CD6">
        <w:t xml:space="preserve"> </w:t>
      </w:r>
      <w:r w:rsidRPr="001D080D">
        <w:t xml:space="preserve">(largely </w:t>
      </w:r>
      <w:r w:rsidR="008B090C">
        <w:t xml:space="preserve">studies of </w:t>
      </w:r>
      <w:r w:rsidR="007C1051">
        <w:t>anxie</w:t>
      </w:r>
      <w:r w:rsidR="0040043A">
        <w:t>ty</w:t>
      </w:r>
      <w:r w:rsidR="005527C0">
        <w:t xml:space="preserve"> and depression) nor with the patient-physician r</w:t>
      </w:r>
      <w:r w:rsidR="005C56D2">
        <w:t>elationship.</w:t>
      </w:r>
      <w:r w:rsidR="001D2CD6">
        <w:t xml:space="preserve"> </w:t>
      </w:r>
      <w:r w:rsidR="005527C0">
        <w:t>Attitudes and b</w:t>
      </w:r>
      <w:r w:rsidR="00F126C6">
        <w:t xml:space="preserve">eliefs </w:t>
      </w:r>
      <w:r w:rsidR="00810F6E">
        <w:t xml:space="preserve">did </w:t>
      </w:r>
      <w:r w:rsidR="00413AB2">
        <w:t xml:space="preserve">however </w:t>
      </w:r>
      <w:r w:rsidR="00810F6E">
        <w:t>reveal</w:t>
      </w:r>
      <w:r w:rsidR="001D2CD6">
        <w:t xml:space="preserve"> a possible relationship</w:t>
      </w:r>
      <w:r w:rsidR="00810F6E">
        <w:t xml:space="preserve"> with adherence</w:t>
      </w:r>
      <w:r w:rsidR="00413AB2">
        <w:t xml:space="preserve"> -</w:t>
      </w:r>
      <w:r w:rsidR="004D46CE">
        <w:t xml:space="preserve"> five </w:t>
      </w:r>
      <w:r w:rsidR="00F04FC6">
        <w:t xml:space="preserve">papers </w:t>
      </w:r>
      <w:r w:rsidR="00413AB2">
        <w:t>(</w:t>
      </w:r>
      <w:r w:rsidR="001257CC">
        <w:t>4,526</w:t>
      </w:r>
      <w:r w:rsidR="00E83BE7">
        <w:t xml:space="preserve"> participants) </w:t>
      </w:r>
      <w:r w:rsidR="00413AB2">
        <w:t>reported</w:t>
      </w:r>
      <w:r w:rsidR="00F04FC6">
        <w:t xml:space="preserve"> a significant correlation </w:t>
      </w:r>
      <w:r w:rsidR="00413AB2">
        <w:t>while</w:t>
      </w:r>
      <w:r w:rsidR="00F04FC6">
        <w:t xml:space="preserve"> three papers</w:t>
      </w:r>
      <w:r w:rsidR="00413AB2">
        <w:t xml:space="preserve"> (</w:t>
      </w:r>
      <w:r w:rsidR="001257CC">
        <w:t xml:space="preserve">2,172 </w:t>
      </w:r>
      <w:r w:rsidR="00E83BE7">
        <w:t>participants)</w:t>
      </w:r>
      <w:r w:rsidR="004D46CE">
        <w:t xml:space="preserve"> report</w:t>
      </w:r>
      <w:r w:rsidR="00413AB2">
        <w:t>ed</w:t>
      </w:r>
      <w:r w:rsidR="004D46CE">
        <w:t xml:space="preserve"> no</w:t>
      </w:r>
      <w:r w:rsidR="00413AB2">
        <w:t>ne. B</w:t>
      </w:r>
      <w:r w:rsidR="00987710">
        <w:t xml:space="preserve">oth </w:t>
      </w:r>
      <w:r w:rsidR="00A0321A">
        <w:t xml:space="preserve">groups </w:t>
      </w:r>
      <w:r w:rsidR="00987710">
        <w:t>contain</w:t>
      </w:r>
      <w:r w:rsidR="00413AB2">
        <w:t>ed</w:t>
      </w:r>
      <w:r w:rsidR="00987710">
        <w:t xml:space="preserve"> a mixture of moderate and low quality studies.</w:t>
      </w:r>
      <w:r w:rsidR="004D46CE">
        <w:tab/>
      </w:r>
      <w:r w:rsidR="004D46CE">
        <w:tab/>
      </w:r>
      <w:r w:rsidR="001D2CD6">
        <w:tab/>
      </w:r>
      <w:r w:rsidR="003942F6">
        <w:tab/>
      </w:r>
      <w:r w:rsidR="003942F6">
        <w:tab/>
      </w:r>
    </w:p>
    <w:p w:rsidR="009F0AD2" w:rsidRDefault="001D2CD6" w:rsidP="009F0AD2">
      <w:pPr>
        <w:jc w:val="both"/>
      </w:pPr>
      <w:r>
        <w:t>‘</w:t>
      </w:r>
      <w:r w:rsidR="00634B1E">
        <w:t>M</w:t>
      </w:r>
      <w:r w:rsidR="00634B1E" w:rsidRPr="001D080D">
        <w:t>embership of a patient association</w:t>
      </w:r>
      <w:r>
        <w:t>’</w:t>
      </w:r>
      <w:r w:rsidR="00634B1E" w:rsidRPr="001D080D">
        <w:t xml:space="preserve"> </w:t>
      </w:r>
      <w:r w:rsidR="00842FED">
        <w:t xml:space="preserve">and </w:t>
      </w:r>
      <w:r>
        <w:t>‘</w:t>
      </w:r>
      <w:r w:rsidR="004849EC">
        <w:t>medication self-</w:t>
      </w:r>
      <w:r w:rsidR="00842FED">
        <w:t>efficacy</w:t>
      </w:r>
      <w:r>
        <w:t>’</w:t>
      </w:r>
      <w:r w:rsidR="00842FED">
        <w:t xml:space="preserve"> were both</w:t>
      </w:r>
      <w:r w:rsidR="00634B1E" w:rsidRPr="001D080D">
        <w:t xml:space="preserve"> consiste</w:t>
      </w:r>
      <w:r w:rsidR="00842FED">
        <w:t>ntl</w:t>
      </w:r>
      <w:r w:rsidR="00184EA2">
        <w:t>y associated with adherence -</w:t>
      </w:r>
      <w:r w:rsidR="00842FED">
        <w:t xml:space="preserve"> </w:t>
      </w:r>
      <w:r w:rsidR="005A5E5D">
        <w:t>three out of four</w:t>
      </w:r>
      <w:r w:rsidR="00634B1E" w:rsidRPr="001D080D">
        <w:t xml:space="preserve"> studies rep</w:t>
      </w:r>
      <w:r w:rsidR="00842FED">
        <w:t>ort</w:t>
      </w:r>
      <w:r w:rsidR="00184EA2">
        <w:t>ed</w:t>
      </w:r>
      <w:r w:rsidR="00842FED">
        <w:t xml:space="preserve"> a significant correlation</w:t>
      </w:r>
      <w:r w:rsidR="00634B1E" w:rsidRPr="001D080D">
        <w:t>.</w:t>
      </w:r>
      <w:r w:rsidR="00634B1E" w:rsidRPr="00634B1E">
        <w:t xml:space="preserve"> </w:t>
      </w:r>
      <w:r w:rsidR="00634B1E">
        <w:t xml:space="preserve">However, </w:t>
      </w:r>
      <w:r w:rsidR="00A8259E">
        <w:t>in the case of medication self-efficacy tw</w:t>
      </w:r>
      <w:r w:rsidR="002D7A6B">
        <w:t>o of the reported correlations we</w:t>
      </w:r>
      <w:r w:rsidR="00A8259E">
        <w:t xml:space="preserve">re positive </w:t>
      </w:r>
      <w:r w:rsidR="00CA519E">
        <w:t>(Ediger et al, 2007</w:t>
      </w:r>
      <w:r w:rsidR="00FC05CB">
        <w:t>; Cook et al, 2010</w:t>
      </w:r>
      <w:r w:rsidR="00CA519E">
        <w:t>)</w:t>
      </w:r>
      <w:r w:rsidR="002D7A6B">
        <w:t xml:space="preserve"> </w:t>
      </w:r>
      <w:r w:rsidR="00A8259E">
        <w:t>and one negative</w:t>
      </w:r>
      <w:r w:rsidR="002D7A6B">
        <w:t xml:space="preserve"> </w:t>
      </w:r>
      <w:r w:rsidR="00CA519E">
        <w:t>(D’Inca</w:t>
      </w:r>
      <w:r w:rsidR="000638F7">
        <w:t xml:space="preserve"> et al</w:t>
      </w:r>
      <w:r w:rsidR="00CA519E">
        <w:t>, 2008)</w:t>
      </w:r>
      <w:r w:rsidR="00A8259E">
        <w:t>.</w:t>
      </w:r>
    </w:p>
    <w:p w:rsidR="009F0AD2" w:rsidRDefault="009F0AD2" w:rsidP="009F0AD2">
      <w:pPr>
        <w:pStyle w:val="Heading2"/>
        <w:rPr>
          <w:color w:val="auto"/>
        </w:rPr>
      </w:pPr>
    </w:p>
    <w:p w:rsidR="009F0AD2" w:rsidRPr="00BB637A" w:rsidRDefault="009F0AD2" w:rsidP="009F0AD2">
      <w:pPr>
        <w:pStyle w:val="Heading2"/>
        <w:rPr>
          <w:color w:val="auto"/>
        </w:rPr>
      </w:pPr>
      <w:r w:rsidRPr="00BB637A">
        <w:rPr>
          <w:color w:val="auto"/>
        </w:rPr>
        <w:t>Discussion</w:t>
      </w:r>
    </w:p>
    <w:p w:rsidR="009F0AD2" w:rsidRDefault="009F0AD2" w:rsidP="00B13B73"/>
    <w:p w:rsidR="00A02026" w:rsidRDefault="00E844FF" w:rsidP="00DC3A0E">
      <w:pPr>
        <w:jc w:val="both"/>
      </w:pPr>
      <w:r>
        <w:t>It wa</w:t>
      </w:r>
      <w:r w:rsidR="004D46CE">
        <w:t>s clear from</w:t>
      </w:r>
      <w:r w:rsidR="00CE738B">
        <w:t xml:space="preserve"> the</w:t>
      </w:r>
      <w:r w:rsidR="004D46CE">
        <w:t xml:space="preserve"> </w:t>
      </w:r>
      <w:r w:rsidR="00FC502D">
        <w:t xml:space="preserve">quality assessment </w:t>
      </w:r>
      <w:r>
        <w:t xml:space="preserve">process </w:t>
      </w:r>
      <w:r w:rsidR="004D46CE">
        <w:t xml:space="preserve">that reporting of studies is </w:t>
      </w:r>
      <w:r w:rsidR="00661925">
        <w:t xml:space="preserve">frequently </w:t>
      </w:r>
      <w:r w:rsidR="004D46CE">
        <w:t>sub-optimal.</w:t>
      </w:r>
      <w:r w:rsidR="001D7836">
        <w:t xml:space="preserve"> Information on the</w:t>
      </w:r>
      <w:r w:rsidR="006E43D5">
        <w:t xml:space="preserve"> </w:t>
      </w:r>
      <w:r w:rsidR="004D46CE">
        <w:t>method of diagnosis</w:t>
      </w:r>
      <w:r w:rsidR="001D7836">
        <w:t xml:space="preserve"> and on blinding</w:t>
      </w:r>
      <w:r w:rsidR="004D46CE">
        <w:t xml:space="preserve"> were</w:t>
      </w:r>
      <w:r w:rsidR="006E43D5">
        <w:t xml:space="preserve"> the most common omissions. </w:t>
      </w:r>
      <w:r w:rsidR="00E56B20">
        <w:t>Where reporting of methodology was complete</w:t>
      </w:r>
      <w:r w:rsidR="004849EC">
        <w:t>,</w:t>
      </w:r>
      <w:r w:rsidR="00E56B20">
        <w:t xml:space="preserve"> t</w:t>
      </w:r>
      <w:r w:rsidR="00660F79">
        <w:t>he most</w:t>
      </w:r>
      <w:r w:rsidR="006E43D5">
        <w:t xml:space="preserve"> frequent</w:t>
      </w:r>
      <w:r w:rsidR="00660F79">
        <w:t xml:space="preserve"> </w:t>
      </w:r>
      <w:r w:rsidR="00C967EC">
        <w:t>items</w:t>
      </w:r>
      <w:r w:rsidR="00660F79">
        <w:t xml:space="preserve"> </w:t>
      </w:r>
      <w:r w:rsidR="006E43D5">
        <w:t xml:space="preserve">identified as </w:t>
      </w:r>
      <w:r w:rsidR="00F64BB2">
        <w:t>posing a threat</w:t>
      </w:r>
      <w:r w:rsidR="006E43D5">
        <w:t xml:space="preserve"> to study validity </w:t>
      </w:r>
      <w:r w:rsidR="00660F79">
        <w:t xml:space="preserve">were adherence assessment and participant representativeness. This reflects the common usage of self-report </w:t>
      </w:r>
      <w:r w:rsidR="00814488">
        <w:t>for adherence assessment and</w:t>
      </w:r>
      <w:r w:rsidR="00660F79">
        <w:t xml:space="preserve"> </w:t>
      </w:r>
      <w:r w:rsidR="00511E33">
        <w:t xml:space="preserve">the </w:t>
      </w:r>
      <w:r w:rsidR="00660F79">
        <w:t>frequently small participant numbers</w:t>
      </w:r>
      <w:r w:rsidR="006E43D5">
        <w:t>.</w:t>
      </w:r>
      <w:r w:rsidR="00660F79">
        <w:t xml:space="preserve"> </w:t>
      </w:r>
      <w:r w:rsidR="000956DE">
        <w:t>While t</w:t>
      </w:r>
      <w:r w:rsidR="006D245D">
        <w:t xml:space="preserve">here is </w:t>
      </w:r>
      <w:r w:rsidR="002E4E57">
        <w:t xml:space="preserve">no </w:t>
      </w:r>
      <w:r w:rsidR="006D245D">
        <w:t xml:space="preserve">consensus on </w:t>
      </w:r>
      <w:r w:rsidR="00AE562E">
        <w:t>a</w:t>
      </w:r>
      <w:r w:rsidR="006D245D">
        <w:t xml:space="preserve"> gold standard for adherence assessment</w:t>
      </w:r>
      <w:r w:rsidR="003B4297">
        <w:t xml:space="preserve"> </w:t>
      </w:r>
      <w:r>
        <w:t>(</w:t>
      </w:r>
      <w:r w:rsidR="00883582">
        <w:t>Vitolins et al, 2000; McMahon, 2011)</w:t>
      </w:r>
      <w:r w:rsidR="00B93B27">
        <w:rPr>
          <w:color w:val="FF0000"/>
        </w:rPr>
        <w:t xml:space="preserve"> </w:t>
      </w:r>
      <w:r w:rsidR="000956DE">
        <w:t>the use of self-report is common as it is cost-effectiv</w:t>
      </w:r>
      <w:r w:rsidR="00E621CA">
        <w:t>e and easy to administer</w:t>
      </w:r>
      <w:r w:rsidR="00F73E12">
        <w:t xml:space="preserve"> (Nguyen et al, 2013)</w:t>
      </w:r>
      <w:r w:rsidR="000956DE">
        <w:t>.  It</w:t>
      </w:r>
      <w:r w:rsidR="006D245D">
        <w:t xml:space="preserve"> </w:t>
      </w:r>
      <w:r w:rsidR="00265E56">
        <w:t xml:space="preserve">is </w:t>
      </w:r>
      <w:r w:rsidR="000956DE">
        <w:t xml:space="preserve">however </w:t>
      </w:r>
      <w:r w:rsidR="00265E56">
        <w:t xml:space="preserve">vulnerable to a number of biases </w:t>
      </w:r>
      <w:r w:rsidR="000956DE">
        <w:t>(recall, social</w:t>
      </w:r>
      <w:r w:rsidR="00AD3806">
        <w:t xml:space="preserve"> desirability</w:t>
      </w:r>
      <w:r w:rsidR="000956DE">
        <w:t xml:space="preserve">) </w:t>
      </w:r>
      <w:r w:rsidR="00CE738B">
        <w:t>and</w:t>
      </w:r>
      <w:r w:rsidR="00AE562E">
        <w:t xml:space="preserve"> it </w:t>
      </w:r>
      <w:r w:rsidR="00255792">
        <w:t xml:space="preserve">has been </w:t>
      </w:r>
      <w:r w:rsidR="00AE562E">
        <w:t xml:space="preserve">suggested that it </w:t>
      </w:r>
      <w:r w:rsidR="00643F31">
        <w:t>may over-estimate</w:t>
      </w:r>
      <w:r w:rsidR="00265E56">
        <w:t xml:space="preserve"> adherence as frequently as 50% of the time</w:t>
      </w:r>
      <w:r w:rsidR="00A84084">
        <w:t xml:space="preserve"> </w:t>
      </w:r>
      <w:r w:rsidR="00FC05CB">
        <w:t>(</w:t>
      </w:r>
      <w:r w:rsidR="00F73E12">
        <w:t>La Fleur &amp; Oderda, 2004)</w:t>
      </w:r>
      <w:r w:rsidR="00265E56">
        <w:t>.</w:t>
      </w:r>
      <w:r w:rsidR="000956DE">
        <w:t xml:space="preserve"> Direct measures such as metaboli</w:t>
      </w:r>
      <w:r w:rsidR="00A84084">
        <w:t>te levels are not without issues</w:t>
      </w:r>
      <w:r w:rsidR="000956DE">
        <w:t xml:space="preserve"> either </w:t>
      </w:r>
      <w:r w:rsidR="00AE562E">
        <w:t xml:space="preserve">as </w:t>
      </w:r>
      <w:r w:rsidR="000956DE">
        <w:t>their accuracy may be limited by pharmacokinetics</w:t>
      </w:r>
      <w:r w:rsidR="00F73E12">
        <w:t xml:space="preserve"> (Bishop et al, 2014)</w:t>
      </w:r>
      <w:r w:rsidR="00E621CA">
        <w:t xml:space="preserve"> </w:t>
      </w:r>
      <w:r w:rsidR="000956DE">
        <w:t xml:space="preserve">and they </w:t>
      </w:r>
      <w:r w:rsidR="00AD3806">
        <w:t xml:space="preserve">may </w:t>
      </w:r>
      <w:r w:rsidR="000956DE">
        <w:t>reflect current us</w:t>
      </w:r>
      <w:r w:rsidR="00A84084">
        <w:t>age rather than</w:t>
      </w:r>
      <w:r w:rsidR="00DA371D">
        <w:t xml:space="preserve"> longer term adherence</w:t>
      </w:r>
      <w:r w:rsidR="000956DE">
        <w:t>.</w:t>
      </w:r>
      <w:r w:rsidR="00AD3806">
        <w:t xml:space="preserve"> </w:t>
      </w:r>
      <w:r w:rsidR="00763AE1">
        <w:t xml:space="preserve">Use of two adherence assessment methods </w:t>
      </w:r>
      <w:r w:rsidR="004849EC">
        <w:t xml:space="preserve">(direct measures and self-reports) </w:t>
      </w:r>
      <w:r w:rsidR="00763AE1">
        <w:t>has been advocated by some</w:t>
      </w:r>
      <w:r w:rsidR="00F73E12">
        <w:t xml:space="preserve"> Bokemeyer et al, 2007)</w:t>
      </w:r>
      <w:r w:rsidR="008553D3">
        <w:t xml:space="preserve"> </w:t>
      </w:r>
      <w:r w:rsidR="00763AE1">
        <w:t>bu</w:t>
      </w:r>
      <w:r w:rsidR="004849EC">
        <w:t>t reconciling the results of the</w:t>
      </w:r>
      <w:r w:rsidR="00763AE1">
        <w:t>s</w:t>
      </w:r>
      <w:r w:rsidR="004849EC">
        <w:t>e</w:t>
      </w:r>
      <w:r w:rsidR="00763AE1">
        <w:t xml:space="preserve"> can be challenging</w:t>
      </w:r>
      <w:r w:rsidR="00880358">
        <w:t xml:space="preserve"> when there is poor concordance </w:t>
      </w:r>
      <w:r w:rsidR="00F73E12">
        <w:t xml:space="preserve">(Liu </w:t>
      </w:r>
      <w:r w:rsidR="00F65250">
        <w:t>et al, 2001; Garber et al 2004</w:t>
      </w:r>
      <w:r w:rsidR="00F73E12">
        <w:t>)</w:t>
      </w:r>
      <w:r w:rsidR="004849EC">
        <w:t>.</w:t>
      </w:r>
      <w:r w:rsidR="00511E33">
        <w:t xml:space="preserve"> The range of non-adherence rates reported by studies was wide and this was the case whether using self-report (10-81%) or objective measures (9-60%</w:t>
      </w:r>
      <w:r w:rsidR="00AD3806">
        <w:t>)</w:t>
      </w:r>
      <w:r w:rsidR="00511E33">
        <w:t>. If this range refl</w:t>
      </w:r>
      <w:r w:rsidR="00AD3806">
        <w:t>ects true variance it suggest</w:t>
      </w:r>
      <w:r w:rsidR="00A84084">
        <w:t>s</w:t>
      </w:r>
      <w:r w:rsidR="00511E33">
        <w:t xml:space="preserve"> that very different populations (</w:t>
      </w:r>
      <w:r w:rsidR="008D6C64">
        <w:t>in terms of health behaviour) a</w:t>
      </w:r>
      <w:r w:rsidR="00511E33">
        <w:t>re being compared</w:t>
      </w:r>
      <w:r w:rsidR="00B13B73">
        <w:t xml:space="preserve">. This would lend confidence to those results </w:t>
      </w:r>
      <w:r w:rsidR="00643F31">
        <w:t>which were consistent across a</w:t>
      </w:r>
      <w:r w:rsidR="00B13B73">
        <w:t xml:space="preserve"> large numbe</w:t>
      </w:r>
      <w:r w:rsidR="009A069E">
        <w:t>r of studies but would impact on</w:t>
      </w:r>
      <w:r w:rsidR="00B13B73">
        <w:t xml:space="preserve"> the generalisability of results based on fewer studies. I</w:t>
      </w:r>
      <w:r w:rsidR="00511E33">
        <w:t xml:space="preserve">f it is artefact - reflecting variance in the </w:t>
      </w:r>
      <w:r w:rsidR="00F65250">
        <w:t xml:space="preserve">adherence assessment </w:t>
      </w:r>
      <w:r w:rsidR="00511E33">
        <w:t xml:space="preserve">methods </w:t>
      </w:r>
      <w:r w:rsidR="00F65250">
        <w:t>rather than</w:t>
      </w:r>
      <w:r w:rsidR="00511E33">
        <w:t xml:space="preserve"> variance</w:t>
      </w:r>
      <w:r w:rsidR="00F65250">
        <w:t xml:space="preserve"> in adherence</w:t>
      </w:r>
      <w:r w:rsidR="00511E33">
        <w:t xml:space="preserve"> - this would affect</w:t>
      </w:r>
      <w:r w:rsidR="00B13B73">
        <w:t xml:space="preserve"> validity and</w:t>
      </w:r>
      <w:r w:rsidR="00511E33">
        <w:t xml:space="preserve"> the comparability of results within the review. It is po</w:t>
      </w:r>
      <w:r w:rsidR="004849EC">
        <w:t xml:space="preserve">ssible that both are occurring. </w:t>
      </w:r>
      <w:r w:rsidR="00511E33">
        <w:t>In the</w:t>
      </w:r>
      <w:r w:rsidR="001D7836">
        <w:t xml:space="preserve"> </w:t>
      </w:r>
      <w:r w:rsidR="005776D0">
        <w:t>studies making up this review</w:t>
      </w:r>
      <w:r w:rsidR="002D7161">
        <w:t xml:space="preserve"> two direct methods of </w:t>
      </w:r>
      <w:r w:rsidR="00255792">
        <w:t xml:space="preserve">adherence </w:t>
      </w:r>
      <w:r w:rsidR="002D7161">
        <w:t xml:space="preserve">assessment </w:t>
      </w:r>
      <w:r w:rsidR="00511E33">
        <w:t xml:space="preserve">were </w:t>
      </w:r>
      <w:r w:rsidR="001E7DEB">
        <w:t>us</w:t>
      </w:r>
      <w:r w:rsidR="002D7161">
        <w:t>ed</w:t>
      </w:r>
      <w:r w:rsidR="004849EC">
        <w:t>;</w:t>
      </w:r>
      <w:r w:rsidR="006E23BA">
        <w:t xml:space="preserve"> </w:t>
      </w:r>
      <w:r w:rsidR="001E7DEB">
        <w:t>blood</w:t>
      </w:r>
      <w:r w:rsidR="001D7836">
        <w:t xml:space="preserve"> metabolite level</w:t>
      </w:r>
      <w:r w:rsidR="006B2602">
        <w:t>s</w:t>
      </w:r>
      <w:r w:rsidR="00F73E12">
        <w:t xml:space="preserve"> </w:t>
      </w:r>
      <w:r w:rsidR="00FC05CB">
        <w:t>(</w:t>
      </w:r>
      <w:r w:rsidR="00F73E12">
        <w:t>Bokemeyer et al, 2007)</w:t>
      </w:r>
      <w:r w:rsidR="002D7161">
        <w:t xml:space="preserve"> and</w:t>
      </w:r>
      <w:r w:rsidR="001D7836">
        <w:t xml:space="preserve"> urine metabolite level</w:t>
      </w:r>
      <w:r w:rsidR="006B2602">
        <w:t>s</w:t>
      </w:r>
      <w:r w:rsidR="00F73E12">
        <w:t xml:space="preserve"> (Shale &amp; Riley, 2003</w:t>
      </w:r>
      <w:r w:rsidR="00FC05CB">
        <w:t>; Cerveny et al, 2007; Moshkovska</w:t>
      </w:r>
      <w:r w:rsidR="000638F7">
        <w:t xml:space="preserve"> et al</w:t>
      </w:r>
      <w:r w:rsidR="00FC05CB">
        <w:t>, 2009</w:t>
      </w:r>
      <w:r w:rsidR="00F73E12">
        <w:t>)</w:t>
      </w:r>
      <w:r w:rsidR="005C73C6">
        <w:t>.</w:t>
      </w:r>
      <w:r w:rsidR="001E7DEB">
        <w:t xml:space="preserve"> While metabolite</w:t>
      </w:r>
      <w:r w:rsidR="00F65250">
        <w:t>s are</w:t>
      </w:r>
      <w:r w:rsidR="001E7DEB">
        <w:t xml:space="preserve"> is frequently used as an indicator of ad</w:t>
      </w:r>
      <w:r>
        <w:t>herence (Bokemeyer et al</w:t>
      </w:r>
      <w:r w:rsidR="000638F7">
        <w:t xml:space="preserve"> </w:t>
      </w:r>
      <w:r>
        <w:t>(</w:t>
      </w:r>
      <w:r w:rsidR="00F73E12">
        <w:t>2007)</w:t>
      </w:r>
      <w:r w:rsidR="00E621CA">
        <w:t xml:space="preserve"> </w:t>
      </w:r>
      <w:r>
        <w:t>cite</w:t>
      </w:r>
      <w:r w:rsidR="00FE4A19">
        <w:t xml:space="preserve"> several studies</w:t>
      </w:r>
      <w:r w:rsidR="001E7DEB">
        <w:t>) i</w:t>
      </w:r>
      <w:r w:rsidR="00F65250">
        <w:t>t is not clear whether the metabolite level</w:t>
      </w:r>
      <w:r w:rsidR="001E7DEB">
        <w:t xml:space="preserve"> chosen equates to the 80% </w:t>
      </w:r>
      <w:r w:rsidR="001D7836">
        <w:t xml:space="preserve">figure </w:t>
      </w:r>
      <w:r w:rsidR="001E7DEB">
        <w:t xml:space="preserve">that is </w:t>
      </w:r>
      <w:r w:rsidR="00AE562E">
        <w:t xml:space="preserve">commonly </w:t>
      </w:r>
      <w:r w:rsidR="001E7DEB">
        <w:t>used in self-rep</w:t>
      </w:r>
      <w:r w:rsidR="00DA371D">
        <w:t>ort measures. Nor is it established by any of the papers that</w:t>
      </w:r>
      <w:r w:rsidR="001E7DEB">
        <w:t xml:space="preserve"> the 80% threshold for declaring a patient adherent is a clinically relevant threshold for the medications under consideration.</w:t>
      </w:r>
      <w:r w:rsidR="004849EC">
        <w:t xml:space="preserve"> </w:t>
      </w:r>
      <w:r w:rsidR="00A02026">
        <w:t>Pharmacodynamic information on therapeutic</w:t>
      </w:r>
      <w:r w:rsidR="00880358">
        <w:t xml:space="preserve"> drug levels</w:t>
      </w:r>
      <w:r w:rsidR="00A02026">
        <w:t xml:space="preserve"> and how this relates to dosing</w:t>
      </w:r>
      <w:r w:rsidR="002E4E57">
        <w:t>, missed doses</w:t>
      </w:r>
      <w:r w:rsidR="00A02026">
        <w:t xml:space="preserve"> and adherence is difficult to find</w:t>
      </w:r>
      <w:r w:rsidR="00AE562E">
        <w:t>.</w:t>
      </w:r>
      <w:r w:rsidR="00763AE1">
        <w:t xml:space="preserve"> </w:t>
      </w:r>
      <w:r w:rsidR="00A02026">
        <w:t xml:space="preserve">Moreover </w:t>
      </w:r>
      <w:r w:rsidR="00B13B73">
        <w:t>were this data</w:t>
      </w:r>
      <w:r w:rsidR="00DA371D">
        <w:t xml:space="preserve"> available</w:t>
      </w:r>
      <w:r w:rsidR="00A02026">
        <w:t>,</w:t>
      </w:r>
      <w:r w:rsidR="00AE562E">
        <w:t xml:space="preserve"> </w:t>
      </w:r>
      <w:r w:rsidR="00A02026">
        <w:t xml:space="preserve">turning </w:t>
      </w:r>
      <w:r w:rsidR="00AE562E">
        <w:t>it</w:t>
      </w:r>
      <w:r w:rsidR="00A02026">
        <w:t xml:space="preserve"> into clinically</w:t>
      </w:r>
      <w:r w:rsidR="00AE562E">
        <w:t xml:space="preserve"> useful information</w:t>
      </w:r>
      <w:r w:rsidR="004F006F">
        <w:t xml:space="preserve"> suited to</w:t>
      </w:r>
      <w:r w:rsidR="00AE562E">
        <w:t xml:space="preserve"> patient-</w:t>
      </w:r>
      <w:r w:rsidR="00A02026">
        <w:t xml:space="preserve">specific counselling </w:t>
      </w:r>
      <w:r w:rsidR="00255792">
        <w:t>might be difficult</w:t>
      </w:r>
      <w:r w:rsidR="00540160">
        <w:t>, particularly for patients</w:t>
      </w:r>
      <w:r w:rsidR="005776D0">
        <w:t xml:space="preserve"> </w:t>
      </w:r>
      <w:r w:rsidR="00B13B73">
        <w:t>on multiple drugs</w:t>
      </w:r>
      <w:r w:rsidR="005776D0">
        <w:t xml:space="preserve"> </w:t>
      </w:r>
      <w:r w:rsidR="00DA371D">
        <w:t>with the potential for several different clinically significant adherence thresholds</w:t>
      </w:r>
      <w:r w:rsidR="00540160">
        <w:t>.</w:t>
      </w:r>
      <w:r w:rsidR="00BC1CC5">
        <w:t xml:space="preserve"> </w:t>
      </w:r>
    </w:p>
    <w:p w:rsidR="00CE738B" w:rsidRDefault="00DA371D" w:rsidP="00DC3A0E">
      <w:pPr>
        <w:jc w:val="both"/>
      </w:pPr>
      <w:r>
        <w:lastRenderedPageBreak/>
        <w:t>Another issue i</w:t>
      </w:r>
      <w:r w:rsidR="00AD3806">
        <w:t>n the reporting of studies wa</w:t>
      </w:r>
      <w:r>
        <w:t xml:space="preserve">s that </w:t>
      </w:r>
      <w:r w:rsidR="00503CFA">
        <w:t>of incomplete reporting -</w:t>
      </w:r>
      <w:r w:rsidR="006715EA">
        <w:t xml:space="preserve"> </w:t>
      </w:r>
      <w:r w:rsidR="00CE738B">
        <w:t xml:space="preserve">factors mentioned in the methods section </w:t>
      </w:r>
      <w:r>
        <w:t xml:space="preserve">frequently </w:t>
      </w:r>
      <w:r w:rsidR="00C466E8">
        <w:t xml:space="preserve">did </w:t>
      </w:r>
      <w:r w:rsidR="00CE738B">
        <w:t>not featur</w:t>
      </w:r>
      <w:r w:rsidR="00C466E8">
        <w:t>e</w:t>
      </w:r>
      <w:r w:rsidR="00503CFA">
        <w:t xml:space="preserve"> in the results</w:t>
      </w:r>
      <w:r w:rsidR="006715EA">
        <w:t xml:space="preserve">. If this is because they </w:t>
      </w:r>
      <w:r w:rsidR="00C466E8">
        <w:t>were</w:t>
      </w:r>
      <w:r w:rsidR="00CE738B">
        <w:t xml:space="preserve"> found to be non-significant</w:t>
      </w:r>
      <w:r w:rsidR="006715EA">
        <w:t xml:space="preserve"> </w:t>
      </w:r>
      <w:r w:rsidR="00C466E8">
        <w:t xml:space="preserve">this will have led to an </w:t>
      </w:r>
      <w:r w:rsidR="00CE738B">
        <w:t>under-represen</w:t>
      </w:r>
      <w:r w:rsidR="00C466E8">
        <w:t>ta</w:t>
      </w:r>
      <w:r w:rsidR="00CE738B">
        <w:t>ti</w:t>
      </w:r>
      <w:r w:rsidR="00C466E8">
        <w:t>on</w:t>
      </w:r>
      <w:r w:rsidR="00CE738B">
        <w:t xml:space="preserve"> </w:t>
      </w:r>
      <w:r w:rsidR="00C466E8">
        <w:t xml:space="preserve">of </w:t>
      </w:r>
      <w:r w:rsidR="00CE738B">
        <w:t>non-significant fin</w:t>
      </w:r>
      <w:r w:rsidR="006715EA">
        <w:t xml:space="preserve">dings and an </w:t>
      </w:r>
      <w:r w:rsidR="00CE738B">
        <w:t>over-rep</w:t>
      </w:r>
      <w:r w:rsidR="006715EA">
        <w:t xml:space="preserve">resentation of </w:t>
      </w:r>
      <w:r w:rsidR="00CE738B">
        <w:t>signi</w:t>
      </w:r>
      <w:r w:rsidR="002E4E57">
        <w:t xml:space="preserve">ficant findings. This </w:t>
      </w:r>
      <w:r w:rsidR="00FC4D79">
        <w:t>increases</w:t>
      </w:r>
      <w:r w:rsidR="00503CFA">
        <w:t xml:space="preserve"> confidence </w:t>
      </w:r>
      <w:r w:rsidR="008D6C64">
        <w:t xml:space="preserve">in the results </w:t>
      </w:r>
      <w:r w:rsidR="00CE738B">
        <w:t xml:space="preserve">where we report a lack of relationship being found. It does however give </w:t>
      </w:r>
      <w:r w:rsidR="00FC4D79">
        <w:t>rise to caution in</w:t>
      </w:r>
      <w:r w:rsidR="00CE738B">
        <w:t xml:space="preserve"> those areas where a relationship has been suggested</w:t>
      </w:r>
      <w:r w:rsidR="00631C93">
        <w:t>, implying the need for mo</w:t>
      </w:r>
      <w:r w:rsidR="00CE738B">
        <w:t>r</w:t>
      </w:r>
      <w:r w:rsidR="00631C93">
        <w:t>e</w:t>
      </w:r>
      <w:r w:rsidR="00CE738B">
        <w:t xml:space="preserve"> research. </w:t>
      </w:r>
      <w:r>
        <w:t>A further limitation of this review is that the majority of studies included were cross-sectional surveys offering the chance to observe correlation but no opportunity to infer causation.</w:t>
      </w:r>
    </w:p>
    <w:p w:rsidR="00CA1FED" w:rsidRDefault="00094843" w:rsidP="00DC3A0E">
      <w:pPr>
        <w:jc w:val="both"/>
      </w:pPr>
      <w:r>
        <w:t xml:space="preserve">Demographic factors were </w:t>
      </w:r>
      <w:r w:rsidR="001D7836">
        <w:t xml:space="preserve">almost universally </w:t>
      </w:r>
      <w:r w:rsidR="00BF271C">
        <w:t xml:space="preserve">found to be </w:t>
      </w:r>
      <w:r w:rsidR="00775AC6">
        <w:t xml:space="preserve">not </w:t>
      </w:r>
      <w:r>
        <w:t xml:space="preserve">associated with adherence; as a result any suggestion that socioeconomic or demographic factors are associated with or act as a predictor for adherence </w:t>
      </w:r>
      <w:r w:rsidR="004849EC">
        <w:t>should be treated with caution.</w:t>
      </w:r>
      <w:r>
        <w:t xml:space="preserve"> </w:t>
      </w:r>
      <w:r w:rsidR="00E56B20">
        <w:t xml:space="preserve">Of the possible relationships found </w:t>
      </w:r>
      <w:r w:rsidR="00631C93">
        <w:t>‘barriers to taking m</w:t>
      </w:r>
      <w:r w:rsidR="00E56B20">
        <w:t xml:space="preserve">edication’ </w:t>
      </w:r>
      <w:r w:rsidR="00BF271C">
        <w:t>had</w:t>
      </w:r>
      <w:r w:rsidR="00E56B20">
        <w:t xml:space="preserve"> the largest odds ratios</w:t>
      </w:r>
      <w:r w:rsidR="00EA7FF5">
        <w:t xml:space="preserve"> reporting</w:t>
      </w:r>
      <w:r w:rsidR="00984BEA">
        <w:t xml:space="preserve"> that</w:t>
      </w:r>
      <w:r w:rsidR="00135012">
        <w:t xml:space="preserve"> those facing</w:t>
      </w:r>
      <w:r w:rsidR="00E56B20">
        <w:t xml:space="preserve"> </w:t>
      </w:r>
      <w:r w:rsidR="00CA1FED">
        <w:t>a barrier</w:t>
      </w:r>
      <w:r w:rsidR="00EA7FF5">
        <w:t xml:space="preserve"> </w:t>
      </w:r>
      <w:r w:rsidR="00CA1FED">
        <w:t>we</w:t>
      </w:r>
      <w:r w:rsidR="00E56B20">
        <w:t xml:space="preserve">re </w:t>
      </w:r>
      <w:r w:rsidR="00FE4A19">
        <w:t>four-to-</w:t>
      </w:r>
      <w:r w:rsidR="00400D1B">
        <w:t>six</w:t>
      </w:r>
      <w:r w:rsidR="00E56B20">
        <w:t xml:space="preserve"> times</w:t>
      </w:r>
      <w:r w:rsidR="00D96F0F">
        <w:rPr>
          <w:color w:val="FF0000"/>
        </w:rPr>
        <w:t xml:space="preserve"> </w:t>
      </w:r>
      <w:r w:rsidR="00E56B20">
        <w:t>more likely to be non-adherent</w:t>
      </w:r>
      <w:r w:rsidR="00FE4A19">
        <w:t>.</w:t>
      </w:r>
      <w:r w:rsidR="00135012">
        <w:t xml:space="preserve"> If this is taken at face value it would suggest that</w:t>
      </w:r>
      <w:r w:rsidR="00400D1B">
        <w:t xml:space="preserve"> reducing barriers to taking medication has the potential </w:t>
      </w:r>
      <w:r w:rsidR="00FE4A19">
        <w:t xml:space="preserve">to </w:t>
      </w:r>
      <w:r w:rsidR="00BF271C">
        <w:t>greatly reduce</w:t>
      </w:r>
      <w:r w:rsidR="00400D1B">
        <w:t xml:space="preserve"> non-adherence</w:t>
      </w:r>
      <w:r w:rsidR="00E56B20">
        <w:t>.</w:t>
      </w:r>
      <w:r w:rsidR="00CA1FED">
        <w:t xml:space="preserve"> </w:t>
      </w:r>
      <w:r w:rsidR="008134DD">
        <w:t>However, this review cannot speak to the</w:t>
      </w:r>
      <w:r w:rsidR="00D96F0F">
        <w:t xml:space="preserve"> number of</w:t>
      </w:r>
      <w:r w:rsidR="00CB3143">
        <w:t xml:space="preserve"> people fac</w:t>
      </w:r>
      <w:r w:rsidR="00D96F0F">
        <w:t>ing</w:t>
      </w:r>
      <w:r w:rsidR="00CB3143">
        <w:t xml:space="preserve"> such barriers</w:t>
      </w:r>
      <w:r w:rsidR="00D96F0F">
        <w:t>,</w:t>
      </w:r>
      <w:r w:rsidR="00A4303B">
        <w:t xml:space="preserve"> nor the level of difficulty in</w:t>
      </w:r>
      <w:r w:rsidR="00BF271C">
        <w:t>vo</w:t>
      </w:r>
      <w:r w:rsidR="00D96F0F">
        <w:t>lved in overcoming them</w:t>
      </w:r>
      <w:r w:rsidR="00BF271C">
        <w:t>.</w:t>
      </w:r>
      <w:r w:rsidR="00A4303B">
        <w:t xml:space="preserve"> </w:t>
      </w:r>
    </w:p>
    <w:p w:rsidR="007138C4" w:rsidRDefault="00E621CA" w:rsidP="00DC3A0E">
      <w:pPr>
        <w:jc w:val="both"/>
      </w:pPr>
      <w:r>
        <w:t>G</w:t>
      </w:r>
      <w:r w:rsidR="00135012">
        <w:t xml:space="preserve">uidelines </w:t>
      </w:r>
      <w:r w:rsidR="00CA7629">
        <w:t xml:space="preserve">from </w:t>
      </w:r>
      <w:r w:rsidR="00A51066">
        <w:t>the IBD Standards G</w:t>
      </w:r>
      <w:r w:rsidR="00CA1FED">
        <w:t xml:space="preserve">roup </w:t>
      </w:r>
      <w:r w:rsidR="00F73E12">
        <w:t>(IBDSG, 2013)</w:t>
      </w:r>
      <w:r>
        <w:t xml:space="preserve"> </w:t>
      </w:r>
      <w:r w:rsidR="00CA1FED">
        <w:t xml:space="preserve">and </w:t>
      </w:r>
      <w:r w:rsidR="000E6C39">
        <w:t xml:space="preserve">the </w:t>
      </w:r>
      <w:r w:rsidR="00683222">
        <w:t>Royal College of Nursing (</w:t>
      </w:r>
      <w:r w:rsidR="00A4303B">
        <w:t>RCN</w:t>
      </w:r>
      <w:r w:rsidR="00F73E12">
        <w:t>, 2007)</w:t>
      </w:r>
      <w:r>
        <w:t xml:space="preserve"> </w:t>
      </w:r>
      <w:r w:rsidR="00CA1FED">
        <w:t xml:space="preserve">suggest that patients should be provided with information about support organisations </w:t>
      </w:r>
      <w:r w:rsidR="00FE4A19">
        <w:t xml:space="preserve">in order </w:t>
      </w:r>
      <w:r w:rsidR="00CA1FED">
        <w:t xml:space="preserve">to encourage membership. </w:t>
      </w:r>
      <w:r w:rsidR="00CA1FED" w:rsidRPr="000C0908">
        <w:t>T</w:t>
      </w:r>
      <w:r w:rsidR="00D1765F" w:rsidRPr="000C0908">
        <w:t xml:space="preserve">his review did find that </w:t>
      </w:r>
      <w:r w:rsidR="00FE4A19" w:rsidRPr="000C0908">
        <w:t xml:space="preserve">members of such </w:t>
      </w:r>
      <w:r w:rsidR="00135012" w:rsidRPr="000C0908">
        <w:t>association</w:t>
      </w:r>
      <w:r w:rsidR="00FE4A19" w:rsidRPr="000C0908">
        <w:t>s</w:t>
      </w:r>
      <w:r w:rsidR="00135012" w:rsidRPr="000C0908">
        <w:t xml:space="preserve"> are more likely to be adherent</w:t>
      </w:r>
      <w:r w:rsidR="00CA1FED" w:rsidRPr="000C0908">
        <w:t xml:space="preserve"> (</w:t>
      </w:r>
      <w:r w:rsidR="00D1765F" w:rsidRPr="000C0908">
        <w:t>OR 1.8</w:t>
      </w:r>
      <w:r w:rsidR="00C503FC" w:rsidRPr="000C0908">
        <w:t xml:space="preserve"> (Nahon et al, 2011)</w:t>
      </w:r>
      <w:r w:rsidR="00CA1FED" w:rsidRPr="000C0908">
        <w:t>).</w:t>
      </w:r>
      <w:r w:rsidR="00CA1FED">
        <w:t xml:space="preserve"> </w:t>
      </w:r>
      <w:r w:rsidR="001365F7">
        <w:t xml:space="preserve">Given that this is </w:t>
      </w:r>
      <w:r w:rsidR="001365F7" w:rsidRPr="00786E95">
        <w:t>based</w:t>
      </w:r>
      <w:r w:rsidR="001365F7">
        <w:t xml:space="preserve"> on a</w:t>
      </w:r>
      <w:r w:rsidR="00D1765F">
        <w:t xml:space="preserve"> correlation</w:t>
      </w:r>
      <w:r w:rsidR="001365F7">
        <w:t xml:space="preserve"> it </w:t>
      </w:r>
      <w:r w:rsidR="00CA1FED">
        <w:t>is not clear</w:t>
      </w:r>
      <w:r w:rsidR="00135012">
        <w:t xml:space="preserve"> whether </w:t>
      </w:r>
      <w:r w:rsidR="00FE4A19">
        <w:t xml:space="preserve">it is membership of the group that improves adherence or whether </w:t>
      </w:r>
      <w:r w:rsidR="00786E95">
        <w:t xml:space="preserve">the same patient attitudes and beliefs that might lead to adherence perhaps also lead to support-seeking activity </w:t>
      </w:r>
      <w:r w:rsidR="007C398E">
        <w:t>(</w:t>
      </w:r>
      <w:r w:rsidR="00786E95">
        <w:t>such as joining</w:t>
      </w:r>
      <w:r w:rsidR="00F32634">
        <w:t xml:space="preserve"> a patient</w:t>
      </w:r>
      <w:r w:rsidR="000E6C39">
        <w:t xml:space="preserve"> associati</w:t>
      </w:r>
      <w:r w:rsidR="00D96F0F">
        <w:t>on</w:t>
      </w:r>
      <w:r w:rsidR="007C398E">
        <w:t>)</w:t>
      </w:r>
      <w:r w:rsidR="00D1765F">
        <w:t xml:space="preserve">.  </w:t>
      </w:r>
    </w:p>
    <w:p w:rsidR="00D1765F" w:rsidRDefault="00653384" w:rsidP="00DC3A0E">
      <w:pPr>
        <w:jc w:val="both"/>
      </w:pPr>
      <w:r>
        <w:t>T</w:t>
      </w:r>
      <w:r w:rsidR="007138C4">
        <w:t xml:space="preserve">he </w:t>
      </w:r>
      <w:r>
        <w:t xml:space="preserve">conflicting </w:t>
      </w:r>
      <w:r w:rsidR="007138C4">
        <w:t xml:space="preserve">results for medication self-efficacy </w:t>
      </w:r>
      <w:r>
        <w:t>suggest that there is no relationship with adherence but i</w:t>
      </w:r>
      <w:r w:rsidR="007138C4">
        <w:t xml:space="preserve">t is difficult to draw a firm conclusion due to the variability of study methods </w:t>
      </w:r>
      <w:r>
        <w:t xml:space="preserve">used </w:t>
      </w:r>
      <w:r w:rsidR="007138C4">
        <w:t>and poor reporting.  Cook et al</w:t>
      </w:r>
      <w:r w:rsidR="00F73E12">
        <w:t xml:space="preserve"> (2010)</w:t>
      </w:r>
      <w:r w:rsidR="007138C4">
        <w:t xml:space="preserve"> do not define what they mean by self-efficacy </w:t>
      </w:r>
      <w:r>
        <w:t>nor how it was assessed</w:t>
      </w:r>
      <w:r w:rsidR="007150DF">
        <w:t>.</w:t>
      </w:r>
      <w:r w:rsidR="007138C4">
        <w:t xml:space="preserve"> D’Inca et al </w:t>
      </w:r>
      <w:r w:rsidR="00F73E12">
        <w:t xml:space="preserve">(2008) </w:t>
      </w:r>
      <w:r w:rsidR="007138C4">
        <w:t xml:space="preserve">use a question about whether patients would self-medicate for flu - whether this can be considered a useful measure for general levels self-efficacy, and self-efficacy as it applies to oral medication for IBD is open to question. Similarly it can be questioned whether </w:t>
      </w:r>
      <w:r>
        <w:t>the</w:t>
      </w:r>
      <w:r w:rsidR="007138C4">
        <w:t xml:space="preserve"> use of medication reminders is valid as an indicator of medication self-efficacy for all patients</w:t>
      </w:r>
      <w:r>
        <w:t xml:space="preserve"> and whether we should have included it in this factor</w:t>
      </w:r>
      <w:r w:rsidR="007138C4">
        <w:t>. F</w:t>
      </w:r>
      <w:r w:rsidR="00297040">
        <w:t>urther ex</w:t>
      </w:r>
      <w:r w:rsidR="00007ED1">
        <w:t>amination</w:t>
      </w:r>
      <w:r w:rsidR="00297040">
        <w:t xml:space="preserve"> using validated tools would </w:t>
      </w:r>
      <w:r w:rsidR="000E6C39">
        <w:t>add cred</w:t>
      </w:r>
      <w:r>
        <w:t xml:space="preserve">ibility </w:t>
      </w:r>
      <w:r w:rsidR="000E6C39">
        <w:t>to th</w:t>
      </w:r>
      <w:r w:rsidR="009F0AD2">
        <w:t>is</w:t>
      </w:r>
      <w:r w:rsidR="000E6C39">
        <w:t xml:space="preserve"> finding</w:t>
      </w:r>
      <w:r w:rsidR="00297040">
        <w:t>.</w:t>
      </w:r>
      <w:r w:rsidR="005B0233">
        <w:t xml:space="preserve"> </w:t>
      </w:r>
    </w:p>
    <w:p w:rsidR="00F32634" w:rsidRDefault="00F32634" w:rsidP="00DC3A0E">
      <w:pPr>
        <w:jc w:val="both"/>
      </w:pPr>
      <w:r>
        <w:t xml:space="preserve">Those studies which found a </w:t>
      </w:r>
      <w:r w:rsidR="000E6C39">
        <w:t>significant cor</w:t>
      </w:r>
      <w:r w:rsidR="00A4303B">
        <w:t>relation between adherence and a</w:t>
      </w:r>
      <w:r w:rsidR="00764B17">
        <w:t xml:space="preserve">ttitudes </w:t>
      </w:r>
      <w:r w:rsidR="00775AC6">
        <w:t>and</w:t>
      </w:r>
      <w:r w:rsidR="00A4303B">
        <w:t xml:space="preserve"> b</w:t>
      </w:r>
      <w:r w:rsidR="00A336B1">
        <w:t xml:space="preserve">eliefs reported odds ratios of </w:t>
      </w:r>
      <w:r w:rsidR="007C398E">
        <w:t>between 0.27 and 4.59</w:t>
      </w:r>
      <w:r w:rsidR="00094843">
        <w:t>.</w:t>
      </w:r>
      <w:r w:rsidR="000E6C39">
        <w:t xml:space="preserve"> </w:t>
      </w:r>
      <w:r w:rsidR="00E621CA">
        <w:t>This mirrors the findings of a</w:t>
      </w:r>
      <w:r w:rsidR="000E6C39">
        <w:t xml:space="preserve"> 2013</w:t>
      </w:r>
      <w:r w:rsidR="00094843">
        <w:t xml:space="preserve"> </w:t>
      </w:r>
      <w:r w:rsidR="00A02B0D">
        <w:t xml:space="preserve">review </w:t>
      </w:r>
      <w:r w:rsidR="00F73E12">
        <w:t>(Chummun &amp; Boland)</w:t>
      </w:r>
      <w:r w:rsidR="00E621CA">
        <w:t xml:space="preserve"> </w:t>
      </w:r>
      <w:r w:rsidR="00140BE8">
        <w:t>wh</w:t>
      </w:r>
      <w:r w:rsidR="00E621CA">
        <w:t>ich</w:t>
      </w:r>
      <w:r w:rsidR="006715EA">
        <w:t xml:space="preserve"> reported</w:t>
      </w:r>
      <w:r w:rsidR="00094843">
        <w:t xml:space="preserve"> beliefs about medication t</w:t>
      </w:r>
      <w:r>
        <w:t>o be associated with adherence and s</w:t>
      </w:r>
      <w:r w:rsidR="00094843">
        <w:t>uggest</w:t>
      </w:r>
      <w:r>
        <w:t>ed</w:t>
      </w:r>
      <w:r w:rsidR="00094843">
        <w:t xml:space="preserve"> the following possible mechanism: lack of belief in the efficacy of a medication leading to poor adherence, sub-optimal</w:t>
      </w:r>
      <w:r>
        <w:t xml:space="preserve"> medication use and thus</w:t>
      </w:r>
      <w:r w:rsidR="00094843">
        <w:t xml:space="preserve"> sub-optimal outcome</w:t>
      </w:r>
      <w:r>
        <w:t>s</w:t>
      </w:r>
      <w:r w:rsidR="00094843">
        <w:t xml:space="preserve"> (lack of</w:t>
      </w:r>
      <w:r w:rsidR="006715EA">
        <w:t xml:space="preserve"> symptom control) which </w:t>
      </w:r>
      <w:r w:rsidR="00094843">
        <w:t xml:space="preserve">acts to reinforce </w:t>
      </w:r>
      <w:r>
        <w:t xml:space="preserve">lack of belief in the efficacy of </w:t>
      </w:r>
      <w:r>
        <w:lastRenderedPageBreak/>
        <w:t>the medication</w:t>
      </w:r>
      <w:r w:rsidR="00094843">
        <w:t xml:space="preserve">. Important to note is that more information on the condition </w:t>
      </w:r>
      <w:r w:rsidR="00BF271C">
        <w:t xml:space="preserve">and its </w:t>
      </w:r>
      <w:r w:rsidR="00094843">
        <w:t>treatment may not be an effective way to change treatment beliefs and attitudes as knowledge was not found to be consisten</w:t>
      </w:r>
      <w:r>
        <w:t xml:space="preserve">tly associated with adherence. </w:t>
      </w:r>
    </w:p>
    <w:p w:rsidR="001708AC" w:rsidRDefault="00F32634" w:rsidP="00DC3A0E">
      <w:pPr>
        <w:jc w:val="both"/>
      </w:pPr>
      <w:r>
        <w:t xml:space="preserve">No </w:t>
      </w:r>
      <w:r w:rsidR="00F91648">
        <w:t xml:space="preserve">consistent association </w:t>
      </w:r>
      <w:r>
        <w:t xml:space="preserve">was found </w:t>
      </w:r>
      <w:r w:rsidR="00F91648">
        <w:t>between</w:t>
      </w:r>
      <w:r>
        <w:t xml:space="preserve"> adherence and</w:t>
      </w:r>
      <w:r w:rsidR="00F91648">
        <w:t xml:space="preserve"> medic</w:t>
      </w:r>
      <w:r w:rsidR="00094843">
        <w:t>a</w:t>
      </w:r>
      <w:r w:rsidR="00F91648">
        <w:t>tion type</w:t>
      </w:r>
      <w:r>
        <w:t xml:space="preserve">, </w:t>
      </w:r>
      <w:r w:rsidR="000A5F5D">
        <w:t>adverse drug events</w:t>
      </w:r>
      <w:r>
        <w:t xml:space="preserve">, or medication regime. </w:t>
      </w:r>
      <w:r w:rsidR="00F91648">
        <w:t>Thus</w:t>
      </w:r>
      <w:r>
        <w:t xml:space="preserve"> it would seem that</w:t>
      </w:r>
      <w:r w:rsidR="00F91648">
        <w:t xml:space="preserve"> </w:t>
      </w:r>
      <w:r>
        <w:t xml:space="preserve">a patient’s risk </w:t>
      </w:r>
      <w:r w:rsidR="001E4D05">
        <w:t>of</w:t>
      </w:r>
      <w:r>
        <w:t xml:space="preserve"> non-adherence</w:t>
      </w:r>
      <w:r w:rsidR="00F91648">
        <w:t xml:space="preserve"> is not influenced by</w:t>
      </w:r>
      <w:r>
        <w:t xml:space="preserve"> the</w:t>
      </w:r>
      <w:r w:rsidR="00F91648">
        <w:t xml:space="preserve"> nature of </w:t>
      </w:r>
      <w:r w:rsidR="00190B4C">
        <w:t xml:space="preserve">their </w:t>
      </w:r>
      <w:r w:rsidR="00D96F0F">
        <w:t>treatment regime (a</w:t>
      </w:r>
      <w:r w:rsidR="00BF271C">
        <w:t>lthough this</w:t>
      </w:r>
      <w:r w:rsidR="00B62FD1">
        <w:t xml:space="preserve"> </w:t>
      </w:r>
      <w:r w:rsidR="00BF271C">
        <w:t>review looked only at oral medications</w:t>
      </w:r>
      <w:r w:rsidR="00D96F0F">
        <w:t>)</w:t>
      </w:r>
      <w:r w:rsidR="00B62FD1">
        <w:t>.</w:t>
      </w:r>
      <w:r w:rsidR="00F91648">
        <w:t xml:space="preserve"> Importantly </w:t>
      </w:r>
      <w:r w:rsidR="00B62FD1">
        <w:t xml:space="preserve">there </w:t>
      </w:r>
      <w:r w:rsidR="00F91648">
        <w:t xml:space="preserve">also appears to be no correlation with </w:t>
      </w:r>
      <w:r w:rsidR="00E77E57">
        <w:t xml:space="preserve">the </w:t>
      </w:r>
      <w:r w:rsidR="00F91648">
        <w:t>disease characteristics</w:t>
      </w:r>
      <w:r w:rsidR="00E77E57">
        <w:t xml:space="preserve"> factor</w:t>
      </w:r>
      <w:r w:rsidR="006715EA">
        <w:t xml:space="preserve"> (</w:t>
      </w:r>
      <w:r w:rsidR="007C398E">
        <w:t>includ</w:t>
      </w:r>
      <w:r w:rsidR="006715EA">
        <w:t>ing</w:t>
      </w:r>
      <w:r w:rsidR="007C398E">
        <w:t xml:space="preserve"> </w:t>
      </w:r>
      <w:r w:rsidR="00F91648">
        <w:t>disease activity</w:t>
      </w:r>
      <w:r w:rsidR="00E77E57">
        <w:t xml:space="preserve">, </w:t>
      </w:r>
      <w:r w:rsidR="007C398E">
        <w:t>severity and</w:t>
      </w:r>
      <w:r w:rsidR="00BE6430">
        <w:t xml:space="preserve"> </w:t>
      </w:r>
      <w:r w:rsidR="00E77E57">
        <w:t>quality of life</w:t>
      </w:r>
      <w:r w:rsidR="007C398E">
        <w:t>)</w:t>
      </w:r>
      <w:r>
        <w:t>. It is therefore i</w:t>
      </w:r>
      <w:r w:rsidR="00F91648">
        <w:t xml:space="preserve">mportant not to assume in those </w:t>
      </w:r>
      <w:r>
        <w:t xml:space="preserve">patients </w:t>
      </w:r>
      <w:r w:rsidR="00F91648">
        <w:t>mos</w:t>
      </w:r>
      <w:r w:rsidR="007C398E">
        <w:t>t seriously affected by symptoms</w:t>
      </w:r>
      <w:r w:rsidR="00F91648">
        <w:t xml:space="preserve"> that </w:t>
      </w:r>
      <w:r w:rsidR="006715EA">
        <w:t xml:space="preserve">this is due </w:t>
      </w:r>
      <w:r w:rsidR="00F91648">
        <w:t xml:space="preserve">to </w:t>
      </w:r>
      <w:r>
        <w:t>non-r</w:t>
      </w:r>
      <w:r w:rsidR="00B61589">
        <w:t>esponse to medical intervention.</w:t>
      </w:r>
      <w:r>
        <w:t xml:space="preserve"> </w:t>
      </w:r>
      <w:r w:rsidR="00B61589">
        <w:t>N</w:t>
      </w:r>
      <w:r w:rsidR="00190B4C">
        <w:t>on-a</w:t>
      </w:r>
      <w:r w:rsidR="00F91648">
        <w:t xml:space="preserve">dherence </w:t>
      </w:r>
      <w:r>
        <w:t xml:space="preserve">may play a role as </w:t>
      </w:r>
      <w:r w:rsidR="00F91648">
        <w:t xml:space="preserve">it would seem </w:t>
      </w:r>
      <w:r>
        <w:t xml:space="preserve">that adherence </w:t>
      </w:r>
      <w:r w:rsidR="00F91648">
        <w:t>is not a</w:t>
      </w:r>
      <w:r w:rsidR="00F829A3">
        <w:t xml:space="preserve">ssociated with symptom </w:t>
      </w:r>
      <w:r>
        <w:t>severity</w:t>
      </w:r>
      <w:r w:rsidR="00F91648">
        <w:t xml:space="preserve">. </w:t>
      </w:r>
      <w:r w:rsidR="00AE7FA4">
        <w:t xml:space="preserve">It has been suggested </w:t>
      </w:r>
      <w:r w:rsidR="00F73E12">
        <w:t xml:space="preserve">(Kane et al, 2001) </w:t>
      </w:r>
      <w:r w:rsidR="00F80324">
        <w:t xml:space="preserve">that adherence levels may depend on whether IBD </w:t>
      </w:r>
      <w:r w:rsidR="00AE7FA4">
        <w:t>is active or in remission. Indeed it is commonly asserted that IBD poses a particular challenge for adherence because of periods of quiescence</w:t>
      </w:r>
      <w:r w:rsidR="00F73E12">
        <w:t xml:space="preserve"> (</w:t>
      </w:r>
      <w:r w:rsidR="00F5142F">
        <w:t xml:space="preserve">Lopez San Roman et al, 2005; </w:t>
      </w:r>
      <w:r w:rsidR="003B4986">
        <w:t>Ediger et al, 2007</w:t>
      </w:r>
      <w:r w:rsidR="00F73E12">
        <w:t>)</w:t>
      </w:r>
      <w:r w:rsidR="00AE7FA4">
        <w:t xml:space="preserve">. This </w:t>
      </w:r>
      <w:r w:rsidR="00F80324">
        <w:t>assertion is not supported by the results of thi</w:t>
      </w:r>
      <w:r w:rsidR="00094843">
        <w:t>s review.</w:t>
      </w:r>
      <w:r w:rsidR="00BF271C">
        <w:t xml:space="preserve"> This could</w:t>
      </w:r>
      <w:r w:rsidR="00F80324">
        <w:t xml:space="preserve"> b</w:t>
      </w:r>
      <w:r w:rsidR="00503423">
        <w:t xml:space="preserve">e because </w:t>
      </w:r>
      <w:r w:rsidR="00AE7FA4">
        <w:t xml:space="preserve">those patients </w:t>
      </w:r>
      <w:r w:rsidR="00A6287B">
        <w:t>reporting quiescent disease</w:t>
      </w:r>
      <w:r w:rsidR="00F80324">
        <w:t xml:space="preserve"> </w:t>
      </w:r>
      <w:r w:rsidR="00BF271C">
        <w:t xml:space="preserve">still have </w:t>
      </w:r>
      <w:r w:rsidR="00F80324">
        <w:t xml:space="preserve">symptoms </w:t>
      </w:r>
      <w:r w:rsidR="002E3CC6">
        <w:t xml:space="preserve">acting as a prompt </w:t>
      </w:r>
      <w:r w:rsidR="00AE7FA4">
        <w:t xml:space="preserve">- </w:t>
      </w:r>
      <w:r w:rsidR="00F80324">
        <w:t>a study by Witte et al</w:t>
      </w:r>
      <w:r w:rsidR="003B4986">
        <w:t xml:space="preserve"> (2000)</w:t>
      </w:r>
      <w:r w:rsidR="00133EC5">
        <w:t xml:space="preserve"> </w:t>
      </w:r>
      <w:r w:rsidR="00F80324">
        <w:t>found only 35-48% of patients report comp</w:t>
      </w:r>
      <w:r w:rsidR="00FB7E4D">
        <w:t>lete relief from their symptoms</w:t>
      </w:r>
      <w:r w:rsidR="00A6287B">
        <w:t xml:space="preserve"> - b</w:t>
      </w:r>
      <w:r w:rsidR="00FB7E4D">
        <w:t>ut it could be that</w:t>
      </w:r>
      <w:r w:rsidR="00FC4D79">
        <w:t xml:space="preserve"> the presence of symptoms is unrelated to</w:t>
      </w:r>
      <w:r w:rsidR="00FB7E4D">
        <w:t xml:space="preserve"> adherence</w:t>
      </w:r>
      <w:r w:rsidR="00A6287B">
        <w:t xml:space="preserve">. It is worth noting that </w:t>
      </w:r>
      <w:r w:rsidR="00503423">
        <w:t>levels of non-adherence across long term conditi</w:t>
      </w:r>
      <w:r w:rsidR="007C398E">
        <w:t xml:space="preserve">ons </w:t>
      </w:r>
      <w:r w:rsidR="00BF271C">
        <w:t>show</w:t>
      </w:r>
      <w:r w:rsidR="00B61E97">
        <w:t>s</w:t>
      </w:r>
      <w:r w:rsidR="00BF271C">
        <w:t xml:space="preserve"> only modest</w:t>
      </w:r>
      <w:r w:rsidR="00503423">
        <w:t xml:space="preserve"> </w:t>
      </w:r>
      <w:r w:rsidR="0061464D">
        <w:t>variance</w:t>
      </w:r>
      <w:r w:rsidR="003B4986">
        <w:t xml:space="preserve"> (Briesacher et al, 2008)</w:t>
      </w:r>
      <w:r w:rsidR="0061464D">
        <w:t xml:space="preserve"> </w:t>
      </w:r>
      <w:r w:rsidR="007C398E">
        <w:t>irrespective of whether the condition</w:t>
      </w:r>
      <w:r w:rsidR="00503423">
        <w:t xml:space="preserve"> is one which </w:t>
      </w:r>
      <w:r w:rsidR="00631C93">
        <w:t xml:space="preserve">commonly </w:t>
      </w:r>
      <w:r w:rsidR="00046FF9">
        <w:t>produces symptoms (such as P</w:t>
      </w:r>
      <w:r w:rsidR="00503423">
        <w:t>arkinsons disease)</w:t>
      </w:r>
      <w:r w:rsidR="00AB71CE">
        <w:t xml:space="preserve"> </w:t>
      </w:r>
      <w:r w:rsidR="003B4986">
        <w:t>(Daley et al, 2012)</w:t>
      </w:r>
      <w:r w:rsidR="00503423">
        <w:t xml:space="preserve"> or not (such as hypertension)</w:t>
      </w:r>
      <w:r w:rsidR="003B4986">
        <w:t xml:space="preserve"> (Alhalaiqa et al, 2012)</w:t>
      </w:r>
      <w:r w:rsidR="00503423">
        <w:t xml:space="preserve">.  </w:t>
      </w:r>
      <w:r w:rsidR="00A6287B">
        <w:t xml:space="preserve">Also of note is that </w:t>
      </w:r>
      <w:r w:rsidR="00FB7E4D">
        <w:t xml:space="preserve">Schreiber et al </w:t>
      </w:r>
      <w:r w:rsidR="003B4986">
        <w:t>(2013)</w:t>
      </w:r>
      <w:r w:rsidR="00A6287B">
        <w:t xml:space="preserve"> </w:t>
      </w:r>
      <w:r w:rsidR="00FB7E4D">
        <w:t>found expectations of rem</w:t>
      </w:r>
      <w:r w:rsidR="00A6287B">
        <w:t xml:space="preserve">ission </w:t>
      </w:r>
      <w:r w:rsidR="00D96F0F">
        <w:t>to vary</w:t>
      </w:r>
      <w:r w:rsidR="00A6287B">
        <w:t xml:space="preserve"> between countries -</w:t>
      </w:r>
      <w:r w:rsidR="00DE37BE">
        <w:t xml:space="preserve"> 65% of IBD patients in Spain believed </w:t>
      </w:r>
      <w:r w:rsidR="001708AC">
        <w:t>that remission meant realistically</w:t>
      </w:r>
      <w:r w:rsidR="00094843">
        <w:t xml:space="preserve"> living</w:t>
      </w:r>
      <w:r w:rsidR="001708AC">
        <w:t xml:space="preserve"> wit</w:t>
      </w:r>
      <w:r w:rsidR="00094843">
        <w:t>h</w:t>
      </w:r>
      <w:r w:rsidR="001708AC">
        <w:t xml:space="preserve">out symptoms </w:t>
      </w:r>
      <w:r w:rsidR="00A6287B">
        <w:t xml:space="preserve">whereas </w:t>
      </w:r>
      <w:r w:rsidR="00DE37BE">
        <w:t xml:space="preserve">only 26% of IBD patients in Ireland </w:t>
      </w:r>
      <w:r w:rsidR="00631C93">
        <w:t xml:space="preserve">believed </w:t>
      </w:r>
      <w:r w:rsidR="00A6287B">
        <w:t>this. T</w:t>
      </w:r>
      <w:r w:rsidR="001708AC">
        <w:t>h</w:t>
      </w:r>
      <w:r w:rsidR="00094843">
        <w:t>is has p</w:t>
      </w:r>
      <w:r w:rsidR="001708AC">
        <w:t>otential ramifications for the transferability of findings across countries, specifically those studies looking at health beliefs and attitudes to treatment. Further research may need to be UK specif</w:t>
      </w:r>
      <w:r w:rsidR="00A57E47">
        <w:t>ic to yield relevant</w:t>
      </w:r>
      <w:r w:rsidR="001708AC">
        <w:t xml:space="preserve"> insight. </w:t>
      </w:r>
    </w:p>
    <w:p w:rsidR="00190B4C" w:rsidRDefault="00A6287B" w:rsidP="00DC3A0E">
      <w:pPr>
        <w:jc w:val="both"/>
      </w:pPr>
      <w:r>
        <w:t xml:space="preserve">In conclusion, </w:t>
      </w:r>
      <w:r w:rsidR="00094843">
        <w:t xml:space="preserve">typically recorded demographic and clinical factors are not reliable indicators of </w:t>
      </w:r>
      <w:r>
        <w:t xml:space="preserve">the </w:t>
      </w:r>
      <w:r w:rsidR="00094843">
        <w:t>likelihood of adherence.</w:t>
      </w:r>
      <w:r w:rsidR="00624326">
        <w:t xml:space="preserve"> While demographic data may be collected in order that the reader may determine the relevance of findings to the</w:t>
      </w:r>
      <w:r w:rsidR="00190B4C">
        <w:t>ir own</w:t>
      </w:r>
      <w:r w:rsidR="00624326">
        <w:t xml:space="preserve"> patient group, analysing these demographic factors</w:t>
      </w:r>
      <w:r w:rsidR="00190B4C">
        <w:t xml:space="preserve"> -</w:t>
      </w:r>
      <w:r w:rsidR="00624326">
        <w:t xml:space="preserve"> looking for a statistically significant relationship with adherence </w:t>
      </w:r>
      <w:r w:rsidR="00190B4C">
        <w:t>- is unhelpful. Often in the region of twenty d</w:t>
      </w:r>
      <w:r>
        <w:t>emographic factors are recorded;</w:t>
      </w:r>
      <w:r w:rsidR="00190B4C">
        <w:t xml:space="preserve"> given that </w:t>
      </w:r>
      <w:r w:rsidR="00624326">
        <w:t xml:space="preserve">the threshold for significance is typically set at </w:t>
      </w:r>
      <w:r w:rsidR="00190B4C">
        <w:t xml:space="preserve">p&lt;0.05 </w:t>
      </w:r>
      <w:r w:rsidR="00624326">
        <w:t>there is every likelihood that at least one report</w:t>
      </w:r>
      <w:r w:rsidR="00190B4C">
        <w:t>ed association will be spurious</w:t>
      </w:r>
      <w:r w:rsidR="00624326">
        <w:t>.</w:t>
      </w:r>
      <w:r w:rsidR="00094843">
        <w:t xml:space="preserve"> </w:t>
      </w:r>
      <w:r w:rsidR="00631C93">
        <w:t>Perhaps</w:t>
      </w:r>
      <w:r w:rsidR="00E91E84">
        <w:t xml:space="preserve"> the most important finding of</w:t>
      </w:r>
      <w:r w:rsidR="0048393F">
        <w:t xml:space="preserve"> this review </w:t>
      </w:r>
      <w:r w:rsidR="00E91E84">
        <w:t>is</w:t>
      </w:r>
      <w:r w:rsidR="00503F47">
        <w:t xml:space="preserve"> the absence of</w:t>
      </w:r>
      <w:r w:rsidR="00263950">
        <w:t xml:space="preserve"> </w:t>
      </w:r>
      <w:r w:rsidR="00D50CA5">
        <w:t xml:space="preserve">a </w:t>
      </w:r>
      <w:r w:rsidR="00E91E84">
        <w:t xml:space="preserve">relationship between adherence and many </w:t>
      </w:r>
      <w:r w:rsidR="00A97168">
        <w:t xml:space="preserve">of the </w:t>
      </w:r>
      <w:r w:rsidR="00E91E84">
        <w:t>factors</w:t>
      </w:r>
      <w:r w:rsidR="00263950">
        <w:t xml:space="preserve"> previously thought</w:t>
      </w:r>
      <w:r w:rsidR="00503F47">
        <w:t xml:space="preserve"> to be relevant. This</w:t>
      </w:r>
      <w:r w:rsidR="00A97168">
        <w:t xml:space="preserve"> </w:t>
      </w:r>
      <w:r w:rsidR="00263950">
        <w:t>suggest</w:t>
      </w:r>
      <w:r w:rsidR="00503F47">
        <w:t>s</w:t>
      </w:r>
      <w:r w:rsidR="00A97168">
        <w:t xml:space="preserve"> </w:t>
      </w:r>
      <w:r w:rsidR="0048393F">
        <w:t>t</w:t>
      </w:r>
      <w:r w:rsidR="00FB7C80">
        <w:t>hat</w:t>
      </w:r>
      <w:r w:rsidR="0048393F">
        <w:t xml:space="preserve"> </w:t>
      </w:r>
      <w:r w:rsidR="00A97168">
        <w:t xml:space="preserve">there are no simple predictors for those </w:t>
      </w:r>
      <w:r w:rsidR="0048393F">
        <w:t>patients likely to be non-adherent</w:t>
      </w:r>
      <w:r w:rsidR="00A97168">
        <w:t>.</w:t>
      </w:r>
      <w:r w:rsidR="00094843">
        <w:t xml:space="preserve"> The </w:t>
      </w:r>
      <w:r w:rsidR="0048393F">
        <w:t>most consistent association s</w:t>
      </w:r>
      <w:r w:rsidR="00503F47">
        <w:t>eem</w:t>
      </w:r>
      <w:r w:rsidR="00C01EA2">
        <w:t>s</w:t>
      </w:r>
      <w:r w:rsidR="0048393F">
        <w:t xml:space="preserve"> to be with</w:t>
      </w:r>
      <w:r w:rsidR="00503F47">
        <w:t xml:space="preserve"> </w:t>
      </w:r>
      <w:r w:rsidR="00C01EA2">
        <w:t xml:space="preserve">barriers to taking medications and </w:t>
      </w:r>
      <w:r w:rsidR="007138C4">
        <w:t>attitudes and beliefs</w:t>
      </w:r>
      <w:r w:rsidR="00503F47">
        <w:t>.</w:t>
      </w:r>
      <w:r w:rsidR="00BE6430">
        <w:t xml:space="preserve"> These findings </w:t>
      </w:r>
      <w:r w:rsidR="00263950">
        <w:t xml:space="preserve">imply that </w:t>
      </w:r>
      <w:r w:rsidR="00A16A9C">
        <w:t>intervention</w:t>
      </w:r>
      <w:r w:rsidR="00263950">
        <w:t>s</w:t>
      </w:r>
      <w:r w:rsidR="00A16A9C">
        <w:t xml:space="preserve"> aimed at adherence</w:t>
      </w:r>
      <w:r w:rsidR="00263950">
        <w:t xml:space="preserve"> must be</w:t>
      </w:r>
      <w:r w:rsidR="00A16A9C">
        <w:t xml:space="preserve"> capable of being individualised, of addressing </w:t>
      </w:r>
      <w:r w:rsidR="00263950">
        <w:t>patient-</w:t>
      </w:r>
      <w:r w:rsidR="00A16A9C">
        <w:t>specific barriers</w:t>
      </w:r>
      <w:r w:rsidR="00263950">
        <w:t xml:space="preserve"> </w:t>
      </w:r>
      <w:r w:rsidR="00A16A9C">
        <w:t>and of engaging with patients</w:t>
      </w:r>
      <w:r w:rsidR="008471BE">
        <w:t xml:space="preserve"> </w:t>
      </w:r>
      <w:r w:rsidR="00263950">
        <w:t xml:space="preserve">own </w:t>
      </w:r>
      <w:r w:rsidR="00A16A9C">
        <w:t xml:space="preserve">personal beliefs about their condition and attitudes </w:t>
      </w:r>
      <w:r w:rsidR="00A16A9C">
        <w:lastRenderedPageBreak/>
        <w:t>towards their treatment.</w:t>
      </w:r>
      <w:r w:rsidR="00263950">
        <w:t xml:space="preserve"> </w:t>
      </w:r>
      <w:r w:rsidR="0013781A">
        <w:t xml:space="preserve">This </w:t>
      </w:r>
      <w:r w:rsidR="0048393F">
        <w:t>su</w:t>
      </w:r>
      <w:r>
        <w:t xml:space="preserve">pports the </w:t>
      </w:r>
      <w:r w:rsidR="0013781A">
        <w:t xml:space="preserve">conclusion of </w:t>
      </w:r>
      <w:r w:rsidR="00A14094">
        <w:t>Jackson et al</w:t>
      </w:r>
      <w:r w:rsidR="003B4986">
        <w:t xml:space="preserve"> (2010)</w:t>
      </w:r>
      <w:r w:rsidR="007F6F15">
        <w:t xml:space="preserve"> </w:t>
      </w:r>
      <w:r w:rsidR="00643F31">
        <w:t>that</w:t>
      </w:r>
      <w:r w:rsidR="00FC4D79">
        <w:t xml:space="preserve"> </w:t>
      </w:r>
      <w:r w:rsidR="00643F31">
        <w:t xml:space="preserve">psychosocial factors </w:t>
      </w:r>
      <w:r w:rsidR="00FC4D79">
        <w:t xml:space="preserve">should be </w:t>
      </w:r>
      <w:r w:rsidR="00643F31">
        <w:t xml:space="preserve">the </w:t>
      </w:r>
      <w:r w:rsidR="00FC4D79">
        <w:t>target</w:t>
      </w:r>
      <w:r w:rsidR="00643F31">
        <w:t xml:space="preserve"> of future research. </w:t>
      </w:r>
      <w:r w:rsidR="000700A1">
        <w:t>However, t</w:t>
      </w:r>
      <w:r w:rsidR="00643F31">
        <w:t>he prevalence of cross-sectional surveys</w:t>
      </w:r>
      <w:r w:rsidR="00094843">
        <w:t xml:space="preserve"> </w:t>
      </w:r>
      <w:r w:rsidR="00190B4C">
        <w:t>highlights the need</w:t>
      </w:r>
      <w:r w:rsidR="00FB7C80">
        <w:t xml:space="preserve"> </w:t>
      </w:r>
      <w:r w:rsidR="00094843">
        <w:t xml:space="preserve">to </w:t>
      </w:r>
      <w:r w:rsidR="00643F31">
        <w:t xml:space="preserve">use alternative study designs in order to </w:t>
      </w:r>
      <w:r w:rsidR="000700A1">
        <w:t xml:space="preserve">explore causation and </w:t>
      </w:r>
      <w:r w:rsidR="0013781A">
        <w:t xml:space="preserve">to evaluate the efficacy of interventions targeting these factors.  </w:t>
      </w:r>
    </w:p>
    <w:p w:rsidR="00A16A9C" w:rsidRDefault="00A16A9C" w:rsidP="00B13B73"/>
    <w:p w:rsidR="00763009" w:rsidRDefault="00577B94" w:rsidP="00763009">
      <w:pPr>
        <w:pStyle w:val="NoSpacing"/>
        <w:rPr>
          <w:rFonts w:asciiTheme="majorHAnsi" w:hAnsiTheme="majorHAnsi"/>
          <w:b/>
          <w:sz w:val="26"/>
          <w:szCs w:val="26"/>
        </w:rPr>
      </w:pPr>
      <w:r>
        <w:rPr>
          <w:rFonts w:asciiTheme="majorHAnsi" w:hAnsiTheme="majorHAnsi"/>
          <w:b/>
          <w:sz w:val="26"/>
          <w:szCs w:val="26"/>
        </w:rPr>
        <w:t xml:space="preserve">Appendix </w:t>
      </w:r>
    </w:p>
    <w:p w:rsidR="00BB6632" w:rsidRDefault="00BB6632" w:rsidP="00763009">
      <w:pPr>
        <w:pStyle w:val="NoSpacing"/>
        <w:rPr>
          <w:rFonts w:asciiTheme="majorHAnsi" w:hAnsiTheme="majorHAnsi"/>
          <w:b/>
          <w:sz w:val="26"/>
          <w:szCs w:val="26"/>
        </w:rPr>
      </w:pPr>
    </w:p>
    <w:p w:rsidR="00BB6632" w:rsidRPr="005436ED" w:rsidRDefault="00BB6632" w:rsidP="00BB6632">
      <w:r w:rsidRPr="00BB6632">
        <w:rPr>
          <w:u w:val="single"/>
        </w:rPr>
        <w:t>Table 1</w:t>
      </w:r>
      <w:r w:rsidRPr="005436ED">
        <w:t xml:space="preserve"> – Included Studies</w:t>
      </w:r>
    </w:p>
    <w:tbl>
      <w:tblPr>
        <w:tblStyle w:val="TableGrid"/>
        <w:tblW w:w="9889" w:type="dxa"/>
        <w:tblLook w:val="04A0" w:firstRow="1" w:lastRow="0" w:firstColumn="1" w:lastColumn="0" w:noHBand="0" w:noVBand="1"/>
      </w:tblPr>
      <w:tblGrid>
        <w:gridCol w:w="9889"/>
      </w:tblGrid>
      <w:tr w:rsidR="00BB6632" w:rsidTr="00E844FF">
        <w:tc>
          <w:tcPr>
            <w:tcW w:w="9889" w:type="dxa"/>
          </w:tcPr>
          <w:p w:rsidR="00BB6632" w:rsidRDefault="00BB6632" w:rsidP="00BB6632">
            <w:pPr>
              <w:pStyle w:val="ListParagraph"/>
              <w:numPr>
                <w:ilvl w:val="0"/>
                <w:numId w:val="13"/>
              </w:numPr>
            </w:pPr>
            <w:r>
              <w:t xml:space="preserve">Baars J, Zelinkova Z, Mensink P. et al High Therapy Adherence but Substantial Limitations to Daily Activities Amongst Members of the Dutch Inflammatory Bowel Disease Patients’ Organisation: A Patient Empowerment Study. Alimentary Pharmacology &amp; Therapeutics. 2009; 30:864-872. </w:t>
            </w:r>
          </w:p>
          <w:p w:rsidR="00BB6632" w:rsidRDefault="00BB6632" w:rsidP="00BB6632">
            <w:pPr>
              <w:pStyle w:val="ListParagraph"/>
              <w:numPr>
                <w:ilvl w:val="0"/>
                <w:numId w:val="13"/>
              </w:numPr>
            </w:pPr>
            <w:r>
              <w:t>Bermejo F, Lopez-San Roman A, Algaba A, et al. Factors That Modify Therapy Adherence in Patients with Inflammatory Bowel Disease. Journal of Crohn’s and Colitis. 2010; 4: 422-426.</w:t>
            </w:r>
          </w:p>
          <w:p w:rsidR="00BB6632" w:rsidRDefault="00BB6632" w:rsidP="00BB6632">
            <w:pPr>
              <w:pStyle w:val="ListParagraph"/>
              <w:numPr>
                <w:ilvl w:val="0"/>
                <w:numId w:val="13"/>
              </w:numPr>
            </w:pPr>
            <w:r>
              <w:t>Bernal I, Domenech E,</w:t>
            </w:r>
            <w:r w:rsidRPr="00550334">
              <w:t xml:space="preserve"> Garcia-Planella</w:t>
            </w:r>
            <w:r>
              <w:t xml:space="preserve"> E,</w:t>
            </w:r>
            <w:r w:rsidRPr="00550334">
              <w:t xml:space="preserve"> et al. Medication-Taking Behaviour in a Cohort of Patients with Inflammatory Bowel Disease. Digestive Disease Sci. 2006. 51:2165-2169.</w:t>
            </w:r>
          </w:p>
          <w:p w:rsidR="00BB6632" w:rsidRDefault="00BB6632" w:rsidP="00BB6632">
            <w:pPr>
              <w:pStyle w:val="ListParagraph"/>
              <w:numPr>
                <w:ilvl w:val="0"/>
                <w:numId w:val="13"/>
              </w:numPr>
            </w:pPr>
            <w:r>
              <w:t>Bertomoro P, Renna S, Cottone M, Regional Variations in the Use of Complementary and AlternativeMedicines for Inflammatory Bowel Disease Patients in Italy: An IG-IBD Study. Journal of Crohn’s and Colitis. 2010; 4: 291-300.</w:t>
            </w:r>
          </w:p>
          <w:p w:rsidR="00BB6632" w:rsidRDefault="00BB6632" w:rsidP="00BB6632">
            <w:pPr>
              <w:pStyle w:val="ListParagraph"/>
              <w:numPr>
                <w:ilvl w:val="0"/>
                <w:numId w:val="13"/>
              </w:numPr>
            </w:pPr>
            <w:r>
              <w:t>Bhatt J, Patil S, Joshi A, et al. Self-Reported Treatment Adherence in Inflammatory Bowel Disease in Indian Patients. Indian J Gastroenterol. 2009; 28(4): 143-146.</w:t>
            </w:r>
          </w:p>
          <w:p w:rsidR="00BB6632" w:rsidRDefault="00BB6632" w:rsidP="00BB6632">
            <w:pPr>
              <w:pStyle w:val="ListParagraph"/>
              <w:numPr>
                <w:ilvl w:val="0"/>
                <w:numId w:val="13"/>
              </w:numPr>
            </w:pPr>
            <w:r w:rsidRPr="00550334">
              <w:t>Bokemeyer</w:t>
            </w:r>
            <w:r>
              <w:t xml:space="preserve"> B, Teml A, Roggel C,</w:t>
            </w:r>
            <w:r w:rsidRPr="00550334">
              <w:t xml:space="preserve"> et al. Adheren</w:t>
            </w:r>
            <w:r>
              <w:t>c</w:t>
            </w:r>
            <w:r w:rsidRPr="00550334">
              <w:t>e to Thiopurine Treatment in Out-patients with Crohn’s</w:t>
            </w:r>
            <w:r>
              <w:t xml:space="preserve"> Disease. Ailmen Pharmacol Ther. 2007; 26: 217-225.</w:t>
            </w:r>
          </w:p>
          <w:p w:rsidR="00BB6632" w:rsidRDefault="00BB6632" w:rsidP="00BB6632">
            <w:pPr>
              <w:pStyle w:val="ListParagraph"/>
              <w:numPr>
                <w:ilvl w:val="0"/>
                <w:numId w:val="13"/>
              </w:numPr>
            </w:pPr>
            <w:r>
              <w:t>Cerveny (1) - Cerveny P, Bortlik M, Kubena A, et al. Nonadherence in Inflammatory Bowel Disease: Results of Factor Analysis. Inflamm Bowel Dis. 2007; 13(10) 1244-1249.</w:t>
            </w:r>
          </w:p>
          <w:p w:rsidR="00BB6632" w:rsidRDefault="00BB6632" w:rsidP="00BB6632">
            <w:pPr>
              <w:pStyle w:val="ListParagraph"/>
              <w:numPr>
                <w:ilvl w:val="0"/>
                <w:numId w:val="13"/>
              </w:numPr>
            </w:pPr>
            <w:r>
              <w:t>Cerveny (2) - Cerveny P, Bortlik M, Vlcek J, et al. Non-adherence to Treatment in Inflammatory Bowel Disease in Czech Republic. Journal of Crohn’s and Colitis. 2007; 1:77-81.</w:t>
            </w:r>
          </w:p>
          <w:p w:rsidR="00BB6632" w:rsidRDefault="00BB6632" w:rsidP="00BB6632">
            <w:pPr>
              <w:pStyle w:val="ListParagraph"/>
              <w:numPr>
                <w:ilvl w:val="0"/>
                <w:numId w:val="13"/>
              </w:numPr>
            </w:pPr>
            <w:r>
              <w:t xml:space="preserve">Cook P, Emiliozzi, S. El-Hajj, D. et al. </w:t>
            </w:r>
            <w:r w:rsidRPr="00F47BC3">
              <w:t>Telephone Nurse Counselling for Medication Adherence in Ulcerative Colitis: A Preliminary Study.</w:t>
            </w:r>
            <w:r>
              <w:t xml:space="preserve"> Patient Education and Counselling. 2010; 81: 182-186.</w:t>
            </w:r>
          </w:p>
          <w:p w:rsidR="00BB6632" w:rsidRDefault="00BB6632" w:rsidP="00BB6632">
            <w:pPr>
              <w:pStyle w:val="ListParagraph"/>
              <w:numPr>
                <w:ilvl w:val="0"/>
                <w:numId w:val="13"/>
              </w:numPr>
            </w:pPr>
            <w:r>
              <w:t>D’Inca R, Bertomoro P, Mazzocco K, et al. Risk Factors for Non-adherence to Medication in Inflammatory Bowel Disease Patients. Ailment Phamacol Ther. 2008; 27: 166-172</w:t>
            </w:r>
          </w:p>
          <w:p w:rsidR="00BB6632" w:rsidRDefault="00BB6632" w:rsidP="00BB6632">
            <w:pPr>
              <w:pStyle w:val="ListParagraph"/>
              <w:numPr>
                <w:ilvl w:val="0"/>
                <w:numId w:val="13"/>
              </w:numPr>
            </w:pPr>
            <w:r>
              <w:t>Ediger J, Walker J, Graff L, et al. Predictors of Medication Adherence in Inflammatory Bowel Disease. Am J Gastroenterol. 2007; 102(7): 1417-1426.</w:t>
            </w:r>
          </w:p>
          <w:p w:rsidR="00BB6632" w:rsidRDefault="00BB6632" w:rsidP="00BB6632">
            <w:pPr>
              <w:pStyle w:val="ListParagraph"/>
              <w:numPr>
                <w:ilvl w:val="0"/>
                <w:numId w:val="13"/>
              </w:numPr>
            </w:pPr>
            <w:r>
              <w:t>Horne R, Parham R, Driscoll R, e</w:t>
            </w:r>
            <w:r w:rsidRPr="007A5267">
              <w:t>t al. Patients’ Attitudes to Medicines and Adherence to Maintenance Treatment in Inflammatory Bowel Disease.</w:t>
            </w:r>
            <w:r w:rsidRPr="007A5267">
              <w:rPr>
                <w:i/>
              </w:rPr>
              <w:t xml:space="preserve"> </w:t>
            </w:r>
            <w:r>
              <w:t>Inflammatory Bowel Dis. 2009;</w:t>
            </w:r>
            <w:r w:rsidRPr="007A5267">
              <w:t xml:space="preserve"> 15:837-844.</w:t>
            </w:r>
          </w:p>
          <w:p w:rsidR="00BB6632" w:rsidRDefault="00BB6632" w:rsidP="00BB6632">
            <w:pPr>
              <w:pStyle w:val="ListParagraph"/>
              <w:numPr>
                <w:ilvl w:val="0"/>
                <w:numId w:val="13"/>
              </w:numPr>
            </w:pPr>
            <w:r>
              <w:t>Horvath G, Farkas K, Hollosi R, et al. Is There Any Association Between Impaired Health-related Quality of Life and Non-adherence to Medical Therapy in Inflammatory Bowel Disease?  Scandinavian Journal of Gastroenterology. 2012; 47: 1298-1303.</w:t>
            </w:r>
          </w:p>
          <w:p w:rsidR="00BB6632" w:rsidRDefault="00BB6632" w:rsidP="00BB6632">
            <w:pPr>
              <w:pStyle w:val="ListParagraph"/>
              <w:numPr>
                <w:ilvl w:val="0"/>
                <w:numId w:val="13"/>
              </w:numPr>
            </w:pPr>
            <w:r>
              <w:t xml:space="preserve">Kane S, Cohen R, Aikens J, et al. </w:t>
            </w:r>
            <w:r w:rsidRPr="001E2A8E">
              <w:t>Prevalence of Nonadherence with Maintenance Mesalamine in Quiescent Ulcerative Colitis</w:t>
            </w:r>
            <w:r w:rsidRPr="007A5267">
              <w:rPr>
                <w:i/>
              </w:rPr>
              <w:t>.</w:t>
            </w:r>
            <w:r>
              <w:t xml:space="preserve"> The American Journal of Gastroenterology. 2001; 96(10): 2929-2933.</w:t>
            </w:r>
          </w:p>
          <w:p w:rsidR="00BB6632" w:rsidRDefault="00BB6632" w:rsidP="00BB6632">
            <w:pPr>
              <w:pStyle w:val="ListParagraph"/>
              <w:numPr>
                <w:ilvl w:val="0"/>
                <w:numId w:val="13"/>
              </w:numPr>
            </w:pPr>
            <w:r>
              <w:t>Kane S, Huo D, and Magnanti K. A Pilot Feasibility Study of Once Daily Versus Conventional Dosing Mesalamine for Maintenance of Ulcerative Colitis. Clinical Gastroenterology and Hepatology. 2003; 1: 170-173.</w:t>
            </w:r>
          </w:p>
          <w:p w:rsidR="00BB6632" w:rsidRDefault="00BB6632" w:rsidP="00BB6632">
            <w:pPr>
              <w:pStyle w:val="ListParagraph"/>
              <w:numPr>
                <w:ilvl w:val="0"/>
                <w:numId w:val="13"/>
              </w:numPr>
            </w:pPr>
            <w:r>
              <w:t>Lakatos P, Czegledi Z, David G, et al. Association of Adherence to Therapy and Complementary and Alternative Medicine Use with Demographic Factors and Disease Phenotype in Patients with Inflammatory Bowel Disease. Journal of Crohn’s and Colitis. 2010; 4: 283-290.</w:t>
            </w:r>
          </w:p>
          <w:p w:rsidR="00BB6632" w:rsidRDefault="00BB6632" w:rsidP="00BB6632">
            <w:pPr>
              <w:pStyle w:val="ListParagraph"/>
              <w:numPr>
                <w:ilvl w:val="0"/>
                <w:numId w:val="13"/>
              </w:numPr>
            </w:pPr>
            <w:r>
              <w:t xml:space="preserve">van Langenberg D, and Andrews J. Satisfaction with Patient-doctor Relationships in Inflammatory </w:t>
            </w:r>
            <w:r>
              <w:lastRenderedPageBreak/>
              <w:t>Bowel Diseases: Examining Patient-initiated Change of Specialist. World J Gastroenterol. 2012; 18(18): 2212-2218.</w:t>
            </w:r>
          </w:p>
          <w:p w:rsidR="00BB6632" w:rsidRDefault="00BB6632" w:rsidP="00BB6632">
            <w:pPr>
              <w:pStyle w:val="ListParagraph"/>
              <w:numPr>
                <w:ilvl w:val="0"/>
                <w:numId w:val="13"/>
              </w:numPr>
            </w:pPr>
            <w:r>
              <w:t xml:space="preserve">Linn A, van Dijk L, Smit E, et al. May You Never Forget What is Worth Remembering: The Relation Between Recall of Medication Information and Medication Adherence in Patients with Inflammatory Bowel Disease. Journal of Crohn’s and Colitis. 2013; 7:e543-e550 </w:t>
            </w:r>
          </w:p>
          <w:p w:rsidR="00BB6632" w:rsidRDefault="00BB6632" w:rsidP="00BB6632">
            <w:pPr>
              <w:pStyle w:val="ListParagraph"/>
              <w:numPr>
                <w:ilvl w:val="0"/>
                <w:numId w:val="13"/>
              </w:numPr>
            </w:pPr>
            <w:r>
              <w:t>Lopez San Roman A, Bermejo F, Carrera E, et al. Adherence to Treatment in Inflammatory Bowel Disease. Revista Espanola De Enfermedades Digestivas. 2005; 97(4): 249-257.</w:t>
            </w:r>
          </w:p>
          <w:p w:rsidR="00BB6632" w:rsidRDefault="00BB6632" w:rsidP="00BB6632">
            <w:pPr>
              <w:pStyle w:val="ListParagraph"/>
              <w:numPr>
                <w:ilvl w:val="0"/>
                <w:numId w:val="13"/>
              </w:numPr>
            </w:pPr>
            <w:r>
              <w:t>Mantzaris G, Roussos A, Kalantzis C, et al. How Adherent to Treatment with Azathioprine are Patients with Crohn’s Disease in Long-term Remission? Inflamm Bowel Dis. 2007; 13(4): 446-450.</w:t>
            </w:r>
          </w:p>
          <w:p w:rsidR="00BB6632" w:rsidRDefault="00BB6632" w:rsidP="00BB6632">
            <w:pPr>
              <w:pStyle w:val="ListParagraph"/>
              <w:numPr>
                <w:ilvl w:val="0"/>
                <w:numId w:val="13"/>
              </w:numPr>
            </w:pPr>
            <w:r>
              <w:t>Moradkhani A, Kerwin L, Dudley-Brown S, et al. Disease-Specific Knowledge, Coping, and Adherence in Patients with Inflammatory Bowel Disease. Dig Dis Sci. 2011; 56:29972-2977.</w:t>
            </w:r>
          </w:p>
          <w:p w:rsidR="00BB6632" w:rsidRDefault="00BB6632" w:rsidP="00BB6632">
            <w:pPr>
              <w:pStyle w:val="ListParagraph"/>
              <w:numPr>
                <w:ilvl w:val="0"/>
                <w:numId w:val="13"/>
              </w:numPr>
            </w:pPr>
            <w:r>
              <w:t xml:space="preserve">Moshkovska T, Stone M, Clatworthy J, et al.  </w:t>
            </w:r>
            <w:r w:rsidRPr="00731534">
              <w:t xml:space="preserve">An Investigation of Medication Adherence to 5-aminosalicylic Acid Therapy in Patients with Ulcerative Colitis, Using Self-report and Urinary Drug Excretion Measurements. </w:t>
            </w:r>
            <w:r>
              <w:t xml:space="preserve">Aliment Pharmacol Ther. 2009; 30: 1118-1127. </w:t>
            </w:r>
            <w:bookmarkStart w:id="1" w:name="_Ref421698377"/>
          </w:p>
          <w:p w:rsidR="00BB6632" w:rsidRDefault="00BB6632" w:rsidP="00BB6632">
            <w:pPr>
              <w:pStyle w:val="ListParagraph"/>
              <w:numPr>
                <w:ilvl w:val="0"/>
                <w:numId w:val="13"/>
              </w:numPr>
            </w:pPr>
            <w:r>
              <w:t>Munson G, Wallston K, Dittus R, et al</w:t>
            </w:r>
            <w:bookmarkEnd w:id="1"/>
            <w:r>
              <w:t xml:space="preserve">. </w:t>
            </w:r>
            <w:r w:rsidRPr="00731534">
              <w:t>Activation and Perceived</w:t>
            </w:r>
            <w:r w:rsidRPr="00731534">
              <w:rPr>
                <w:i/>
              </w:rPr>
              <w:t xml:space="preserve"> </w:t>
            </w:r>
            <w:r w:rsidRPr="001C7138">
              <w:t>Expectancies: Correlations with Health Outcomes Among Veterans with Inflammatory Bowel Disease.</w:t>
            </w:r>
            <w:r w:rsidRPr="00731534">
              <w:rPr>
                <w:i/>
              </w:rPr>
              <w:t xml:space="preserve"> </w:t>
            </w:r>
            <w:r>
              <w:t xml:space="preserve"> J Gen Intern Med. 2009; 24(7): 809-15.</w:t>
            </w:r>
          </w:p>
          <w:p w:rsidR="00BB6632" w:rsidRDefault="00BB6632" w:rsidP="00BB6632">
            <w:pPr>
              <w:pStyle w:val="ListParagraph"/>
              <w:numPr>
                <w:ilvl w:val="0"/>
                <w:numId w:val="13"/>
              </w:numPr>
            </w:pPr>
            <w:r>
              <w:t xml:space="preserve">Nahon S, Lahmek P, Durance C, et al. Risk Factors and Depression in Inflammatory Bowel Disease. Inflamm Bowel Dis. 2012; 18(11):2086-2091. </w:t>
            </w:r>
          </w:p>
          <w:p w:rsidR="00BB6632" w:rsidRDefault="00BB6632" w:rsidP="00BB6632">
            <w:pPr>
              <w:pStyle w:val="ListParagraph"/>
              <w:numPr>
                <w:ilvl w:val="0"/>
                <w:numId w:val="13"/>
              </w:numPr>
            </w:pPr>
            <w:r>
              <w:t xml:space="preserve">Nahon S, Lahmek P, Saas C, et al.  </w:t>
            </w:r>
            <w:r w:rsidRPr="008C1515">
              <w:t xml:space="preserve">Socioeconomic and Psychological Factors Associated with Nonadherence to Treatment in Inflammatory Bowel Disease Patients: Results of the ISSEO Survey. </w:t>
            </w:r>
            <w:r>
              <w:t>Inflamm Bowel Dis. 2011; 17(6):1270-1276.</w:t>
            </w:r>
          </w:p>
          <w:p w:rsidR="00BB6632" w:rsidRDefault="00BB6632" w:rsidP="00BB6632">
            <w:pPr>
              <w:pStyle w:val="ListParagraph"/>
              <w:numPr>
                <w:ilvl w:val="0"/>
                <w:numId w:val="13"/>
              </w:numPr>
            </w:pPr>
            <w:r>
              <w:t>Nguyen</w:t>
            </w:r>
            <w:bookmarkStart w:id="2" w:name="_Ref421700293"/>
            <w:r>
              <w:t xml:space="preserve"> G, LaVeist T, Harris M, et al. Patient Trust-in-Physician and Race Are Predictors of Adherence to Medical Management in Inflammatory Bowel Disease. Inflamm Bowel Dis. 2009; 15(8)1233-1239.</w:t>
            </w:r>
          </w:p>
          <w:p w:rsidR="00BB6632" w:rsidRDefault="00BB6632" w:rsidP="00BB6632">
            <w:pPr>
              <w:pStyle w:val="ListParagraph"/>
              <w:numPr>
                <w:ilvl w:val="0"/>
                <w:numId w:val="13"/>
              </w:numPr>
            </w:pPr>
            <w:r>
              <w:t xml:space="preserve">Nigro G, Giuseppe A, Grosso S,et al.  Psychiatric Predictors of Noncompliance in Inflammatory Bowel Disease. J Clin Gastroenterol. 2001; 32(1):66-68. </w:t>
            </w:r>
          </w:p>
          <w:p w:rsidR="00BB6632" w:rsidRDefault="00BB6632" w:rsidP="00BB6632">
            <w:pPr>
              <w:pStyle w:val="ListParagraph"/>
              <w:numPr>
                <w:ilvl w:val="0"/>
                <w:numId w:val="13"/>
              </w:numPr>
            </w:pPr>
            <w:r>
              <w:t>Selinger</w:t>
            </w:r>
            <w:bookmarkEnd w:id="2"/>
            <w:r>
              <w:t xml:space="preserve"> C, Eaden J, Jones B, et al. Modifiable Factors Associated with Nonadherence to Maintenance Medication for Inflammatory Bowel Disease. Inflamm Bowel Dis. 2013; 19(10)2199-2206.</w:t>
            </w:r>
          </w:p>
          <w:p w:rsidR="00BB6632" w:rsidRDefault="00BB6632" w:rsidP="00BB6632">
            <w:pPr>
              <w:pStyle w:val="ListParagraph"/>
              <w:numPr>
                <w:ilvl w:val="0"/>
                <w:numId w:val="13"/>
              </w:numPr>
            </w:pPr>
            <w:r>
              <w:t>Sewitch M, Abrahamowicz M, Barkun A, et al. Patient Nonadherence to Medication in Inflammatory Bowel Disease. The American Journal of Gastroenterology. 2003; 98(7):1535-1544.</w:t>
            </w:r>
          </w:p>
          <w:p w:rsidR="00BB6632" w:rsidRDefault="00BB6632" w:rsidP="00BB6632">
            <w:pPr>
              <w:pStyle w:val="ListParagraph"/>
              <w:numPr>
                <w:ilvl w:val="0"/>
                <w:numId w:val="13"/>
              </w:numPr>
            </w:pPr>
            <w:r>
              <w:t>Shale M, &amp; Riley S.</w:t>
            </w:r>
            <w:r w:rsidRPr="00DB288E">
              <w:t xml:space="preserve"> Studies of Compliance with Delayed-release Mesalazine Therapy in Patients with Inflammatory Bowel Disease. Alimen Pharmacol Ther</w:t>
            </w:r>
            <w:r>
              <w:t xml:space="preserve">. 2003; 18: </w:t>
            </w:r>
            <w:r w:rsidRPr="00DB288E">
              <w:t xml:space="preserve">191-198. </w:t>
            </w:r>
          </w:p>
          <w:p w:rsidR="00BB6632" w:rsidRDefault="00BB6632" w:rsidP="00BB6632">
            <w:pPr>
              <w:pStyle w:val="ListParagraph"/>
              <w:numPr>
                <w:ilvl w:val="0"/>
                <w:numId w:val="13"/>
              </w:numPr>
            </w:pPr>
            <w:r>
              <w:t>Waters B, Jensen L, and Fedorak R. Effects of Formal Education for Patients with Inflammatory Bowel Disease: A Randomized Controlled Trial. Can J Gastroenterol. 2005; 19(4):235-243.</w:t>
            </w:r>
          </w:p>
          <w:p w:rsidR="00BB6632" w:rsidRPr="004057B3" w:rsidRDefault="00BB6632" w:rsidP="00BB6632">
            <w:pPr>
              <w:pStyle w:val="ListParagraph"/>
              <w:numPr>
                <w:ilvl w:val="0"/>
                <w:numId w:val="13"/>
              </w:numPr>
            </w:pPr>
            <w:r>
              <w:t>Weizman A, Ahn E, Thanabalan R, et al. Characterisation of Complementary and Alternative Medicine Use and its Impact of Medication Adherence in Inflammatory Bowel Disease. Alimentary Pharmacology and Therapeutics. 2012; 35:342-349.</w:t>
            </w:r>
          </w:p>
        </w:tc>
      </w:tr>
    </w:tbl>
    <w:p w:rsidR="00BB6632" w:rsidRDefault="00BB6632" w:rsidP="00BB6632"/>
    <w:p w:rsidR="00D25B0D" w:rsidRDefault="00D25B0D" w:rsidP="00BB6632"/>
    <w:p w:rsidR="00BB6632" w:rsidRDefault="00BB6632" w:rsidP="00B13B73">
      <w:pPr>
        <w:pStyle w:val="Heading2"/>
        <w:rPr>
          <w:color w:val="auto"/>
        </w:rPr>
      </w:pPr>
    </w:p>
    <w:p w:rsidR="00122F04" w:rsidRPr="00122F04" w:rsidRDefault="00122F04" w:rsidP="00122F04"/>
    <w:p w:rsidR="00BB6632" w:rsidRDefault="00BB6632" w:rsidP="00B13B73">
      <w:pPr>
        <w:pStyle w:val="Heading2"/>
        <w:rPr>
          <w:color w:val="auto"/>
        </w:rPr>
      </w:pPr>
    </w:p>
    <w:p w:rsidR="00F6701F" w:rsidRPr="00333DA7" w:rsidRDefault="00F6701F" w:rsidP="00B13B73">
      <w:pPr>
        <w:pStyle w:val="Heading2"/>
        <w:rPr>
          <w:color w:val="auto"/>
        </w:rPr>
      </w:pPr>
      <w:r w:rsidRPr="00333DA7">
        <w:rPr>
          <w:color w:val="auto"/>
        </w:rPr>
        <w:t>References</w:t>
      </w:r>
    </w:p>
    <w:p w:rsidR="00F6701F" w:rsidRDefault="00F6701F" w:rsidP="00B13B73"/>
    <w:p w:rsidR="00E927CD" w:rsidRDefault="00E927CD" w:rsidP="00E927CD">
      <w:pPr>
        <w:spacing w:line="480" w:lineRule="auto"/>
        <w:ind w:left="1080"/>
      </w:pPr>
      <w:bookmarkStart w:id="3" w:name="_Ref421700397"/>
      <w:bookmarkStart w:id="4" w:name="_Ref421816845"/>
      <w:r>
        <w:lastRenderedPageBreak/>
        <w:t>Alhalaiqa F, Deane K, Nawafleh A, et al</w:t>
      </w:r>
      <w:bookmarkEnd w:id="3"/>
      <w:r>
        <w:t>. Adherence Therapy for Medication Non-compliant Patients with Hypertension: A Randomised Controlled T</w:t>
      </w:r>
      <w:r w:rsidRPr="008723E7">
        <w:t>rial</w:t>
      </w:r>
      <w:r>
        <w:t>. Journal of Human Hypertension. 2012; 26: 117-126.</w:t>
      </w:r>
      <w:bookmarkEnd w:id="4"/>
    </w:p>
    <w:p w:rsidR="00E927CD" w:rsidRDefault="00E927CD" w:rsidP="00E927CD">
      <w:pPr>
        <w:spacing w:line="480" w:lineRule="auto"/>
        <w:ind w:left="1080"/>
      </w:pPr>
      <w:bookmarkStart w:id="5" w:name="_Ref421698149"/>
      <w:r>
        <w:t xml:space="preserve">Bernal I, Domenech E, Garcia-Planella et al. </w:t>
      </w:r>
      <w:r w:rsidRPr="008C1515">
        <w:t>Medication-Taking Behaviour in a Cohort of Patients with Inflammatory Bowel Disease.</w:t>
      </w:r>
      <w:r>
        <w:t xml:space="preserve"> Digestive Diseases and Sciences. 2006; 51:2165-2169.</w:t>
      </w:r>
      <w:bookmarkEnd w:id="5"/>
    </w:p>
    <w:p w:rsidR="00E927CD" w:rsidRDefault="00E927CD" w:rsidP="00E927CD">
      <w:pPr>
        <w:spacing w:line="480" w:lineRule="auto"/>
        <w:ind w:left="1080"/>
      </w:pPr>
      <w:bookmarkStart w:id="6" w:name="_Ref421698482"/>
      <w:r>
        <w:t xml:space="preserve">Bishop J, Lemberg D, Day A, et al. </w:t>
      </w:r>
      <w:r w:rsidRPr="00AC6E36">
        <w:t xml:space="preserve">Managing inflammatory bowel disease in adolescent patients. </w:t>
      </w:r>
      <w:r w:rsidRPr="00353D39">
        <w:rPr>
          <w:rStyle w:val="cit"/>
        </w:rPr>
        <w:t>Adolesc</w:t>
      </w:r>
      <w:r>
        <w:rPr>
          <w:rStyle w:val="cit"/>
        </w:rPr>
        <w:t>ent</w:t>
      </w:r>
      <w:r w:rsidRPr="00353D39">
        <w:rPr>
          <w:rStyle w:val="cit"/>
        </w:rPr>
        <w:t xml:space="preserve"> Health Med</w:t>
      </w:r>
      <w:r>
        <w:rPr>
          <w:rStyle w:val="cit"/>
        </w:rPr>
        <w:t>icine</w:t>
      </w:r>
      <w:r w:rsidRPr="00353D39">
        <w:rPr>
          <w:rStyle w:val="cit"/>
        </w:rPr>
        <w:t xml:space="preserve"> </w:t>
      </w:r>
      <w:r>
        <w:rPr>
          <w:rStyle w:val="cit"/>
        </w:rPr>
        <w:t xml:space="preserve">and </w:t>
      </w:r>
      <w:r w:rsidRPr="00353D39">
        <w:rPr>
          <w:rStyle w:val="cit"/>
        </w:rPr>
        <w:t>Ther</w:t>
      </w:r>
      <w:r>
        <w:rPr>
          <w:rStyle w:val="cit"/>
        </w:rPr>
        <w:t>apeutics</w:t>
      </w:r>
      <w:r w:rsidRPr="00353D39">
        <w:rPr>
          <w:rStyle w:val="cit"/>
        </w:rPr>
        <w:t>.</w:t>
      </w:r>
      <w:r>
        <w:rPr>
          <w:rStyle w:val="cit"/>
        </w:rPr>
        <w:t xml:space="preserve"> 2014; </w:t>
      </w:r>
      <w:r w:rsidRPr="00353D39">
        <w:rPr>
          <w:rStyle w:val="cit"/>
        </w:rPr>
        <w:t>5:1–13.</w:t>
      </w:r>
      <w:bookmarkEnd w:id="6"/>
      <w:r w:rsidRPr="00353D39">
        <w:rPr>
          <w:rStyle w:val="cit"/>
        </w:rPr>
        <w:t xml:space="preserve">  </w:t>
      </w:r>
      <w:r>
        <w:t xml:space="preserve"> </w:t>
      </w:r>
    </w:p>
    <w:p w:rsidR="00E927CD" w:rsidRDefault="00E927CD" w:rsidP="00E927CD">
      <w:pPr>
        <w:spacing w:line="480" w:lineRule="auto"/>
        <w:ind w:left="1080"/>
      </w:pPr>
      <w:bookmarkStart w:id="7" w:name="_Ref421700001"/>
      <w:bookmarkStart w:id="8" w:name="_Ref421812345"/>
      <w:r>
        <w:t>Bokemeyer</w:t>
      </w:r>
      <w:bookmarkEnd w:id="7"/>
      <w:r>
        <w:t xml:space="preserve"> B, Teml A, Roggel C, et al. Adherence to Thiopurine Treatment in Out-patients with Crohn’s Disease. Alimentary Pharmacology and Therapeutics. 2007; 26: 217-225.</w:t>
      </w:r>
      <w:bookmarkEnd w:id="8"/>
    </w:p>
    <w:p w:rsidR="00E927CD" w:rsidRDefault="00E927CD" w:rsidP="00E927CD">
      <w:pPr>
        <w:spacing w:line="480" w:lineRule="auto"/>
        <w:ind w:left="1080"/>
      </w:pPr>
      <w:bookmarkStart w:id="9" w:name="_Ref421697610"/>
      <w:bookmarkStart w:id="10" w:name="_Ref419464292"/>
      <w:r w:rsidRPr="009D1C7D">
        <w:t>B</w:t>
      </w:r>
      <w:r>
        <w:t>orowicz, A. &amp; Fedorak, R.</w:t>
      </w:r>
      <w:r w:rsidRPr="009D1C7D">
        <w:t xml:space="preserve"> </w:t>
      </w:r>
      <w:r w:rsidRPr="00F47BC3">
        <w:t xml:space="preserve">Predicting, treating and preventing post-operative  recurrence of Crohn’s Disease: The State of the Field. </w:t>
      </w:r>
      <w:r w:rsidRPr="009D1C7D">
        <w:t>Canad</w:t>
      </w:r>
      <w:r>
        <w:t>ian Journal of Gastroenterology.</w:t>
      </w:r>
      <w:r w:rsidRPr="009D1C7D">
        <w:t xml:space="preserve"> </w:t>
      </w:r>
      <w:r>
        <w:t>2011; 25:</w:t>
      </w:r>
      <w:r w:rsidRPr="009D1C7D">
        <w:t>3</w:t>
      </w:r>
      <w:r>
        <w:t>.</w:t>
      </w:r>
      <w:bookmarkEnd w:id="9"/>
      <w:r w:rsidRPr="007D464C">
        <w:t xml:space="preserve"> </w:t>
      </w:r>
    </w:p>
    <w:p w:rsidR="00E927CD" w:rsidRDefault="00E927CD" w:rsidP="00E927CD">
      <w:pPr>
        <w:spacing w:line="480" w:lineRule="auto"/>
        <w:ind w:left="1080"/>
      </w:pPr>
      <w:bookmarkStart w:id="11" w:name="_Ref421700350"/>
      <w:bookmarkEnd w:id="10"/>
      <w:r w:rsidRPr="0061464D">
        <w:t>Briesacher</w:t>
      </w:r>
      <w:r>
        <w:t xml:space="preserve"> B, Andrade S, Fouayzi H, et al.</w:t>
      </w:r>
      <w:r w:rsidRPr="0061464D">
        <w:t xml:space="preserve"> </w:t>
      </w:r>
      <w:r w:rsidRPr="00B52758">
        <w:t>Comparison of Drug Adherence Rates Among Patients with Seven Different Medical Conditions</w:t>
      </w:r>
      <w:r>
        <w:t>.</w:t>
      </w:r>
      <w:r w:rsidRPr="00E927CD">
        <w:rPr>
          <w:i/>
        </w:rPr>
        <w:t xml:space="preserve">   </w:t>
      </w:r>
      <w:r>
        <w:rPr>
          <w:rStyle w:val="cit"/>
        </w:rPr>
        <w:t>Pharmacotherapy. 2008</w:t>
      </w:r>
      <w:r w:rsidRPr="00353D39">
        <w:rPr>
          <w:rStyle w:val="cit"/>
        </w:rPr>
        <w:t>; 28(4): 437–443.</w:t>
      </w:r>
      <w:bookmarkEnd w:id="11"/>
      <w:r w:rsidRPr="00353D39">
        <w:rPr>
          <w:rStyle w:val="cit"/>
        </w:rPr>
        <w:t xml:space="preserve">   </w:t>
      </w:r>
    </w:p>
    <w:p w:rsidR="00E927CD" w:rsidRDefault="00E927CD" w:rsidP="00E927CD">
      <w:pPr>
        <w:spacing w:line="480" w:lineRule="auto"/>
        <w:ind w:left="1080"/>
      </w:pPr>
      <w:bookmarkStart w:id="12" w:name="_Ref421698208"/>
      <w:r>
        <w:t xml:space="preserve">Brown M, &amp; Bussel J, </w:t>
      </w:r>
      <w:r w:rsidRPr="008C1515">
        <w:t>Medication Adherence: WHO cares?</w:t>
      </w:r>
      <w:r w:rsidRPr="00E927CD">
        <w:rPr>
          <w:i/>
        </w:rPr>
        <w:t xml:space="preserve"> </w:t>
      </w:r>
      <w:r>
        <w:t>Mayo Clinic Proceedings. 2011; 86(4):304-314.</w:t>
      </w:r>
      <w:bookmarkEnd w:id="12"/>
    </w:p>
    <w:p w:rsidR="00E927CD" w:rsidRDefault="00E927CD" w:rsidP="00E927CD">
      <w:pPr>
        <w:spacing w:line="480" w:lineRule="auto"/>
        <w:ind w:left="1080"/>
      </w:pPr>
      <w:bookmarkStart w:id="13" w:name="_Ref421700133"/>
      <w:bookmarkStart w:id="14" w:name="_Ref421812544"/>
      <w:r>
        <w:lastRenderedPageBreak/>
        <w:t>Cerveny P, Bortlik M, Kubena A, et al. Nonadherence in Inflammatory Bowel Disease: Results of Factor Analysis. Inflammatory Bowel Diseases. 2007</w:t>
      </w:r>
      <w:bookmarkEnd w:id="13"/>
      <w:r>
        <w:t>; 13(10): 1244-1249.</w:t>
      </w:r>
      <w:bookmarkEnd w:id="14"/>
    </w:p>
    <w:p w:rsidR="00E927CD" w:rsidRDefault="00E927CD" w:rsidP="00E927CD">
      <w:pPr>
        <w:spacing w:line="480" w:lineRule="auto"/>
        <w:ind w:left="1080"/>
      </w:pPr>
      <w:bookmarkStart w:id="15" w:name="_Ref421700301"/>
      <w:bookmarkStart w:id="16" w:name="_Ref421816701"/>
      <w:r>
        <w:t>Chummun H, &amp; Boland D, How Patient Beliefs Affect Adherence to Prescribed Medication Regimens. British Journal of Nursing. 2013</w:t>
      </w:r>
      <w:bookmarkEnd w:id="15"/>
      <w:r>
        <w:t>; 22(5): 270-6.</w:t>
      </w:r>
      <w:bookmarkEnd w:id="16"/>
    </w:p>
    <w:p w:rsidR="00E927CD" w:rsidRDefault="00E927CD" w:rsidP="00E927CD">
      <w:pPr>
        <w:spacing w:line="480" w:lineRule="auto"/>
        <w:ind w:left="1080"/>
      </w:pPr>
      <w:bookmarkStart w:id="17" w:name="_Ref419465651"/>
      <w:r>
        <w:t>CINAHL [database online]</w:t>
      </w:r>
      <w:bookmarkEnd w:id="17"/>
      <w:r>
        <w:t xml:space="preserve"> EBSCO, 2015.   </w:t>
      </w:r>
    </w:p>
    <w:p w:rsidR="00E927CD" w:rsidRDefault="00E927CD" w:rsidP="00E927CD">
      <w:pPr>
        <w:spacing w:line="480" w:lineRule="auto"/>
        <w:ind w:left="1080"/>
      </w:pPr>
      <w:bookmarkStart w:id="18" w:name="_Ref419464528"/>
      <w:bookmarkStart w:id="19" w:name="_Ref421697701"/>
      <w:r>
        <w:t>Cook</w:t>
      </w:r>
      <w:bookmarkEnd w:id="18"/>
      <w:r>
        <w:t xml:space="preserve"> P, Emiliozzi S, El-Hajj D, </w:t>
      </w:r>
      <w:r w:rsidRPr="00F47BC3">
        <w:t>Telephone Nurse Counselling for Medication Adherence in Ulcerative Colitis: A Preliminary Study.</w:t>
      </w:r>
      <w:r>
        <w:t xml:space="preserve"> Patient Education and Counselling. 2010; 81:182-186.</w:t>
      </w:r>
      <w:bookmarkEnd w:id="19"/>
    </w:p>
    <w:p w:rsidR="00E927CD" w:rsidRDefault="00E927CD" w:rsidP="00E927CD">
      <w:pPr>
        <w:spacing w:line="480" w:lineRule="auto"/>
        <w:ind w:left="1080"/>
      </w:pPr>
      <w:bookmarkStart w:id="20" w:name="_Ref421811770"/>
      <w:r>
        <w:t>D’Inca R, Bertomoro P, Mazzocco K, et al. Risk Factors for Non-adherence to Medication in Inflammatory Bowel Disease Patients. Alimentary Pharmacology and Therapeutics. 2008; 27:166-172</w:t>
      </w:r>
      <w:bookmarkEnd w:id="20"/>
    </w:p>
    <w:p w:rsidR="00E927CD" w:rsidRDefault="00E927CD" w:rsidP="00E927CD">
      <w:pPr>
        <w:spacing w:line="480" w:lineRule="auto"/>
        <w:ind w:left="1080"/>
      </w:pPr>
      <w:bookmarkStart w:id="21" w:name="_Ref419472932"/>
      <w:bookmarkStart w:id="22" w:name="_Ref421697802"/>
      <w:r>
        <w:t>Daley D, Myint P, Gray R, et al</w:t>
      </w:r>
      <w:bookmarkEnd w:id="21"/>
      <w:r>
        <w:t xml:space="preserve">. </w:t>
      </w:r>
      <w:r w:rsidRPr="00F47BC3">
        <w:t>Systematic Review on Factors Associated with Medication Non-Adherence in Parkinson’s Disease.</w:t>
      </w:r>
      <w:r>
        <w:t xml:space="preserve"> Parkinsonism and Related Disorders. 2012; 1-9.</w:t>
      </w:r>
      <w:bookmarkEnd w:id="22"/>
      <w:r>
        <w:t xml:space="preserve"> </w:t>
      </w:r>
    </w:p>
    <w:p w:rsidR="00E927CD" w:rsidRDefault="00E927CD" w:rsidP="00E927CD">
      <w:pPr>
        <w:spacing w:line="480" w:lineRule="auto"/>
        <w:ind w:left="1080"/>
      </w:pPr>
      <w:bookmarkStart w:id="23" w:name="_Ref421698108"/>
      <w:r>
        <w:t xml:space="preserve">Dewulf D, Monteiro R, Passos A, et al. </w:t>
      </w:r>
      <w:r w:rsidRPr="008C1515">
        <w:t>Compliance to Drug Therapy in Inflammatory B</w:t>
      </w:r>
      <w:r>
        <w:t>owel Diseases Outpatients from a</w:t>
      </w:r>
      <w:r w:rsidRPr="008C1515">
        <w:t xml:space="preserve"> University Hospital.</w:t>
      </w:r>
      <w:r>
        <w:t xml:space="preserve"> Arquivos de Gastroenterologia. 2007; 44:289-96</w:t>
      </w:r>
      <w:bookmarkEnd w:id="23"/>
    </w:p>
    <w:p w:rsidR="00E927CD" w:rsidRDefault="00E927CD" w:rsidP="00E927CD">
      <w:pPr>
        <w:spacing w:line="480" w:lineRule="auto"/>
        <w:ind w:left="1080"/>
      </w:pPr>
      <w:bookmarkStart w:id="24" w:name="_Ref421698385"/>
      <w:bookmarkStart w:id="25" w:name="_Ref421811762"/>
      <w:bookmarkStart w:id="26" w:name="_Ref421698369"/>
      <w:r>
        <w:t>Ediger J, Walker J, Graff L, et al</w:t>
      </w:r>
      <w:bookmarkEnd w:id="24"/>
      <w:r>
        <w:t>. Predictors of Medication Adherence in Inflammatory Bowel Disease. American Journal of Gastroenterology. 2007; 102(7):1417-1426.</w:t>
      </w:r>
      <w:bookmarkEnd w:id="25"/>
    </w:p>
    <w:p w:rsidR="00E927CD" w:rsidRDefault="00E927CD" w:rsidP="00E927CD">
      <w:pPr>
        <w:spacing w:line="480" w:lineRule="auto"/>
        <w:ind w:left="1080"/>
      </w:pPr>
      <w:bookmarkStart w:id="27" w:name="_Ref419465624"/>
      <w:bookmarkStart w:id="28" w:name="_Ref419475027"/>
      <w:bookmarkEnd w:id="26"/>
      <w:r>
        <w:lastRenderedPageBreak/>
        <w:t>Embase [database online]</w:t>
      </w:r>
      <w:bookmarkEnd w:id="27"/>
      <w:r>
        <w:t xml:space="preserve"> Elsevier, 2015.</w:t>
      </w:r>
    </w:p>
    <w:p w:rsidR="00E927CD" w:rsidRPr="00A24204" w:rsidRDefault="00E927CD" w:rsidP="00E927CD">
      <w:pPr>
        <w:spacing w:line="480" w:lineRule="auto"/>
        <w:ind w:left="1080"/>
      </w:pPr>
      <w:bookmarkStart w:id="29" w:name="_Ref421697623"/>
      <w:r>
        <w:t xml:space="preserve">Feagan B, &amp; MacDonald J, </w:t>
      </w:r>
      <w:r w:rsidRPr="00F47BC3">
        <w:t xml:space="preserve">Oral 5‐aminosalicylic acid for maintenance of remission in ulcerative colitis. </w:t>
      </w:r>
      <w:r w:rsidRPr="00E927CD">
        <w:rPr>
          <w:rStyle w:val="Emphasis"/>
          <w:i w:val="0"/>
        </w:rPr>
        <w:t>Cochrane Database of Systematic Reviews.</w:t>
      </w:r>
      <w:r>
        <w:t xml:space="preserve"> 2012; Issue 10, Art No:CD000544.</w:t>
      </w:r>
      <w:bookmarkEnd w:id="29"/>
      <w:r w:rsidRPr="00E927CD">
        <w:rPr>
          <w:i/>
        </w:rPr>
        <w:t xml:space="preserve"> </w:t>
      </w:r>
      <w:r w:rsidRPr="00A24204">
        <w:t xml:space="preserve">  </w:t>
      </w:r>
    </w:p>
    <w:p w:rsidR="00E927CD" w:rsidRDefault="00E927CD" w:rsidP="00E927CD">
      <w:pPr>
        <w:spacing w:line="480" w:lineRule="auto"/>
        <w:ind w:left="1080"/>
      </w:pPr>
      <w:bookmarkStart w:id="30" w:name="_Ref421697817"/>
      <w:bookmarkStart w:id="31" w:name="_Ref419798608"/>
      <w:r>
        <w:t xml:space="preserve">Garber M, Nau D, Erickson S, et al. </w:t>
      </w:r>
      <w:r w:rsidRPr="00F47BC3">
        <w:t>The Concordance of Self-report With Other Measures of Medication Adherence: A Summary of the Literature.</w:t>
      </w:r>
      <w:r>
        <w:t xml:space="preserve"> </w:t>
      </w:r>
      <w:r>
        <w:rPr>
          <w:rStyle w:val="ref-journal"/>
        </w:rPr>
        <w:t>Medical Care. 2004;</w:t>
      </w:r>
      <w:r>
        <w:t xml:space="preserve"> </w:t>
      </w:r>
      <w:r>
        <w:rPr>
          <w:rStyle w:val="ref-vol"/>
        </w:rPr>
        <w:t>42</w:t>
      </w:r>
      <w:r>
        <w:t>(7):649–652</w:t>
      </w:r>
      <w:bookmarkEnd w:id="30"/>
      <w:r>
        <w:t xml:space="preserve"> </w:t>
      </w:r>
      <w:bookmarkEnd w:id="31"/>
    </w:p>
    <w:p w:rsidR="00E927CD" w:rsidRDefault="00E927CD" w:rsidP="00E927CD">
      <w:pPr>
        <w:spacing w:line="480" w:lineRule="auto"/>
        <w:ind w:left="1080"/>
      </w:pPr>
      <w:bookmarkStart w:id="32" w:name="_Ref419464524"/>
      <w:bookmarkStart w:id="33" w:name="_Ref421697692"/>
      <w:r>
        <w:t>Horne</w:t>
      </w:r>
      <w:bookmarkEnd w:id="32"/>
      <w:r>
        <w:t xml:space="preserve"> R, Parham R, Driscoll R, et al. </w:t>
      </w:r>
      <w:r w:rsidRPr="00F47BC3">
        <w:t>Patients’ Attitudes to Medicines and Adherence to Maintenance Treatment in Inflammatory Bowel Disease.</w:t>
      </w:r>
      <w:r w:rsidRPr="00E927CD">
        <w:rPr>
          <w:i/>
        </w:rPr>
        <w:t xml:space="preserve"> </w:t>
      </w:r>
      <w:r>
        <w:t>Inflammatory Bowel Diseases. 2009; 15:837-844.</w:t>
      </w:r>
      <w:bookmarkEnd w:id="33"/>
    </w:p>
    <w:p w:rsidR="00E927CD" w:rsidRDefault="00E927CD" w:rsidP="00E927CD">
      <w:pPr>
        <w:spacing w:line="480" w:lineRule="auto"/>
        <w:ind w:left="1080"/>
      </w:pPr>
      <w:bookmarkStart w:id="34" w:name="_Ref421700188"/>
      <w:bookmarkStart w:id="35" w:name="_Ref421812624"/>
      <w:r>
        <w:t xml:space="preserve">IBD Standards Group. Standards for the Healthcare of People who have Inflammatory Bowel Disease. Brighton: </w:t>
      </w:r>
      <w:bookmarkEnd w:id="34"/>
      <w:r>
        <w:t>Oyster Healthcare Communications; Brighton; 2013.</w:t>
      </w:r>
      <w:bookmarkEnd w:id="35"/>
    </w:p>
    <w:p w:rsidR="00E927CD" w:rsidRDefault="00E927CD" w:rsidP="00E927CD">
      <w:pPr>
        <w:spacing w:line="480" w:lineRule="auto"/>
        <w:ind w:left="1080"/>
      </w:pPr>
      <w:bookmarkStart w:id="36" w:name="_Ref419464389"/>
      <w:bookmarkStart w:id="37" w:name="_Ref421697651"/>
      <w:r>
        <w:t>Jackson A, Clatworthy J, Robinson A, et al</w:t>
      </w:r>
      <w:bookmarkEnd w:id="36"/>
      <w:r>
        <w:t>.</w:t>
      </w:r>
      <w:r w:rsidRPr="00F47BC3">
        <w:t xml:space="preserve"> Factors Associated with Non-Adherence to Oral Medication for Inflammatory Bowel Disease: A Systematic Review</w:t>
      </w:r>
      <w:r w:rsidRPr="00E927CD">
        <w:rPr>
          <w:i/>
        </w:rPr>
        <w:t>.</w:t>
      </w:r>
      <w:r>
        <w:t xml:space="preserve"> The American Journal of Gastroenterology. 2010; 105:525-538.</w:t>
      </w:r>
      <w:bookmarkEnd w:id="37"/>
    </w:p>
    <w:p w:rsidR="00E927CD" w:rsidRDefault="00E927CD" w:rsidP="00E927CD">
      <w:pPr>
        <w:spacing w:line="480" w:lineRule="auto"/>
        <w:ind w:left="1080"/>
      </w:pPr>
      <w:bookmarkStart w:id="38" w:name="_Ref421700329"/>
      <w:bookmarkStart w:id="39" w:name="_Ref421816727"/>
      <w:r>
        <w:t xml:space="preserve">Kane S, Cohen R, Aikens J, et al. </w:t>
      </w:r>
      <w:r w:rsidRPr="001E2A8E">
        <w:t>Prevalence of Nonadherence with Maintenance Mesalamine in Quiescent Ulcerative Colitis</w:t>
      </w:r>
      <w:r w:rsidRPr="00E927CD">
        <w:rPr>
          <w:i/>
        </w:rPr>
        <w:t>.</w:t>
      </w:r>
      <w:bookmarkEnd w:id="38"/>
      <w:r>
        <w:t xml:space="preserve"> The American Journal of Gastroenterology. 2001; 96(10): 2929-2933.</w:t>
      </w:r>
      <w:bookmarkEnd w:id="39"/>
    </w:p>
    <w:p w:rsidR="00E927CD" w:rsidRDefault="00E927CD" w:rsidP="00E927CD">
      <w:pPr>
        <w:spacing w:line="480" w:lineRule="auto"/>
        <w:ind w:left="1080"/>
      </w:pPr>
      <w:bookmarkStart w:id="40" w:name="_Ref421698118"/>
      <w:r>
        <w:lastRenderedPageBreak/>
        <w:t xml:space="preserve">Karbach U, Degen I, Ewe K, </w:t>
      </w:r>
      <w:r w:rsidRPr="008C1515">
        <w:t>Extent of Drug Complince in Crohn Disease Patients – A Study of a Special Ambulatory Care Unit of a University Clinic.</w:t>
      </w:r>
      <w:r>
        <w:t xml:space="preserve"> Z Gastroenterol. 1984; 22:573-9.</w:t>
      </w:r>
      <w:bookmarkEnd w:id="40"/>
    </w:p>
    <w:p w:rsidR="00E927CD" w:rsidRDefault="00E927CD" w:rsidP="00E927CD">
      <w:pPr>
        <w:spacing w:line="480" w:lineRule="auto"/>
        <w:ind w:left="1080"/>
      </w:pPr>
      <w:bookmarkStart w:id="41" w:name="_Ref421698467"/>
      <w:r>
        <w:t xml:space="preserve">La Fleur J, and Oderda G, </w:t>
      </w:r>
      <w:r w:rsidRPr="004A5524">
        <w:t xml:space="preserve">Methods to measure patient compliance with medication regimens. </w:t>
      </w:r>
      <w:r>
        <w:rPr>
          <w:rStyle w:val="ref-journal"/>
        </w:rPr>
        <w:t xml:space="preserve">Journal of Pain and Palliative Care Pharmacotherapy. 2004; </w:t>
      </w:r>
      <w:r>
        <w:rPr>
          <w:rStyle w:val="ref-vol"/>
        </w:rPr>
        <w:t>18</w:t>
      </w:r>
      <w:r>
        <w:t>(3):81–87</w:t>
      </w:r>
      <w:bookmarkEnd w:id="41"/>
    </w:p>
    <w:p w:rsidR="00E927CD" w:rsidRDefault="00E927CD" w:rsidP="00E927CD">
      <w:pPr>
        <w:spacing w:line="480" w:lineRule="auto"/>
        <w:ind w:left="1080"/>
      </w:pPr>
      <w:bookmarkStart w:id="42" w:name="_Ref421700026"/>
      <w:bookmarkStart w:id="43" w:name="_Ref421812381"/>
      <w:r>
        <w:t>Liu H, Golin C, Miller L, et al. A Comparison Study of Multiple Measures of Adherence to HIV Protease Inhibitors. Annals of Internal Medicine. 2001</w:t>
      </w:r>
      <w:bookmarkEnd w:id="42"/>
      <w:r>
        <w:t>; 134(10): 968-77.</w:t>
      </w:r>
      <w:bookmarkEnd w:id="43"/>
    </w:p>
    <w:p w:rsidR="00E927CD" w:rsidRDefault="00E927CD" w:rsidP="00E927CD">
      <w:pPr>
        <w:spacing w:line="480" w:lineRule="auto"/>
        <w:ind w:left="1080"/>
      </w:pPr>
      <w:bookmarkStart w:id="44" w:name="_Ref421700337"/>
      <w:bookmarkStart w:id="45" w:name="_Ref421816781"/>
      <w:r>
        <w:t>Lopez San Roman</w:t>
      </w:r>
      <w:bookmarkEnd w:id="44"/>
      <w:r>
        <w:t xml:space="preserve"> A, Bermejo F, Carrera E, et al. Adherence to Treatment in Inflammatory Bowel Disease. Revista Espanola De Enfermedades Digestivas. 2005; 97(4): 249-257.</w:t>
      </w:r>
      <w:bookmarkEnd w:id="45"/>
    </w:p>
    <w:p w:rsidR="00E927CD" w:rsidRDefault="00E927CD" w:rsidP="00E927CD">
      <w:pPr>
        <w:spacing w:line="480" w:lineRule="auto"/>
        <w:ind w:left="1080"/>
        <w:rPr>
          <w:rStyle w:val="cit"/>
        </w:rPr>
      </w:pPr>
      <w:bookmarkStart w:id="46" w:name="_Ref421698444"/>
      <w:r>
        <w:t xml:space="preserve">McMahon J, Jordan M, Kelley, et al. </w:t>
      </w:r>
      <w:r w:rsidRPr="00EB647A">
        <w:t>Pharmacy Adherence Measures to Assess Adherence to Antiretroviral Therapy: Review of the Literature and Implications for Treatment Monitoring</w:t>
      </w:r>
      <w:r>
        <w:t xml:space="preserve">. </w:t>
      </w:r>
      <w:r>
        <w:rPr>
          <w:rStyle w:val="cit"/>
        </w:rPr>
        <w:t>Clinical Infectious Diseases. 2011; 52(4): 493–506.</w:t>
      </w:r>
      <w:bookmarkEnd w:id="46"/>
      <w:r>
        <w:rPr>
          <w:rStyle w:val="cit"/>
        </w:rPr>
        <w:t xml:space="preserve"> </w:t>
      </w:r>
    </w:p>
    <w:p w:rsidR="00E927CD" w:rsidRDefault="00E927CD" w:rsidP="00E927CD">
      <w:pPr>
        <w:spacing w:line="480" w:lineRule="auto"/>
        <w:ind w:left="1080"/>
      </w:pPr>
      <w:bookmarkStart w:id="47" w:name="_Ref419465629"/>
      <w:r>
        <w:t>Medline [database online]</w:t>
      </w:r>
      <w:bookmarkEnd w:id="47"/>
      <w:r>
        <w:t xml:space="preserve"> EBSCO, 2015.</w:t>
      </w:r>
    </w:p>
    <w:p w:rsidR="00E927CD" w:rsidRDefault="00E927CD" w:rsidP="00E927CD">
      <w:pPr>
        <w:spacing w:line="480" w:lineRule="auto"/>
        <w:ind w:left="1080"/>
      </w:pPr>
      <w:bookmarkStart w:id="48" w:name="_Ref422322612"/>
      <w:bookmarkEnd w:id="28"/>
      <w:r>
        <w:t>Menckenberg T, Bouvy M, Bracke M, et al Beliefs About Medicines Predict Refill Adherence to Inhaled Corticosteroids. Journal of Psychosomatic Research. 2008; 64(1):47-54</w:t>
      </w:r>
      <w:bookmarkEnd w:id="48"/>
    </w:p>
    <w:p w:rsidR="00E927CD" w:rsidRDefault="00E927CD" w:rsidP="00E927CD">
      <w:pPr>
        <w:spacing w:line="480" w:lineRule="auto"/>
        <w:ind w:left="1080"/>
      </w:pPr>
      <w:bookmarkStart w:id="49" w:name="_Ref421698316"/>
      <w:bookmarkStart w:id="50" w:name="_Ref421812428"/>
      <w:r>
        <w:t>Moshkovska</w:t>
      </w:r>
      <w:bookmarkEnd w:id="49"/>
      <w:r>
        <w:t xml:space="preserve"> T, Stone M, Clatworthy J, et al.  </w:t>
      </w:r>
      <w:r w:rsidRPr="004A5524">
        <w:t xml:space="preserve">An Investigation of Medication Adherence to 5-aminosalicylic Acid Therapy in Patients with Ulcerative Colitis, </w:t>
      </w:r>
      <w:r w:rsidRPr="004A5524">
        <w:lastRenderedPageBreak/>
        <w:t>Using Self-report and Urinary Drug Excretion Measurements.</w:t>
      </w:r>
      <w:r>
        <w:t xml:space="preserve"> Alimentary Pharmacology and Therapeutics. 2009; 30:1118-1127.</w:t>
      </w:r>
      <w:bookmarkEnd w:id="50"/>
      <w:r>
        <w:t xml:space="preserve"> </w:t>
      </w:r>
    </w:p>
    <w:p w:rsidR="00E927CD" w:rsidRDefault="00E927CD" w:rsidP="00E927CD">
      <w:pPr>
        <w:spacing w:line="480" w:lineRule="auto"/>
        <w:ind w:left="1080"/>
      </w:pPr>
      <w:bookmarkStart w:id="51" w:name="_Ref421698245"/>
      <w:bookmarkStart w:id="52" w:name="_Ref423971312"/>
      <w:r>
        <w:t xml:space="preserve">Nahon. S, Lahmek. P, Saas. C, et al.  </w:t>
      </w:r>
      <w:r w:rsidRPr="008C1515">
        <w:t>Socioeconomic and Psychological Factors Associated with Nonadherence to Treatment in Inflammatory Bowel Disease Patients: Results of the ISSEO Survey.</w:t>
      </w:r>
      <w:bookmarkEnd w:id="51"/>
      <w:r w:rsidRPr="008C1515">
        <w:t xml:space="preserve"> </w:t>
      </w:r>
      <w:r>
        <w:t>Inflammatory Bowel Diseases. 2011; 17(6):1270-1276.</w:t>
      </w:r>
      <w:bookmarkEnd w:id="52"/>
    </w:p>
    <w:p w:rsidR="00E927CD" w:rsidRPr="00731664" w:rsidRDefault="00E927CD" w:rsidP="00E927CD">
      <w:pPr>
        <w:spacing w:line="480" w:lineRule="auto"/>
        <w:ind w:left="1080"/>
      </w:pPr>
      <w:bookmarkStart w:id="53" w:name="_Ref419463996"/>
      <w:r w:rsidRPr="00731664">
        <w:t>N</w:t>
      </w:r>
      <w:r>
        <w:t>ational Institute for Health &amp; Care Excellence.</w:t>
      </w:r>
      <w:r w:rsidRPr="00731664">
        <w:t xml:space="preserve"> </w:t>
      </w:r>
      <w:r w:rsidRPr="00397FCE">
        <w:t>Crohn’s Disease: Management in Adults, Children and Young People</w:t>
      </w:r>
      <w:r>
        <w:t xml:space="preserve"> [CG152]</w:t>
      </w:r>
      <w:bookmarkEnd w:id="53"/>
      <w:r>
        <w:t>. London: NICE; 2012</w:t>
      </w:r>
    </w:p>
    <w:p w:rsidR="00E927CD" w:rsidRPr="00731664" w:rsidRDefault="00E927CD" w:rsidP="00E927CD">
      <w:pPr>
        <w:spacing w:line="480" w:lineRule="auto"/>
        <w:ind w:left="1080"/>
      </w:pPr>
      <w:bookmarkStart w:id="54" w:name="_Ref419464313"/>
      <w:r w:rsidRPr="00731664">
        <w:t>N</w:t>
      </w:r>
      <w:r>
        <w:t>ational Institute for Health &amp; Care Excellence.</w:t>
      </w:r>
      <w:r w:rsidRPr="00731664">
        <w:t xml:space="preserve"> </w:t>
      </w:r>
      <w:r>
        <w:t>Medicines Adherence [</w:t>
      </w:r>
      <w:r w:rsidRPr="00731664">
        <w:t>CG76</w:t>
      </w:r>
      <w:r>
        <w:t>]</w:t>
      </w:r>
      <w:r w:rsidRPr="00731664">
        <w:t>.</w:t>
      </w:r>
      <w:bookmarkEnd w:id="54"/>
      <w:r>
        <w:t xml:space="preserve"> London: NICE; 2009</w:t>
      </w:r>
    </w:p>
    <w:p w:rsidR="00E927CD" w:rsidRDefault="00E927CD" w:rsidP="00E927CD">
      <w:pPr>
        <w:spacing w:line="480" w:lineRule="auto"/>
        <w:ind w:left="1080"/>
      </w:pPr>
      <w:bookmarkStart w:id="55" w:name="_Ref419464165"/>
      <w:r w:rsidRPr="00731664">
        <w:t>N</w:t>
      </w:r>
      <w:r>
        <w:t>ational Institute for Health &amp; Care Excellence.</w:t>
      </w:r>
      <w:r w:rsidRPr="00731664">
        <w:t xml:space="preserve"> </w:t>
      </w:r>
      <w:r w:rsidRPr="00397FCE">
        <w:t>Ulcerative Colitis: Management in Adults, Children and Young People</w:t>
      </w:r>
      <w:r>
        <w:t xml:space="preserve"> [CG</w:t>
      </w:r>
      <w:r w:rsidRPr="00731664">
        <w:t>166</w:t>
      </w:r>
      <w:r>
        <w:t>]</w:t>
      </w:r>
      <w:r w:rsidRPr="00731664">
        <w:t>.</w:t>
      </w:r>
      <w:bookmarkEnd w:id="55"/>
      <w:r w:rsidRPr="00731664">
        <w:t xml:space="preserve"> </w:t>
      </w:r>
      <w:r>
        <w:t>London: NICE; 2013.</w:t>
      </w:r>
    </w:p>
    <w:p w:rsidR="00E927CD" w:rsidRDefault="00E927CD" w:rsidP="00E927CD">
      <w:pPr>
        <w:spacing w:line="480" w:lineRule="auto"/>
        <w:ind w:left="1080"/>
      </w:pPr>
      <w:bookmarkStart w:id="56" w:name="_Ref421698451"/>
      <w:r>
        <w:t xml:space="preserve">Nguyen T, Caze A, Cottrell N, </w:t>
      </w:r>
      <w:r w:rsidRPr="004A5524">
        <w:t xml:space="preserve">What Are Validated Self-Report Adherence Scales Really Measuring?  </w:t>
      </w:r>
      <w:r>
        <w:t>British Journal of Clinical Pharmacology. 2013; 77(3):427-445.</w:t>
      </w:r>
      <w:bookmarkEnd w:id="56"/>
    </w:p>
    <w:p w:rsidR="00E927CD" w:rsidRDefault="00E927CD" w:rsidP="00E927CD">
      <w:pPr>
        <w:spacing w:line="480" w:lineRule="auto"/>
        <w:ind w:left="1080"/>
      </w:pPr>
      <w:bookmarkStart w:id="57" w:name="_Ref421697597"/>
      <w:r w:rsidRPr="00E927CD">
        <w:rPr>
          <w:rStyle w:val="pop-slug"/>
          <w:rFonts w:cs="Arial"/>
          <w:bdr w:val="none" w:sz="0" w:space="0" w:color="auto" w:frame="1"/>
        </w:rPr>
        <w:t>Prefontaine E, Sutherland L, MacDonald J, et al. Azathioprine or 6-mercaptopurine for Maintenance of Remission in Crohn’s Disease</w:t>
      </w:r>
      <w:r w:rsidRPr="00E927CD">
        <w:rPr>
          <w:rStyle w:val="pop-slug"/>
          <w:rFonts w:cs="Arial"/>
          <w:i/>
          <w:bdr w:val="none" w:sz="0" w:space="0" w:color="auto" w:frame="1"/>
        </w:rPr>
        <w:t xml:space="preserve">. </w:t>
      </w:r>
      <w:r w:rsidRPr="00E927CD">
        <w:rPr>
          <w:rStyle w:val="pop-slug"/>
          <w:rFonts w:cs="Arial"/>
          <w:bdr w:val="none" w:sz="0" w:space="0" w:color="auto" w:frame="1"/>
        </w:rPr>
        <w:t>Cochrane Database of Systematic Reviews. 2009, Issue 1.</w:t>
      </w:r>
      <w:bookmarkEnd w:id="57"/>
      <w:r w:rsidRPr="00E927CD">
        <w:rPr>
          <w:rStyle w:val="pop-slug"/>
          <w:rFonts w:cs="Arial"/>
          <w:bdr w:val="none" w:sz="0" w:space="0" w:color="auto" w:frame="1"/>
        </w:rPr>
        <w:t xml:space="preserve"> Art No:</w:t>
      </w:r>
      <w:r w:rsidRPr="00FC0C9E">
        <w:t xml:space="preserve"> </w:t>
      </w:r>
      <w:r>
        <w:t>CD000067</w:t>
      </w:r>
    </w:p>
    <w:p w:rsidR="00E927CD" w:rsidRDefault="00E927CD" w:rsidP="00E927CD">
      <w:pPr>
        <w:spacing w:line="480" w:lineRule="auto"/>
        <w:ind w:left="1080"/>
      </w:pPr>
      <w:bookmarkStart w:id="58" w:name="_Ref419465668"/>
      <w:r>
        <w:t>PsycINFO [database online]</w:t>
      </w:r>
      <w:bookmarkEnd w:id="58"/>
      <w:r>
        <w:t xml:space="preserve"> EBSCO, 2015.</w:t>
      </w:r>
    </w:p>
    <w:p w:rsidR="00E927CD" w:rsidRDefault="00E927CD" w:rsidP="00E927CD">
      <w:pPr>
        <w:spacing w:line="480" w:lineRule="auto"/>
        <w:ind w:left="1080"/>
      </w:pPr>
      <w:bookmarkStart w:id="59" w:name="_Ref421700199"/>
      <w:bookmarkStart w:id="60" w:name="_Ref421812633"/>
      <w:r>
        <w:t xml:space="preserve">Royal College of Nursing. </w:t>
      </w:r>
      <w:r w:rsidRPr="007F13D8">
        <w:t>Role Descriptives for Inflammatory B</w:t>
      </w:r>
      <w:r>
        <w:t>owel Disease Nurse Specialists. London: RCN Gastroenterology &amp; Stoma Care Forum Steering Group; 2007</w:t>
      </w:r>
      <w:bookmarkEnd w:id="59"/>
      <w:r>
        <w:t>.</w:t>
      </w:r>
      <w:bookmarkEnd w:id="60"/>
    </w:p>
    <w:p w:rsidR="00E927CD" w:rsidRDefault="00E927CD" w:rsidP="00E927CD">
      <w:pPr>
        <w:spacing w:line="480" w:lineRule="auto"/>
        <w:ind w:left="1080"/>
      </w:pPr>
      <w:bookmarkStart w:id="61" w:name="_Ref419464339"/>
      <w:bookmarkStart w:id="62" w:name="_Ref419464440"/>
      <w:r>
        <w:lastRenderedPageBreak/>
        <w:t>Sabate, E. (ed) Adherence to Long Term Therapies: Evidence for Action. Geneva: World Health O</w:t>
      </w:r>
      <w:bookmarkEnd w:id="61"/>
      <w:r>
        <w:t>rganisation; 2003.</w:t>
      </w:r>
    </w:p>
    <w:p w:rsidR="00E927CD" w:rsidRPr="0031576C" w:rsidRDefault="00E927CD" w:rsidP="00E927CD">
      <w:pPr>
        <w:spacing w:line="480" w:lineRule="auto"/>
        <w:ind w:left="1080"/>
      </w:pPr>
      <w:bookmarkStart w:id="63" w:name="_Ref421700403"/>
      <w:bookmarkEnd w:id="62"/>
      <w:r w:rsidRPr="00731664">
        <w:t>S</w:t>
      </w:r>
      <w:r>
        <w:t>chreiber S, Panes J, Louis E,</w:t>
      </w:r>
      <w:r w:rsidRPr="00731664">
        <w:t xml:space="preserve"> </w:t>
      </w:r>
      <w:r>
        <w:t>et al.</w:t>
      </w:r>
      <w:r w:rsidRPr="007512AC">
        <w:t xml:space="preserve"> National Differences in Ulcerative Colitis Experience and Management Among Patients from Five European Countries and Canada: An online Survey</w:t>
      </w:r>
      <w:r>
        <w:t xml:space="preserve">. Journal of Crohn’s and Colitis. 2013; 7: </w:t>
      </w:r>
      <w:r w:rsidRPr="00731664">
        <w:t>497-509</w:t>
      </w:r>
      <w:bookmarkEnd w:id="63"/>
      <w:r w:rsidRPr="00E927CD">
        <w:rPr>
          <w:i/>
        </w:rPr>
        <w:t xml:space="preserve"> </w:t>
      </w:r>
    </w:p>
    <w:p w:rsidR="00E927CD" w:rsidRDefault="00E927CD" w:rsidP="00E927CD">
      <w:pPr>
        <w:spacing w:line="480" w:lineRule="auto"/>
        <w:ind w:left="1080"/>
      </w:pPr>
      <w:bookmarkStart w:id="64" w:name="_Ref421700147"/>
      <w:bookmarkStart w:id="65" w:name="_Ref421812555"/>
      <w:r>
        <w:t>Shale M, &amp; Riley S, Studies of Compliance with Delayed-release Mesalazine Therapy in Patients with Inflammatory Bowel Disease.</w:t>
      </w:r>
      <w:bookmarkEnd w:id="64"/>
      <w:r>
        <w:t xml:space="preserve"> Alimentary Pharmacology and Therapeutics. 2003; 18: 191-198.</w:t>
      </w:r>
      <w:bookmarkEnd w:id="65"/>
      <w:r>
        <w:t xml:space="preserve"> </w:t>
      </w:r>
    </w:p>
    <w:p w:rsidR="00E927CD" w:rsidRDefault="00E927CD" w:rsidP="00E927CD">
      <w:pPr>
        <w:spacing w:line="480" w:lineRule="auto"/>
        <w:ind w:left="1080"/>
      </w:pPr>
      <w:bookmarkStart w:id="66" w:name="_Ref421698306"/>
      <w:bookmarkStart w:id="67" w:name="_Ref422322620"/>
      <w:r>
        <w:t>Tibaldi G, Clatworthy J, Torchio E, et al. The Utility of the Necessity-Concerns Framework in Explaining Treatment Non-adherence in Four Chronic Illness Groups in Italy. Chronic Illness. 2009</w:t>
      </w:r>
      <w:bookmarkEnd w:id="66"/>
      <w:r>
        <w:t>: 5:129-133.</w:t>
      </w:r>
      <w:bookmarkEnd w:id="67"/>
      <w:r>
        <w:t xml:space="preserve"> </w:t>
      </w:r>
    </w:p>
    <w:p w:rsidR="00E927CD" w:rsidRDefault="00E927CD" w:rsidP="00E927CD">
      <w:pPr>
        <w:spacing w:line="480" w:lineRule="auto"/>
        <w:ind w:left="1080"/>
      </w:pPr>
      <w:bookmarkStart w:id="68" w:name="_Ref421698139"/>
      <w:r>
        <w:t xml:space="preserve">Viaziz N, Vlachogiannakos D, Georgiadis A, et al. </w:t>
      </w:r>
      <w:r w:rsidRPr="008C1515">
        <w:t xml:space="preserve">Azathioprine Use In Patients with Inflammatory Bowel Disease. Adherence to Treatment and Adverse Events. A Single Centre Experience. </w:t>
      </w:r>
      <w:r>
        <w:t>Annals of Gastroenterology. 2009; 22(3):173-177.</w:t>
      </w:r>
      <w:bookmarkEnd w:id="68"/>
    </w:p>
    <w:p w:rsidR="00E927CD" w:rsidRDefault="00E927CD" w:rsidP="00E927CD">
      <w:pPr>
        <w:spacing w:line="480" w:lineRule="auto"/>
        <w:ind w:left="1080"/>
      </w:pPr>
      <w:bookmarkStart w:id="69" w:name="_Ref419475030"/>
      <w:bookmarkStart w:id="70" w:name="_Ref421811800"/>
      <w:r>
        <w:t xml:space="preserve">Vitolins M, Rand C, Rapp S, et al. </w:t>
      </w:r>
      <w:r w:rsidRPr="00616DB6">
        <w:t>Measuring Adherence to Behavioural and Medical Interventions</w:t>
      </w:r>
      <w:r w:rsidRPr="00E927CD">
        <w:rPr>
          <w:i/>
        </w:rPr>
        <w:t xml:space="preserve">. </w:t>
      </w:r>
      <w:r w:rsidRPr="00616DB6">
        <w:t>Controlled Clinical Trials</w:t>
      </w:r>
      <w:r>
        <w:t>. 2000; 21(5)</w:t>
      </w:r>
      <w:r w:rsidRPr="00DE69AB">
        <w:t>S188–S194</w:t>
      </w:r>
      <w:bookmarkEnd w:id="69"/>
      <w:r>
        <w:t>.</w:t>
      </w:r>
      <w:bookmarkEnd w:id="70"/>
    </w:p>
    <w:p w:rsidR="00E927CD" w:rsidRPr="00AB2518" w:rsidRDefault="00E927CD" w:rsidP="00E927CD">
      <w:pPr>
        <w:spacing w:line="480" w:lineRule="auto"/>
        <w:ind w:left="1080"/>
      </w:pPr>
      <w:bookmarkStart w:id="71" w:name="_Ref421700344"/>
      <w:r>
        <w:t xml:space="preserve">Witte J, Shivananda S, Lennard-Jones J, et al. </w:t>
      </w:r>
      <w:r w:rsidRPr="00B52758">
        <w:t>Disease outcome in inflammatory bowel disease: mortality, morbidity and therapeutic management of a 796-person inception cohort in the European Collaborative Study on Inflammatory Bowel Disease (EC-IBD).</w:t>
      </w:r>
      <w:r>
        <w:t>Scandinavian Journal of Gastroenterology. 2000; 35(12):1272-7.</w:t>
      </w:r>
      <w:bookmarkEnd w:id="71"/>
    </w:p>
    <w:p w:rsidR="00371BDA" w:rsidRDefault="00371BDA" w:rsidP="003F5760">
      <w:pPr>
        <w:pStyle w:val="ListParagraph"/>
        <w:spacing w:line="480" w:lineRule="auto"/>
      </w:pPr>
    </w:p>
    <w:p w:rsidR="00126ABD" w:rsidRDefault="00126ABD" w:rsidP="003F5760">
      <w:pPr>
        <w:pStyle w:val="ListParagraph"/>
        <w:spacing w:line="480" w:lineRule="auto"/>
      </w:pPr>
    </w:p>
    <w:p w:rsidR="00E17745" w:rsidRPr="00F6701F" w:rsidRDefault="00E17745" w:rsidP="003F5760">
      <w:pPr>
        <w:pStyle w:val="ListParagraph"/>
        <w:spacing w:line="480" w:lineRule="auto"/>
      </w:pPr>
    </w:p>
    <w:sectPr w:rsidR="00E17745" w:rsidRPr="00F6701F" w:rsidSect="00E529D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6203" w:rsidRDefault="00396203" w:rsidP="00B13B73">
      <w:r>
        <w:separator/>
      </w:r>
    </w:p>
  </w:endnote>
  <w:endnote w:type="continuationSeparator" w:id="0">
    <w:p w:rsidR="00396203" w:rsidRDefault="00396203" w:rsidP="00B13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imesLTStd-Roman">
    <w:altName w:val="MS Mincho"/>
    <w:panose1 w:val="00000000000000000000"/>
    <w:charset w:val="80"/>
    <w:family w:val="roman"/>
    <w:notTrueType/>
    <w:pitch w:val="default"/>
    <w:sig w:usb0="00000003" w:usb1="08070000" w:usb2="00000010" w:usb3="00000000" w:csb0="00020001" w:csb1="00000000"/>
  </w:font>
  <w:font w:name="Cambria">
    <w:altName w:val="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vOTb92eb7df.I">
    <w:panose1 w:val="00000000000000000000"/>
    <w:charset w:val="00"/>
    <w:family w:val="roman"/>
    <w:notTrueType/>
    <w:pitch w:val="default"/>
    <w:sig w:usb0="00000003" w:usb1="00000000" w:usb2="00000000" w:usb3="00000000" w:csb0="00000001" w:csb1="00000000"/>
  </w:font>
  <w:font w:name="AdvOT863180fb">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35629"/>
      <w:docPartObj>
        <w:docPartGallery w:val="Page Numbers (Bottom of Page)"/>
        <w:docPartUnique/>
      </w:docPartObj>
    </w:sdtPr>
    <w:sdtEndPr/>
    <w:sdtContent>
      <w:p w:rsidR="00E60FAA" w:rsidRDefault="00396203" w:rsidP="00B13B73">
        <w:pPr>
          <w:pStyle w:val="Footer"/>
        </w:pPr>
        <w:r>
          <w:fldChar w:fldCharType="begin"/>
        </w:r>
        <w:r>
          <w:instrText xml:space="preserve"> PAGE </w:instrText>
        </w:r>
        <w:r>
          <w:instrText xml:space="preserve">  \* MERGEFORMAT </w:instrText>
        </w:r>
        <w:r>
          <w:fldChar w:fldCharType="separate"/>
        </w:r>
        <w:r w:rsidR="00A47871">
          <w:rPr>
            <w:noProof/>
          </w:rPr>
          <w:t>1</w:t>
        </w:r>
        <w:r>
          <w:rPr>
            <w:noProof/>
          </w:rPr>
          <w:fldChar w:fldCharType="end"/>
        </w:r>
      </w:p>
    </w:sdtContent>
  </w:sdt>
  <w:p w:rsidR="00E60FAA" w:rsidRDefault="00E60FAA" w:rsidP="00B13B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6203" w:rsidRDefault="00396203" w:rsidP="00B13B73">
      <w:r>
        <w:separator/>
      </w:r>
    </w:p>
  </w:footnote>
  <w:footnote w:type="continuationSeparator" w:id="0">
    <w:p w:rsidR="00396203" w:rsidRDefault="00396203" w:rsidP="00B13B73">
      <w:r>
        <w:continuationSeparator/>
      </w:r>
    </w:p>
  </w:footnote>
  <w:footnote w:id="1">
    <w:p w:rsidR="00E60FAA" w:rsidRDefault="00E60FAA" w:rsidP="00831E46">
      <w:pPr>
        <w:pStyle w:val="FootnoteText"/>
      </w:pPr>
      <w:r>
        <w:rPr>
          <w:rStyle w:val="FootnoteReference"/>
        </w:rPr>
        <w:footnoteRef/>
      </w:r>
      <w:r>
        <w:t xml:space="preserve"> Total numbers: this refers to the total number of participants in those studies finding a significant correlation and the total number of participants in those studies finding no such correlation (with the latter being in italics).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67FA3"/>
    <w:multiLevelType w:val="hybridMultilevel"/>
    <w:tmpl w:val="CEC4C8BE"/>
    <w:lvl w:ilvl="0" w:tplc="DD548412">
      <w:start w:val="1"/>
      <w:numFmt w:val="bullet"/>
      <w:lvlText w:val=""/>
      <w:lvlJc w:val="left"/>
      <w:pPr>
        <w:tabs>
          <w:tab w:val="num" w:pos="720"/>
        </w:tabs>
        <w:ind w:left="720" w:hanging="360"/>
      </w:pPr>
      <w:rPr>
        <w:rFonts w:ascii="Wingdings 3" w:hAnsi="Wingdings 3" w:hint="default"/>
      </w:rPr>
    </w:lvl>
    <w:lvl w:ilvl="1" w:tplc="44A262F8" w:tentative="1">
      <w:start w:val="1"/>
      <w:numFmt w:val="bullet"/>
      <w:lvlText w:val=""/>
      <w:lvlJc w:val="left"/>
      <w:pPr>
        <w:tabs>
          <w:tab w:val="num" w:pos="1440"/>
        </w:tabs>
        <w:ind w:left="1440" w:hanging="360"/>
      </w:pPr>
      <w:rPr>
        <w:rFonts w:ascii="Wingdings 3" w:hAnsi="Wingdings 3" w:hint="default"/>
      </w:rPr>
    </w:lvl>
    <w:lvl w:ilvl="2" w:tplc="34CE4D1E" w:tentative="1">
      <w:start w:val="1"/>
      <w:numFmt w:val="bullet"/>
      <w:lvlText w:val=""/>
      <w:lvlJc w:val="left"/>
      <w:pPr>
        <w:tabs>
          <w:tab w:val="num" w:pos="2160"/>
        </w:tabs>
        <w:ind w:left="2160" w:hanging="360"/>
      </w:pPr>
      <w:rPr>
        <w:rFonts w:ascii="Wingdings 3" w:hAnsi="Wingdings 3" w:hint="default"/>
      </w:rPr>
    </w:lvl>
    <w:lvl w:ilvl="3" w:tplc="FEB88792" w:tentative="1">
      <w:start w:val="1"/>
      <w:numFmt w:val="bullet"/>
      <w:lvlText w:val=""/>
      <w:lvlJc w:val="left"/>
      <w:pPr>
        <w:tabs>
          <w:tab w:val="num" w:pos="2880"/>
        </w:tabs>
        <w:ind w:left="2880" w:hanging="360"/>
      </w:pPr>
      <w:rPr>
        <w:rFonts w:ascii="Wingdings 3" w:hAnsi="Wingdings 3" w:hint="default"/>
      </w:rPr>
    </w:lvl>
    <w:lvl w:ilvl="4" w:tplc="8EBE8C4A" w:tentative="1">
      <w:start w:val="1"/>
      <w:numFmt w:val="bullet"/>
      <w:lvlText w:val=""/>
      <w:lvlJc w:val="left"/>
      <w:pPr>
        <w:tabs>
          <w:tab w:val="num" w:pos="3600"/>
        </w:tabs>
        <w:ind w:left="3600" w:hanging="360"/>
      </w:pPr>
      <w:rPr>
        <w:rFonts w:ascii="Wingdings 3" w:hAnsi="Wingdings 3" w:hint="default"/>
      </w:rPr>
    </w:lvl>
    <w:lvl w:ilvl="5" w:tplc="71F2ADC4" w:tentative="1">
      <w:start w:val="1"/>
      <w:numFmt w:val="bullet"/>
      <w:lvlText w:val=""/>
      <w:lvlJc w:val="left"/>
      <w:pPr>
        <w:tabs>
          <w:tab w:val="num" w:pos="4320"/>
        </w:tabs>
        <w:ind w:left="4320" w:hanging="360"/>
      </w:pPr>
      <w:rPr>
        <w:rFonts w:ascii="Wingdings 3" w:hAnsi="Wingdings 3" w:hint="default"/>
      </w:rPr>
    </w:lvl>
    <w:lvl w:ilvl="6" w:tplc="DB4CA364" w:tentative="1">
      <w:start w:val="1"/>
      <w:numFmt w:val="bullet"/>
      <w:lvlText w:val=""/>
      <w:lvlJc w:val="left"/>
      <w:pPr>
        <w:tabs>
          <w:tab w:val="num" w:pos="5040"/>
        </w:tabs>
        <w:ind w:left="5040" w:hanging="360"/>
      </w:pPr>
      <w:rPr>
        <w:rFonts w:ascii="Wingdings 3" w:hAnsi="Wingdings 3" w:hint="default"/>
      </w:rPr>
    </w:lvl>
    <w:lvl w:ilvl="7" w:tplc="B590C2BE" w:tentative="1">
      <w:start w:val="1"/>
      <w:numFmt w:val="bullet"/>
      <w:lvlText w:val=""/>
      <w:lvlJc w:val="left"/>
      <w:pPr>
        <w:tabs>
          <w:tab w:val="num" w:pos="5760"/>
        </w:tabs>
        <w:ind w:left="5760" w:hanging="360"/>
      </w:pPr>
      <w:rPr>
        <w:rFonts w:ascii="Wingdings 3" w:hAnsi="Wingdings 3" w:hint="default"/>
      </w:rPr>
    </w:lvl>
    <w:lvl w:ilvl="8" w:tplc="9F8E9324"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5596605"/>
    <w:multiLevelType w:val="multilevel"/>
    <w:tmpl w:val="1B62D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01270"/>
    <w:multiLevelType w:val="hybridMultilevel"/>
    <w:tmpl w:val="85569762"/>
    <w:lvl w:ilvl="0" w:tplc="207A2A28">
      <w:start w:val="19"/>
      <w:numFmt w:val="bullet"/>
      <w:lvlText w:val="-"/>
      <w:lvlJc w:val="left"/>
      <w:pPr>
        <w:ind w:left="360" w:hanging="360"/>
      </w:pPr>
      <w:rPr>
        <w:rFonts w:ascii="Calibri" w:eastAsia="Times New Roman" w:hAnsi="Calibri"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97D741A"/>
    <w:multiLevelType w:val="multilevel"/>
    <w:tmpl w:val="D3C25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897348"/>
    <w:multiLevelType w:val="hybridMultilevel"/>
    <w:tmpl w:val="A6C2109E"/>
    <w:lvl w:ilvl="0" w:tplc="BA26FB94">
      <w:start w:val="1"/>
      <w:numFmt w:val="bullet"/>
      <w:lvlText w:val=""/>
      <w:lvlJc w:val="left"/>
      <w:pPr>
        <w:tabs>
          <w:tab w:val="num" w:pos="720"/>
        </w:tabs>
        <w:ind w:left="720" w:hanging="360"/>
      </w:pPr>
      <w:rPr>
        <w:rFonts w:ascii="Wingdings 3" w:hAnsi="Wingdings 3" w:hint="default"/>
      </w:rPr>
    </w:lvl>
    <w:lvl w:ilvl="1" w:tplc="05D89BBC" w:tentative="1">
      <w:start w:val="1"/>
      <w:numFmt w:val="bullet"/>
      <w:lvlText w:val=""/>
      <w:lvlJc w:val="left"/>
      <w:pPr>
        <w:tabs>
          <w:tab w:val="num" w:pos="1440"/>
        </w:tabs>
        <w:ind w:left="1440" w:hanging="360"/>
      </w:pPr>
      <w:rPr>
        <w:rFonts w:ascii="Wingdings 3" w:hAnsi="Wingdings 3" w:hint="default"/>
      </w:rPr>
    </w:lvl>
    <w:lvl w:ilvl="2" w:tplc="14D802C8" w:tentative="1">
      <w:start w:val="1"/>
      <w:numFmt w:val="bullet"/>
      <w:lvlText w:val=""/>
      <w:lvlJc w:val="left"/>
      <w:pPr>
        <w:tabs>
          <w:tab w:val="num" w:pos="2160"/>
        </w:tabs>
        <w:ind w:left="2160" w:hanging="360"/>
      </w:pPr>
      <w:rPr>
        <w:rFonts w:ascii="Wingdings 3" w:hAnsi="Wingdings 3" w:hint="default"/>
      </w:rPr>
    </w:lvl>
    <w:lvl w:ilvl="3" w:tplc="1D3610A6" w:tentative="1">
      <w:start w:val="1"/>
      <w:numFmt w:val="bullet"/>
      <w:lvlText w:val=""/>
      <w:lvlJc w:val="left"/>
      <w:pPr>
        <w:tabs>
          <w:tab w:val="num" w:pos="2880"/>
        </w:tabs>
        <w:ind w:left="2880" w:hanging="360"/>
      </w:pPr>
      <w:rPr>
        <w:rFonts w:ascii="Wingdings 3" w:hAnsi="Wingdings 3" w:hint="default"/>
      </w:rPr>
    </w:lvl>
    <w:lvl w:ilvl="4" w:tplc="315E336C" w:tentative="1">
      <w:start w:val="1"/>
      <w:numFmt w:val="bullet"/>
      <w:lvlText w:val=""/>
      <w:lvlJc w:val="left"/>
      <w:pPr>
        <w:tabs>
          <w:tab w:val="num" w:pos="3600"/>
        </w:tabs>
        <w:ind w:left="3600" w:hanging="360"/>
      </w:pPr>
      <w:rPr>
        <w:rFonts w:ascii="Wingdings 3" w:hAnsi="Wingdings 3" w:hint="default"/>
      </w:rPr>
    </w:lvl>
    <w:lvl w:ilvl="5" w:tplc="4570598E" w:tentative="1">
      <w:start w:val="1"/>
      <w:numFmt w:val="bullet"/>
      <w:lvlText w:val=""/>
      <w:lvlJc w:val="left"/>
      <w:pPr>
        <w:tabs>
          <w:tab w:val="num" w:pos="4320"/>
        </w:tabs>
        <w:ind w:left="4320" w:hanging="360"/>
      </w:pPr>
      <w:rPr>
        <w:rFonts w:ascii="Wingdings 3" w:hAnsi="Wingdings 3" w:hint="default"/>
      </w:rPr>
    </w:lvl>
    <w:lvl w:ilvl="6" w:tplc="359A9C7E" w:tentative="1">
      <w:start w:val="1"/>
      <w:numFmt w:val="bullet"/>
      <w:lvlText w:val=""/>
      <w:lvlJc w:val="left"/>
      <w:pPr>
        <w:tabs>
          <w:tab w:val="num" w:pos="5040"/>
        </w:tabs>
        <w:ind w:left="5040" w:hanging="360"/>
      </w:pPr>
      <w:rPr>
        <w:rFonts w:ascii="Wingdings 3" w:hAnsi="Wingdings 3" w:hint="default"/>
      </w:rPr>
    </w:lvl>
    <w:lvl w:ilvl="7" w:tplc="0D3AD9E8" w:tentative="1">
      <w:start w:val="1"/>
      <w:numFmt w:val="bullet"/>
      <w:lvlText w:val=""/>
      <w:lvlJc w:val="left"/>
      <w:pPr>
        <w:tabs>
          <w:tab w:val="num" w:pos="5760"/>
        </w:tabs>
        <w:ind w:left="5760" w:hanging="360"/>
      </w:pPr>
      <w:rPr>
        <w:rFonts w:ascii="Wingdings 3" w:hAnsi="Wingdings 3" w:hint="default"/>
      </w:rPr>
    </w:lvl>
    <w:lvl w:ilvl="8" w:tplc="56242DA4"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3EFE46B9"/>
    <w:multiLevelType w:val="hybridMultilevel"/>
    <w:tmpl w:val="C6E86E04"/>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14072B3"/>
    <w:multiLevelType w:val="multilevel"/>
    <w:tmpl w:val="F5B48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FC436F"/>
    <w:multiLevelType w:val="hybridMultilevel"/>
    <w:tmpl w:val="B2BC58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F3C15"/>
    <w:multiLevelType w:val="multilevel"/>
    <w:tmpl w:val="3F062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754D56"/>
    <w:multiLevelType w:val="multilevel"/>
    <w:tmpl w:val="2244F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714817"/>
    <w:multiLevelType w:val="hybridMultilevel"/>
    <w:tmpl w:val="DB06391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63591CE5"/>
    <w:multiLevelType w:val="hybridMultilevel"/>
    <w:tmpl w:val="ECFC4940"/>
    <w:lvl w:ilvl="0" w:tplc="76BA2410">
      <w:numFmt w:val="bullet"/>
      <w:lvlText w:val="-"/>
      <w:lvlJc w:val="left"/>
      <w:pPr>
        <w:ind w:left="720" w:hanging="360"/>
      </w:pPr>
      <w:rPr>
        <w:rFonts w:ascii="Calibri" w:eastAsia="TimesLTStd-Roman" w:hAnsi="Calibri" w:cs="TimesLTStd-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C60A14"/>
    <w:multiLevelType w:val="multilevel"/>
    <w:tmpl w:val="99FE3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8"/>
  </w:num>
  <w:num w:numId="4">
    <w:abstractNumId w:val="3"/>
  </w:num>
  <w:num w:numId="5">
    <w:abstractNumId w:val="12"/>
  </w:num>
  <w:num w:numId="6">
    <w:abstractNumId w:val="9"/>
  </w:num>
  <w:num w:numId="7">
    <w:abstractNumId w:val="6"/>
  </w:num>
  <w:num w:numId="8">
    <w:abstractNumId w:val="1"/>
  </w:num>
  <w:num w:numId="9">
    <w:abstractNumId w:val="7"/>
  </w:num>
  <w:num w:numId="10">
    <w:abstractNumId w:val="0"/>
  </w:num>
  <w:num w:numId="11">
    <w:abstractNumId w:val="4"/>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173"/>
    <w:rsid w:val="0000084A"/>
    <w:rsid w:val="00002394"/>
    <w:rsid w:val="000038CB"/>
    <w:rsid w:val="0000719E"/>
    <w:rsid w:val="00007ED1"/>
    <w:rsid w:val="000162B4"/>
    <w:rsid w:val="00017025"/>
    <w:rsid w:val="00017414"/>
    <w:rsid w:val="0002014B"/>
    <w:rsid w:val="00022661"/>
    <w:rsid w:val="000265CE"/>
    <w:rsid w:val="00032794"/>
    <w:rsid w:val="000336D5"/>
    <w:rsid w:val="000356D8"/>
    <w:rsid w:val="00037EBC"/>
    <w:rsid w:val="00044174"/>
    <w:rsid w:val="00045039"/>
    <w:rsid w:val="0004699A"/>
    <w:rsid w:val="00046E72"/>
    <w:rsid w:val="00046FF9"/>
    <w:rsid w:val="000474A7"/>
    <w:rsid w:val="00047F9E"/>
    <w:rsid w:val="0005073A"/>
    <w:rsid w:val="000516BD"/>
    <w:rsid w:val="0005774C"/>
    <w:rsid w:val="000610BD"/>
    <w:rsid w:val="00061FD2"/>
    <w:rsid w:val="0006289E"/>
    <w:rsid w:val="000638F7"/>
    <w:rsid w:val="0006523B"/>
    <w:rsid w:val="0006675D"/>
    <w:rsid w:val="000700A1"/>
    <w:rsid w:val="000744A3"/>
    <w:rsid w:val="00075D15"/>
    <w:rsid w:val="00084190"/>
    <w:rsid w:val="000908EA"/>
    <w:rsid w:val="00094843"/>
    <w:rsid w:val="000956DE"/>
    <w:rsid w:val="00097B80"/>
    <w:rsid w:val="000A2943"/>
    <w:rsid w:val="000A5F5D"/>
    <w:rsid w:val="000A7CD2"/>
    <w:rsid w:val="000B13A6"/>
    <w:rsid w:val="000B4D30"/>
    <w:rsid w:val="000B5F09"/>
    <w:rsid w:val="000C0908"/>
    <w:rsid w:val="000C15FB"/>
    <w:rsid w:val="000C27D8"/>
    <w:rsid w:val="000D7F01"/>
    <w:rsid w:val="000E4DAA"/>
    <w:rsid w:val="000E53A1"/>
    <w:rsid w:val="000E6C39"/>
    <w:rsid w:val="000F2BF0"/>
    <w:rsid w:val="000F417B"/>
    <w:rsid w:val="000F60CA"/>
    <w:rsid w:val="000F693B"/>
    <w:rsid w:val="0010448A"/>
    <w:rsid w:val="001074C6"/>
    <w:rsid w:val="00111106"/>
    <w:rsid w:val="00112612"/>
    <w:rsid w:val="001129C6"/>
    <w:rsid w:val="00112A93"/>
    <w:rsid w:val="00122F04"/>
    <w:rsid w:val="001234C9"/>
    <w:rsid w:val="00124470"/>
    <w:rsid w:val="001257CC"/>
    <w:rsid w:val="00126ABD"/>
    <w:rsid w:val="00127290"/>
    <w:rsid w:val="00132B52"/>
    <w:rsid w:val="00132E0F"/>
    <w:rsid w:val="00133EC5"/>
    <w:rsid w:val="00135012"/>
    <w:rsid w:val="001365F7"/>
    <w:rsid w:val="0013781A"/>
    <w:rsid w:val="00137DA8"/>
    <w:rsid w:val="00140BE8"/>
    <w:rsid w:val="00141C1B"/>
    <w:rsid w:val="00142C55"/>
    <w:rsid w:val="00144562"/>
    <w:rsid w:val="0014515C"/>
    <w:rsid w:val="00151729"/>
    <w:rsid w:val="00151AED"/>
    <w:rsid w:val="001545D7"/>
    <w:rsid w:val="001644F4"/>
    <w:rsid w:val="0016610E"/>
    <w:rsid w:val="00166C03"/>
    <w:rsid w:val="001671F4"/>
    <w:rsid w:val="00167458"/>
    <w:rsid w:val="001708AC"/>
    <w:rsid w:val="0017425B"/>
    <w:rsid w:val="00176B67"/>
    <w:rsid w:val="001771F6"/>
    <w:rsid w:val="00177D07"/>
    <w:rsid w:val="001800F2"/>
    <w:rsid w:val="001813AC"/>
    <w:rsid w:val="00184414"/>
    <w:rsid w:val="00184EA2"/>
    <w:rsid w:val="00187F34"/>
    <w:rsid w:val="00190B4C"/>
    <w:rsid w:val="001911A4"/>
    <w:rsid w:val="0019162E"/>
    <w:rsid w:val="0019216F"/>
    <w:rsid w:val="0019223A"/>
    <w:rsid w:val="001A2835"/>
    <w:rsid w:val="001A2E89"/>
    <w:rsid w:val="001A3E1A"/>
    <w:rsid w:val="001A476C"/>
    <w:rsid w:val="001A5697"/>
    <w:rsid w:val="001B27AE"/>
    <w:rsid w:val="001C5E2E"/>
    <w:rsid w:val="001C7138"/>
    <w:rsid w:val="001C7225"/>
    <w:rsid w:val="001D080D"/>
    <w:rsid w:val="001D0D08"/>
    <w:rsid w:val="001D2CCD"/>
    <w:rsid w:val="001D2CD6"/>
    <w:rsid w:val="001D5CE1"/>
    <w:rsid w:val="001D7836"/>
    <w:rsid w:val="001D7C5E"/>
    <w:rsid w:val="001E2A8E"/>
    <w:rsid w:val="001E4D05"/>
    <w:rsid w:val="001E5374"/>
    <w:rsid w:val="001E5550"/>
    <w:rsid w:val="001E7DEB"/>
    <w:rsid w:val="001F2457"/>
    <w:rsid w:val="001F5B6D"/>
    <w:rsid w:val="00202810"/>
    <w:rsid w:val="00211BB3"/>
    <w:rsid w:val="0021242F"/>
    <w:rsid w:val="00212BE9"/>
    <w:rsid w:val="00213786"/>
    <w:rsid w:val="00215DD5"/>
    <w:rsid w:val="00216088"/>
    <w:rsid w:val="002248C8"/>
    <w:rsid w:val="00227767"/>
    <w:rsid w:val="0024035D"/>
    <w:rsid w:val="00241FE8"/>
    <w:rsid w:val="00243C32"/>
    <w:rsid w:val="00243CD7"/>
    <w:rsid w:val="0024608E"/>
    <w:rsid w:val="00252FEE"/>
    <w:rsid w:val="00255792"/>
    <w:rsid w:val="00255AE7"/>
    <w:rsid w:val="00256A77"/>
    <w:rsid w:val="00263950"/>
    <w:rsid w:val="00265E56"/>
    <w:rsid w:val="00270ECE"/>
    <w:rsid w:val="00271A22"/>
    <w:rsid w:val="00272315"/>
    <w:rsid w:val="00272BBC"/>
    <w:rsid w:val="00272DD5"/>
    <w:rsid w:val="00274D2F"/>
    <w:rsid w:val="002750D0"/>
    <w:rsid w:val="002807CE"/>
    <w:rsid w:val="00280EF1"/>
    <w:rsid w:val="0028390E"/>
    <w:rsid w:val="00285679"/>
    <w:rsid w:val="00290262"/>
    <w:rsid w:val="002925FD"/>
    <w:rsid w:val="00292796"/>
    <w:rsid w:val="00296D7F"/>
    <w:rsid w:val="00297040"/>
    <w:rsid w:val="002B1722"/>
    <w:rsid w:val="002B1768"/>
    <w:rsid w:val="002B4DB1"/>
    <w:rsid w:val="002B6C1E"/>
    <w:rsid w:val="002B7C24"/>
    <w:rsid w:val="002C1C54"/>
    <w:rsid w:val="002C65A8"/>
    <w:rsid w:val="002D1036"/>
    <w:rsid w:val="002D2FFE"/>
    <w:rsid w:val="002D7161"/>
    <w:rsid w:val="002D722A"/>
    <w:rsid w:val="002D7A6B"/>
    <w:rsid w:val="002E0431"/>
    <w:rsid w:val="002E1AAB"/>
    <w:rsid w:val="002E217D"/>
    <w:rsid w:val="002E3CC6"/>
    <w:rsid w:val="002E4E57"/>
    <w:rsid w:val="002F54AE"/>
    <w:rsid w:val="00301B3D"/>
    <w:rsid w:val="00304962"/>
    <w:rsid w:val="00312428"/>
    <w:rsid w:val="0031479A"/>
    <w:rsid w:val="00316BC4"/>
    <w:rsid w:val="00324884"/>
    <w:rsid w:val="003256ED"/>
    <w:rsid w:val="00325A8F"/>
    <w:rsid w:val="00330E79"/>
    <w:rsid w:val="00332C1C"/>
    <w:rsid w:val="00333B23"/>
    <w:rsid w:val="00333DA7"/>
    <w:rsid w:val="003373D0"/>
    <w:rsid w:val="003415E8"/>
    <w:rsid w:val="003438BC"/>
    <w:rsid w:val="00345902"/>
    <w:rsid w:val="00345B1A"/>
    <w:rsid w:val="00346197"/>
    <w:rsid w:val="00346485"/>
    <w:rsid w:val="00353D39"/>
    <w:rsid w:val="00355583"/>
    <w:rsid w:val="00362F3C"/>
    <w:rsid w:val="00371BDA"/>
    <w:rsid w:val="00373748"/>
    <w:rsid w:val="00375CBD"/>
    <w:rsid w:val="00376B6E"/>
    <w:rsid w:val="003860FA"/>
    <w:rsid w:val="00392644"/>
    <w:rsid w:val="003931AB"/>
    <w:rsid w:val="00393B9E"/>
    <w:rsid w:val="003942F6"/>
    <w:rsid w:val="00394B27"/>
    <w:rsid w:val="00396203"/>
    <w:rsid w:val="003975CA"/>
    <w:rsid w:val="00397FCE"/>
    <w:rsid w:val="003A25EC"/>
    <w:rsid w:val="003A25FD"/>
    <w:rsid w:val="003A421A"/>
    <w:rsid w:val="003A5D85"/>
    <w:rsid w:val="003B0D2C"/>
    <w:rsid w:val="003B21F3"/>
    <w:rsid w:val="003B4297"/>
    <w:rsid w:val="003B46C9"/>
    <w:rsid w:val="003B4986"/>
    <w:rsid w:val="003C122D"/>
    <w:rsid w:val="003C1BF2"/>
    <w:rsid w:val="003C3AA0"/>
    <w:rsid w:val="003C522A"/>
    <w:rsid w:val="003E07DC"/>
    <w:rsid w:val="003E33BF"/>
    <w:rsid w:val="003E56B8"/>
    <w:rsid w:val="003E7C15"/>
    <w:rsid w:val="003F341A"/>
    <w:rsid w:val="003F5562"/>
    <w:rsid w:val="003F5593"/>
    <w:rsid w:val="003F5760"/>
    <w:rsid w:val="003F6B4D"/>
    <w:rsid w:val="0040043A"/>
    <w:rsid w:val="00400D1B"/>
    <w:rsid w:val="00403273"/>
    <w:rsid w:val="0040490D"/>
    <w:rsid w:val="00405A4C"/>
    <w:rsid w:val="00412354"/>
    <w:rsid w:val="00413AB2"/>
    <w:rsid w:val="00413F57"/>
    <w:rsid w:val="0041664F"/>
    <w:rsid w:val="004266F8"/>
    <w:rsid w:val="00430635"/>
    <w:rsid w:val="00433595"/>
    <w:rsid w:val="004379C3"/>
    <w:rsid w:val="004407FD"/>
    <w:rsid w:val="00442C1E"/>
    <w:rsid w:val="004434AC"/>
    <w:rsid w:val="0044419B"/>
    <w:rsid w:val="004468C5"/>
    <w:rsid w:val="004507FF"/>
    <w:rsid w:val="00450CD2"/>
    <w:rsid w:val="0045127B"/>
    <w:rsid w:val="004512D5"/>
    <w:rsid w:val="00452AE1"/>
    <w:rsid w:val="0045615F"/>
    <w:rsid w:val="00456923"/>
    <w:rsid w:val="00456CD4"/>
    <w:rsid w:val="00457FD9"/>
    <w:rsid w:val="004626E9"/>
    <w:rsid w:val="00462A28"/>
    <w:rsid w:val="00464109"/>
    <w:rsid w:val="0047056A"/>
    <w:rsid w:val="00477158"/>
    <w:rsid w:val="0048393F"/>
    <w:rsid w:val="004849EC"/>
    <w:rsid w:val="00494891"/>
    <w:rsid w:val="0049526D"/>
    <w:rsid w:val="004A1963"/>
    <w:rsid w:val="004A2EA4"/>
    <w:rsid w:val="004A36AB"/>
    <w:rsid w:val="004A3C10"/>
    <w:rsid w:val="004A5524"/>
    <w:rsid w:val="004A6F1B"/>
    <w:rsid w:val="004B3280"/>
    <w:rsid w:val="004B3991"/>
    <w:rsid w:val="004C264C"/>
    <w:rsid w:val="004D0964"/>
    <w:rsid w:val="004D46CE"/>
    <w:rsid w:val="004D61A7"/>
    <w:rsid w:val="004E09BE"/>
    <w:rsid w:val="004E1715"/>
    <w:rsid w:val="004E19C8"/>
    <w:rsid w:val="004E2462"/>
    <w:rsid w:val="004E30F6"/>
    <w:rsid w:val="004E384E"/>
    <w:rsid w:val="004E3F15"/>
    <w:rsid w:val="004E7E68"/>
    <w:rsid w:val="004F006E"/>
    <w:rsid w:val="004F006F"/>
    <w:rsid w:val="004F0471"/>
    <w:rsid w:val="004F13E3"/>
    <w:rsid w:val="004F2ED0"/>
    <w:rsid w:val="004F7E08"/>
    <w:rsid w:val="0050086F"/>
    <w:rsid w:val="00501C91"/>
    <w:rsid w:val="00503423"/>
    <w:rsid w:val="00503CFA"/>
    <w:rsid w:val="00503F47"/>
    <w:rsid w:val="00504173"/>
    <w:rsid w:val="00505545"/>
    <w:rsid w:val="00510221"/>
    <w:rsid w:val="00511E33"/>
    <w:rsid w:val="00513C03"/>
    <w:rsid w:val="00514A28"/>
    <w:rsid w:val="00523AC4"/>
    <w:rsid w:val="00524B87"/>
    <w:rsid w:val="00525A57"/>
    <w:rsid w:val="005321C1"/>
    <w:rsid w:val="00533FCF"/>
    <w:rsid w:val="00535368"/>
    <w:rsid w:val="00540160"/>
    <w:rsid w:val="005406DB"/>
    <w:rsid w:val="00546D48"/>
    <w:rsid w:val="00547ED2"/>
    <w:rsid w:val="005527C0"/>
    <w:rsid w:val="00553767"/>
    <w:rsid w:val="00563942"/>
    <w:rsid w:val="005650EB"/>
    <w:rsid w:val="00567EF6"/>
    <w:rsid w:val="005767A3"/>
    <w:rsid w:val="005776D0"/>
    <w:rsid w:val="00577B94"/>
    <w:rsid w:val="00581D75"/>
    <w:rsid w:val="005861A3"/>
    <w:rsid w:val="00592409"/>
    <w:rsid w:val="005942B5"/>
    <w:rsid w:val="005950E7"/>
    <w:rsid w:val="00595D19"/>
    <w:rsid w:val="00596D3A"/>
    <w:rsid w:val="005A0CDA"/>
    <w:rsid w:val="005A1995"/>
    <w:rsid w:val="005A2059"/>
    <w:rsid w:val="005A5E5D"/>
    <w:rsid w:val="005B0233"/>
    <w:rsid w:val="005B2E7B"/>
    <w:rsid w:val="005B31D1"/>
    <w:rsid w:val="005B4A0D"/>
    <w:rsid w:val="005B5657"/>
    <w:rsid w:val="005B70D3"/>
    <w:rsid w:val="005C5563"/>
    <w:rsid w:val="005C56D2"/>
    <w:rsid w:val="005C6758"/>
    <w:rsid w:val="005C73C6"/>
    <w:rsid w:val="005D364E"/>
    <w:rsid w:val="005D415E"/>
    <w:rsid w:val="005D5F45"/>
    <w:rsid w:val="005D7405"/>
    <w:rsid w:val="005E0FFA"/>
    <w:rsid w:val="005E44E1"/>
    <w:rsid w:val="005F55EF"/>
    <w:rsid w:val="0060231E"/>
    <w:rsid w:val="00603A9D"/>
    <w:rsid w:val="00605E5F"/>
    <w:rsid w:val="0061074E"/>
    <w:rsid w:val="00610B13"/>
    <w:rsid w:val="0061464D"/>
    <w:rsid w:val="00616DB6"/>
    <w:rsid w:val="00621CCF"/>
    <w:rsid w:val="00622A1C"/>
    <w:rsid w:val="00624326"/>
    <w:rsid w:val="00630037"/>
    <w:rsid w:val="00631C93"/>
    <w:rsid w:val="00632B7E"/>
    <w:rsid w:val="00634B1E"/>
    <w:rsid w:val="00635EEF"/>
    <w:rsid w:val="0064177B"/>
    <w:rsid w:val="006418C0"/>
    <w:rsid w:val="00643826"/>
    <w:rsid w:val="00643F31"/>
    <w:rsid w:val="006526AC"/>
    <w:rsid w:val="00653384"/>
    <w:rsid w:val="00653A76"/>
    <w:rsid w:val="006556BF"/>
    <w:rsid w:val="006558AE"/>
    <w:rsid w:val="00660F79"/>
    <w:rsid w:val="00661925"/>
    <w:rsid w:val="0066745D"/>
    <w:rsid w:val="00667910"/>
    <w:rsid w:val="00667F69"/>
    <w:rsid w:val="006715EA"/>
    <w:rsid w:val="00677715"/>
    <w:rsid w:val="00680057"/>
    <w:rsid w:val="006808A1"/>
    <w:rsid w:val="00680B30"/>
    <w:rsid w:val="00683222"/>
    <w:rsid w:val="00686510"/>
    <w:rsid w:val="00691E6F"/>
    <w:rsid w:val="0069219B"/>
    <w:rsid w:val="006924B1"/>
    <w:rsid w:val="00694ADD"/>
    <w:rsid w:val="006A4FBF"/>
    <w:rsid w:val="006A5537"/>
    <w:rsid w:val="006A56BD"/>
    <w:rsid w:val="006B233D"/>
    <w:rsid w:val="006B2602"/>
    <w:rsid w:val="006B3B1F"/>
    <w:rsid w:val="006B715B"/>
    <w:rsid w:val="006C2D8A"/>
    <w:rsid w:val="006C48C4"/>
    <w:rsid w:val="006C4EF6"/>
    <w:rsid w:val="006D245D"/>
    <w:rsid w:val="006D2F57"/>
    <w:rsid w:val="006D5049"/>
    <w:rsid w:val="006D5465"/>
    <w:rsid w:val="006D68D8"/>
    <w:rsid w:val="006D7AE6"/>
    <w:rsid w:val="006E23BA"/>
    <w:rsid w:val="006E28B9"/>
    <w:rsid w:val="006E43D5"/>
    <w:rsid w:val="006E591B"/>
    <w:rsid w:val="006E7B20"/>
    <w:rsid w:val="006F2227"/>
    <w:rsid w:val="006F3926"/>
    <w:rsid w:val="00701FA4"/>
    <w:rsid w:val="00706CE8"/>
    <w:rsid w:val="007105B4"/>
    <w:rsid w:val="007138C4"/>
    <w:rsid w:val="00714DB5"/>
    <w:rsid w:val="007150DF"/>
    <w:rsid w:val="00715C01"/>
    <w:rsid w:val="00716461"/>
    <w:rsid w:val="00725740"/>
    <w:rsid w:val="0073289F"/>
    <w:rsid w:val="00744610"/>
    <w:rsid w:val="0074541C"/>
    <w:rsid w:val="007512AC"/>
    <w:rsid w:val="00755E64"/>
    <w:rsid w:val="007600F0"/>
    <w:rsid w:val="00763009"/>
    <w:rsid w:val="00763AE1"/>
    <w:rsid w:val="00764B17"/>
    <w:rsid w:val="00770680"/>
    <w:rsid w:val="00772613"/>
    <w:rsid w:val="007740EE"/>
    <w:rsid w:val="007753F6"/>
    <w:rsid w:val="00775AC6"/>
    <w:rsid w:val="00775BCE"/>
    <w:rsid w:val="007764E7"/>
    <w:rsid w:val="00777655"/>
    <w:rsid w:val="00786E95"/>
    <w:rsid w:val="007904CE"/>
    <w:rsid w:val="00791A88"/>
    <w:rsid w:val="007928CB"/>
    <w:rsid w:val="00797EEB"/>
    <w:rsid w:val="007A03CA"/>
    <w:rsid w:val="007A270D"/>
    <w:rsid w:val="007A5EA8"/>
    <w:rsid w:val="007A6024"/>
    <w:rsid w:val="007A63D9"/>
    <w:rsid w:val="007A7D95"/>
    <w:rsid w:val="007B1167"/>
    <w:rsid w:val="007B1ACA"/>
    <w:rsid w:val="007B45F0"/>
    <w:rsid w:val="007B4D65"/>
    <w:rsid w:val="007B5BA3"/>
    <w:rsid w:val="007B631D"/>
    <w:rsid w:val="007B63D7"/>
    <w:rsid w:val="007C1051"/>
    <w:rsid w:val="007C1CDA"/>
    <w:rsid w:val="007C2750"/>
    <w:rsid w:val="007C2A0A"/>
    <w:rsid w:val="007C398E"/>
    <w:rsid w:val="007C3C2F"/>
    <w:rsid w:val="007C42B3"/>
    <w:rsid w:val="007C4E50"/>
    <w:rsid w:val="007D2E6A"/>
    <w:rsid w:val="007D3BE6"/>
    <w:rsid w:val="007D7E21"/>
    <w:rsid w:val="007E08D5"/>
    <w:rsid w:val="007E5775"/>
    <w:rsid w:val="007F13D8"/>
    <w:rsid w:val="007F5860"/>
    <w:rsid w:val="007F5C14"/>
    <w:rsid w:val="007F6427"/>
    <w:rsid w:val="007F6F15"/>
    <w:rsid w:val="008022D1"/>
    <w:rsid w:val="008050CC"/>
    <w:rsid w:val="00810563"/>
    <w:rsid w:val="00810F6E"/>
    <w:rsid w:val="008134DD"/>
    <w:rsid w:val="0081446F"/>
    <w:rsid w:val="00814488"/>
    <w:rsid w:val="00816469"/>
    <w:rsid w:val="00820155"/>
    <w:rsid w:val="00820962"/>
    <w:rsid w:val="00822A63"/>
    <w:rsid w:val="00823ADC"/>
    <w:rsid w:val="00831E46"/>
    <w:rsid w:val="0083396A"/>
    <w:rsid w:val="00834FC0"/>
    <w:rsid w:val="00837338"/>
    <w:rsid w:val="00842FED"/>
    <w:rsid w:val="008471BE"/>
    <w:rsid w:val="008500CD"/>
    <w:rsid w:val="00851CA2"/>
    <w:rsid w:val="008553D3"/>
    <w:rsid w:val="00857BE6"/>
    <w:rsid w:val="00862622"/>
    <w:rsid w:val="00862754"/>
    <w:rsid w:val="00867784"/>
    <w:rsid w:val="0087209C"/>
    <w:rsid w:val="008723E7"/>
    <w:rsid w:val="00873877"/>
    <w:rsid w:val="008772E9"/>
    <w:rsid w:val="0087756F"/>
    <w:rsid w:val="00880358"/>
    <w:rsid w:val="008830CF"/>
    <w:rsid w:val="00883582"/>
    <w:rsid w:val="00883ADF"/>
    <w:rsid w:val="0088541A"/>
    <w:rsid w:val="008918C6"/>
    <w:rsid w:val="00893F5F"/>
    <w:rsid w:val="00897595"/>
    <w:rsid w:val="008A039E"/>
    <w:rsid w:val="008A1D06"/>
    <w:rsid w:val="008A3E43"/>
    <w:rsid w:val="008A7730"/>
    <w:rsid w:val="008B0375"/>
    <w:rsid w:val="008B090C"/>
    <w:rsid w:val="008B7A49"/>
    <w:rsid w:val="008C1515"/>
    <w:rsid w:val="008C309E"/>
    <w:rsid w:val="008C36BD"/>
    <w:rsid w:val="008C42EB"/>
    <w:rsid w:val="008C755D"/>
    <w:rsid w:val="008D6C64"/>
    <w:rsid w:val="008E6CED"/>
    <w:rsid w:val="008E6DB4"/>
    <w:rsid w:val="008E6E43"/>
    <w:rsid w:val="008F3CFC"/>
    <w:rsid w:val="008F4D5B"/>
    <w:rsid w:val="008F5623"/>
    <w:rsid w:val="008F643C"/>
    <w:rsid w:val="0091027E"/>
    <w:rsid w:val="00914513"/>
    <w:rsid w:val="00920137"/>
    <w:rsid w:val="0093184C"/>
    <w:rsid w:val="009334DD"/>
    <w:rsid w:val="00937C01"/>
    <w:rsid w:val="00937F96"/>
    <w:rsid w:val="00941289"/>
    <w:rsid w:val="00941D39"/>
    <w:rsid w:val="00942482"/>
    <w:rsid w:val="009440A8"/>
    <w:rsid w:val="009474CD"/>
    <w:rsid w:val="0095224E"/>
    <w:rsid w:val="00953D62"/>
    <w:rsid w:val="00957615"/>
    <w:rsid w:val="009608F9"/>
    <w:rsid w:val="00961DFE"/>
    <w:rsid w:val="00963DD2"/>
    <w:rsid w:val="00966806"/>
    <w:rsid w:val="009822DA"/>
    <w:rsid w:val="00984BEA"/>
    <w:rsid w:val="00987710"/>
    <w:rsid w:val="00990812"/>
    <w:rsid w:val="00991C72"/>
    <w:rsid w:val="00992C58"/>
    <w:rsid w:val="00992F89"/>
    <w:rsid w:val="009945A0"/>
    <w:rsid w:val="00996198"/>
    <w:rsid w:val="009964B8"/>
    <w:rsid w:val="00996EF7"/>
    <w:rsid w:val="009A069E"/>
    <w:rsid w:val="009A4914"/>
    <w:rsid w:val="009B2285"/>
    <w:rsid w:val="009B7AF3"/>
    <w:rsid w:val="009C19CD"/>
    <w:rsid w:val="009C58A8"/>
    <w:rsid w:val="009D03DC"/>
    <w:rsid w:val="009D5090"/>
    <w:rsid w:val="009E7EF9"/>
    <w:rsid w:val="009F0AD2"/>
    <w:rsid w:val="009F1E0F"/>
    <w:rsid w:val="009F3372"/>
    <w:rsid w:val="009F7689"/>
    <w:rsid w:val="00A00733"/>
    <w:rsid w:val="00A02026"/>
    <w:rsid w:val="00A02B0D"/>
    <w:rsid w:val="00A0321A"/>
    <w:rsid w:val="00A14094"/>
    <w:rsid w:val="00A156F6"/>
    <w:rsid w:val="00A16A9C"/>
    <w:rsid w:val="00A20BC1"/>
    <w:rsid w:val="00A27A93"/>
    <w:rsid w:val="00A31A76"/>
    <w:rsid w:val="00A336B1"/>
    <w:rsid w:val="00A37E85"/>
    <w:rsid w:val="00A42578"/>
    <w:rsid w:val="00A4303B"/>
    <w:rsid w:val="00A435CE"/>
    <w:rsid w:val="00A46ABD"/>
    <w:rsid w:val="00A46ADD"/>
    <w:rsid w:val="00A47126"/>
    <w:rsid w:val="00A47871"/>
    <w:rsid w:val="00A51066"/>
    <w:rsid w:val="00A546E3"/>
    <w:rsid w:val="00A57E47"/>
    <w:rsid w:val="00A60153"/>
    <w:rsid w:val="00A602C8"/>
    <w:rsid w:val="00A605E3"/>
    <w:rsid w:val="00A609C6"/>
    <w:rsid w:val="00A6287B"/>
    <w:rsid w:val="00A651DE"/>
    <w:rsid w:val="00A675A6"/>
    <w:rsid w:val="00A71B4D"/>
    <w:rsid w:val="00A71EDC"/>
    <w:rsid w:val="00A72B75"/>
    <w:rsid w:val="00A74351"/>
    <w:rsid w:val="00A8259E"/>
    <w:rsid w:val="00A84084"/>
    <w:rsid w:val="00A93A88"/>
    <w:rsid w:val="00A97168"/>
    <w:rsid w:val="00AA54DB"/>
    <w:rsid w:val="00AA74CB"/>
    <w:rsid w:val="00AB2B21"/>
    <w:rsid w:val="00AB2CFB"/>
    <w:rsid w:val="00AB358D"/>
    <w:rsid w:val="00AB367D"/>
    <w:rsid w:val="00AB41E1"/>
    <w:rsid w:val="00AB67A8"/>
    <w:rsid w:val="00AB6F41"/>
    <w:rsid w:val="00AB71CE"/>
    <w:rsid w:val="00AC0BAF"/>
    <w:rsid w:val="00AC2B27"/>
    <w:rsid w:val="00AC5B73"/>
    <w:rsid w:val="00AC6E36"/>
    <w:rsid w:val="00AC7947"/>
    <w:rsid w:val="00AD0A36"/>
    <w:rsid w:val="00AD1B3B"/>
    <w:rsid w:val="00AD34ED"/>
    <w:rsid w:val="00AD3806"/>
    <w:rsid w:val="00AD7C9E"/>
    <w:rsid w:val="00AE096E"/>
    <w:rsid w:val="00AE20CD"/>
    <w:rsid w:val="00AE3C4D"/>
    <w:rsid w:val="00AE562E"/>
    <w:rsid w:val="00AE5E32"/>
    <w:rsid w:val="00AE6BDC"/>
    <w:rsid w:val="00AE78DD"/>
    <w:rsid w:val="00AE7FA4"/>
    <w:rsid w:val="00AF44C6"/>
    <w:rsid w:val="00AF530F"/>
    <w:rsid w:val="00AF7A57"/>
    <w:rsid w:val="00B06FB3"/>
    <w:rsid w:val="00B10424"/>
    <w:rsid w:val="00B13B73"/>
    <w:rsid w:val="00B211DD"/>
    <w:rsid w:val="00B2130B"/>
    <w:rsid w:val="00B25982"/>
    <w:rsid w:val="00B266CE"/>
    <w:rsid w:val="00B3277E"/>
    <w:rsid w:val="00B33B24"/>
    <w:rsid w:val="00B3740D"/>
    <w:rsid w:val="00B404BC"/>
    <w:rsid w:val="00B43D01"/>
    <w:rsid w:val="00B4409E"/>
    <w:rsid w:val="00B45235"/>
    <w:rsid w:val="00B459F3"/>
    <w:rsid w:val="00B468B9"/>
    <w:rsid w:val="00B47AE8"/>
    <w:rsid w:val="00B517AB"/>
    <w:rsid w:val="00B52758"/>
    <w:rsid w:val="00B52B0D"/>
    <w:rsid w:val="00B54E52"/>
    <w:rsid w:val="00B61589"/>
    <w:rsid w:val="00B61E97"/>
    <w:rsid w:val="00B62FD1"/>
    <w:rsid w:val="00B70378"/>
    <w:rsid w:val="00B71DEA"/>
    <w:rsid w:val="00B72530"/>
    <w:rsid w:val="00B75545"/>
    <w:rsid w:val="00B7561A"/>
    <w:rsid w:val="00B75E5E"/>
    <w:rsid w:val="00B83817"/>
    <w:rsid w:val="00B93B27"/>
    <w:rsid w:val="00B9439E"/>
    <w:rsid w:val="00B95A38"/>
    <w:rsid w:val="00BA2B07"/>
    <w:rsid w:val="00BA533A"/>
    <w:rsid w:val="00BB450C"/>
    <w:rsid w:val="00BB637A"/>
    <w:rsid w:val="00BB6632"/>
    <w:rsid w:val="00BC0D7B"/>
    <w:rsid w:val="00BC1CC5"/>
    <w:rsid w:val="00BC5CEB"/>
    <w:rsid w:val="00BD08C4"/>
    <w:rsid w:val="00BD211A"/>
    <w:rsid w:val="00BD4273"/>
    <w:rsid w:val="00BD57AE"/>
    <w:rsid w:val="00BE1AC4"/>
    <w:rsid w:val="00BE6430"/>
    <w:rsid w:val="00BE6A09"/>
    <w:rsid w:val="00BF0948"/>
    <w:rsid w:val="00BF18D5"/>
    <w:rsid w:val="00BF2326"/>
    <w:rsid w:val="00BF271C"/>
    <w:rsid w:val="00BF411D"/>
    <w:rsid w:val="00BF4E4E"/>
    <w:rsid w:val="00BF613C"/>
    <w:rsid w:val="00BF7A4F"/>
    <w:rsid w:val="00C01EA2"/>
    <w:rsid w:val="00C02682"/>
    <w:rsid w:val="00C060AD"/>
    <w:rsid w:val="00C07EB8"/>
    <w:rsid w:val="00C135D4"/>
    <w:rsid w:val="00C15E3D"/>
    <w:rsid w:val="00C15FF1"/>
    <w:rsid w:val="00C23CE2"/>
    <w:rsid w:val="00C24A60"/>
    <w:rsid w:val="00C276B8"/>
    <w:rsid w:val="00C310A2"/>
    <w:rsid w:val="00C321A1"/>
    <w:rsid w:val="00C41412"/>
    <w:rsid w:val="00C42142"/>
    <w:rsid w:val="00C432F8"/>
    <w:rsid w:val="00C4486F"/>
    <w:rsid w:val="00C44C50"/>
    <w:rsid w:val="00C466E8"/>
    <w:rsid w:val="00C4719F"/>
    <w:rsid w:val="00C47B36"/>
    <w:rsid w:val="00C50208"/>
    <w:rsid w:val="00C503FC"/>
    <w:rsid w:val="00C51333"/>
    <w:rsid w:val="00C53DC9"/>
    <w:rsid w:val="00C55D9A"/>
    <w:rsid w:val="00C567CC"/>
    <w:rsid w:val="00C60C1A"/>
    <w:rsid w:val="00C678A4"/>
    <w:rsid w:val="00C67AD4"/>
    <w:rsid w:val="00C76F7F"/>
    <w:rsid w:val="00C77D13"/>
    <w:rsid w:val="00C82235"/>
    <w:rsid w:val="00C84F24"/>
    <w:rsid w:val="00C86819"/>
    <w:rsid w:val="00C870D8"/>
    <w:rsid w:val="00C90819"/>
    <w:rsid w:val="00C94A6A"/>
    <w:rsid w:val="00C9572B"/>
    <w:rsid w:val="00C95F0D"/>
    <w:rsid w:val="00C967EC"/>
    <w:rsid w:val="00C97621"/>
    <w:rsid w:val="00C97ECA"/>
    <w:rsid w:val="00CA1FED"/>
    <w:rsid w:val="00CA519E"/>
    <w:rsid w:val="00CA7629"/>
    <w:rsid w:val="00CB3143"/>
    <w:rsid w:val="00CC09A8"/>
    <w:rsid w:val="00CC2FF5"/>
    <w:rsid w:val="00CC548F"/>
    <w:rsid w:val="00CD34FB"/>
    <w:rsid w:val="00CE2B96"/>
    <w:rsid w:val="00CE40C3"/>
    <w:rsid w:val="00CE5EC8"/>
    <w:rsid w:val="00CE738B"/>
    <w:rsid w:val="00CF3F5D"/>
    <w:rsid w:val="00CF6858"/>
    <w:rsid w:val="00D02769"/>
    <w:rsid w:val="00D05319"/>
    <w:rsid w:val="00D05830"/>
    <w:rsid w:val="00D14579"/>
    <w:rsid w:val="00D159DD"/>
    <w:rsid w:val="00D1765F"/>
    <w:rsid w:val="00D17C58"/>
    <w:rsid w:val="00D23B7B"/>
    <w:rsid w:val="00D23EF8"/>
    <w:rsid w:val="00D25B0D"/>
    <w:rsid w:val="00D30919"/>
    <w:rsid w:val="00D3195E"/>
    <w:rsid w:val="00D3631C"/>
    <w:rsid w:val="00D50CA5"/>
    <w:rsid w:val="00D55BA0"/>
    <w:rsid w:val="00D663AE"/>
    <w:rsid w:val="00D67560"/>
    <w:rsid w:val="00D77280"/>
    <w:rsid w:val="00D85A0D"/>
    <w:rsid w:val="00D875CC"/>
    <w:rsid w:val="00D901C4"/>
    <w:rsid w:val="00D93760"/>
    <w:rsid w:val="00D96F0F"/>
    <w:rsid w:val="00D97A6F"/>
    <w:rsid w:val="00DA1D9F"/>
    <w:rsid w:val="00DA371D"/>
    <w:rsid w:val="00DA4FF7"/>
    <w:rsid w:val="00DA5177"/>
    <w:rsid w:val="00DA5594"/>
    <w:rsid w:val="00DA708C"/>
    <w:rsid w:val="00DB1AC2"/>
    <w:rsid w:val="00DB3014"/>
    <w:rsid w:val="00DB73CB"/>
    <w:rsid w:val="00DC0601"/>
    <w:rsid w:val="00DC3A0E"/>
    <w:rsid w:val="00DC3C04"/>
    <w:rsid w:val="00DD0750"/>
    <w:rsid w:val="00DD0C38"/>
    <w:rsid w:val="00DD1DF4"/>
    <w:rsid w:val="00DD273D"/>
    <w:rsid w:val="00DD6107"/>
    <w:rsid w:val="00DD6265"/>
    <w:rsid w:val="00DE1FC0"/>
    <w:rsid w:val="00DE256D"/>
    <w:rsid w:val="00DE2BCC"/>
    <w:rsid w:val="00DE3649"/>
    <w:rsid w:val="00DE37BE"/>
    <w:rsid w:val="00DE69AB"/>
    <w:rsid w:val="00DF48F7"/>
    <w:rsid w:val="00DF5124"/>
    <w:rsid w:val="00E00A27"/>
    <w:rsid w:val="00E031D2"/>
    <w:rsid w:val="00E03A89"/>
    <w:rsid w:val="00E042C9"/>
    <w:rsid w:val="00E056B1"/>
    <w:rsid w:val="00E132F8"/>
    <w:rsid w:val="00E149C0"/>
    <w:rsid w:val="00E168D6"/>
    <w:rsid w:val="00E17745"/>
    <w:rsid w:val="00E17D03"/>
    <w:rsid w:val="00E20047"/>
    <w:rsid w:val="00E20C90"/>
    <w:rsid w:val="00E31826"/>
    <w:rsid w:val="00E3273F"/>
    <w:rsid w:val="00E364CF"/>
    <w:rsid w:val="00E414A0"/>
    <w:rsid w:val="00E46CC5"/>
    <w:rsid w:val="00E50B62"/>
    <w:rsid w:val="00E514AF"/>
    <w:rsid w:val="00E529D7"/>
    <w:rsid w:val="00E53517"/>
    <w:rsid w:val="00E56B20"/>
    <w:rsid w:val="00E576CB"/>
    <w:rsid w:val="00E604AA"/>
    <w:rsid w:val="00E60FAA"/>
    <w:rsid w:val="00E621CA"/>
    <w:rsid w:val="00E62519"/>
    <w:rsid w:val="00E62988"/>
    <w:rsid w:val="00E629A9"/>
    <w:rsid w:val="00E65243"/>
    <w:rsid w:val="00E6600F"/>
    <w:rsid w:val="00E66BE3"/>
    <w:rsid w:val="00E67CA6"/>
    <w:rsid w:val="00E77E57"/>
    <w:rsid w:val="00E82A3A"/>
    <w:rsid w:val="00E82DBE"/>
    <w:rsid w:val="00E837A9"/>
    <w:rsid w:val="00E83BE7"/>
    <w:rsid w:val="00E844FF"/>
    <w:rsid w:val="00E849B7"/>
    <w:rsid w:val="00E86E0A"/>
    <w:rsid w:val="00E87345"/>
    <w:rsid w:val="00E90F2F"/>
    <w:rsid w:val="00E91E84"/>
    <w:rsid w:val="00E927CD"/>
    <w:rsid w:val="00E9457B"/>
    <w:rsid w:val="00E94955"/>
    <w:rsid w:val="00EA4E02"/>
    <w:rsid w:val="00EA5ED2"/>
    <w:rsid w:val="00EA7FF5"/>
    <w:rsid w:val="00EB299A"/>
    <w:rsid w:val="00EB2BB4"/>
    <w:rsid w:val="00EB3240"/>
    <w:rsid w:val="00EB4107"/>
    <w:rsid w:val="00EB647A"/>
    <w:rsid w:val="00EB763B"/>
    <w:rsid w:val="00EC204F"/>
    <w:rsid w:val="00EC525E"/>
    <w:rsid w:val="00EC7566"/>
    <w:rsid w:val="00ED1719"/>
    <w:rsid w:val="00ED17F9"/>
    <w:rsid w:val="00ED2DF2"/>
    <w:rsid w:val="00ED5F3A"/>
    <w:rsid w:val="00ED65F7"/>
    <w:rsid w:val="00ED6732"/>
    <w:rsid w:val="00ED7855"/>
    <w:rsid w:val="00EE21B8"/>
    <w:rsid w:val="00EE258A"/>
    <w:rsid w:val="00EE45D6"/>
    <w:rsid w:val="00EF13BA"/>
    <w:rsid w:val="00EF1F58"/>
    <w:rsid w:val="00F04FC6"/>
    <w:rsid w:val="00F06DF1"/>
    <w:rsid w:val="00F10937"/>
    <w:rsid w:val="00F12369"/>
    <w:rsid w:val="00F126C6"/>
    <w:rsid w:val="00F1553F"/>
    <w:rsid w:val="00F1632F"/>
    <w:rsid w:val="00F21FEE"/>
    <w:rsid w:val="00F221C0"/>
    <w:rsid w:val="00F27735"/>
    <w:rsid w:val="00F27F16"/>
    <w:rsid w:val="00F32634"/>
    <w:rsid w:val="00F35A3B"/>
    <w:rsid w:val="00F360D7"/>
    <w:rsid w:val="00F41B8E"/>
    <w:rsid w:val="00F437C7"/>
    <w:rsid w:val="00F439F2"/>
    <w:rsid w:val="00F478AD"/>
    <w:rsid w:val="00F47BC3"/>
    <w:rsid w:val="00F5142F"/>
    <w:rsid w:val="00F56BB1"/>
    <w:rsid w:val="00F64BB2"/>
    <w:rsid w:val="00F65250"/>
    <w:rsid w:val="00F65A86"/>
    <w:rsid w:val="00F6701F"/>
    <w:rsid w:val="00F710E6"/>
    <w:rsid w:val="00F7342E"/>
    <w:rsid w:val="00F73E12"/>
    <w:rsid w:val="00F753C1"/>
    <w:rsid w:val="00F77476"/>
    <w:rsid w:val="00F80324"/>
    <w:rsid w:val="00F82544"/>
    <w:rsid w:val="00F829A3"/>
    <w:rsid w:val="00F82EE3"/>
    <w:rsid w:val="00F836DB"/>
    <w:rsid w:val="00F83E69"/>
    <w:rsid w:val="00F84BBB"/>
    <w:rsid w:val="00F908A9"/>
    <w:rsid w:val="00F91648"/>
    <w:rsid w:val="00F93AE2"/>
    <w:rsid w:val="00F947F2"/>
    <w:rsid w:val="00F9618B"/>
    <w:rsid w:val="00F96A26"/>
    <w:rsid w:val="00FA00FF"/>
    <w:rsid w:val="00FA124A"/>
    <w:rsid w:val="00FA2D82"/>
    <w:rsid w:val="00FA52E7"/>
    <w:rsid w:val="00FB6BE5"/>
    <w:rsid w:val="00FB7C80"/>
    <w:rsid w:val="00FB7E4D"/>
    <w:rsid w:val="00FC044F"/>
    <w:rsid w:val="00FC05CB"/>
    <w:rsid w:val="00FC0C9E"/>
    <w:rsid w:val="00FC3009"/>
    <w:rsid w:val="00FC4D79"/>
    <w:rsid w:val="00FC4DDF"/>
    <w:rsid w:val="00FC502D"/>
    <w:rsid w:val="00FD0F2F"/>
    <w:rsid w:val="00FD4230"/>
    <w:rsid w:val="00FD4AEF"/>
    <w:rsid w:val="00FD769E"/>
    <w:rsid w:val="00FE1975"/>
    <w:rsid w:val="00FE2559"/>
    <w:rsid w:val="00FE32E2"/>
    <w:rsid w:val="00FE4A19"/>
    <w:rsid w:val="00FE6ED6"/>
    <w:rsid w:val="00FF11A8"/>
    <w:rsid w:val="00FF1D00"/>
    <w:rsid w:val="00FF4191"/>
    <w:rsid w:val="00FF42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7367AC-89A3-4E53-8C90-0098E0B2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3B73"/>
    <w:rPr>
      <w:sz w:val="24"/>
      <w:szCs w:val="24"/>
    </w:rPr>
  </w:style>
  <w:style w:type="paragraph" w:styleId="Heading1">
    <w:name w:val="heading 1"/>
    <w:basedOn w:val="Normal"/>
    <w:next w:val="Normal"/>
    <w:link w:val="Heading1Char"/>
    <w:uiPriority w:val="9"/>
    <w:qFormat/>
    <w:rsid w:val="00BD427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D427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51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427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D4273"/>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9B2285"/>
    <w:pPr>
      <w:ind w:left="720"/>
      <w:contextualSpacing/>
    </w:pPr>
  </w:style>
  <w:style w:type="paragraph" w:styleId="Header">
    <w:name w:val="header"/>
    <w:basedOn w:val="Normal"/>
    <w:link w:val="HeaderChar"/>
    <w:uiPriority w:val="99"/>
    <w:semiHidden/>
    <w:unhideWhenUsed/>
    <w:rsid w:val="000C27D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C27D8"/>
  </w:style>
  <w:style w:type="paragraph" w:styleId="Footer">
    <w:name w:val="footer"/>
    <w:basedOn w:val="Normal"/>
    <w:link w:val="FooterChar"/>
    <w:uiPriority w:val="99"/>
    <w:unhideWhenUsed/>
    <w:rsid w:val="000C27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27D8"/>
  </w:style>
  <w:style w:type="table" w:customStyle="1" w:styleId="LightShading1">
    <w:name w:val="Light Shading1"/>
    <w:basedOn w:val="TableNormal"/>
    <w:uiPriority w:val="60"/>
    <w:rsid w:val="00B703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uiPriority w:val="99"/>
    <w:unhideWhenUsed/>
    <w:rsid w:val="00BA2B07"/>
    <w:pPr>
      <w:spacing w:after="0" w:line="240" w:lineRule="auto"/>
    </w:pPr>
    <w:rPr>
      <w:sz w:val="20"/>
      <w:szCs w:val="20"/>
    </w:rPr>
  </w:style>
  <w:style w:type="character" w:customStyle="1" w:styleId="FootnoteTextChar">
    <w:name w:val="Footnote Text Char"/>
    <w:basedOn w:val="DefaultParagraphFont"/>
    <w:link w:val="FootnoteText"/>
    <w:uiPriority w:val="99"/>
    <w:rsid w:val="00BA2B07"/>
    <w:rPr>
      <w:sz w:val="20"/>
      <w:szCs w:val="20"/>
    </w:rPr>
  </w:style>
  <w:style w:type="character" w:styleId="FootnoteReference">
    <w:name w:val="footnote reference"/>
    <w:basedOn w:val="DefaultParagraphFont"/>
    <w:uiPriority w:val="99"/>
    <w:semiHidden/>
    <w:unhideWhenUsed/>
    <w:rsid w:val="00BA2B07"/>
    <w:rPr>
      <w:vertAlign w:val="superscript"/>
    </w:rPr>
  </w:style>
  <w:style w:type="character" w:styleId="Hyperlink">
    <w:name w:val="Hyperlink"/>
    <w:basedOn w:val="DefaultParagraphFont"/>
    <w:uiPriority w:val="99"/>
    <w:unhideWhenUsed/>
    <w:rsid w:val="00857BE6"/>
    <w:rPr>
      <w:color w:val="0000FF"/>
      <w:u w:val="single"/>
    </w:rPr>
  </w:style>
  <w:style w:type="character" w:customStyle="1" w:styleId="citation-abbreviation">
    <w:name w:val="citation-abbreviation"/>
    <w:basedOn w:val="DefaultParagraphFont"/>
    <w:rsid w:val="00857BE6"/>
  </w:style>
  <w:style w:type="character" w:customStyle="1" w:styleId="citation-volume">
    <w:name w:val="citation-volume"/>
    <w:basedOn w:val="DefaultParagraphFont"/>
    <w:rsid w:val="00857BE6"/>
  </w:style>
  <w:style w:type="character" w:customStyle="1" w:styleId="citation-flpages">
    <w:name w:val="citation-flpages"/>
    <w:basedOn w:val="DefaultParagraphFont"/>
    <w:rsid w:val="00857BE6"/>
  </w:style>
  <w:style w:type="character" w:customStyle="1" w:styleId="fm-vol-iss-date">
    <w:name w:val="fm-vol-iss-date"/>
    <w:basedOn w:val="DefaultParagraphFont"/>
    <w:rsid w:val="00857BE6"/>
  </w:style>
  <w:style w:type="character" w:customStyle="1" w:styleId="doi">
    <w:name w:val="doi"/>
    <w:basedOn w:val="DefaultParagraphFont"/>
    <w:rsid w:val="00857BE6"/>
  </w:style>
  <w:style w:type="paragraph" w:styleId="BalloonText">
    <w:name w:val="Balloon Text"/>
    <w:basedOn w:val="Normal"/>
    <w:link w:val="BalloonTextChar"/>
    <w:uiPriority w:val="99"/>
    <w:semiHidden/>
    <w:unhideWhenUsed/>
    <w:rsid w:val="000577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774C"/>
    <w:rPr>
      <w:rFonts w:ascii="Tahoma" w:hAnsi="Tahoma" w:cs="Tahoma"/>
      <w:sz w:val="16"/>
      <w:szCs w:val="16"/>
    </w:rPr>
  </w:style>
  <w:style w:type="character" w:customStyle="1" w:styleId="maintitle">
    <w:name w:val="maintitle"/>
    <w:basedOn w:val="DefaultParagraphFont"/>
    <w:rsid w:val="00BC5CEB"/>
  </w:style>
  <w:style w:type="paragraph" w:customStyle="1" w:styleId="article-type">
    <w:name w:val="article-type"/>
    <w:basedOn w:val="Normal"/>
    <w:rsid w:val="006E591B"/>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journal-title">
    <w:name w:val="journal-title"/>
    <w:basedOn w:val="DefaultParagraphFont"/>
    <w:rsid w:val="006E591B"/>
  </w:style>
  <w:style w:type="character" w:customStyle="1" w:styleId="divider">
    <w:name w:val="divider"/>
    <w:basedOn w:val="DefaultParagraphFont"/>
    <w:rsid w:val="006E591B"/>
  </w:style>
  <w:style w:type="character" w:customStyle="1" w:styleId="fn">
    <w:name w:val="fn"/>
    <w:basedOn w:val="DefaultParagraphFont"/>
    <w:rsid w:val="006E591B"/>
  </w:style>
  <w:style w:type="paragraph" w:styleId="NoSpacing">
    <w:name w:val="No Spacing"/>
    <w:uiPriority w:val="1"/>
    <w:qFormat/>
    <w:rsid w:val="006D2F57"/>
    <w:pPr>
      <w:spacing w:after="0" w:line="240" w:lineRule="auto"/>
    </w:pPr>
  </w:style>
  <w:style w:type="table" w:styleId="TableGrid">
    <w:name w:val="Table Grid"/>
    <w:basedOn w:val="TableNormal"/>
    <w:uiPriority w:val="59"/>
    <w:rsid w:val="00706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42482"/>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Heading3Char">
    <w:name w:val="Heading 3 Char"/>
    <w:basedOn w:val="DefaultParagraphFont"/>
    <w:link w:val="Heading3"/>
    <w:uiPriority w:val="9"/>
    <w:rsid w:val="00914513"/>
    <w:rPr>
      <w:rFonts w:asciiTheme="majorHAnsi" w:eastAsiaTheme="majorEastAsia" w:hAnsiTheme="majorHAnsi" w:cstheme="majorBidi"/>
      <w:b/>
      <w:bCs/>
      <w:color w:val="4F81BD" w:themeColor="accent1"/>
    </w:rPr>
  </w:style>
  <w:style w:type="character" w:customStyle="1" w:styleId="authornames">
    <w:name w:val="authornames"/>
    <w:basedOn w:val="DefaultParagraphFont"/>
    <w:rsid w:val="001C5E2E"/>
  </w:style>
  <w:style w:type="character" w:customStyle="1" w:styleId="spanplus">
    <w:name w:val="spanplus"/>
    <w:basedOn w:val="DefaultParagraphFont"/>
    <w:rsid w:val="001C5E2E"/>
  </w:style>
  <w:style w:type="character" w:styleId="Emphasis">
    <w:name w:val="Emphasis"/>
    <w:basedOn w:val="DefaultParagraphFont"/>
    <w:uiPriority w:val="20"/>
    <w:qFormat/>
    <w:rsid w:val="001C5E2E"/>
    <w:rPr>
      <w:i/>
      <w:iCs/>
    </w:rPr>
  </w:style>
  <w:style w:type="character" w:styleId="Strong">
    <w:name w:val="Strong"/>
    <w:basedOn w:val="DefaultParagraphFont"/>
    <w:uiPriority w:val="22"/>
    <w:qFormat/>
    <w:rsid w:val="001C5E2E"/>
    <w:rPr>
      <w:b/>
      <w:bCs/>
    </w:rPr>
  </w:style>
  <w:style w:type="character" w:styleId="HTMLCite">
    <w:name w:val="HTML Cite"/>
    <w:basedOn w:val="DefaultParagraphFont"/>
    <w:uiPriority w:val="99"/>
    <w:semiHidden/>
    <w:unhideWhenUsed/>
    <w:rsid w:val="00AA54DB"/>
    <w:rPr>
      <w:i/>
      <w:iCs/>
    </w:rPr>
  </w:style>
  <w:style w:type="character" w:customStyle="1" w:styleId="slug-pub-date">
    <w:name w:val="slug-pub-date"/>
    <w:basedOn w:val="DefaultParagraphFont"/>
    <w:rsid w:val="00AA54DB"/>
  </w:style>
  <w:style w:type="character" w:customStyle="1" w:styleId="slug-vol">
    <w:name w:val="slug-vol"/>
    <w:basedOn w:val="DefaultParagraphFont"/>
    <w:rsid w:val="00AA54DB"/>
  </w:style>
  <w:style w:type="character" w:customStyle="1" w:styleId="slug-issue">
    <w:name w:val="slug-issue"/>
    <w:basedOn w:val="DefaultParagraphFont"/>
    <w:rsid w:val="00AA54DB"/>
  </w:style>
  <w:style w:type="character" w:customStyle="1" w:styleId="slug-pages">
    <w:name w:val="slug-pages"/>
    <w:basedOn w:val="DefaultParagraphFont"/>
    <w:rsid w:val="00AA54DB"/>
  </w:style>
  <w:style w:type="character" w:customStyle="1" w:styleId="slug-metadata-note">
    <w:name w:val="slug-metadata-note"/>
    <w:basedOn w:val="DefaultParagraphFont"/>
    <w:rsid w:val="00AA54DB"/>
  </w:style>
  <w:style w:type="character" w:customStyle="1" w:styleId="slug-ahead-of-print-date">
    <w:name w:val="slug-ahead-of-print-date"/>
    <w:basedOn w:val="DefaultParagraphFont"/>
    <w:rsid w:val="00AA54DB"/>
  </w:style>
  <w:style w:type="character" w:customStyle="1" w:styleId="name">
    <w:name w:val="name"/>
    <w:basedOn w:val="DefaultParagraphFont"/>
    <w:rsid w:val="00AA54DB"/>
  </w:style>
  <w:style w:type="character" w:customStyle="1" w:styleId="xref-sep">
    <w:name w:val="xref-sep"/>
    <w:basedOn w:val="DefaultParagraphFont"/>
    <w:rsid w:val="00AA54DB"/>
  </w:style>
  <w:style w:type="character" w:customStyle="1" w:styleId="ref-journal">
    <w:name w:val="ref-journal"/>
    <w:basedOn w:val="DefaultParagraphFont"/>
    <w:rsid w:val="002E0431"/>
  </w:style>
  <w:style w:type="character" w:customStyle="1" w:styleId="ref-vol">
    <w:name w:val="ref-vol"/>
    <w:basedOn w:val="DefaultParagraphFont"/>
    <w:rsid w:val="002E0431"/>
  </w:style>
  <w:style w:type="character" w:customStyle="1" w:styleId="cit">
    <w:name w:val="cit"/>
    <w:basedOn w:val="DefaultParagraphFont"/>
    <w:rsid w:val="003A421A"/>
  </w:style>
  <w:style w:type="character" w:customStyle="1" w:styleId="fm-citation-ids-label">
    <w:name w:val="fm-citation-ids-label"/>
    <w:basedOn w:val="DefaultParagraphFont"/>
    <w:rsid w:val="003A421A"/>
  </w:style>
  <w:style w:type="character" w:styleId="CommentReference">
    <w:name w:val="annotation reference"/>
    <w:basedOn w:val="DefaultParagraphFont"/>
    <w:uiPriority w:val="99"/>
    <w:semiHidden/>
    <w:unhideWhenUsed/>
    <w:rsid w:val="00C60C1A"/>
    <w:rPr>
      <w:sz w:val="16"/>
      <w:szCs w:val="16"/>
    </w:rPr>
  </w:style>
  <w:style w:type="paragraph" w:styleId="CommentText">
    <w:name w:val="annotation text"/>
    <w:basedOn w:val="Normal"/>
    <w:link w:val="CommentTextChar"/>
    <w:uiPriority w:val="99"/>
    <w:unhideWhenUsed/>
    <w:rsid w:val="00C60C1A"/>
    <w:pPr>
      <w:spacing w:line="240" w:lineRule="auto"/>
    </w:pPr>
    <w:rPr>
      <w:sz w:val="20"/>
      <w:szCs w:val="20"/>
    </w:rPr>
  </w:style>
  <w:style w:type="character" w:customStyle="1" w:styleId="CommentTextChar">
    <w:name w:val="Comment Text Char"/>
    <w:basedOn w:val="DefaultParagraphFont"/>
    <w:link w:val="CommentText"/>
    <w:uiPriority w:val="99"/>
    <w:rsid w:val="00C60C1A"/>
    <w:rPr>
      <w:sz w:val="20"/>
      <w:szCs w:val="20"/>
    </w:rPr>
  </w:style>
  <w:style w:type="paragraph" w:styleId="CommentSubject">
    <w:name w:val="annotation subject"/>
    <w:basedOn w:val="CommentText"/>
    <w:next w:val="CommentText"/>
    <w:link w:val="CommentSubjectChar"/>
    <w:uiPriority w:val="99"/>
    <w:semiHidden/>
    <w:unhideWhenUsed/>
    <w:rsid w:val="00C60C1A"/>
    <w:rPr>
      <w:b/>
      <w:bCs/>
    </w:rPr>
  </w:style>
  <w:style w:type="character" w:customStyle="1" w:styleId="CommentSubjectChar">
    <w:name w:val="Comment Subject Char"/>
    <w:basedOn w:val="CommentTextChar"/>
    <w:link w:val="CommentSubject"/>
    <w:uiPriority w:val="99"/>
    <w:semiHidden/>
    <w:rsid w:val="00C60C1A"/>
    <w:rPr>
      <w:b/>
      <w:bCs/>
      <w:sz w:val="20"/>
      <w:szCs w:val="20"/>
    </w:rPr>
  </w:style>
  <w:style w:type="character" w:customStyle="1" w:styleId="fm-role">
    <w:name w:val="fm-role"/>
    <w:basedOn w:val="DefaultParagraphFont"/>
    <w:rsid w:val="008A7730"/>
  </w:style>
  <w:style w:type="character" w:customStyle="1" w:styleId="authordegrees">
    <w:name w:val="authordegrees"/>
    <w:basedOn w:val="DefaultParagraphFont"/>
    <w:rsid w:val="001800F2"/>
  </w:style>
  <w:style w:type="paragraph" w:customStyle="1" w:styleId="volissue">
    <w:name w:val="volissue"/>
    <w:basedOn w:val="Normal"/>
    <w:rsid w:val="001800F2"/>
    <w:pPr>
      <w:spacing w:before="100" w:beforeAutospacing="1" w:after="100" w:afterAutospacing="1" w:line="240" w:lineRule="auto"/>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4379C3"/>
    <w:rPr>
      <w:color w:val="800080" w:themeColor="followedHyperlink"/>
      <w:u w:val="single"/>
    </w:rPr>
  </w:style>
  <w:style w:type="paragraph" w:styleId="Subtitle">
    <w:name w:val="Subtitle"/>
    <w:basedOn w:val="Normal"/>
    <w:next w:val="Normal"/>
    <w:link w:val="SubtitleChar"/>
    <w:uiPriority w:val="11"/>
    <w:qFormat/>
    <w:rsid w:val="009608F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9608F9"/>
    <w:rPr>
      <w:rFonts w:asciiTheme="majorHAnsi" w:eastAsiaTheme="majorEastAsia" w:hAnsiTheme="majorHAnsi" w:cstheme="majorBidi"/>
      <w:i/>
      <w:iCs/>
      <w:color w:val="4F81BD" w:themeColor="accent1"/>
      <w:spacing w:val="15"/>
      <w:sz w:val="24"/>
      <w:szCs w:val="24"/>
    </w:rPr>
  </w:style>
  <w:style w:type="character" w:customStyle="1" w:styleId="pop-slug">
    <w:name w:val="pop-slug"/>
    <w:basedOn w:val="DefaultParagraphFont"/>
    <w:rsid w:val="003F5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24333">
      <w:bodyDiv w:val="1"/>
      <w:marLeft w:val="0"/>
      <w:marRight w:val="0"/>
      <w:marTop w:val="0"/>
      <w:marBottom w:val="0"/>
      <w:divBdr>
        <w:top w:val="none" w:sz="0" w:space="0" w:color="auto"/>
        <w:left w:val="none" w:sz="0" w:space="0" w:color="auto"/>
        <w:bottom w:val="none" w:sz="0" w:space="0" w:color="auto"/>
        <w:right w:val="none" w:sz="0" w:space="0" w:color="auto"/>
      </w:divBdr>
      <w:divsChild>
        <w:div w:id="844243254">
          <w:marLeft w:val="0"/>
          <w:marRight w:val="0"/>
          <w:marTop w:val="0"/>
          <w:marBottom w:val="0"/>
          <w:divBdr>
            <w:top w:val="none" w:sz="0" w:space="0" w:color="auto"/>
            <w:left w:val="none" w:sz="0" w:space="0" w:color="auto"/>
            <w:bottom w:val="none" w:sz="0" w:space="0" w:color="auto"/>
            <w:right w:val="none" w:sz="0" w:space="0" w:color="auto"/>
          </w:divBdr>
          <w:divsChild>
            <w:div w:id="757598210">
              <w:marLeft w:val="0"/>
              <w:marRight w:val="0"/>
              <w:marTop w:val="0"/>
              <w:marBottom w:val="0"/>
              <w:divBdr>
                <w:top w:val="none" w:sz="0" w:space="0" w:color="auto"/>
                <w:left w:val="none" w:sz="0" w:space="0" w:color="auto"/>
                <w:bottom w:val="none" w:sz="0" w:space="0" w:color="auto"/>
                <w:right w:val="none" w:sz="0" w:space="0" w:color="auto"/>
              </w:divBdr>
              <w:divsChild>
                <w:div w:id="932470608">
                  <w:marLeft w:val="0"/>
                  <w:marRight w:val="0"/>
                  <w:marTop w:val="0"/>
                  <w:marBottom w:val="0"/>
                  <w:divBdr>
                    <w:top w:val="none" w:sz="0" w:space="0" w:color="auto"/>
                    <w:left w:val="none" w:sz="0" w:space="0" w:color="auto"/>
                    <w:bottom w:val="none" w:sz="0" w:space="0" w:color="auto"/>
                    <w:right w:val="none" w:sz="0" w:space="0" w:color="auto"/>
                  </w:divBdr>
                  <w:divsChild>
                    <w:div w:id="701635624">
                      <w:marLeft w:val="240"/>
                      <w:marRight w:val="0"/>
                      <w:marTop w:val="0"/>
                      <w:marBottom w:val="0"/>
                      <w:divBdr>
                        <w:top w:val="none" w:sz="0" w:space="0" w:color="auto"/>
                        <w:left w:val="none" w:sz="0" w:space="0" w:color="auto"/>
                        <w:bottom w:val="none" w:sz="0" w:space="0" w:color="auto"/>
                        <w:right w:val="none" w:sz="0" w:space="0" w:color="auto"/>
                      </w:divBdr>
                      <w:divsChild>
                        <w:div w:id="11398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869222">
                  <w:marLeft w:val="0"/>
                  <w:marRight w:val="0"/>
                  <w:marTop w:val="0"/>
                  <w:marBottom w:val="0"/>
                  <w:divBdr>
                    <w:top w:val="none" w:sz="0" w:space="0" w:color="auto"/>
                    <w:left w:val="none" w:sz="0" w:space="0" w:color="auto"/>
                    <w:bottom w:val="none" w:sz="0" w:space="0" w:color="auto"/>
                    <w:right w:val="none" w:sz="0" w:space="0" w:color="auto"/>
                  </w:divBdr>
                  <w:divsChild>
                    <w:div w:id="379794140">
                      <w:marLeft w:val="0"/>
                      <w:marRight w:val="0"/>
                      <w:marTop w:val="0"/>
                      <w:marBottom w:val="0"/>
                      <w:divBdr>
                        <w:top w:val="none" w:sz="0" w:space="0" w:color="auto"/>
                        <w:left w:val="none" w:sz="0" w:space="0" w:color="auto"/>
                        <w:bottom w:val="none" w:sz="0" w:space="0" w:color="auto"/>
                        <w:right w:val="none" w:sz="0" w:space="0" w:color="auto"/>
                      </w:divBdr>
                      <w:divsChild>
                        <w:div w:id="660157840">
                          <w:marLeft w:val="0"/>
                          <w:marRight w:val="0"/>
                          <w:marTop w:val="0"/>
                          <w:marBottom w:val="0"/>
                          <w:divBdr>
                            <w:top w:val="none" w:sz="0" w:space="0" w:color="auto"/>
                            <w:left w:val="none" w:sz="0" w:space="0" w:color="auto"/>
                            <w:bottom w:val="none" w:sz="0" w:space="0" w:color="auto"/>
                            <w:right w:val="none" w:sz="0" w:space="0" w:color="auto"/>
                          </w:divBdr>
                        </w:div>
                        <w:div w:id="166804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7518593">
          <w:marLeft w:val="0"/>
          <w:marRight w:val="0"/>
          <w:marTop w:val="0"/>
          <w:marBottom w:val="0"/>
          <w:divBdr>
            <w:top w:val="none" w:sz="0" w:space="0" w:color="auto"/>
            <w:left w:val="none" w:sz="0" w:space="0" w:color="auto"/>
            <w:bottom w:val="none" w:sz="0" w:space="0" w:color="auto"/>
            <w:right w:val="none" w:sz="0" w:space="0" w:color="auto"/>
          </w:divBdr>
          <w:divsChild>
            <w:div w:id="328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22988">
      <w:bodyDiv w:val="1"/>
      <w:marLeft w:val="0"/>
      <w:marRight w:val="0"/>
      <w:marTop w:val="0"/>
      <w:marBottom w:val="0"/>
      <w:divBdr>
        <w:top w:val="none" w:sz="0" w:space="0" w:color="auto"/>
        <w:left w:val="none" w:sz="0" w:space="0" w:color="auto"/>
        <w:bottom w:val="none" w:sz="0" w:space="0" w:color="auto"/>
        <w:right w:val="none" w:sz="0" w:space="0" w:color="auto"/>
      </w:divBdr>
      <w:divsChild>
        <w:div w:id="429081377">
          <w:marLeft w:val="0"/>
          <w:marRight w:val="0"/>
          <w:marTop w:val="0"/>
          <w:marBottom w:val="0"/>
          <w:divBdr>
            <w:top w:val="none" w:sz="0" w:space="0" w:color="auto"/>
            <w:left w:val="none" w:sz="0" w:space="0" w:color="auto"/>
            <w:bottom w:val="none" w:sz="0" w:space="0" w:color="auto"/>
            <w:right w:val="none" w:sz="0" w:space="0" w:color="auto"/>
          </w:divBdr>
          <w:divsChild>
            <w:div w:id="1282998316">
              <w:marLeft w:val="0"/>
              <w:marRight w:val="0"/>
              <w:marTop w:val="0"/>
              <w:marBottom w:val="0"/>
              <w:divBdr>
                <w:top w:val="none" w:sz="0" w:space="0" w:color="auto"/>
                <w:left w:val="none" w:sz="0" w:space="0" w:color="auto"/>
                <w:bottom w:val="none" w:sz="0" w:space="0" w:color="auto"/>
                <w:right w:val="none" w:sz="0" w:space="0" w:color="auto"/>
              </w:divBdr>
              <w:divsChild>
                <w:div w:id="586697626">
                  <w:marLeft w:val="0"/>
                  <w:marRight w:val="0"/>
                  <w:marTop w:val="0"/>
                  <w:marBottom w:val="0"/>
                  <w:divBdr>
                    <w:top w:val="none" w:sz="0" w:space="0" w:color="auto"/>
                    <w:left w:val="none" w:sz="0" w:space="0" w:color="auto"/>
                    <w:bottom w:val="none" w:sz="0" w:space="0" w:color="auto"/>
                    <w:right w:val="none" w:sz="0" w:space="0" w:color="auto"/>
                  </w:divBdr>
                  <w:divsChild>
                    <w:div w:id="1763263587">
                      <w:marLeft w:val="240"/>
                      <w:marRight w:val="0"/>
                      <w:marTop w:val="0"/>
                      <w:marBottom w:val="0"/>
                      <w:divBdr>
                        <w:top w:val="none" w:sz="0" w:space="0" w:color="auto"/>
                        <w:left w:val="none" w:sz="0" w:space="0" w:color="auto"/>
                        <w:bottom w:val="none" w:sz="0" w:space="0" w:color="auto"/>
                        <w:right w:val="none" w:sz="0" w:space="0" w:color="auto"/>
                      </w:divBdr>
                      <w:divsChild>
                        <w:div w:id="187820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008672">
                  <w:marLeft w:val="0"/>
                  <w:marRight w:val="0"/>
                  <w:marTop w:val="0"/>
                  <w:marBottom w:val="0"/>
                  <w:divBdr>
                    <w:top w:val="none" w:sz="0" w:space="0" w:color="auto"/>
                    <w:left w:val="none" w:sz="0" w:space="0" w:color="auto"/>
                    <w:bottom w:val="none" w:sz="0" w:space="0" w:color="auto"/>
                    <w:right w:val="none" w:sz="0" w:space="0" w:color="auto"/>
                  </w:divBdr>
                  <w:divsChild>
                    <w:div w:id="1993102260">
                      <w:marLeft w:val="0"/>
                      <w:marRight w:val="0"/>
                      <w:marTop w:val="0"/>
                      <w:marBottom w:val="0"/>
                      <w:divBdr>
                        <w:top w:val="none" w:sz="0" w:space="0" w:color="auto"/>
                        <w:left w:val="none" w:sz="0" w:space="0" w:color="auto"/>
                        <w:bottom w:val="none" w:sz="0" w:space="0" w:color="auto"/>
                        <w:right w:val="none" w:sz="0" w:space="0" w:color="auto"/>
                      </w:divBdr>
                      <w:divsChild>
                        <w:div w:id="1706589663">
                          <w:marLeft w:val="0"/>
                          <w:marRight w:val="0"/>
                          <w:marTop w:val="0"/>
                          <w:marBottom w:val="0"/>
                          <w:divBdr>
                            <w:top w:val="none" w:sz="0" w:space="0" w:color="auto"/>
                            <w:left w:val="none" w:sz="0" w:space="0" w:color="auto"/>
                            <w:bottom w:val="none" w:sz="0" w:space="0" w:color="auto"/>
                            <w:right w:val="none" w:sz="0" w:space="0" w:color="auto"/>
                          </w:divBdr>
                        </w:div>
                        <w:div w:id="192973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129500">
          <w:marLeft w:val="0"/>
          <w:marRight w:val="0"/>
          <w:marTop w:val="0"/>
          <w:marBottom w:val="0"/>
          <w:divBdr>
            <w:top w:val="none" w:sz="0" w:space="0" w:color="auto"/>
            <w:left w:val="none" w:sz="0" w:space="0" w:color="auto"/>
            <w:bottom w:val="none" w:sz="0" w:space="0" w:color="auto"/>
            <w:right w:val="none" w:sz="0" w:space="0" w:color="auto"/>
          </w:divBdr>
          <w:divsChild>
            <w:div w:id="143702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11394">
      <w:bodyDiv w:val="1"/>
      <w:marLeft w:val="0"/>
      <w:marRight w:val="0"/>
      <w:marTop w:val="0"/>
      <w:marBottom w:val="0"/>
      <w:divBdr>
        <w:top w:val="none" w:sz="0" w:space="0" w:color="auto"/>
        <w:left w:val="none" w:sz="0" w:space="0" w:color="auto"/>
        <w:bottom w:val="none" w:sz="0" w:space="0" w:color="auto"/>
        <w:right w:val="none" w:sz="0" w:space="0" w:color="auto"/>
      </w:divBdr>
      <w:divsChild>
        <w:div w:id="158930993">
          <w:marLeft w:val="0"/>
          <w:marRight w:val="0"/>
          <w:marTop w:val="0"/>
          <w:marBottom w:val="0"/>
          <w:divBdr>
            <w:top w:val="none" w:sz="0" w:space="0" w:color="auto"/>
            <w:left w:val="none" w:sz="0" w:space="0" w:color="auto"/>
            <w:bottom w:val="none" w:sz="0" w:space="0" w:color="auto"/>
            <w:right w:val="none" w:sz="0" w:space="0" w:color="auto"/>
          </w:divBdr>
        </w:div>
        <w:div w:id="798645678">
          <w:marLeft w:val="0"/>
          <w:marRight w:val="0"/>
          <w:marTop w:val="0"/>
          <w:marBottom w:val="0"/>
          <w:divBdr>
            <w:top w:val="none" w:sz="0" w:space="0" w:color="auto"/>
            <w:left w:val="none" w:sz="0" w:space="0" w:color="auto"/>
            <w:bottom w:val="none" w:sz="0" w:space="0" w:color="auto"/>
            <w:right w:val="none" w:sz="0" w:space="0" w:color="auto"/>
          </w:divBdr>
        </w:div>
      </w:divsChild>
    </w:div>
    <w:div w:id="197552761">
      <w:bodyDiv w:val="1"/>
      <w:marLeft w:val="0"/>
      <w:marRight w:val="0"/>
      <w:marTop w:val="0"/>
      <w:marBottom w:val="0"/>
      <w:divBdr>
        <w:top w:val="none" w:sz="0" w:space="0" w:color="auto"/>
        <w:left w:val="none" w:sz="0" w:space="0" w:color="auto"/>
        <w:bottom w:val="none" w:sz="0" w:space="0" w:color="auto"/>
        <w:right w:val="none" w:sz="0" w:space="0" w:color="auto"/>
      </w:divBdr>
      <w:divsChild>
        <w:div w:id="991760675">
          <w:marLeft w:val="0"/>
          <w:marRight w:val="0"/>
          <w:marTop w:val="0"/>
          <w:marBottom w:val="0"/>
          <w:divBdr>
            <w:top w:val="none" w:sz="0" w:space="0" w:color="auto"/>
            <w:left w:val="none" w:sz="0" w:space="0" w:color="auto"/>
            <w:bottom w:val="none" w:sz="0" w:space="0" w:color="auto"/>
            <w:right w:val="none" w:sz="0" w:space="0" w:color="auto"/>
          </w:divBdr>
          <w:divsChild>
            <w:div w:id="321129675">
              <w:marLeft w:val="0"/>
              <w:marRight w:val="0"/>
              <w:marTop w:val="0"/>
              <w:marBottom w:val="0"/>
              <w:divBdr>
                <w:top w:val="none" w:sz="0" w:space="0" w:color="auto"/>
                <w:left w:val="none" w:sz="0" w:space="0" w:color="auto"/>
                <w:bottom w:val="none" w:sz="0" w:space="0" w:color="auto"/>
                <w:right w:val="none" w:sz="0" w:space="0" w:color="auto"/>
              </w:divBdr>
            </w:div>
            <w:div w:id="1172254399">
              <w:marLeft w:val="0"/>
              <w:marRight w:val="0"/>
              <w:marTop w:val="0"/>
              <w:marBottom w:val="0"/>
              <w:divBdr>
                <w:top w:val="none" w:sz="0" w:space="0" w:color="auto"/>
                <w:left w:val="none" w:sz="0" w:space="0" w:color="auto"/>
                <w:bottom w:val="none" w:sz="0" w:space="0" w:color="auto"/>
                <w:right w:val="none" w:sz="0" w:space="0" w:color="auto"/>
              </w:divBdr>
            </w:div>
            <w:div w:id="183333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235839">
      <w:bodyDiv w:val="1"/>
      <w:marLeft w:val="0"/>
      <w:marRight w:val="0"/>
      <w:marTop w:val="0"/>
      <w:marBottom w:val="0"/>
      <w:divBdr>
        <w:top w:val="none" w:sz="0" w:space="0" w:color="auto"/>
        <w:left w:val="none" w:sz="0" w:space="0" w:color="auto"/>
        <w:bottom w:val="none" w:sz="0" w:space="0" w:color="auto"/>
        <w:right w:val="none" w:sz="0" w:space="0" w:color="auto"/>
      </w:divBdr>
      <w:divsChild>
        <w:div w:id="592081927">
          <w:marLeft w:val="0"/>
          <w:marRight w:val="0"/>
          <w:marTop w:val="0"/>
          <w:marBottom w:val="0"/>
          <w:divBdr>
            <w:top w:val="none" w:sz="0" w:space="0" w:color="auto"/>
            <w:left w:val="none" w:sz="0" w:space="0" w:color="auto"/>
            <w:bottom w:val="none" w:sz="0" w:space="0" w:color="auto"/>
            <w:right w:val="none" w:sz="0" w:space="0" w:color="auto"/>
          </w:divBdr>
        </w:div>
        <w:div w:id="658921119">
          <w:marLeft w:val="0"/>
          <w:marRight w:val="0"/>
          <w:marTop w:val="0"/>
          <w:marBottom w:val="0"/>
          <w:divBdr>
            <w:top w:val="none" w:sz="0" w:space="0" w:color="auto"/>
            <w:left w:val="none" w:sz="0" w:space="0" w:color="auto"/>
            <w:bottom w:val="none" w:sz="0" w:space="0" w:color="auto"/>
            <w:right w:val="none" w:sz="0" w:space="0" w:color="auto"/>
          </w:divBdr>
        </w:div>
        <w:div w:id="866941958">
          <w:marLeft w:val="0"/>
          <w:marRight w:val="0"/>
          <w:marTop w:val="0"/>
          <w:marBottom w:val="0"/>
          <w:divBdr>
            <w:top w:val="none" w:sz="0" w:space="0" w:color="auto"/>
            <w:left w:val="none" w:sz="0" w:space="0" w:color="auto"/>
            <w:bottom w:val="none" w:sz="0" w:space="0" w:color="auto"/>
            <w:right w:val="none" w:sz="0" w:space="0" w:color="auto"/>
          </w:divBdr>
          <w:divsChild>
            <w:div w:id="180893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838926">
      <w:bodyDiv w:val="1"/>
      <w:marLeft w:val="0"/>
      <w:marRight w:val="0"/>
      <w:marTop w:val="0"/>
      <w:marBottom w:val="0"/>
      <w:divBdr>
        <w:top w:val="none" w:sz="0" w:space="0" w:color="auto"/>
        <w:left w:val="none" w:sz="0" w:space="0" w:color="auto"/>
        <w:bottom w:val="none" w:sz="0" w:space="0" w:color="auto"/>
        <w:right w:val="none" w:sz="0" w:space="0" w:color="auto"/>
      </w:divBdr>
      <w:divsChild>
        <w:div w:id="2045673082">
          <w:marLeft w:val="0"/>
          <w:marRight w:val="0"/>
          <w:marTop w:val="0"/>
          <w:marBottom w:val="0"/>
          <w:divBdr>
            <w:top w:val="none" w:sz="0" w:space="0" w:color="auto"/>
            <w:left w:val="none" w:sz="0" w:space="0" w:color="auto"/>
            <w:bottom w:val="none" w:sz="0" w:space="0" w:color="auto"/>
            <w:right w:val="none" w:sz="0" w:space="0" w:color="auto"/>
          </w:divBdr>
          <w:divsChild>
            <w:div w:id="145097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541083">
      <w:bodyDiv w:val="1"/>
      <w:marLeft w:val="0"/>
      <w:marRight w:val="0"/>
      <w:marTop w:val="0"/>
      <w:marBottom w:val="0"/>
      <w:divBdr>
        <w:top w:val="none" w:sz="0" w:space="0" w:color="auto"/>
        <w:left w:val="none" w:sz="0" w:space="0" w:color="auto"/>
        <w:bottom w:val="none" w:sz="0" w:space="0" w:color="auto"/>
        <w:right w:val="none" w:sz="0" w:space="0" w:color="auto"/>
      </w:divBdr>
      <w:divsChild>
        <w:div w:id="901335903">
          <w:marLeft w:val="0"/>
          <w:marRight w:val="0"/>
          <w:marTop w:val="0"/>
          <w:marBottom w:val="0"/>
          <w:divBdr>
            <w:top w:val="none" w:sz="0" w:space="0" w:color="auto"/>
            <w:left w:val="none" w:sz="0" w:space="0" w:color="auto"/>
            <w:bottom w:val="none" w:sz="0" w:space="0" w:color="auto"/>
            <w:right w:val="none" w:sz="0" w:space="0" w:color="auto"/>
          </w:divBdr>
          <w:divsChild>
            <w:div w:id="86933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9957">
      <w:bodyDiv w:val="1"/>
      <w:marLeft w:val="0"/>
      <w:marRight w:val="0"/>
      <w:marTop w:val="0"/>
      <w:marBottom w:val="0"/>
      <w:divBdr>
        <w:top w:val="none" w:sz="0" w:space="0" w:color="auto"/>
        <w:left w:val="none" w:sz="0" w:space="0" w:color="auto"/>
        <w:bottom w:val="none" w:sz="0" w:space="0" w:color="auto"/>
        <w:right w:val="none" w:sz="0" w:space="0" w:color="auto"/>
      </w:divBdr>
    </w:div>
    <w:div w:id="839153936">
      <w:bodyDiv w:val="1"/>
      <w:marLeft w:val="0"/>
      <w:marRight w:val="0"/>
      <w:marTop w:val="0"/>
      <w:marBottom w:val="0"/>
      <w:divBdr>
        <w:top w:val="none" w:sz="0" w:space="0" w:color="auto"/>
        <w:left w:val="none" w:sz="0" w:space="0" w:color="auto"/>
        <w:bottom w:val="none" w:sz="0" w:space="0" w:color="auto"/>
        <w:right w:val="none" w:sz="0" w:space="0" w:color="auto"/>
      </w:divBdr>
      <w:divsChild>
        <w:div w:id="402413041">
          <w:marLeft w:val="0"/>
          <w:marRight w:val="0"/>
          <w:marTop w:val="0"/>
          <w:marBottom w:val="0"/>
          <w:divBdr>
            <w:top w:val="none" w:sz="0" w:space="0" w:color="auto"/>
            <w:left w:val="none" w:sz="0" w:space="0" w:color="auto"/>
            <w:bottom w:val="none" w:sz="0" w:space="0" w:color="auto"/>
            <w:right w:val="none" w:sz="0" w:space="0" w:color="auto"/>
          </w:divBdr>
          <w:divsChild>
            <w:div w:id="143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50358">
      <w:bodyDiv w:val="1"/>
      <w:marLeft w:val="0"/>
      <w:marRight w:val="0"/>
      <w:marTop w:val="0"/>
      <w:marBottom w:val="0"/>
      <w:divBdr>
        <w:top w:val="none" w:sz="0" w:space="0" w:color="auto"/>
        <w:left w:val="none" w:sz="0" w:space="0" w:color="auto"/>
        <w:bottom w:val="none" w:sz="0" w:space="0" w:color="auto"/>
        <w:right w:val="none" w:sz="0" w:space="0" w:color="auto"/>
      </w:divBdr>
      <w:divsChild>
        <w:div w:id="1183124926">
          <w:marLeft w:val="0"/>
          <w:marRight w:val="0"/>
          <w:marTop w:val="0"/>
          <w:marBottom w:val="0"/>
          <w:divBdr>
            <w:top w:val="none" w:sz="0" w:space="0" w:color="auto"/>
            <w:left w:val="none" w:sz="0" w:space="0" w:color="auto"/>
            <w:bottom w:val="none" w:sz="0" w:space="0" w:color="auto"/>
            <w:right w:val="none" w:sz="0" w:space="0" w:color="auto"/>
          </w:divBdr>
        </w:div>
        <w:div w:id="1322805671">
          <w:marLeft w:val="0"/>
          <w:marRight w:val="0"/>
          <w:marTop w:val="0"/>
          <w:marBottom w:val="0"/>
          <w:divBdr>
            <w:top w:val="none" w:sz="0" w:space="0" w:color="auto"/>
            <w:left w:val="none" w:sz="0" w:space="0" w:color="auto"/>
            <w:bottom w:val="none" w:sz="0" w:space="0" w:color="auto"/>
            <w:right w:val="none" w:sz="0" w:space="0" w:color="auto"/>
          </w:divBdr>
        </w:div>
      </w:divsChild>
    </w:div>
    <w:div w:id="1034423248">
      <w:bodyDiv w:val="1"/>
      <w:marLeft w:val="0"/>
      <w:marRight w:val="0"/>
      <w:marTop w:val="0"/>
      <w:marBottom w:val="0"/>
      <w:divBdr>
        <w:top w:val="none" w:sz="0" w:space="0" w:color="auto"/>
        <w:left w:val="none" w:sz="0" w:space="0" w:color="auto"/>
        <w:bottom w:val="none" w:sz="0" w:space="0" w:color="auto"/>
        <w:right w:val="none" w:sz="0" w:space="0" w:color="auto"/>
      </w:divBdr>
    </w:div>
    <w:div w:id="1053970639">
      <w:bodyDiv w:val="1"/>
      <w:marLeft w:val="0"/>
      <w:marRight w:val="0"/>
      <w:marTop w:val="0"/>
      <w:marBottom w:val="0"/>
      <w:divBdr>
        <w:top w:val="none" w:sz="0" w:space="0" w:color="auto"/>
        <w:left w:val="none" w:sz="0" w:space="0" w:color="auto"/>
        <w:bottom w:val="none" w:sz="0" w:space="0" w:color="auto"/>
        <w:right w:val="none" w:sz="0" w:space="0" w:color="auto"/>
      </w:divBdr>
    </w:div>
    <w:div w:id="1137070980">
      <w:bodyDiv w:val="1"/>
      <w:marLeft w:val="0"/>
      <w:marRight w:val="0"/>
      <w:marTop w:val="0"/>
      <w:marBottom w:val="0"/>
      <w:divBdr>
        <w:top w:val="none" w:sz="0" w:space="0" w:color="auto"/>
        <w:left w:val="none" w:sz="0" w:space="0" w:color="auto"/>
        <w:bottom w:val="none" w:sz="0" w:space="0" w:color="auto"/>
        <w:right w:val="none" w:sz="0" w:space="0" w:color="auto"/>
      </w:divBdr>
      <w:divsChild>
        <w:div w:id="444887813">
          <w:marLeft w:val="0"/>
          <w:marRight w:val="0"/>
          <w:marTop w:val="0"/>
          <w:marBottom w:val="0"/>
          <w:divBdr>
            <w:top w:val="none" w:sz="0" w:space="0" w:color="auto"/>
            <w:left w:val="none" w:sz="0" w:space="0" w:color="auto"/>
            <w:bottom w:val="none" w:sz="0" w:space="0" w:color="auto"/>
            <w:right w:val="none" w:sz="0" w:space="0" w:color="auto"/>
          </w:divBdr>
          <w:divsChild>
            <w:div w:id="2059470505">
              <w:marLeft w:val="0"/>
              <w:marRight w:val="0"/>
              <w:marTop w:val="0"/>
              <w:marBottom w:val="0"/>
              <w:divBdr>
                <w:top w:val="none" w:sz="0" w:space="0" w:color="auto"/>
                <w:left w:val="none" w:sz="0" w:space="0" w:color="auto"/>
                <w:bottom w:val="none" w:sz="0" w:space="0" w:color="auto"/>
                <w:right w:val="none" w:sz="0" w:space="0" w:color="auto"/>
              </w:divBdr>
            </w:div>
          </w:divsChild>
        </w:div>
        <w:div w:id="1139961168">
          <w:marLeft w:val="0"/>
          <w:marRight w:val="0"/>
          <w:marTop w:val="0"/>
          <w:marBottom w:val="0"/>
          <w:divBdr>
            <w:top w:val="none" w:sz="0" w:space="0" w:color="auto"/>
            <w:left w:val="none" w:sz="0" w:space="0" w:color="auto"/>
            <w:bottom w:val="none" w:sz="0" w:space="0" w:color="auto"/>
            <w:right w:val="none" w:sz="0" w:space="0" w:color="auto"/>
          </w:divBdr>
          <w:divsChild>
            <w:div w:id="66736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471279">
      <w:bodyDiv w:val="1"/>
      <w:marLeft w:val="0"/>
      <w:marRight w:val="0"/>
      <w:marTop w:val="0"/>
      <w:marBottom w:val="0"/>
      <w:divBdr>
        <w:top w:val="none" w:sz="0" w:space="0" w:color="auto"/>
        <w:left w:val="none" w:sz="0" w:space="0" w:color="auto"/>
        <w:bottom w:val="none" w:sz="0" w:space="0" w:color="auto"/>
        <w:right w:val="none" w:sz="0" w:space="0" w:color="auto"/>
      </w:divBdr>
      <w:divsChild>
        <w:div w:id="664817775">
          <w:marLeft w:val="0"/>
          <w:marRight w:val="0"/>
          <w:marTop w:val="0"/>
          <w:marBottom w:val="0"/>
          <w:divBdr>
            <w:top w:val="none" w:sz="0" w:space="0" w:color="auto"/>
            <w:left w:val="none" w:sz="0" w:space="0" w:color="auto"/>
            <w:bottom w:val="none" w:sz="0" w:space="0" w:color="auto"/>
            <w:right w:val="none" w:sz="0" w:space="0" w:color="auto"/>
          </w:divBdr>
          <w:divsChild>
            <w:div w:id="1531453980">
              <w:marLeft w:val="0"/>
              <w:marRight w:val="0"/>
              <w:marTop w:val="0"/>
              <w:marBottom w:val="0"/>
              <w:divBdr>
                <w:top w:val="none" w:sz="0" w:space="0" w:color="auto"/>
                <w:left w:val="none" w:sz="0" w:space="0" w:color="auto"/>
                <w:bottom w:val="none" w:sz="0" w:space="0" w:color="auto"/>
                <w:right w:val="none" w:sz="0" w:space="0" w:color="auto"/>
              </w:divBdr>
              <w:divsChild>
                <w:div w:id="1333945252">
                  <w:marLeft w:val="0"/>
                  <w:marRight w:val="0"/>
                  <w:marTop w:val="0"/>
                  <w:marBottom w:val="0"/>
                  <w:divBdr>
                    <w:top w:val="none" w:sz="0" w:space="0" w:color="auto"/>
                    <w:left w:val="none" w:sz="0" w:space="0" w:color="auto"/>
                    <w:bottom w:val="none" w:sz="0" w:space="0" w:color="auto"/>
                    <w:right w:val="none" w:sz="0" w:space="0" w:color="auto"/>
                  </w:divBdr>
                  <w:divsChild>
                    <w:div w:id="1674337282">
                      <w:marLeft w:val="0"/>
                      <w:marRight w:val="0"/>
                      <w:marTop w:val="0"/>
                      <w:marBottom w:val="0"/>
                      <w:divBdr>
                        <w:top w:val="none" w:sz="0" w:space="0" w:color="auto"/>
                        <w:left w:val="none" w:sz="0" w:space="0" w:color="auto"/>
                        <w:bottom w:val="none" w:sz="0" w:space="0" w:color="auto"/>
                        <w:right w:val="none" w:sz="0" w:space="0" w:color="auto"/>
                      </w:divBdr>
                      <w:divsChild>
                        <w:div w:id="184640789">
                          <w:marLeft w:val="0"/>
                          <w:marRight w:val="0"/>
                          <w:marTop w:val="0"/>
                          <w:marBottom w:val="0"/>
                          <w:divBdr>
                            <w:top w:val="none" w:sz="0" w:space="0" w:color="auto"/>
                            <w:left w:val="none" w:sz="0" w:space="0" w:color="auto"/>
                            <w:bottom w:val="none" w:sz="0" w:space="0" w:color="auto"/>
                            <w:right w:val="none" w:sz="0" w:space="0" w:color="auto"/>
                          </w:divBdr>
                        </w:div>
                        <w:div w:id="2687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3380">
                  <w:marLeft w:val="0"/>
                  <w:marRight w:val="0"/>
                  <w:marTop w:val="0"/>
                  <w:marBottom w:val="0"/>
                  <w:divBdr>
                    <w:top w:val="none" w:sz="0" w:space="0" w:color="auto"/>
                    <w:left w:val="none" w:sz="0" w:space="0" w:color="auto"/>
                    <w:bottom w:val="none" w:sz="0" w:space="0" w:color="auto"/>
                    <w:right w:val="none" w:sz="0" w:space="0" w:color="auto"/>
                  </w:divBdr>
                  <w:divsChild>
                    <w:div w:id="564417969">
                      <w:marLeft w:val="0"/>
                      <w:marRight w:val="0"/>
                      <w:marTop w:val="0"/>
                      <w:marBottom w:val="0"/>
                      <w:divBdr>
                        <w:top w:val="none" w:sz="0" w:space="0" w:color="auto"/>
                        <w:left w:val="none" w:sz="0" w:space="0" w:color="auto"/>
                        <w:bottom w:val="none" w:sz="0" w:space="0" w:color="auto"/>
                        <w:right w:val="none" w:sz="0" w:space="0" w:color="auto"/>
                      </w:divBdr>
                      <w:divsChild>
                        <w:div w:id="51199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724544">
          <w:marLeft w:val="0"/>
          <w:marRight w:val="0"/>
          <w:marTop w:val="0"/>
          <w:marBottom w:val="0"/>
          <w:divBdr>
            <w:top w:val="none" w:sz="0" w:space="0" w:color="auto"/>
            <w:left w:val="none" w:sz="0" w:space="0" w:color="auto"/>
            <w:bottom w:val="none" w:sz="0" w:space="0" w:color="auto"/>
            <w:right w:val="none" w:sz="0" w:space="0" w:color="auto"/>
          </w:divBdr>
          <w:divsChild>
            <w:div w:id="112362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837068">
      <w:bodyDiv w:val="1"/>
      <w:marLeft w:val="0"/>
      <w:marRight w:val="0"/>
      <w:marTop w:val="0"/>
      <w:marBottom w:val="0"/>
      <w:divBdr>
        <w:top w:val="none" w:sz="0" w:space="0" w:color="auto"/>
        <w:left w:val="none" w:sz="0" w:space="0" w:color="auto"/>
        <w:bottom w:val="none" w:sz="0" w:space="0" w:color="auto"/>
        <w:right w:val="none" w:sz="0" w:space="0" w:color="auto"/>
      </w:divBdr>
      <w:divsChild>
        <w:div w:id="903219049">
          <w:marLeft w:val="0"/>
          <w:marRight w:val="0"/>
          <w:marTop w:val="0"/>
          <w:marBottom w:val="0"/>
          <w:divBdr>
            <w:top w:val="none" w:sz="0" w:space="0" w:color="auto"/>
            <w:left w:val="none" w:sz="0" w:space="0" w:color="auto"/>
            <w:bottom w:val="none" w:sz="0" w:space="0" w:color="auto"/>
            <w:right w:val="none" w:sz="0" w:space="0" w:color="auto"/>
          </w:divBdr>
          <w:divsChild>
            <w:div w:id="1973172022">
              <w:marLeft w:val="0"/>
              <w:marRight w:val="0"/>
              <w:marTop w:val="0"/>
              <w:marBottom w:val="0"/>
              <w:divBdr>
                <w:top w:val="none" w:sz="0" w:space="0" w:color="auto"/>
                <w:left w:val="none" w:sz="0" w:space="0" w:color="auto"/>
                <w:bottom w:val="none" w:sz="0" w:space="0" w:color="auto"/>
                <w:right w:val="none" w:sz="0" w:space="0" w:color="auto"/>
              </w:divBdr>
            </w:div>
          </w:divsChild>
        </w:div>
        <w:div w:id="1322462768">
          <w:marLeft w:val="0"/>
          <w:marRight w:val="0"/>
          <w:marTop w:val="0"/>
          <w:marBottom w:val="0"/>
          <w:divBdr>
            <w:top w:val="none" w:sz="0" w:space="0" w:color="auto"/>
            <w:left w:val="none" w:sz="0" w:space="0" w:color="auto"/>
            <w:bottom w:val="none" w:sz="0" w:space="0" w:color="auto"/>
            <w:right w:val="none" w:sz="0" w:space="0" w:color="auto"/>
          </w:divBdr>
          <w:divsChild>
            <w:div w:id="1430156859">
              <w:marLeft w:val="0"/>
              <w:marRight w:val="0"/>
              <w:marTop w:val="0"/>
              <w:marBottom w:val="0"/>
              <w:divBdr>
                <w:top w:val="none" w:sz="0" w:space="0" w:color="auto"/>
                <w:left w:val="none" w:sz="0" w:space="0" w:color="auto"/>
                <w:bottom w:val="none" w:sz="0" w:space="0" w:color="auto"/>
                <w:right w:val="none" w:sz="0" w:space="0" w:color="auto"/>
              </w:divBdr>
              <w:divsChild>
                <w:div w:id="1276794525">
                  <w:marLeft w:val="0"/>
                  <w:marRight w:val="0"/>
                  <w:marTop w:val="0"/>
                  <w:marBottom w:val="0"/>
                  <w:divBdr>
                    <w:top w:val="none" w:sz="0" w:space="0" w:color="auto"/>
                    <w:left w:val="none" w:sz="0" w:space="0" w:color="auto"/>
                    <w:bottom w:val="none" w:sz="0" w:space="0" w:color="auto"/>
                    <w:right w:val="none" w:sz="0" w:space="0" w:color="auto"/>
                  </w:divBdr>
                  <w:divsChild>
                    <w:div w:id="1768043292">
                      <w:marLeft w:val="0"/>
                      <w:marRight w:val="0"/>
                      <w:marTop w:val="0"/>
                      <w:marBottom w:val="0"/>
                      <w:divBdr>
                        <w:top w:val="none" w:sz="0" w:space="0" w:color="auto"/>
                        <w:left w:val="none" w:sz="0" w:space="0" w:color="auto"/>
                        <w:bottom w:val="none" w:sz="0" w:space="0" w:color="auto"/>
                        <w:right w:val="none" w:sz="0" w:space="0" w:color="auto"/>
                      </w:divBdr>
                      <w:divsChild>
                        <w:div w:id="142364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249679">
                  <w:marLeft w:val="0"/>
                  <w:marRight w:val="0"/>
                  <w:marTop w:val="0"/>
                  <w:marBottom w:val="0"/>
                  <w:divBdr>
                    <w:top w:val="none" w:sz="0" w:space="0" w:color="auto"/>
                    <w:left w:val="none" w:sz="0" w:space="0" w:color="auto"/>
                    <w:bottom w:val="none" w:sz="0" w:space="0" w:color="auto"/>
                    <w:right w:val="none" w:sz="0" w:space="0" w:color="auto"/>
                  </w:divBdr>
                  <w:divsChild>
                    <w:div w:id="1767916247">
                      <w:marLeft w:val="0"/>
                      <w:marRight w:val="0"/>
                      <w:marTop w:val="0"/>
                      <w:marBottom w:val="0"/>
                      <w:divBdr>
                        <w:top w:val="none" w:sz="0" w:space="0" w:color="auto"/>
                        <w:left w:val="none" w:sz="0" w:space="0" w:color="auto"/>
                        <w:bottom w:val="none" w:sz="0" w:space="0" w:color="auto"/>
                        <w:right w:val="none" w:sz="0" w:space="0" w:color="auto"/>
                      </w:divBdr>
                      <w:divsChild>
                        <w:div w:id="213539659">
                          <w:marLeft w:val="0"/>
                          <w:marRight w:val="0"/>
                          <w:marTop w:val="0"/>
                          <w:marBottom w:val="0"/>
                          <w:divBdr>
                            <w:top w:val="none" w:sz="0" w:space="0" w:color="auto"/>
                            <w:left w:val="none" w:sz="0" w:space="0" w:color="auto"/>
                            <w:bottom w:val="none" w:sz="0" w:space="0" w:color="auto"/>
                            <w:right w:val="none" w:sz="0" w:space="0" w:color="auto"/>
                          </w:divBdr>
                        </w:div>
                        <w:div w:id="192410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5713863">
      <w:bodyDiv w:val="1"/>
      <w:marLeft w:val="0"/>
      <w:marRight w:val="0"/>
      <w:marTop w:val="0"/>
      <w:marBottom w:val="0"/>
      <w:divBdr>
        <w:top w:val="none" w:sz="0" w:space="0" w:color="auto"/>
        <w:left w:val="none" w:sz="0" w:space="0" w:color="auto"/>
        <w:bottom w:val="none" w:sz="0" w:space="0" w:color="auto"/>
        <w:right w:val="none" w:sz="0" w:space="0" w:color="auto"/>
      </w:divBdr>
      <w:divsChild>
        <w:div w:id="928395156">
          <w:marLeft w:val="0"/>
          <w:marRight w:val="0"/>
          <w:marTop w:val="0"/>
          <w:marBottom w:val="0"/>
          <w:divBdr>
            <w:top w:val="none" w:sz="0" w:space="0" w:color="auto"/>
            <w:left w:val="none" w:sz="0" w:space="0" w:color="auto"/>
            <w:bottom w:val="none" w:sz="0" w:space="0" w:color="auto"/>
            <w:right w:val="none" w:sz="0" w:space="0" w:color="auto"/>
          </w:divBdr>
        </w:div>
      </w:divsChild>
    </w:div>
    <w:div w:id="1436291121">
      <w:bodyDiv w:val="1"/>
      <w:marLeft w:val="0"/>
      <w:marRight w:val="0"/>
      <w:marTop w:val="0"/>
      <w:marBottom w:val="0"/>
      <w:divBdr>
        <w:top w:val="none" w:sz="0" w:space="0" w:color="auto"/>
        <w:left w:val="none" w:sz="0" w:space="0" w:color="auto"/>
        <w:bottom w:val="none" w:sz="0" w:space="0" w:color="auto"/>
        <w:right w:val="none" w:sz="0" w:space="0" w:color="auto"/>
      </w:divBdr>
      <w:divsChild>
        <w:div w:id="796147701">
          <w:marLeft w:val="0"/>
          <w:marRight w:val="0"/>
          <w:marTop w:val="0"/>
          <w:marBottom w:val="0"/>
          <w:divBdr>
            <w:top w:val="none" w:sz="0" w:space="0" w:color="auto"/>
            <w:left w:val="none" w:sz="0" w:space="0" w:color="auto"/>
            <w:bottom w:val="none" w:sz="0" w:space="0" w:color="auto"/>
            <w:right w:val="none" w:sz="0" w:space="0" w:color="auto"/>
          </w:divBdr>
        </w:div>
        <w:div w:id="1140536439">
          <w:marLeft w:val="0"/>
          <w:marRight w:val="0"/>
          <w:marTop w:val="0"/>
          <w:marBottom w:val="0"/>
          <w:divBdr>
            <w:top w:val="none" w:sz="0" w:space="0" w:color="auto"/>
            <w:left w:val="none" w:sz="0" w:space="0" w:color="auto"/>
            <w:bottom w:val="none" w:sz="0" w:space="0" w:color="auto"/>
            <w:right w:val="none" w:sz="0" w:space="0" w:color="auto"/>
          </w:divBdr>
        </w:div>
      </w:divsChild>
    </w:div>
    <w:div w:id="1544902574">
      <w:bodyDiv w:val="1"/>
      <w:marLeft w:val="0"/>
      <w:marRight w:val="0"/>
      <w:marTop w:val="0"/>
      <w:marBottom w:val="0"/>
      <w:divBdr>
        <w:top w:val="none" w:sz="0" w:space="0" w:color="auto"/>
        <w:left w:val="none" w:sz="0" w:space="0" w:color="auto"/>
        <w:bottom w:val="none" w:sz="0" w:space="0" w:color="auto"/>
        <w:right w:val="none" w:sz="0" w:space="0" w:color="auto"/>
      </w:divBdr>
      <w:divsChild>
        <w:div w:id="755130794">
          <w:marLeft w:val="576"/>
          <w:marRight w:val="0"/>
          <w:marTop w:val="80"/>
          <w:marBottom w:val="0"/>
          <w:divBdr>
            <w:top w:val="none" w:sz="0" w:space="0" w:color="auto"/>
            <w:left w:val="none" w:sz="0" w:space="0" w:color="auto"/>
            <w:bottom w:val="none" w:sz="0" w:space="0" w:color="auto"/>
            <w:right w:val="none" w:sz="0" w:space="0" w:color="auto"/>
          </w:divBdr>
        </w:div>
      </w:divsChild>
    </w:div>
    <w:div w:id="1558081047">
      <w:bodyDiv w:val="1"/>
      <w:marLeft w:val="0"/>
      <w:marRight w:val="0"/>
      <w:marTop w:val="0"/>
      <w:marBottom w:val="0"/>
      <w:divBdr>
        <w:top w:val="none" w:sz="0" w:space="0" w:color="auto"/>
        <w:left w:val="none" w:sz="0" w:space="0" w:color="auto"/>
        <w:bottom w:val="none" w:sz="0" w:space="0" w:color="auto"/>
        <w:right w:val="none" w:sz="0" w:space="0" w:color="auto"/>
      </w:divBdr>
      <w:divsChild>
        <w:div w:id="786389684">
          <w:marLeft w:val="576"/>
          <w:marRight w:val="0"/>
          <w:marTop w:val="80"/>
          <w:marBottom w:val="0"/>
          <w:divBdr>
            <w:top w:val="none" w:sz="0" w:space="0" w:color="auto"/>
            <w:left w:val="none" w:sz="0" w:space="0" w:color="auto"/>
            <w:bottom w:val="none" w:sz="0" w:space="0" w:color="auto"/>
            <w:right w:val="none" w:sz="0" w:space="0" w:color="auto"/>
          </w:divBdr>
        </w:div>
      </w:divsChild>
    </w:div>
    <w:div w:id="1734039743">
      <w:bodyDiv w:val="1"/>
      <w:marLeft w:val="0"/>
      <w:marRight w:val="0"/>
      <w:marTop w:val="0"/>
      <w:marBottom w:val="0"/>
      <w:divBdr>
        <w:top w:val="none" w:sz="0" w:space="0" w:color="auto"/>
        <w:left w:val="none" w:sz="0" w:space="0" w:color="auto"/>
        <w:bottom w:val="none" w:sz="0" w:space="0" w:color="auto"/>
        <w:right w:val="none" w:sz="0" w:space="0" w:color="auto"/>
      </w:divBdr>
      <w:divsChild>
        <w:div w:id="1220360092">
          <w:marLeft w:val="0"/>
          <w:marRight w:val="0"/>
          <w:marTop w:val="0"/>
          <w:marBottom w:val="0"/>
          <w:divBdr>
            <w:top w:val="none" w:sz="0" w:space="0" w:color="auto"/>
            <w:left w:val="none" w:sz="0" w:space="0" w:color="auto"/>
            <w:bottom w:val="none" w:sz="0" w:space="0" w:color="auto"/>
            <w:right w:val="none" w:sz="0" w:space="0" w:color="auto"/>
          </w:divBdr>
          <w:divsChild>
            <w:div w:id="247738868">
              <w:marLeft w:val="0"/>
              <w:marRight w:val="0"/>
              <w:marTop w:val="0"/>
              <w:marBottom w:val="0"/>
              <w:divBdr>
                <w:top w:val="none" w:sz="0" w:space="0" w:color="auto"/>
                <w:left w:val="none" w:sz="0" w:space="0" w:color="auto"/>
                <w:bottom w:val="none" w:sz="0" w:space="0" w:color="auto"/>
                <w:right w:val="none" w:sz="0" w:space="0" w:color="auto"/>
              </w:divBdr>
            </w:div>
            <w:div w:id="1114786833">
              <w:marLeft w:val="0"/>
              <w:marRight w:val="0"/>
              <w:marTop w:val="0"/>
              <w:marBottom w:val="0"/>
              <w:divBdr>
                <w:top w:val="none" w:sz="0" w:space="0" w:color="auto"/>
                <w:left w:val="none" w:sz="0" w:space="0" w:color="auto"/>
                <w:bottom w:val="none" w:sz="0" w:space="0" w:color="auto"/>
                <w:right w:val="none" w:sz="0" w:space="0" w:color="auto"/>
              </w:divBdr>
            </w:div>
            <w:div w:id="1219824941">
              <w:marLeft w:val="0"/>
              <w:marRight w:val="0"/>
              <w:marTop w:val="0"/>
              <w:marBottom w:val="0"/>
              <w:divBdr>
                <w:top w:val="none" w:sz="0" w:space="0" w:color="auto"/>
                <w:left w:val="none" w:sz="0" w:space="0" w:color="auto"/>
                <w:bottom w:val="none" w:sz="0" w:space="0" w:color="auto"/>
                <w:right w:val="none" w:sz="0" w:space="0" w:color="auto"/>
              </w:divBdr>
            </w:div>
            <w:div w:id="1283146705">
              <w:marLeft w:val="0"/>
              <w:marRight w:val="0"/>
              <w:marTop w:val="0"/>
              <w:marBottom w:val="0"/>
              <w:divBdr>
                <w:top w:val="none" w:sz="0" w:space="0" w:color="auto"/>
                <w:left w:val="none" w:sz="0" w:space="0" w:color="auto"/>
                <w:bottom w:val="none" w:sz="0" w:space="0" w:color="auto"/>
                <w:right w:val="none" w:sz="0" w:space="0" w:color="auto"/>
              </w:divBdr>
            </w:div>
            <w:div w:id="1485126445">
              <w:marLeft w:val="0"/>
              <w:marRight w:val="0"/>
              <w:marTop w:val="0"/>
              <w:marBottom w:val="0"/>
              <w:divBdr>
                <w:top w:val="none" w:sz="0" w:space="0" w:color="auto"/>
                <w:left w:val="none" w:sz="0" w:space="0" w:color="auto"/>
                <w:bottom w:val="none" w:sz="0" w:space="0" w:color="auto"/>
                <w:right w:val="none" w:sz="0" w:space="0" w:color="auto"/>
              </w:divBdr>
            </w:div>
            <w:div w:id="2001694820">
              <w:marLeft w:val="0"/>
              <w:marRight w:val="0"/>
              <w:marTop w:val="0"/>
              <w:marBottom w:val="0"/>
              <w:divBdr>
                <w:top w:val="none" w:sz="0" w:space="0" w:color="auto"/>
                <w:left w:val="none" w:sz="0" w:space="0" w:color="auto"/>
                <w:bottom w:val="none" w:sz="0" w:space="0" w:color="auto"/>
                <w:right w:val="none" w:sz="0" w:space="0" w:color="auto"/>
              </w:divBdr>
            </w:div>
            <w:div w:id="214087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95238">
      <w:bodyDiv w:val="1"/>
      <w:marLeft w:val="0"/>
      <w:marRight w:val="0"/>
      <w:marTop w:val="0"/>
      <w:marBottom w:val="0"/>
      <w:divBdr>
        <w:top w:val="none" w:sz="0" w:space="0" w:color="auto"/>
        <w:left w:val="none" w:sz="0" w:space="0" w:color="auto"/>
        <w:bottom w:val="none" w:sz="0" w:space="0" w:color="auto"/>
        <w:right w:val="none" w:sz="0" w:space="0" w:color="auto"/>
      </w:divBdr>
      <w:divsChild>
        <w:div w:id="411858928">
          <w:marLeft w:val="0"/>
          <w:marRight w:val="0"/>
          <w:marTop w:val="0"/>
          <w:marBottom w:val="0"/>
          <w:divBdr>
            <w:top w:val="none" w:sz="0" w:space="0" w:color="auto"/>
            <w:left w:val="none" w:sz="0" w:space="0" w:color="auto"/>
            <w:bottom w:val="none" w:sz="0" w:space="0" w:color="auto"/>
            <w:right w:val="none" w:sz="0" w:space="0" w:color="auto"/>
          </w:divBdr>
        </w:div>
      </w:divsChild>
    </w:div>
    <w:div w:id="2104691556">
      <w:bodyDiv w:val="1"/>
      <w:marLeft w:val="0"/>
      <w:marRight w:val="0"/>
      <w:marTop w:val="0"/>
      <w:marBottom w:val="0"/>
      <w:divBdr>
        <w:top w:val="none" w:sz="0" w:space="0" w:color="auto"/>
        <w:left w:val="none" w:sz="0" w:space="0" w:color="auto"/>
        <w:bottom w:val="none" w:sz="0" w:space="0" w:color="auto"/>
        <w:right w:val="none" w:sz="0" w:space="0" w:color="auto"/>
      </w:divBdr>
    </w:div>
    <w:div w:id="2113088961">
      <w:bodyDiv w:val="1"/>
      <w:marLeft w:val="0"/>
      <w:marRight w:val="0"/>
      <w:marTop w:val="0"/>
      <w:marBottom w:val="0"/>
      <w:divBdr>
        <w:top w:val="none" w:sz="0" w:space="0" w:color="auto"/>
        <w:left w:val="none" w:sz="0" w:space="0" w:color="auto"/>
        <w:bottom w:val="none" w:sz="0" w:space="0" w:color="auto"/>
        <w:right w:val="none" w:sz="0" w:space="0" w:color="auto"/>
      </w:divBdr>
      <w:divsChild>
        <w:div w:id="943463442">
          <w:marLeft w:val="0"/>
          <w:marRight w:val="0"/>
          <w:marTop w:val="0"/>
          <w:marBottom w:val="0"/>
          <w:divBdr>
            <w:top w:val="none" w:sz="0" w:space="0" w:color="auto"/>
            <w:left w:val="none" w:sz="0" w:space="0" w:color="auto"/>
            <w:bottom w:val="none" w:sz="0" w:space="0" w:color="auto"/>
            <w:right w:val="none" w:sz="0" w:space="0" w:color="auto"/>
          </w:divBdr>
          <w:divsChild>
            <w:div w:id="1864708538">
              <w:marLeft w:val="0"/>
              <w:marRight w:val="0"/>
              <w:marTop w:val="0"/>
              <w:marBottom w:val="0"/>
              <w:divBdr>
                <w:top w:val="none" w:sz="0" w:space="0" w:color="auto"/>
                <w:left w:val="none" w:sz="0" w:space="0" w:color="auto"/>
                <w:bottom w:val="none" w:sz="0" w:space="0" w:color="auto"/>
                <w:right w:val="none" w:sz="0" w:space="0" w:color="auto"/>
              </w:divBdr>
              <w:divsChild>
                <w:div w:id="2137596108">
                  <w:marLeft w:val="0"/>
                  <w:marRight w:val="0"/>
                  <w:marTop w:val="0"/>
                  <w:marBottom w:val="0"/>
                  <w:divBdr>
                    <w:top w:val="none" w:sz="0" w:space="0" w:color="auto"/>
                    <w:left w:val="none" w:sz="0" w:space="0" w:color="auto"/>
                    <w:bottom w:val="none" w:sz="0" w:space="0" w:color="auto"/>
                    <w:right w:val="none" w:sz="0" w:space="0" w:color="auto"/>
                  </w:divBdr>
                </w:div>
                <w:div w:id="114415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eel@uea.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DB8C5B-9B40-4111-9FE9-8F13199BB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6068</Words>
  <Characters>34589</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dc:creator>
  <cp:lastModifiedBy>Katherine</cp:lastModifiedBy>
  <cp:revision>2</cp:revision>
  <cp:lastPrinted>2015-06-11T18:17:00Z</cp:lastPrinted>
  <dcterms:created xsi:type="dcterms:W3CDTF">2015-11-18T18:47:00Z</dcterms:created>
  <dcterms:modified xsi:type="dcterms:W3CDTF">2015-11-18T18:47:00Z</dcterms:modified>
</cp:coreProperties>
</file>