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E71F82" w14:textId="77777777" w:rsidR="00A27FF6" w:rsidRPr="00517CC8" w:rsidRDefault="00A27FF6" w:rsidP="00A27FF6">
      <w:pPr>
        <w:widowControl w:val="0"/>
        <w:autoSpaceDE w:val="0"/>
        <w:autoSpaceDN w:val="0"/>
        <w:adjustRightInd w:val="0"/>
        <w:jc w:val="center"/>
        <w:rPr>
          <w:rFonts w:ascii="Times New Roman" w:hAnsi="Times New Roman"/>
        </w:rPr>
      </w:pPr>
      <w:r w:rsidRPr="00517CC8">
        <w:rPr>
          <w:rFonts w:ascii="Times New Roman" w:hAnsi="Times New Roman"/>
        </w:rPr>
        <w:t xml:space="preserve">'Magna Carta and the </w:t>
      </w:r>
      <w:r w:rsidRPr="00517CC8">
        <w:rPr>
          <w:rFonts w:ascii="Times New Roman" w:hAnsi="Times New Roman"/>
          <w:i/>
        </w:rPr>
        <w:t>English Historical Review</w:t>
      </w:r>
      <w:r w:rsidRPr="00517CC8">
        <w:rPr>
          <w:rFonts w:ascii="Times New Roman" w:hAnsi="Times New Roman"/>
        </w:rPr>
        <w:t>: A Review Article'</w:t>
      </w:r>
    </w:p>
    <w:p w14:paraId="3DB07287" w14:textId="77777777" w:rsidR="00A27FF6" w:rsidRPr="00517CC8" w:rsidRDefault="00A27FF6" w:rsidP="00A27FF6">
      <w:pPr>
        <w:widowControl w:val="0"/>
        <w:autoSpaceDE w:val="0"/>
        <w:autoSpaceDN w:val="0"/>
        <w:adjustRightInd w:val="0"/>
        <w:jc w:val="center"/>
        <w:rPr>
          <w:rFonts w:ascii="Times New Roman" w:hAnsi="Times New Roman"/>
        </w:rPr>
      </w:pPr>
    </w:p>
    <w:p w14:paraId="352676A4" w14:textId="77777777" w:rsidR="00A27FF6" w:rsidRPr="00517CC8" w:rsidRDefault="00A27FF6" w:rsidP="00A27FF6">
      <w:pPr>
        <w:widowControl w:val="0"/>
        <w:autoSpaceDE w:val="0"/>
        <w:autoSpaceDN w:val="0"/>
        <w:adjustRightInd w:val="0"/>
        <w:jc w:val="center"/>
        <w:rPr>
          <w:rFonts w:ascii="Times New Roman" w:hAnsi="Times New Roman"/>
        </w:rPr>
      </w:pPr>
      <w:r w:rsidRPr="00517CC8">
        <w:rPr>
          <w:rFonts w:ascii="Times New Roman" w:hAnsi="Times New Roman"/>
        </w:rPr>
        <w:t>Nicholas Vincent</w:t>
      </w:r>
    </w:p>
    <w:p w14:paraId="1FA24F77" w14:textId="77777777" w:rsidR="00A27FF6" w:rsidRPr="00517CC8" w:rsidRDefault="00A27FF6" w:rsidP="00A27FF6">
      <w:pPr>
        <w:widowControl w:val="0"/>
        <w:autoSpaceDE w:val="0"/>
        <w:autoSpaceDN w:val="0"/>
        <w:adjustRightInd w:val="0"/>
        <w:jc w:val="center"/>
        <w:rPr>
          <w:rFonts w:ascii="Times New Roman" w:hAnsi="Times New Roman"/>
        </w:rPr>
      </w:pPr>
    </w:p>
    <w:p w14:paraId="30CF5290" w14:textId="77777777" w:rsidR="00A27FF6" w:rsidRPr="00517CC8" w:rsidRDefault="00A27FF6" w:rsidP="00A27FF6">
      <w:pPr>
        <w:widowControl w:val="0"/>
        <w:autoSpaceDE w:val="0"/>
        <w:autoSpaceDN w:val="0"/>
        <w:adjustRightInd w:val="0"/>
        <w:jc w:val="center"/>
        <w:rPr>
          <w:rFonts w:ascii="Times New Roman" w:hAnsi="Times New Roman"/>
        </w:rPr>
      </w:pPr>
    </w:p>
    <w:p w14:paraId="1C9F18FC" w14:textId="77777777" w:rsidR="00A27FF6" w:rsidRPr="00517CC8" w:rsidRDefault="00A27FF6" w:rsidP="00A27FF6">
      <w:pPr>
        <w:widowControl w:val="0"/>
        <w:autoSpaceDE w:val="0"/>
        <w:autoSpaceDN w:val="0"/>
        <w:adjustRightInd w:val="0"/>
        <w:ind w:left="567" w:right="929"/>
        <w:rPr>
          <w:rFonts w:ascii="Times New Roman" w:hAnsi="Times New Roman"/>
          <w:bCs/>
          <w:sz w:val="20"/>
          <w:szCs w:val="20"/>
        </w:rPr>
      </w:pPr>
      <w:r w:rsidRPr="00517CC8">
        <w:rPr>
          <w:rFonts w:ascii="Times New Roman" w:hAnsi="Times New Roman"/>
          <w:sz w:val="20"/>
          <w:szCs w:val="20"/>
        </w:rPr>
        <w:t>'</w:t>
      </w:r>
      <w:r w:rsidRPr="00517CC8">
        <w:rPr>
          <w:rFonts w:ascii="Times New Roman" w:hAnsi="Times New Roman"/>
          <w:bCs/>
          <w:sz w:val="20"/>
          <w:szCs w:val="20"/>
        </w:rPr>
        <w:t xml:space="preserve">In the medieval landscape Magna Carta is rather like Vesuvius.  It is a grand object, never quite inactive, always plumed with smoke, sometimes emitting a cascade of miscellaneous debris on to the surrounding countryside, but seldom in full-scale eruption' </w:t>
      </w:r>
    </w:p>
    <w:p w14:paraId="1E8E37A4" w14:textId="77777777" w:rsidR="00A27FF6" w:rsidRPr="00517CC8" w:rsidRDefault="00A27FF6" w:rsidP="00A27FF6">
      <w:pPr>
        <w:widowControl w:val="0"/>
        <w:autoSpaceDE w:val="0"/>
        <w:autoSpaceDN w:val="0"/>
        <w:adjustRightInd w:val="0"/>
        <w:ind w:left="567" w:right="929"/>
        <w:rPr>
          <w:rFonts w:ascii="Times New Roman" w:hAnsi="Times New Roman"/>
          <w:sz w:val="20"/>
          <w:szCs w:val="20"/>
        </w:rPr>
      </w:pPr>
      <w:r w:rsidRPr="00517CC8">
        <w:rPr>
          <w:rFonts w:ascii="Times New Roman" w:hAnsi="Times New Roman"/>
          <w:bCs/>
          <w:sz w:val="20"/>
          <w:szCs w:val="20"/>
        </w:rPr>
        <w:t xml:space="preserve">(R.W. Southern, reviewing J.C. Holt, </w:t>
      </w:r>
      <w:r w:rsidRPr="00517CC8">
        <w:rPr>
          <w:rFonts w:ascii="Times New Roman" w:hAnsi="Times New Roman"/>
          <w:bCs/>
          <w:i/>
          <w:sz w:val="20"/>
          <w:szCs w:val="20"/>
        </w:rPr>
        <w:t>Magna Carta</w:t>
      </w:r>
      <w:r w:rsidRPr="00517CC8">
        <w:rPr>
          <w:rFonts w:ascii="Times New Roman" w:hAnsi="Times New Roman"/>
          <w:bCs/>
          <w:sz w:val="20"/>
          <w:szCs w:val="20"/>
        </w:rPr>
        <w:t xml:space="preserve">, </w:t>
      </w:r>
      <w:r w:rsidRPr="00517CC8">
        <w:rPr>
          <w:rFonts w:ascii="Times New Roman" w:hAnsi="Times New Roman"/>
          <w:bCs/>
          <w:i/>
          <w:sz w:val="20"/>
          <w:szCs w:val="20"/>
        </w:rPr>
        <w:t>ante</w:t>
      </w:r>
      <w:r w:rsidRPr="00517CC8">
        <w:rPr>
          <w:rFonts w:ascii="Times New Roman" w:hAnsi="Times New Roman"/>
          <w:bCs/>
          <w:sz w:val="20"/>
          <w:szCs w:val="20"/>
        </w:rPr>
        <w:t>, lxxxii (1967), 342)</w:t>
      </w:r>
    </w:p>
    <w:p w14:paraId="50F95BFA" w14:textId="77777777" w:rsidR="00A27FF6" w:rsidRPr="00517CC8" w:rsidRDefault="00A27FF6" w:rsidP="00A27FF6">
      <w:pPr>
        <w:widowControl w:val="0"/>
        <w:autoSpaceDE w:val="0"/>
        <w:autoSpaceDN w:val="0"/>
        <w:adjustRightInd w:val="0"/>
        <w:rPr>
          <w:rFonts w:ascii="Times New Roman" w:hAnsi="Times New Roman"/>
        </w:rPr>
      </w:pPr>
    </w:p>
    <w:p w14:paraId="094A7804" w14:textId="77777777" w:rsidR="00A27FF6" w:rsidRDefault="00A27FF6" w:rsidP="00A27FF6">
      <w:pPr>
        <w:widowControl w:val="0"/>
        <w:autoSpaceDE w:val="0"/>
        <w:autoSpaceDN w:val="0"/>
        <w:adjustRightInd w:val="0"/>
        <w:rPr>
          <w:rFonts w:ascii="Times New Roman" w:hAnsi="Times New Roman"/>
        </w:rPr>
      </w:pPr>
      <w:r w:rsidRPr="00517CC8">
        <w:rPr>
          <w:rFonts w:ascii="Times New Roman" w:hAnsi="Times New Roman"/>
        </w:rPr>
        <w:t xml:space="preserve">2015 marks the 800th anniversary of Magna Carta, itself widely regarded as a means by which kings, medieval and post-medieval, were taught to respect the rule of law.  As the oldest and most distinguished of </w:t>
      </w:r>
      <w:r>
        <w:rPr>
          <w:rFonts w:ascii="Times New Roman" w:hAnsi="Times New Roman"/>
        </w:rPr>
        <w:t>Anglophone</w:t>
      </w:r>
      <w:r w:rsidRPr="00517CC8">
        <w:rPr>
          <w:rFonts w:ascii="Times New Roman" w:hAnsi="Times New Roman"/>
        </w:rPr>
        <w:t xml:space="preserve"> historical periodicals, </w:t>
      </w:r>
      <w:r w:rsidRPr="007E6A8F">
        <w:rPr>
          <w:rFonts w:ascii="Times New Roman" w:hAnsi="Times New Roman"/>
          <w:i/>
        </w:rPr>
        <w:t>EHR</w:t>
      </w:r>
      <w:r w:rsidRPr="00517CC8">
        <w:rPr>
          <w:rFonts w:ascii="Times New Roman" w:hAnsi="Times New Roman"/>
        </w:rPr>
        <w:t xml:space="preserve"> has </w:t>
      </w:r>
      <w:r>
        <w:rPr>
          <w:rFonts w:ascii="Times New Roman" w:hAnsi="Times New Roman"/>
        </w:rPr>
        <w:t>carried</w:t>
      </w:r>
      <w:r w:rsidRPr="00517CC8">
        <w:rPr>
          <w:rFonts w:ascii="Times New Roman" w:hAnsi="Times New Roman"/>
        </w:rPr>
        <w:t xml:space="preserve"> many new findings on Magna Carta.  In what follows, I attempt a survey of this contribution, singling out half a dozen articles published over the past 130 years, assembled as a special 'Magna Carta Issue'.  What I hope will emerge is the extraordinary breadth of the materials that </w:t>
      </w:r>
      <w:r w:rsidRPr="00517CC8">
        <w:rPr>
          <w:rFonts w:ascii="Times New Roman" w:hAnsi="Times New Roman"/>
          <w:i/>
        </w:rPr>
        <w:t>EHR</w:t>
      </w:r>
      <w:r w:rsidRPr="00517CC8">
        <w:rPr>
          <w:rFonts w:ascii="Times New Roman" w:hAnsi="Times New Roman"/>
        </w:rPr>
        <w:t xml:space="preserve"> has broadcast.</w:t>
      </w:r>
      <w:r>
        <w:rPr>
          <w:rFonts w:ascii="Times New Roman" w:hAnsi="Times New Roman"/>
        </w:rPr>
        <w:t xml:space="preserve">  For ease of reference, I have divided this survey into four periods.  Were we seeking a terminology here, I would suggest 'the era of Stubbs', 'the era of Powicke', 'the era of Holt', and 'the post-Stubbsian age'.</w:t>
      </w:r>
    </w:p>
    <w:p w14:paraId="08EADE0A" w14:textId="77777777" w:rsidR="00A27FF6" w:rsidRDefault="00A27FF6" w:rsidP="00A27FF6">
      <w:pPr>
        <w:widowControl w:val="0"/>
        <w:autoSpaceDE w:val="0"/>
        <w:autoSpaceDN w:val="0"/>
        <w:adjustRightInd w:val="0"/>
        <w:rPr>
          <w:rFonts w:ascii="Times New Roman" w:hAnsi="Times New Roman"/>
        </w:rPr>
      </w:pPr>
    </w:p>
    <w:p w14:paraId="3554DC08" w14:textId="77777777" w:rsidR="00A27FF6" w:rsidRDefault="00A27FF6" w:rsidP="00A27FF6">
      <w:pPr>
        <w:widowControl w:val="0"/>
        <w:autoSpaceDE w:val="0"/>
        <w:autoSpaceDN w:val="0"/>
        <w:adjustRightInd w:val="0"/>
        <w:jc w:val="center"/>
        <w:rPr>
          <w:rFonts w:ascii="Times New Roman" w:hAnsi="Times New Roman"/>
        </w:rPr>
      </w:pPr>
    </w:p>
    <w:p w14:paraId="1389F3CE" w14:textId="77777777" w:rsidR="00A27FF6" w:rsidRDefault="00A27FF6" w:rsidP="00A27FF6">
      <w:pPr>
        <w:widowControl w:val="0"/>
        <w:autoSpaceDE w:val="0"/>
        <w:autoSpaceDN w:val="0"/>
        <w:adjustRightInd w:val="0"/>
        <w:jc w:val="center"/>
        <w:rPr>
          <w:rFonts w:ascii="Times New Roman" w:hAnsi="Times New Roman"/>
        </w:rPr>
      </w:pPr>
    </w:p>
    <w:p w14:paraId="2E5AD198" w14:textId="77777777" w:rsidR="00A27FF6" w:rsidRPr="00517CC8" w:rsidRDefault="00A27FF6" w:rsidP="00A27FF6">
      <w:pPr>
        <w:widowControl w:val="0"/>
        <w:autoSpaceDE w:val="0"/>
        <w:autoSpaceDN w:val="0"/>
        <w:adjustRightInd w:val="0"/>
        <w:jc w:val="center"/>
        <w:rPr>
          <w:rFonts w:ascii="Times New Roman" w:hAnsi="Times New Roman"/>
        </w:rPr>
      </w:pPr>
      <w:r>
        <w:rPr>
          <w:rFonts w:ascii="Times New Roman" w:hAnsi="Times New Roman"/>
        </w:rPr>
        <w:t>1886-1918</w:t>
      </w:r>
    </w:p>
    <w:p w14:paraId="6D27910D" w14:textId="77777777" w:rsidR="00A27FF6" w:rsidRPr="00517CC8" w:rsidRDefault="00A27FF6" w:rsidP="00A27FF6">
      <w:pPr>
        <w:widowControl w:val="0"/>
        <w:autoSpaceDE w:val="0"/>
        <w:autoSpaceDN w:val="0"/>
        <w:adjustRightInd w:val="0"/>
        <w:rPr>
          <w:rFonts w:ascii="Times New Roman" w:hAnsi="Times New Roman"/>
        </w:rPr>
      </w:pPr>
    </w:p>
    <w:p w14:paraId="21F4A1F3" w14:textId="4BEACF24" w:rsidR="00A27FF6" w:rsidRPr="00517CC8" w:rsidRDefault="00A27FF6" w:rsidP="00A27FF6">
      <w:pPr>
        <w:rPr>
          <w:rFonts w:ascii="Times New Roman" w:hAnsi="Times New Roman"/>
        </w:rPr>
      </w:pPr>
      <w:r w:rsidRPr="00517CC8">
        <w:rPr>
          <w:rFonts w:ascii="Times New Roman" w:hAnsi="Times New Roman"/>
        </w:rPr>
        <w:t xml:space="preserve">The launch of </w:t>
      </w:r>
      <w:r w:rsidRPr="00517CC8">
        <w:rPr>
          <w:rFonts w:ascii="Times New Roman" w:hAnsi="Times New Roman"/>
          <w:i/>
        </w:rPr>
        <w:t>EHR</w:t>
      </w:r>
      <w:r w:rsidRPr="00517CC8">
        <w:rPr>
          <w:rFonts w:ascii="Times New Roman" w:hAnsi="Times New Roman"/>
        </w:rPr>
        <w:t xml:space="preserve"> occurred </w:t>
      </w:r>
      <w:r>
        <w:rPr>
          <w:rFonts w:ascii="Times New Roman" w:hAnsi="Times New Roman"/>
        </w:rPr>
        <w:t>within a decade of the publication</w:t>
      </w:r>
      <w:r w:rsidRPr="00517CC8">
        <w:rPr>
          <w:rFonts w:ascii="Times New Roman" w:hAnsi="Times New Roman"/>
        </w:rPr>
        <w:t xml:space="preserve"> of William Stubbs'</w:t>
      </w:r>
      <w:r>
        <w:rPr>
          <w:rFonts w:ascii="Times New Roman" w:hAnsi="Times New Roman"/>
        </w:rPr>
        <w:t>s</w:t>
      </w:r>
      <w:r w:rsidRPr="00517CC8">
        <w:rPr>
          <w:rFonts w:ascii="Times New Roman" w:hAnsi="Times New Roman"/>
        </w:rPr>
        <w:t xml:space="preserve"> </w:t>
      </w:r>
      <w:r w:rsidRPr="00517CC8">
        <w:rPr>
          <w:rFonts w:ascii="Times New Roman" w:hAnsi="Times New Roman"/>
          <w:i/>
        </w:rPr>
        <w:t>Constitutional History of England</w:t>
      </w:r>
      <w:r>
        <w:rPr>
          <w:rFonts w:ascii="Times New Roman" w:hAnsi="Times New Roman"/>
        </w:rPr>
        <w:t xml:space="preserve"> (1874-8), in many ways Victorian constitutionalism's high water mark.  According to Stubbs (here writing in a present historic tense that may come as a surprise to those believin</w:t>
      </w:r>
      <w:r w:rsidR="00497837">
        <w:rPr>
          <w:rFonts w:ascii="Times New Roman" w:hAnsi="Times New Roman"/>
        </w:rPr>
        <w:t>g such things a modern barbarism</w:t>
      </w:r>
      <w:r>
        <w:rPr>
          <w:rFonts w:ascii="Times New Roman" w:hAnsi="Times New Roman"/>
        </w:rPr>
        <w:t>), Magna Carta was '</w:t>
      </w:r>
      <w:r>
        <w:rPr>
          <w:rFonts w:ascii="Times-Roman" w:hAnsi="Times-Roman" w:cs="Times-Roman"/>
          <w:iCs/>
          <w:szCs w:val="32"/>
          <w:lang w:bidi="en-US"/>
        </w:rPr>
        <w:t>t</w:t>
      </w:r>
      <w:r w:rsidRPr="00845A6E">
        <w:rPr>
          <w:rFonts w:ascii="Times-Roman" w:hAnsi="Times-Roman" w:cs="Times-Roman"/>
          <w:iCs/>
          <w:szCs w:val="32"/>
          <w:lang w:bidi="en-US"/>
        </w:rPr>
        <w:t xml:space="preserve">he first great public act of </w:t>
      </w:r>
      <w:r w:rsidRPr="001A71F1">
        <w:rPr>
          <w:rFonts w:ascii="Times New Roman" w:hAnsi="Times New Roman"/>
          <w:iCs/>
          <w:lang w:bidi="en-US"/>
        </w:rPr>
        <w:t>the nation, after it has realised its own identity: the consummation of the work for which unconsciously kings, prelates, and lawyers have been labouring for a century’.</w:t>
      </w:r>
      <w:r w:rsidRPr="001A71F1">
        <w:rPr>
          <w:rFonts w:ascii="Times New Roman" w:hAnsi="Times New Roman"/>
        </w:rPr>
        <w:t xml:space="preserve"> As a result, 'the whole of the constitutional history of England is little more than a commentary on Magna Carta'.</w:t>
      </w:r>
      <w:r w:rsidRPr="001A71F1">
        <w:rPr>
          <w:rStyle w:val="FootnoteReference"/>
          <w:rFonts w:ascii="Times New Roman" w:hAnsi="Times New Roman"/>
          <w:iCs/>
          <w:lang w:bidi="en-US"/>
        </w:rPr>
        <w:footnoteReference w:id="1"/>
      </w:r>
      <w:r>
        <w:rPr>
          <w:rFonts w:ascii="Times New Roman" w:hAnsi="Times New Roman"/>
        </w:rPr>
        <w:t xml:space="preserve">  </w:t>
      </w:r>
      <w:r w:rsidRPr="001A71F1">
        <w:rPr>
          <w:rFonts w:ascii="Times New Roman" w:hAnsi="Times New Roman"/>
        </w:rPr>
        <w:t>Stubbs's</w:t>
      </w:r>
      <w:r w:rsidRPr="00517CC8">
        <w:rPr>
          <w:rFonts w:ascii="Times New Roman" w:hAnsi="Times New Roman"/>
        </w:rPr>
        <w:t xml:space="preserve"> pupils, most notably John Horace Round, </w:t>
      </w:r>
      <w:r>
        <w:rPr>
          <w:rFonts w:ascii="Times New Roman" w:hAnsi="Times New Roman"/>
        </w:rPr>
        <w:t xml:space="preserve">found this too large a pill to swallow, even within a decade of its first concoction.  As a result, </w:t>
      </w:r>
      <w:r w:rsidRPr="00517CC8">
        <w:rPr>
          <w:rFonts w:ascii="Times New Roman" w:hAnsi="Times New Roman"/>
        </w:rPr>
        <w:t>Stubbs</w:t>
      </w:r>
      <w:r>
        <w:rPr>
          <w:rFonts w:ascii="Times New Roman" w:hAnsi="Times New Roman"/>
        </w:rPr>
        <w:t xml:space="preserve">'s chief legacy lay not in the 'Whig' </w:t>
      </w:r>
      <w:r w:rsidRPr="00497837">
        <w:rPr>
          <w:rFonts w:ascii="Times New Roman" w:hAnsi="Times New Roman"/>
        </w:rPr>
        <w:t>(</w:t>
      </w:r>
      <w:r w:rsidR="00497837">
        <w:rPr>
          <w:rFonts w:ascii="Times New Roman" w:hAnsi="Times New Roman"/>
        </w:rPr>
        <w:t>in fact part</w:t>
      </w:r>
      <w:r w:rsidRPr="00497837">
        <w:rPr>
          <w:rFonts w:ascii="Times New Roman" w:hAnsi="Times New Roman"/>
        </w:rPr>
        <w:t xml:space="preserve"> 'Tory'</w:t>
      </w:r>
      <w:r>
        <w:rPr>
          <w:rFonts w:ascii="Times New Roman" w:hAnsi="Times New Roman"/>
        </w:rPr>
        <w:t xml:space="preserve">) teleology of the </w:t>
      </w:r>
      <w:r w:rsidRPr="001A71F1">
        <w:rPr>
          <w:rFonts w:ascii="Times New Roman" w:hAnsi="Times New Roman"/>
          <w:i/>
        </w:rPr>
        <w:t>Constitutional History</w:t>
      </w:r>
      <w:r>
        <w:rPr>
          <w:rFonts w:ascii="Times New Roman" w:hAnsi="Times New Roman"/>
        </w:rPr>
        <w:t xml:space="preserve"> but in what Stubbs himself might have considered his lesser works, his editions of chronicles and his </w:t>
      </w:r>
      <w:r w:rsidRPr="001A71F1">
        <w:rPr>
          <w:rFonts w:ascii="Times New Roman" w:hAnsi="Times New Roman"/>
          <w:i/>
        </w:rPr>
        <w:t>Select Charters</w:t>
      </w:r>
      <w:r>
        <w:rPr>
          <w:rFonts w:ascii="Times New Roman" w:hAnsi="Times New Roman"/>
        </w:rPr>
        <w:t xml:space="preserve">, intended from the outset as a student crib.  So workaday was the </w:t>
      </w:r>
      <w:r w:rsidRPr="00BA3DFE">
        <w:rPr>
          <w:rFonts w:ascii="Times New Roman" w:hAnsi="Times New Roman"/>
          <w:i/>
        </w:rPr>
        <w:t>Select Charters</w:t>
      </w:r>
      <w:r>
        <w:rPr>
          <w:rFonts w:ascii="Times New Roman" w:hAnsi="Times New Roman"/>
        </w:rPr>
        <w:t xml:space="preserve"> that although first published in 1870, no copy of it earlier than the 4th edition of 1881 seems to survive in the Bodleian, and no copy earlier than 1884 in the British Library.</w:t>
      </w:r>
      <w:r>
        <w:rPr>
          <w:rStyle w:val="FootnoteReference"/>
          <w:rFonts w:ascii="Times New Roman" w:hAnsi="Times New Roman"/>
        </w:rPr>
        <w:footnoteReference w:id="2"/>
      </w:r>
      <w:r>
        <w:rPr>
          <w:rFonts w:ascii="Times New Roman" w:hAnsi="Times New Roman"/>
        </w:rPr>
        <w:t xml:space="preserve">  Yet, it was by this means that Stubbs helped </w:t>
      </w:r>
      <w:r>
        <w:rPr>
          <w:rFonts w:ascii="Times New Roman" w:hAnsi="Times New Roman"/>
        </w:rPr>
        <w:lastRenderedPageBreak/>
        <w:t xml:space="preserve">establish a close connection </w:t>
      </w:r>
      <w:r w:rsidRPr="00517CC8">
        <w:rPr>
          <w:rFonts w:ascii="Times New Roman" w:hAnsi="Times New Roman"/>
        </w:rPr>
        <w:t xml:space="preserve">between </w:t>
      </w:r>
      <w:r>
        <w:rPr>
          <w:rFonts w:ascii="Times New Roman" w:hAnsi="Times New Roman"/>
        </w:rPr>
        <w:t xml:space="preserve">the writing of </w:t>
      </w:r>
      <w:r w:rsidRPr="00517CC8">
        <w:rPr>
          <w:rFonts w:ascii="Times New Roman" w:hAnsi="Times New Roman"/>
        </w:rPr>
        <w:t xml:space="preserve">history and the edition of medieval </w:t>
      </w:r>
      <w:r>
        <w:rPr>
          <w:rFonts w:ascii="Times New Roman" w:hAnsi="Times New Roman"/>
        </w:rPr>
        <w:t>texts, with Magna Carta as the greatest medieval text of all</w:t>
      </w:r>
      <w:r w:rsidRPr="00517CC8">
        <w:rPr>
          <w:rFonts w:ascii="Times New Roman" w:hAnsi="Times New Roman"/>
        </w:rPr>
        <w:t>.  At Oxford</w:t>
      </w:r>
      <w:r>
        <w:rPr>
          <w:rFonts w:ascii="Times New Roman" w:hAnsi="Times New Roman"/>
        </w:rPr>
        <w:t xml:space="preserve">, in part at least in order to assist with the teaching of Stubbs's </w:t>
      </w:r>
      <w:r w:rsidRPr="00327385">
        <w:rPr>
          <w:rFonts w:ascii="Times New Roman" w:hAnsi="Times New Roman"/>
          <w:i/>
        </w:rPr>
        <w:t>Charters</w:t>
      </w:r>
      <w:r w:rsidRPr="00517CC8">
        <w:rPr>
          <w:rFonts w:ascii="Times New Roman" w:hAnsi="Times New Roman"/>
        </w:rPr>
        <w:t>, classes in palaeography were made available</w:t>
      </w:r>
      <w:r>
        <w:rPr>
          <w:rFonts w:ascii="Times New Roman" w:hAnsi="Times New Roman"/>
        </w:rPr>
        <w:t xml:space="preserve"> from 1889 onwards</w:t>
      </w:r>
      <w:r w:rsidRPr="00517CC8">
        <w:rPr>
          <w:rFonts w:ascii="Times New Roman" w:hAnsi="Times New Roman"/>
        </w:rPr>
        <w:t xml:space="preserve">, followed in the 1890s by classes in diplomatic taught by Reginald Lane Poole, </w:t>
      </w:r>
      <w:r w:rsidRPr="00446E88">
        <w:rPr>
          <w:rFonts w:ascii="Times New Roman" w:hAnsi="Times New Roman"/>
          <w:i/>
        </w:rPr>
        <w:t>EHR</w:t>
      </w:r>
      <w:r>
        <w:rPr>
          <w:rFonts w:ascii="Times New Roman" w:hAnsi="Times New Roman"/>
        </w:rPr>
        <w:t xml:space="preserve">'s </w:t>
      </w:r>
      <w:r w:rsidRPr="00517CC8">
        <w:rPr>
          <w:rFonts w:ascii="Times New Roman" w:hAnsi="Times New Roman"/>
        </w:rPr>
        <w:t>editor from 1895 to 1920.</w:t>
      </w:r>
      <w:r w:rsidRPr="00517CC8">
        <w:rPr>
          <w:rStyle w:val="FootnoteReference"/>
          <w:rFonts w:ascii="Times New Roman" w:hAnsi="Times New Roman"/>
        </w:rPr>
        <w:footnoteReference w:id="3"/>
      </w:r>
      <w:r w:rsidRPr="00517CC8">
        <w:rPr>
          <w:rFonts w:ascii="Times New Roman" w:hAnsi="Times New Roman"/>
        </w:rPr>
        <w:t xml:space="preserve">  In Cambridge, although there was less formal </w:t>
      </w:r>
      <w:r>
        <w:rPr>
          <w:rFonts w:ascii="Times New Roman" w:hAnsi="Times New Roman"/>
        </w:rPr>
        <w:t>teaching provision for medievalists</w:t>
      </w:r>
      <w:r w:rsidRPr="00517CC8">
        <w:rPr>
          <w:rFonts w:ascii="Times New Roman" w:hAnsi="Times New Roman"/>
        </w:rPr>
        <w:t xml:space="preserve">, Maitland and others </w:t>
      </w:r>
      <w:r>
        <w:rPr>
          <w:rFonts w:ascii="Times New Roman" w:hAnsi="Times New Roman"/>
        </w:rPr>
        <w:t xml:space="preserve">trailed in Magna Carta's wake, publishing plea rolls, </w:t>
      </w:r>
      <w:proofErr w:type="gramStart"/>
      <w:r>
        <w:rPr>
          <w:rFonts w:ascii="Times New Roman" w:hAnsi="Times New Roman"/>
        </w:rPr>
        <w:t>year books</w:t>
      </w:r>
      <w:proofErr w:type="gramEnd"/>
      <w:r>
        <w:rPr>
          <w:rFonts w:ascii="Times New Roman" w:hAnsi="Times New Roman"/>
        </w:rPr>
        <w:t xml:space="preserve"> and other records of thirteenth-century law</w:t>
      </w:r>
      <w:r w:rsidRPr="00517CC8">
        <w:rPr>
          <w:rFonts w:ascii="Times New Roman" w:hAnsi="Times New Roman"/>
        </w:rPr>
        <w:t xml:space="preserve">. </w:t>
      </w:r>
    </w:p>
    <w:p w14:paraId="40F5B56E" w14:textId="77777777" w:rsidR="00A27FF6" w:rsidRPr="00517CC8" w:rsidRDefault="00A27FF6" w:rsidP="00A27FF6">
      <w:pPr>
        <w:widowControl w:val="0"/>
        <w:autoSpaceDE w:val="0"/>
        <w:autoSpaceDN w:val="0"/>
        <w:adjustRightInd w:val="0"/>
        <w:rPr>
          <w:rFonts w:ascii="Times New Roman" w:hAnsi="Times New Roman"/>
        </w:rPr>
      </w:pPr>
    </w:p>
    <w:p w14:paraId="2D3E01BF" w14:textId="77777777" w:rsidR="00A27FF6" w:rsidRPr="00517CC8" w:rsidRDefault="00A27FF6" w:rsidP="00A27FF6">
      <w:pPr>
        <w:widowControl w:val="0"/>
        <w:autoSpaceDE w:val="0"/>
        <w:autoSpaceDN w:val="0"/>
        <w:adjustRightInd w:val="0"/>
        <w:rPr>
          <w:rFonts w:ascii="Times New Roman" w:hAnsi="Times New Roman"/>
        </w:rPr>
      </w:pPr>
      <w:r>
        <w:rPr>
          <w:rFonts w:ascii="Times New Roman" w:hAnsi="Times New Roman"/>
        </w:rPr>
        <w:t xml:space="preserve">Magna Carta made occasional appearances in </w:t>
      </w:r>
      <w:r w:rsidRPr="00517CC8">
        <w:rPr>
          <w:rFonts w:ascii="Times New Roman" w:hAnsi="Times New Roman"/>
          <w:i/>
        </w:rPr>
        <w:t>EHR</w:t>
      </w:r>
      <w:r>
        <w:rPr>
          <w:rFonts w:ascii="Times New Roman" w:hAnsi="Times New Roman"/>
        </w:rPr>
        <w:t>, from the very first year of the journal's publication</w:t>
      </w:r>
      <w:r w:rsidRPr="00517CC8">
        <w:rPr>
          <w:rFonts w:ascii="Times New Roman" w:hAnsi="Times New Roman"/>
        </w:rPr>
        <w:t>.</w:t>
      </w:r>
      <w:r w:rsidRPr="00517CC8">
        <w:rPr>
          <w:rStyle w:val="FootnoteReference"/>
          <w:rFonts w:ascii="Times New Roman" w:hAnsi="Times New Roman"/>
        </w:rPr>
        <w:footnoteReference w:id="4"/>
      </w:r>
      <w:r w:rsidRPr="00517CC8">
        <w:rPr>
          <w:rFonts w:ascii="Times New Roman" w:hAnsi="Times New Roman"/>
        </w:rPr>
        <w:t xml:space="preserve">  But it was not until 1893</w:t>
      </w:r>
      <w:r>
        <w:rPr>
          <w:rFonts w:ascii="Times New Roman" w:hAnsi="Times New Roman"/>
        </w:rPr>
        <w:t xml:space="preserve"> </w:t>
      </w:r>
      <w:r w:rsidRPr="00517CC8">
        <w:rPr>
          <w:rFonts w:ascii="Times New Roman" w:hAnsi="Times New Roman"/>
        </w:rPr>
        <w:t xml:space="preserve">that </w:t>
      </w:r>
      <w:r>
        <w:rPr>
          <w:rFonts w:ascii="Times New Roman" w:hAnsi="Times New Roman"/>
        </w:rPr>
        <w:t xml:space="preserve">the charter took centre stage.  </w:t>
      </w:r>
      <w:r w:rsidRPr="00517CC8">
        <w:rPr>
          <w:rFonts w:ascii="Times New Roman" w:hAnsi="Times New Roman"/>
        </w:rPr>
        <w:t xml:space="preserve">In the midst of preparing his </w:t>
      </w:r>
      <w:r w:rsidRPr="00517CC8">
        <w:rPr>
          <w:rFonts w:ascii="Times New Roman" w:hAnsi="Times New Roman"/>
          <w:i/>
        </w:rPr>
        <w:t>Calendar of Documents in France illustrative of the History of Great Britain and Ireland</w:t>
      </w:r>
      <w:r w:rsidRPr="00517CC8">
        <w:rPr>
          <w:rFonts w:ascii="Times New Roman" w:hAnsi="Times New Roman"/>
        </w:rPr>
        <w:t xml:space="preserve"> (eventually published in 1899), </w:t>
      </w:r>
      <w:r>
        <w:rPr>
          <w:rFonts w:ascii="Times New Roman" w:hAnsi="Times New Roman"/>
        </w:rPr>
        <w:t xml:space="preserve">J.H. </w:t>
      </w:r>
      <w:r w:rsidRPr="00517CC8">
        <w:rPr>
          <w:rFonts w:ascii="Times New Roman" w:hAnsi="Times New Roman"/>
        </w:rPr>
        <w:t xml:space="preserve">Round had been trawling through transcripts from French </w:t>
      </w:r>
      <w:r>
        <w:rPr>
          <w:rFonts w:ascii="Times New Roman" w:hAnsi="Times New Roman"/>
        </w:rPr>
        <w:t>archives,</w:t>
      </w:r>
      <w:r w:rsidRPr="00517CC8">
        <w:rPr>
          <w:rFonts w:ascii="Times New Roman" w:hAnsi="Times New Roman"/>
        </w:rPr>
        <w:t xml:space="preserve"> prepared for the Record Commissioners in the 1830s.</w:t>
      </w:r>
      <w:r w:rsidRPr="00517CC8">
        <w:rPr>
          <w:rStyle w:val="FootnoteReference"/>
          <w:rFonts w:ascii="Times New Roman" w:hAnsi="Times New Roman"/>
        </w:rPr>
        <w:footnoteReference w:id="5"/>
      </w:r>
      <w:r w:rsidRPr="00517CC8">
        <w:rPr>
          <w:rFonts w:ascii="Times New Roman" w:hAnsi="Times New Roman"/>
        </w:rPr>
        <w:t xml:space="preserve">  There he came across a highly significant single sheet preserved in the French Archives nationales: a copy of Henry I's coronation charter followed by clauses granted by a King who could clearly be identified as King John.  </w:t>
      </w:r>
    </w:p>
    <w:p w14:paraId="3ED5CC7C" w14:textId="77777777" w:rsidR="00A27FF6" w:rsidRPr="00517CC8" w:rsidRDefault="00A27FF6" w:rsidP="00A27FF6">
      <w:pPr>
        <w:widowControl w:val="0"/>
        <w:autoSpaceDE w:val="0"/>
        <w:autoSpaceDN w:val="0"/>
        <w:adjustRightInd w:val="0"/>
        <w:rPr>
          <w:rFonts w:ascii="Times New Roman" w:hAnsi="Times New Roman"/>
        </w:rPr>
      </w:pPr>
    </w:p>
    <w:p w14:paraId="2B12918E" w14:textId="77777777" w:rsidR="00A27FF6" w:rsidRPr="00517CC8" w:rsidRDefault="00A27FF6" w:rsidP="00A27FF6">
      <w:pPr>
        <w:widowControl w:val="0"/>
        <w:autoSpaceDE w:val="0"/>
        <w:autoSpaceDN w:val="0"/>
        <w:adjustRightInd w:val="0"/>
        <w:rPr>
          <w:rFonts w:ascii="Times New Roman" w:hAnsi="Times New Roman"/>
        </w:rPr>
      </w:pPr>
      <w:r w:rsidRPr="00517CC8">
        <w:rPr>
          <w:rFonts w:ascii="Times New Roman" w:hAnsi="Times New Roman"/>
        </w:rPr>
        <w:t xml:space="preserve">This 'Unknown Charter', as Round termed it, was undoubtedly an early draft of the </w:t>
      </w:r>
      <w:r>
        <w:rPr>
          <w:rFonts w:ascii="Times New Roman" w:hAnsi="Times New Roman"/>
        </w:rPr>
        <w:t>negotiations brought to fulfilment at Runnymede</w:t>
      </w:r>
      <w:r w:rsidRPr="00517CC8">
        <w:rPr>
          <w:rFonts w:ascii="Times New Roman" w:hAnsi="Times New Roman"/>
        </w:rPr>
        <w:t>.</w:t>
      </w:r>
      <w:r w:rsidRPr="00517CC8">
        <w:rPr>
          <w:rStyle w:val="FootnoteReference"/>
          <w:rFonts w:ascii="Times New Roman" w:hAnsi="Times New Roman"/>
        </w:rPr>
        <w:footnoteReference w:id="6"/>
      </w:r>
      <w:r w:rsidRPr="00517CC8">
        <w:rPr>
          <w:rFonts w:ascii="Times New Roman" w:hAnsi="Times New Roman"/>
        </w:rPr>
        <w:t xml:space="preserve">  </w:t>
      </w:r>
      <w:r>
        <w:rPr>
          <w:rFonts w:ascii="Times New Roman" w:hAnsi="Times New Roman"/>
        </w:rPr>
        <w:t xml:space="preserve">It remains, even today, not only the first </w:t>
      </w:r>
      <w:proofErr w:type="gramStart"/>
      <w:r>
        <w:rPr>
          <w:rFonts w:ascii="Times New Roman" w:hAnsi="Times New Roman"/>
        </w:rPr>
        <w:t>but</w:t>
      </w:r>
      <w:proofErr w:type="gramEnd"/>
      <w:r>
        <w:rPr>
          <w:rFonts w:ascii="Times New Roman" w:hAnsi="Times New Roman"/>
        </w:rPr>
        <w:t xml:space="preserve"> easily the most significant Magna Carta discovery that </w:t>
      </w:r>
      <w:r w:rsidRPr="00563976">
        <w:rPr>
          <w:rFonts w:ascii="Times New Roman" w:hAnsi="Times New Roman"/>
          <w:i/>
        </w:rPr>
        <w:t>EHR</w:t>
      </w:r>
      <w:r>
        <w:rPr>
          <w:rFonts w:ascii="Times New Roman" w:hAnsi="Times New Roman"/>
        </w:rPr>
        <w:t xml:space="preserve"> has put into circulation.  </w:t>
      </w:r>
      <w:r w:rsidRPr="00517CC8">
        <w:rPr>
          <w:rFonts w:ascii="Times New Roman" w:hAnsi="Times New Roman"/>
        </w:rPr>
        <w:t xml:space="preserve">Round was </w:t>
      </w:r>
      <w:r>
        <w:rPr>
          <w:rFonts w:ascii="Times New Roman" w:hAnsi="Times New Roman"/>
        </w:rPr>
        <w:t>right</w:t>
      </w:r>
      <w:r w:rsidRPr="00517CC8">
        <w:rPr>
          <w:rFonts w:ascii="Times New Roman" w:hAnsi="Times New Roman"/>
        </w:rPr>
        <w:t xml:space="preserve"> to </w:t>
      </w:r>
      <w:r>
        <w:rPr>
          <w:rFonts w:ascii="Times New Roman" w:hAnsi="Times New Roman"/>
        </w:rPr>
        <w:t>stress</w:t>
      </w:r>
      <w:r w:rsidRPr="00517CC8">
        <w:rPr>
          <w:rFonts w:ascii="Times New Roman" w:hAnsi="Times New Roman"/>
        </w:rPr>
        <w:t xml:space="preserve"> its importance.  He was less accurate</w:t>
      </w:r>
      <w:r>
        <w:rPr>
          <w:rFonts w:ascii="Times New Roman" w:hAnsi="Times New Roman"/>
        </w:rPr>
        <w:t xml:space="preserve"> in identifying its whereabouts.  This was</w:t>
      </w:r>
      <w:r w:rsidRPr="00517CC8">
        <w:rPr>
          <w:rFonts w:ascii="Times New Roman" w:hAnsi="Times New Roman"/>
        </w:rPr>
        <w:t xml:space="preserve"> a point eagerly seized upon by Hubert Hall, himself a recent victim of Roundian persecution, only too keen to correct his tormentor.</w:t>
      </w:r>
      <w:r w:rsidRPr="00517CC8">
        <w:rPr>
          <w:rStyle w:val="FootnoteReference"/>
          <w:rFonts w:ascii="Times New Roman" w:hAnsi="Times New Roman"/>
        </w:rPr>
        <w:footnoteReference w:id="7"/>
      </w:r>
      <w:r w:rsidRPr="00517CC8">
        <w:rPr>
          <w:rFonts w:ascii="Times New Roman" w:hAnsi="Times New Roman"/>
        </w:rPr>
        <w:t xml:space="preserve"> In an </w:t>
      </w:r>
      <w:r w:rsidRPr="00517CC8">
        <w:rPr>
          <w:rFonts w:ascii="Times New Roman" w:hAnsi="Times New Roman"/>
          <w:i/>
        </w:rPr>
        <w:t>EHR</w:t>
      </w:r>
      <w:r w:rsidRPr="00517CC8">
        <w:rPr>
          <w:rFonts w:ascii="Times New Roman" w:hAnsi="Times New Roman"/>
        </w:rPr>
        <w:t xml:space="preserve"> note published in 1894, Hall, supported by the Frenchman Charles Bémont, gave the correct modern archival reference for Round's </w:t>
      </w:r>
      <w:r>
        <w:rPr>
          <w:rFonts w:ascii="Times New Roman" w:hAnsi="Times New Roman"/>
        </w:rPr>
        <w:t xml:space="preserve">charter.  In the process, they pointed out that, far </w:t>
      </w:r>
      <w:r w:rsidRPr="00517CC8">
        <w:rPr>
          <w:rFonts w:ascii="Times New Roman" w:hAnsi="Times New Roman"/>
        </w:rPr>
        <w:t>from</w:t>
      </w:r>
      <w:r>
        <w:rPr>
          <w:rFonts w:ascii="Times New Roman" w:hAnsi="Times New Roman"/>
        </w:rPr>
        <w:t xml:space="preserve"> being</w:t>
      </w:r>
      <w:r w:rsidRPr="00517CC8">
        <w:rPr>
          <w:rFonts w:ascii="Times New Roman" w:hAnsi="Times New Roman"/>
        </w:rPr>
        <w:t xml:space="preserve"> 'unknown', </w:t>
      </w:r>
      <w:r>
        <w:rPr>
          <w:rFonts w:ascii="Times New Roman" w:hAnsi="Times New Roman"/>
        </w:rPr>
        <w:t>it had</w:t>
      </w:r>
      <w:r w:rsidRPr="00517CC8">
        <w:rPr>
          <w:rFonts w:ascii="Times New Roman" w:hAnsi="Times New Roman"/>
        </w:rPr>
        <w:t xml:space="preserve"> been printed as long ago as 1863 in an official French edition.</w:t>
      </w:r>
      <w:r w:rsidRPr="00517CC8">
        <w:rPr>
          <w:rStyle w:val="FootnoteReference"/>
          <w:rFonts w:ascii="Times New Roman" w:hAnsi="Times New Roman"/>
        </w:rPr>
        <w:footnoteReference w:id="8"/>
      </w:r>
      <w:r w:rsidRPr="00517CC8">
        <w:rPr>
          <w:rFonts w:ascii="Times New Roman" w:hAnsi="Times New Roman"/>
        </w:rPr>
        <w:t xml:space="preserve">  Unfortunately for Hall, having floored Round on archival call numbers, the temptation arose to humiliate him further over points of interpretation. This was </w:t>
      </w:r>
      <w:r>
        <w:rPr>
          <w:rFonts w:ascii="Times New Roman" w:hAnsi="Times New Roman"/>
        </w:rPr>
        <w:t>unwise</w:t>
      </w:r>
      <w:r w:rsidRPr="00517CC8">
        <w:rPr>
          <w:rFonts w:ascii="Times New Roman" w:hAnsi="Times New Roman"/>
        </w:rPr>
        <w:t xml:space="preserve">.  It drew Hall into a </w:t>
      </w:r>
      <w:r>
        <w:rPr>
          <w:rFonts w:ascii="Times New Roman" w:hAnsi="Times New Roman"/>
        </w:rPr>
        <w:t>spider's web</w:t>
      </w:r>
      <w:r w:rsidRPr="00517CC8">
        <w:rPr>
          <w:rFonts w:ascii="Times New Roman" w:hAnsi="Times New Roman"/>
        </w:rPr>
        <w:t xml:space="preserve"> of conject</w:t>
      </w:r>
      <w:r>
        <w:rPr>
          <w:rFonts w:ascii="Times New Roman" w:hAnsi="Times New Roman"/>
        </w:rPr>
        <w:t>ure</w:t>
      </w:r>
      <w:r w:rsidRPr="00517CC8">
        <w:rPr>
          <w:rFonts w:ascii="Times New Roman" w:hAnsi="Times New Roman"/>
        </w:rPr>
        <w:t xml:space="preserve">.  The 'Unknown Charter', </w:t>
      </w:r>
      <w:r>
        <w:rPr>
          <w:rFonts w:ascii="Times New Roman" w:hAnsi="Times New Roman"/>
        </w:rPr>
        <w:t>Hall</w:t>
      </w:r>
      <w:r w:rsidRPr="00517CC8">
        <w:rPr>
          <w:rFonts w:ascii="Times New Roman" w:hAnsi="Times New Roman"/>
        </w:rPr>
        <w:t xml:space="preserve"> suggested, was not part of the negotiations over Magna Carta </w:t>
      </w:r>
      <w:r>
        <w:rPr>
          <w:rFonts w:ascii="Times New Roman" w:hAnsi="Times New Roman"/>
        </w:rPr>
        <w:t xml:space="preserve">as Round had supposed, </w:t>
      </w:r>
      <w:r w:rsidRPr="00517CC8">
        <w:rPr>
          <w:rFonts w:ascii="Times New Roman" w:hAnsi="Times New Roman"/>
        </w:rPr>
        <w:t>but instead, an archaic</w:t>
      </w:r>
      <w:r>
        <w:rPr>
          <w:rFonts w:ascii="Times New Roman" w:hAnsi="Times New Roman"/>
        </w:rPr>
        <w:t xml:space="preserve"> French forgery, made after 1215</w:t>
      </w:r>
      <w:r w:rsidRPr="00517CC8">
        <w:rPr>
          <w:rFonts w:ascii="Times New Roman" w:hAnsi="Times New Roman"/>
        </w:rPr>
        <w:t>, of what purported to be John's coronation charter issued in 1199, here preserved as justification for the French invasion of England</w:t>
      </w:r>
      <w:r>
        <w:rPr>
          <w:rFonts w:ascii="Times New Roman" w:hAnsi="Times New Roman"/>
        </w:rPr>
        <w:t xml:space="preserve"> in 1216</w:t>
      </w:r>
      <w:r w:rsidRPr="00517CC8">
        <w:rPr>
          <w:rFonts w:ascii="Times New Roman" w:hAnsi="Times New Roman"/>
        </w:rPr>
        <w:t>.</w:t>
      </w:r>
      <w:r w:rsidRPr="00517CC8">
        <w:rPr>
          <w:rStyle w:val="FootnoteReference"/>
          <w:rFonts w:ascii="Times New Roman" w:hAnsi="Times New Roman"/>
        </w:rPr>
        <w:footnoteReference w:id="9"/>
      </w:r>
      <w:r w:rsidRPr="00517CC8">
        <w:rPr>
          <w:rFonts w:ascii="Times New Roman" w:hAnsi="Times New Roman"/>
        </w:rPr>
        <w:t xml:space="preserve">  Subsequent scholarship, including notes published in the </w:t>
      </w:r>
      <w:r w:rsidRPr="00517CC8">
        <w:rPr>
          <w:rFonts w:ascii="Times New Roman" w:hAnsi="Times New Roman"/>
          <w:i/>
        </w:rPr>
        <w:t>EHR</w:t>
      </w:r>
      <w:r>
        <w:rPr>
          <w:rFonts w:ascii="Times New Roman" w:hAnsi="Times New Roman"/>
        </w:rPr>
        <w:t xml:space="preserve"> in 1894 and 1905, consigned</w:t>
      </w:r>
      <w:r w:rsidRPr="00517CC8">
        <w:rPr>
          <w:rFonts w:ascii="Times New Roman" w:hAnsi="Times New Roman"/>
        </w:rPr>
        <w:t xml:space="preserve"> Hall and his theory to </w:t>
      </w:r>
      <w:r>
        <w:rPr>
          <w:rFonts w:ascii="Times New Roman" w:hAnsi="Times New Roman"/>
        </w:rPr>
        <w:t>hapless</w:t>
      </w:r>
      <w:r w:rsidRPr="00517CC8">
        <w:rPr>
          <w:rFonts w:ascii="Times New Roman" w:hAnsi="Times New Roman"/>
        </w:rPr>
        <w:t xml:space="preserve"> obscurity.</w:t>
      </w:r>
      <w:r w:rsidRPr="00517CC8">
        <w:rPr>
          <w:rStyle w:val="FootnoteReference"/>
          <w:rFonts w:ascii="Times New Roman" w:hAnsi="Times New Roman"/>
        </w:rPr>
        <w:footnoteReference w:id="10"/>
      </w:r>
      <w:r w:rsidRPr="00517CC8">
        <w:rPr>
          <w:rFonts w:ascii="Times New Roman" w:hAnsi="Times New Roman"/>
        </w:rPr>
        <w:t xml:space="preserve"> Meanwhile, it is tempting to detect here the first </w:t>
      </w:r>
      <w:r>
        <w:rPr>
          <w:rFonts w:ascii="Times New Roman" w:hAnsi="Times New Roman"/>
        </w:rPr>
        <w:t>volley</w:t>
      </w:r>
      <w:r w:rsidRPr="00517CC8">
        <w:rPr>
          <w:rFonts w:ascii="Times New Roman" w:hAnsi="Times New Roman"/>
        </w:rPr>
        <w:t xml:space="preserve"> of grape shot in what was to develop into </w:t>
      </w:r>
      <w:r>
        <w:rPr>
          <w:rFonts w:ascii="Times New Roman" w:hAnsi="Times New Roman"/>
        </w:rPr>
        <w:t>that</w:t>
      </w:r>
      <w:r w:rsidRPr="00517CC8">
        <w:rPr>
          <w:rFonts w:ascii="Times New Roman" w:hAnsi="Times New Roman"/>
        </w:rPr>
        <w:t xml:space="preserve"> great </w:t>
      </w:r>
      <w:r>
        <w:rPr>
          <w:rFonts w:ascii="Times New Roman" w:hAnsi="Times New Roman"/>
        </w:rPr>
        <w:t>return of broadsides from Round</w:t>
      </w:r>
      <w:r w:rsidRPr="00517CC8">
        <w:rPr>
          <w:rFonts w:ascii="Times New Roman" w:hAnsi="Times New Roman"/>
        </w:rPr>
        <w:t xml:space="preserve"> </w:t>
      </w:r>
      <w:r>
        <w:rPr>
          <w:rFonts w:ascii="Times New Roman" w:hAnsi="Times New Roman"/>
        </w:rPr>
        <w:t xml:space="preserve">targeted </w:t>
      </w:r>
      <w:r w:rsidRPr="00517CC8">
        <w:rPr>
          <w:rFonts w:ascii="Times New Roman" w:hAnsi="Times New Roman"/>
        </w:rPr>
        <w:t>against Hall's</w:t>
      </w:r>
      <w:r>
        <w:rPr>
          <w:rFonts w:ascii="Times New Roman" w:hAnsi="Times New Roman"/>
        </w:rPr>
        <w:t xml:space="preserve"> flagship, </w:t>
      </w:r>
      <w:r w:rsidRPr="00517CC8">
        <w:rPr>
          <w:rFonts w:ascii="Times New Roman" w:hAnsi="Times New Roman"/>
        </w:rPr>
        <w:t xml:space="preserve">the </w:t>
      </w:r>
      <w:r w:rsidRPr="00517CC8">
        <w:rPr>
          <w:rFonts w:ascii="Times New Roman" w:hAnsi="Times New Roman"/>
          <w:i/>
        </w:rPr>
        <w:t>Red Book of the Exchequer</w:t>
      </w:r>
      <w:r w:rsidRPr="00517CC8">
        <w:rPr>
          <w:rFonts w:ascii="Times New Roman" w:hAnsi="Times New Roman"/>
        </w:rPr>
        <w:t xml:space="preserve"> (1896).</w:t>
      </w:r>
      <w:r w:rsidRPr="00517CC8">
        <w:rPr>
          <w:rStyle w:val="FootnoteReference"/>
          <w:rFonts w:ascii="Times New Roman" w:hAnsi="Times New Roman"/>
        </w:rPr>
        <w:footnoteReference w:id="11"/>
      </w:r>
      <w:r w:rsidRPr="00517CC8">
        <w:rPr>
          <w:rFonts w:ascii="Times New Roman" w:hAnsi="Times New Roman"/>
        </w:rPr>
        <w:t xml:space="preserve">  </w:t>
      </w:r>
      <w:r>
        <w:rPr>
          <w:rFonts w:ascii="Times New Roman" w:hAnsi="Times New Roman"/>
        </w:rPr>
        <w:t xml:space="preserve">It seems not previously to have been noticed that </w:t>
      </w:r>
      <w:proofErr w:type="gramStart"/>
      <w:r>
        <w:rPr>
          <w:rFonts w:ascii="Times New Roman" w:hAnsi="Times New Roman"/>
        </w:rPr>
        <w:t>t</w:t>
      </w:r>
      <w:r w:rsidRPr="00517CC8">
        <w:rPr>
          <w:rFonts w:ascii="Times New Roman" w:hAnsi="Times New Roman"/>
        </w:rPr>
        <w:t>he first shots</w:t>
      </w:r>
      <w:r>
        <w:rPr>
          <w:rFonts w:ascii="Times New Roman" w:hAnsi="Times New Roman"/>
        </w:rPr>
        <w:t xml:space="preserve"> in this battle</w:t>
      </w:r>
      <w:r w:rsidRPr="00517CC8">
        <w:rPr>
          <w:rFonts w:ascii="Times New Roman" w:hAnsi="Times New Roman"/>
        </w:rPr>
        <w:t xml:space="preserve"> were fired, in public at least, not by Round but by Hall</w:t>
      </w:r>
      <w:proofErr w:type="gramEnd"/>
      <w:r w:rsidRPr="00517CC8">
        <w:rPr>
          <w:rFonts w:ascii="Times New Roman" w:hAnsi="Times New Roman"/>
        </w:rPr>
        <w:t>.</w:t>
      </w:r>
    </w:p>
    <w:p w14:paraId="0266CCA1" w14:textId="77777777" w:rsidR="00A27FF6" w:rsidRPr="00517CC8" w:rsidRDefault="00A27FF6" w:rsidP="00A27FF6">
      <w:pPr>
        <w:widowControl w:val="0"/>
        <w:autoSpaceDE w:val="0"/>
        <w:autoSpaceDN w:val="0"/>
        <w:adjustRightInd w:val="0"/>
        <w:rPr>
          <w:rFonts w:ascii="Times New Roman" w:hAnsi="Times New Roman"/>
        </w:rPr>
      </w:pPr>
    </w:p>
    <w:p w14:paraId="3CC50060" w14:textId="0EFB20A9" w:rsidR="00A27FF6" w:rsidRPr="00517CC8" w:rsidRDefault="00A27FF6" w:rsidP="00A27FF6">
      <w:pPr>
        <w:widowControl w:val="0"/>
        <w:autoSpaceDE w:val="0"/>
        <w:autoSpaceDN w:val="0"/>
        <w:adjustRightInd w:val="0"/>
        <w:rPr>
          <w:rFonts w:ascii="Times New Roman" w:hAnsi="Times New Roman"/>
        </w:rPr>
      </w:pPr>
      <w:r w:rsidRPr="00517CC8">
        <w:rPr>
          <w:rFonts w:ascii="Times New Roman" w:hAnsi="Times New Roman"/>
        </w:rPr>
        <w:t xml:space="preserve">In 1894, Round published a second Magna Carta note, again as a result of his exploration of French sources.  A typically pugnacious piece, </w:t>
      </w:r>
      <w:r>
        <w:rPr>
          <w:rFonts w:ascii="Times New Roman" w:hAnsi="Times New Roman"/>
        </w:rPr>
        <w:t>steering close to</w:t>
      </w:r>
      <w:r w:rsidRPr="00517CC8">
        <w:rPr>
          <w:rFonts w:ascii="Times New Roman" w:hAnsi="Times New Roman"/>
        </w:rPr>
        <w:t xml:space="preserve"> </w:t>
      </w:r>
      <w:r>
        <w:rPr>
          <w:rFonts w:ascii="Times New Roman" w:hAnsi="Times New Roman"/>
        </w:rPr>
        <w:t>pedantry</w:t>
      </w:r>
      <w:r w:rsidRPr="00517CC8">
        <w:rPr>
          <w:rFonts w:ascii="Times New Roman" w:hAnsi="Times New Roman"/>
        </w:rPr>
        <w:t xml:space="preserve">, this was intended to correct a reference in </w:t>
      </w:r>
      <w:r>
        <w:rPr>
          <w:rFonts w:ascii="Times New Roman" w:hAnsi="Times New Roman"/>
        </w:rPr>
        <w:t xml:space="preserve">Pierre Adolphe </w:t>
      </w:r>
      <w:r w:rsidRPr="00517CC8">
        <w:rPr>
          <w:rFonts w:ascii="Times New Roman" w:hAnsi="Times New Roman"/>
        </w:rPr>
        <w:t xml:space="preserve">Chéruel's </w:t>
      </w:r>
      <w:r w:rsidRPr="00517CC8">
        <w:rPr>
          <w:rFonts w:ascii="Times New Roman" w:hAnsi="Times New Roman"/>
          <w:i/>
        </w:rPr>
        <w:t>Histoire de Rouen</w:t>
      </w:r>
      <w:r>
        <w:rPr>
          <w:rFonts w:ascii="Times New Roman" w:hAnsi="Times New Roman"/>
        </w:rPr>
        <w:t xml:space="preserve"> (1843-4).  Here </w:t>
      </w:r>
      <w:r w:rsidRPr="00517CC8">
        <w:rPr>
          <w:rFonts w:ascii="Times New Roman" w:hAnsi="Times New Roman"/>
        </w:rPr>
        <w:t xml:space="preserve">Chéruel had referred to a charter published in </w:t>
      </w:r>
      <w:r>
        <w:rPr>
          <w:rFonts w:ascii="Times New Roman" w:hAnsi="Times New Roman"/>
        </w:rPr>
        <w:t xml:space="preserve">Nicolas </w:t>
      </w:r>
      <w:r w:rsidRPr="00517CC8">
        <w:rPr>
          <w:rFonts w:ascii="Times New Roman" w:hAnsi="Times New Roman"/>
        </w:rPr>
        <w:t xml:space="preserve">Brussel's </w:t>
      </w:r>
      <w:r>
        <w:rPr>
          <w:rFonts w:ascii="Times New Roman" w:hAnsi="Times New Roman"/>
          <w:i/>
        </w:rPr>
        <w:t>Nouvel examen d</w:t>
      </w:r>
      <w:r w:rsidRPr="00517CC8">
        <w:rPr>
          <w:rFonts w:ascii="Times New Roman" w:hAnsi="Times New Roman"/>
          <w:i/>
        </w:rPr>
        <w:t xml:space="preserve">e l'usage </w:t>
      </w:r>
      <w:r>
        <w:rPr>
          <w:rFonts w:ascii="Times New Roman" w:hAnsi="Times New Roman"/>
          <w:i/>
        </w:rPr>
        <w:t xml:space="preserve">général </w:t>
      </w:r>
      <w:r w:rsidRPr="00517CC8">
        <w:rPr>
          <w:rFonts w:ascii="Times New Roman" w:hAnsi="Times New Roman"/>
          <w:i/>
        </w:rPr>
        <w:t>des fiefs</w:t>
      </w:r>
      <w:r w:rsidRPr="00517CC8">
        <w:rPr>
          <w:rFonts w:ascii="Times New Roman" w:hAnsi="Times New Roman"/>
        </w:rPr>
        <w:t xml:space="preserve"> (</w:t>
      </w:r>
      <w:r>
        <w:rPr>
          <w:rFonts w:ascii="Times New Roman" w:hAnsi="Times New Roman"/>
        </w:rPr>
        <w:t>1727</w:t>
      </w:r>
      <w:r w:rsidRPr="00517CC8">
        <w:rPr>
          <w:rFonts w:ascii="Times New Roman" w:hAnsi="Times New Roman"/>
        </w:rPr>
        <w:t>), purporting to be a version of Magna Carta granted not by King John or Henry III</w:t>
      </w:r>
      <w:r>
        <w:rPr>
          <w:rFonts w:ascii="Times New Roman" w:hAnsi="Times New Roman"/>
        </w:rPr>
        <w:t xml:space="preserve"> to the men of England</w:t>
      </w:r>
      <w:r w:rsidRPr="00517CC8">
        <w:rPr>
          <w:rFonts w:ascii="Times New Roman" w:hAnsi="Times New Roman"/>
        </w:rPr>
        <w:t xml:space="preserve"> but by Henry II</w:t>
      </w:r>
      <w:r>
        <w:rPr>
          <w:rFonts w:ascii="Times New Roman" w:hAnsi="Times New Roman"/>
        </w:rPr>
        <w:t xml:space="preserve"> to Normandy</w:t>
      </w:r>
      <w:r w:rsidRPr="00517CC8">
        <w:rPr>
          <w:rFonts w:ascii="Times New Roman" w:hAnsi="Times New Roman"/>
        </w:rPr>
        <w:t xml:space="preserve">.  </w:t>
      </w:r>
      <w:r>
        <w:rPr>
          <w:rFonts w:ascii="Times New Roman" w:hAnsi="Times New Roman"/>
        </w:rPr>
        <w:t xml:space="preserve">Brussel's </w:t>
      </w:r>
      <w:r w:rsidRPr="00517CC8">
        <w:rPr>
          <w:rFonts w:ascii="Times New Roman" w:hAnsi="Times New Roman"/>
        </w:rPr>
        <w:t>Norman Magna Carta, as Round revealed, was in fact nothing but a slightly modified version of Henry III's Magna Carta of 1225, clearly misattributed to Henry II.</w:t>
      </w:r>
      <w:r w:rsidRPr="00517CC8">
        <w:rPr>
          <w:rStyle w:val="FootnoteReference"/>
          <w:rFonts w:ascii="Times New Roman" w:hAnsi="Times New Roman"/>
        </w:rPr>
        <w:footnoteReference w:id="12"/>
      </w:r>
      <w:r w:rsidRPr="00517CC8">
        <w:rPr>
          <w:rFonts w:ascii="Times New Roman" w:hAnsi="Times New Roman"/>
        </w:rPr>
        <w:t xml:space="preserve">  Here, matters rested.  Round's note is seldom if ever cited.  But in fact, the Norman Magna Carta misattributed to Henry II is a document of </w:t>
      </w:r>
      <w:r>
        <w:rPr>
          <w:rFonts w:ascii="Times New Roman" w:hAnsi="Times New Roman"/>
        </w:rPr>
        <w:t>some importance</w:t>
      </w:r>
      <w:r w:rsidRPr="00517CC8">
        <w:rPr>
          <w:rFonts w:ascii="Times New Roman" w:hAnsi="Times New Roman"/>
        </w:rPr>
        <w:t>.  It comes from a family of manuscripts of the 1280s and 90s, prep</w:t>
      </w:r>
      <w:r w:rsidR="009671DD">
        <w:rPr>
          <w:rFonts w:ascii="Times New Roman" w:hAnsi="Times New Roman"/>
        </w:rPr>
        <w:t>ared in the build up to Louis X</w:t>
      </w:r>
      <w:r w:rsidRPr="00517CC8">
        <w:rPr>
          <w:rFonts w:ascii="Times New Roman" w:hAnsi="Times New Roman"/>
        </w:rPr>
        <w:t>'s Charte aux normands of 1315: an attempt by the Normans to guarantee their own distinctive Norman legal customs in the face of Capetian demands for conformity and taxation.  In pursuit of this, Norman lawyers were prepared not only to hunt out genuine evidence of the Norman past but, where necessary, to improve or invent evidence attributed to Norman and Plantagenet kings</w:t>
      </w:r>
      <w:r>
        <w:rPr>
          <w:rFonts w:ascii="Times New Roman" w:hAnsi="Times New Roman"/>
        </w:rPr>
        <w:t xml:space="preserve">. </w:t>
      </w:r>
      <w:r w:rsidRPr="00517CC8">
        <w:rPr>
          <w:rFonts w:ascii="Times New Roman" w:hAnsi="Times New Roman"/>
        </w:rPr>
        <w:t>As in England after 1066, so in Normandy after 1204 there was a great search for 'pre-Conquest' sources, some of them authentic, many of them not.  The intention was to demonstrate the antiquity of Norman law and Norman liberties, employing specifically 'English' or 'Anglo-Norman' evidence that the Capetian kings and their lawyers were powerless to challenge.</w:t>
      </w:r>
      <w:r>
        <w:rPr>
          <w:rFonts w:ascii="Times New Roman" w:hAnsi="Times New Roman"/>
        </w:rPr>
        <w:t xml:space="preserve">  Into this category fall not only the Norman Magna Carta but, I would argue, a large part of the so-called 'Très Ancien Coutumier', supposedly </w:t>
      </w:r>
      <w:r w:rsidR="00497837">
        <w:rPr>
          <w:rFonts w:ascii="Times New Roman" w:hAnsi="Times New Roman"/>
        </w:rPr>
        <w:t>a pre-1204</w:t>
      </w:r>
      <w:r>
        <w:rPr>
          <w:rFonts w:ascii="Times New Roman" w:hAnsi="Times New Roman"/>
        </w:rPr>
        <w:t xml:space="preserve"> Deuteronomy of Norman legal custom, in reality known from no copy before the late thirteenth-century</w:t>
      </w:r>
      <w:r w:rsidRPr="00517CC8">
        <w:rPr>
          <w:rFonts w:ascii="Times New Roman" w:hAnsi="Times New Roman"/>
        </w:rPr>
        <w:t xml:space="preserve">. </w:t>
      </w:r>
      <w:r w:rsidRPr="00517CC8">
        <w:rPr>
          <w:rStyle w:val="FootnoteReference"/>
          <w:rFonts w:ascii="Times New Roman" w:hAnsi="Times New Roman"/>
        </w:rPr>
        <w:footnoteReference w:id="13"/>
      </w:r>
    </w:p>
    <w:p w14:paraId="6CAC2C14" w14:textId="77777777" w:rsidR="00A27FF6" w:rsidRPr="00517CC8" w:rsidRDefault="00A27FF6" w:rsidP="00A27FF6">
      <w:pPr>
        <w:rPr>
          <w:rFonts w:ascii="Times New Roman" w:hAnsi="Times New Roman"/>
        </w:rPr>
      </w:pPr>
    </w:p>
    <w:p w14:paraId="2423FDDE" w14:textId="6FBD2705" w:rsidR="00A27FF6" w:rsidRPr="00517CC8" w:rsidRDefault="00A27FF6" w:rsidP="00A27FF6">
      <w:pPr>
        <w:rPr>
          <w:rFonts w:ascii="Times New Roman" w:hAnsi="Times New Roman"/>
        </w:rPr>
      </w:pPr>
      <w:r w:rsidRPr="00517CC8">
        <w:rPr>
          <w:rFonts w:ascii="Times New Roman" w:hAnsi="Times New Roman"/>
        </w:rPr>
        <w:t>Round was a product of Stubbs'</w:t>
      </w:r>
      <w:r>
        <w:rPr>
          <w:rFonts w:ascii="Times New Roman" w:hAnsi="Times New Roman"/>
        </w:rPr>
        <w:t>s</w:t>
      </w:r>
      <w:r w:rsidRPr="00517CC8">
        <w:rPr>
          <w:rFonts w:ascii="Times New Roman" w:hAnsi="Times New Roman"/>
        </w:rPr>
        <w:t xml:space="preserve"> Oxford.  By 1900, Oxford's predominance in medieval constitutional history had been challenged first by the Cambridge of Maitland (whose great </w:t>
      </w:r>
      <w:r w:rsidRPr="00517CC8">
        <w:rPr>
          <w:rFonts w:ascii="Times New Roman" w:hAnsi="Times New Roman"/>
          <w:i/>
        </w:rPr>
        <w:t>History of English Law</w:t>
      </w:r>
      <w:r>
        <w:rPr>
          <w:rFonts w:ascii="Times New Roman" w:hAnsi="Times New Roman"/>
        </w:rPr>
        <w:t xml:space="preserve"> appeared in 1895),</w:t>
      </w:r>
      <w:r w:rsidRPr="00517CC8">
        <w:rPr>
          <w:rFonts w:ascii="Times New Roman" w:hAnsi="Times New Roman"/>
        </w:rPr>
        <w:t xml:space="preserve"> then by the Manchester school headed by another of Stubbs'</w:t>
      </w:r>
      <w:r>
        <w:rPr>
          <w:rFonts w:ascii="Times New Roman" w:hAnsi="Times New Roman"/>
        </w:rPr>
        <w:t>s</w:t>
      </w:r>
      <w:r w:rsidRPr="00517CC8">
        <w:rPr>
          <w:rFonts w:ascii="Times New Roman" w:hAnsi="Times New Roman"/>
        </w:rPr>
        <w:t xml:space="preserve"> pupils, Thomas Tout.</w:t>
      </w:r>
      <w:r w:rsidRPr="00517CC8">
        <w:rPr>
          <w:rStyle w:val="FootnoteReference"/>
          <w:rFonts w:ascii="Times New Roman" w:hAnsi="Times New Roman"/>
        </w:rPr>
        <w:footnoteReference w:id="14"/>
      </w:r>
      <w:r w:rsidRPr="00517CC8">
        <w:rPr>
          <w:rFonts w:ascii="Times New Roman" w:hAnsi="Times New Roman"/>
        </w:rPr>
        <w:t xml:space="preserve">   Tout's colleague, James Tait, displayed many of the best (and some of the worst) characteristics of Manchester in an article of 1912, correcting both Maitland and McKechnie (the most comprehensive of Magna Carta's </w:t>
      </w:r>
      <w:r>
        <w:rPr>
          <w:rFonts w:ascii="Times New Roman" w:hAnsi="Times New Roman"/>
        </w:rPr>
        <w:t>recent</w:t>
      </w:r>
      <w:r w:rsidRPr="00517CC8">
        <w:rPr>
          <w:rFonts w:ascii="Times New Roman" w:hAnsi="Times New Roman"/>
        </w:rPr>
        <w:t xml:space="preserve"> commentators) in their translation of the word 'waynagium' in Magna Carta clause 20.  According to Tait, 'waynagium' was neither the instruments of husbandry nor 'waggonage' but derived from the French 'gagnage', both 'profit' and the means of obtaining such profit including tillage and land under cultivation.  In the process, Tait referred to a passage of Bracton, still worth noting today, </w:t>
      </w:r>
      <w:r>
        <w:rPr>
          <w:rFonts w:ascii="Times New Roman" w:hAnsi="Times New Roman"/>
        </w:rPr>
        <w:t>confirming</w:t>
      </w:r>
      <w:r w:rsidRPr="00517CC8">
        <w:rPr>
          <w:rFonts w:ascii="Times New Roman" w:hAnsi="Times New Roman"/>
        </w:rPr>
        <w:t xml:space="preserve"> the theoretical rights of </w:t>
      </w:r>
      <w:r w:rsidR="00497837">
        <w:rPr>
          <w:rFonts w:ascii="Times New Roman" w:hAnsi="Times New Roman"/>
        </w:rPr>
        <w:t>villeins</w:t>
      </w:r>
      <w:r w:rsidRPr="00517CC8">
        <w:rPr>
          <w:rFonts w:ascii="Times New Roman" w:hAnsi="Times New Roman"/>
        </w:rPr>
        <w:t xml:space="preserve"> to sue their lords should a lord bring about their economic </w:t>
      </w:r>
      <w:proofErr w:type="gramStart"/>
      <w:r w:rsidRPr="00517CC8">
        <w:rPr>
          <w:rFonts w:ascii="Times New Roman" w:hAnsi="Times New Roman"/>
        </w:rPr>
        <w:t>ruin.</w:t>
      </w:r>
      <w:proofErr w:type="gramEnd"/>
      <w:r w:rsidRPr="00517CC8">
        <w:rPr>
          <w:rFonts w:ascii="Times New Roman" w:hAnsi="Times New Roman"/>
        </w:rPr>
        <w:t xml:space="preserve">  Here</w:t>
      </w:r>
      <w:r>
        <w:rPr>
          <w:rFonts w:ascii="Times New Roman" w:hAnsi="Times New Roman"/>
        </w:rPr>
        <w:t>, from only a couple of decades after 1215,</w:t>
      </w:r>
      <w:r w:rsidRPr="00517CC8">
        <w:rPr>
          <w:rFonts w:ascii="Times New Roman" w:hAnsi="Times New Roman"/>
        </w:rPr>
        <w:t xml:space="preserve"> we find the language of </w:t>
      </w:r>
      <w:r>
        <w:rPr>
          <w:rFonts w:ascii="Times New Roman" w:hAnsi="Times New Roman"/>
        </w:rPr>
        <w:t xml:space="preserve">Magna Carta </w:t>
      </w:r>
      <w:r w:rsidRPr="00517CC8">
        <w:rPr>
          <w:rFonts w:ascii="Times New Roman" w:hAnsi="Times New Roman"/>
        </w:rPr>
        <w:t>associated with the int</w:t>
      </w:r>
      <w:r>
        <w:rPr>
          <w:rFonts w:ascii="Times New Roman" w:hAnsi="Times New Roman"/>
        </w:rPr>
        <w:t xml:space="preserve">erests not just of barons but </w:t>
      </w:r>
      <w:r w:rsidRPr="00517CC8">
        <w:rPr>
          <w:rFonts w:ascii="Times New Roman" w:hAnsi="Times New Roman"/>
        </w:rPr>
        <w:t>the common people.</w:t>
      </w:r>
      <w:bookmarkStart w:id="0" w:name="_GoBack"/>
      <w:r w:rsidRPr="00517CC8">
        <w:rPr>
          <w:rStyle w:val="FootnoteReference"/>
          <w:rFonts w:ascii="Times New Roman" w:hAnsi="Times New Roman"/>
        </w:rPr>
        <w:footnoteReference w:id="15"/>
      </w:r>
      <w:bookmarkEnd w:id="0"/>
      <w:r w:rsidRPr="00517CC8">
        <w:rPr>
          <w:rFonts w:ascii="Times New Roman" w:hAnsi="Times New Roman"/>
        </w:rPr>
        <w:t xml:space="preserve">  Tait's attempt to redefine the word 'contenementum' in Magna Carta clause 20 met with less success.  This was not, Tait argued, a synonym for 'tenementum' or 'landholding', but derived from the French 'contenance', or 'status/position'.   A brief note by A.F. Pollard, </w:t>
      </w:r>
      <w:r>
        <w:rPr>
          <w:rFonts w:ascii="Times New Roman" w:hAnsi="Times New Roman"/>
        </w:rPr>
        <w:t>the</w:t>
      </w:r>
      <w:r w:rsidRPr="00517CC8">
        <w:rPr>
          <w:rFonts w:ascii="Times New Roman" w:hAnsi="Times New Roman"/>
        </w:rPr>
        <w:t xml:space="preserve"> Tudor specialist, </w:t>
      </w:r>
      <w:r>
        <w:rPr>
          <w:rFonts w:ascii="Times New Roman" w:hAnsi="Times New Roman"/>
        </w:rPr>
        <w:t>confirmed this, drawing attention to</w:t>
      </w:r>
      <w:r w:rsidRPr="00517CC8">
        <w:rPr>
          <w:rFonts w:ascii="Times New Roman" w:hAnsi="Times New Roman"/>
        </w:rPr>
        <w:t xml:space="preserve"> Sir Edward's Coke's translation of 'contenementum' as 'countenance', here considered a synonym for 'credit' or 'public estimation'.</w:t>
      </w:r>
      <w:r w:rsidRPr="00517CC8">
        <w:rPr>
          <w:rStyle w:val="FootnoteReference"/>
          <w:rFonts w:ascii="Times New Roman" w:hAnsi="Times New Roman"/>
        </w:rPr>
        <w:footnoteReference w:id="16"/>
      </w:r>
      <w:r w:rsidRPr="00517CC8">
        <w:rPr>
          <w:rFonts w:ascii="Times New Roman" w:hAnsi="Times New Roman"/>
        </w:rPr>
        <w:t xml:space="preserve">  </w:t>
      </w:r>
      <w:r>
        <w:rPr>
          <w:rFonts w:ascii="Times New Roman" w:hAnsi="Times New Roman"/>
        </w:rPr>
        <w:t>By contrast,</w:t>
      </w:r>
      <w:r w:rsidRPr="00517CC8">
        <w:rPr>
          <w:rFonts w:ascii="Times New Roman" w:hAnsi="Times New Roman"/>
        </w:rPr>
        <w:t xml:space="preserve"> the standard modern English version of Magna Carta, by J.C. Holt, translates 'waynagium' as ‘wainage’</w:t>
      </w:r>
      <w:r>
        <w:rPr>
          <w:rFonts w:ascii="Times New Roman" w:hAnsi="Times New Roman"/>
        </w:rPr>
        <w:t>,</w:t>
      </w:r>
      <w:r w:rsidRPr="00517CC8">
        <w:rPr>
          <w:rFonts w:ascii="Times New Roman" w:hAnsi="Times New Roman"/>
        </w:rPr>
        <w:t xml:space="preserve"> and 'contenementum' as 'livelihood'.  In the process, Holt </w:t>
      </w:r>
      <w:r>
        <w:rPr>
          <w:rFonts w:ascii="Times New Roman" w:hAnsi="Times New Roman"/>
        </w:rPr>
        <w:t>deftly side-steps (or simply ignores)</w:t>
      </w:r>
      <w:r w:rsidRPr="00517CC8">
        <w:rPr>
          <w:rFonts w:ascii="Times New Roman" w:hAnsi="Times New Roman"/>
        </w:rPr>
        <w:t xml:space="preserve"> the </w:t>
      </w:r>
      <w:proofErr w:type="gramStart"/>
      <w:r w:rsidRPr="00517CC8">
        <w:rPr>
          <w:rFonts w:ascii="Times New Roman" w:hAnsi="Times New Roman"/>
        </w:rPr>
        <w:t>nit-picking</w:t>
      </w:r>
      <w:proofErr w:type="gramEnd"/>
      <w:r w:rsidRPr="00517CC8">
        <w:rPr>
          <w:rFonts w:ascii="Times New Roman" w:hAnsi="Times New Roman"/>
        </w:rPr>
        <w:t xml:space="preserve"> of Pollard and Tait.</w:t>
      </w:r>
      <w:r w:rsidRPr="00517CC8">
        <w:rPr>
          <w:rStyle w:val="FootnoteReference"/>
          <w:rFonts w:ascii="Times New Roman" w:hAnsi="Times New Roman"/>
        </w:rPr>
        <w:footnoteReference w:id="17"/>
      </w:r>
      <w:r>
        <w:rPr>
          <w:rFonts w:ascii="Times New Roman" w:hAnsi="Times New Roman"/>
        </w:rPr>
        <w:t xml:space="preserve">  He also ignores a contemporary French translation of the 1215 Magna </w:t>
      </w:r>
      <w:proofErr w:type="gramStart"/>
      <w:r>
        <w:rPr>
          <w:rFonts w:ascii="Times New Roman" w:hAnsi="Times New Roman"/>
        </w:rPr>
        <w:t>Carta, that</w:t>
      </w:r>
      <w:proofErr w:type="gramEnd"/>
      <w:r>
        <w:rPr>
          <w:rFonts w:ascii="Times New Roman" w:hAnsi="Times New Roman"/>
        </w:rPr>
        <w:t xml:space="preserve"> he himself had been the first to publish.  Here 'waynagium' appears as 'gaagnage' (à la Tait), but 'contenementum' as 'contenement'.</w:t>
      </w:r>
      <w:r>
        <w:rPr>
          <w:rStyle w:val="FootnoteReference"/>
          <w:rFonts w:ascii="Times New Roman" w:hAnsi="Times New Roman"/>
        </w:rPr>
        <w:footnoteReference w:id="18"/>
      </w:r>
      <w:r>
        <w:rPr>
          <w:rFonts w:ascii="Times New Roman" w:hAnsi="Times New Roman"/>
        </w:rPr>
        <w:t xml:space="preserve">  All of this is technically significant.  To the non-specialist, it perhaps explains why not every undergraduate took to medieval studies in the age of Stubbs and Tout.</w:t>
      </w:r>
      <w:r w:rsidR="008E14EF">
        <w:rPr>
          <w:rFonts w:ascii="Times New Roman" w:hAnsi="Times New Roman"/>
        </w:rPr>
        <w:t xml:space="preserve">  </w:t>
      </w:r>
    </w:p>
    <w:p w14:paraId="13CEF835" w14:textId="77777777" w:rsidR="00A27FF6" w:rsidRPr="00517CC8" w:rsidRDefault="00A27FF6" w:rsidP="00A27FF6">
      <w:pPr>
        <w:rPr>
          <w:rFonts w:ascii="Times New Roman" w:hAnsi="Times New Roman"/>
        </w:rPr>
      </w:pPr>
    </w:p>
    <w:p w14:paraId="0614B278" w14:textId="77777777" w:rsidR="00A27FF6" w:rsidRPr="00517CC8" w:rsidRDefault="00A27FF6" w:rsidP="00A27FF6">
      <w:pPr>
        <w:rPr>
          <w:rFonts w:ascii="Times New Roman" w:hAnsi="Times New Roman"/>
        </w:rPr>
      </w:pPr>
      <w:r w:rsidRPr="00517CC8">
        <w:rPr>
          <w:rFonts w:ascii="Times New Roman" w:hAnsi="Times New Roman"/>
        </w:rPr>
        <w:t xml:space="preserve">As with Round's 'Unknown Charter', so </w:t>
      </w:r>
      <w:r>
        <w:rPr>
          <w:rFonts w:ascii="Times New Roman" w:hAnsi="Times New Roman"/>
        </w:rPr>
        <w:t>confusion surrounded the precise status of another newly discovered text, first signaled by</w:t>
      </w:r>
      <w:r w:rsidRPr="00517CC8">
        <w:rPr>
          <w:rFonts w:ascii="Times New Roman" w:hAnsi="Times New Roman"/>
        </w:rPr>
        <w:t xml:space="preserve"> H.J. Lawlor in 1907.  In the Liber Niger of Christ Church Dublin Lawlor found a copy of the 1217 Magna Carta of Henry III.  He supposed it to be a slightly later and properly dated version of the 1217 reissue of Magna Carta, previously known to the </w:t>
      </w:r>
      <w:r w:rsidRPr="00517CC8">
        <w:rPr>
          <w:rFonts w:ascii="Times New Roman" w:hAnsi="Times New Roman"/>
          <w:i/>
        </w:rPr>
        <w:t>Statutes of the Realm</w:t>
      </w:r>
      <w:r w:rsidRPr="00517CC8">
        <w:rPr>
          <w:rFonts w:ascii="Times New Roman" w:hAnsi="Times New Roman"/>
        </w:rPr>
        <w:t xml:space="preserve"> only from an undated original.</w:t>
      </w:r>
      <w:r w:rsidRPr="00517CC8">
        <w:rPr>
          <w:rStyle w:val="FootnoteReference"/>
          <w:rFonts w:ascii="Times New Roman" w:hAnsi="Times New Roman"/>
        </w:rPr>
        <w:footnoteReference w:id="19"/>
      </w:r>
      <w:r w:rsidRPr="00517CC8">
        <w:rPr>
          <w:rFonts w:ascii="Times New Roman" w:hAnsi="Times New Roman"/>
        </w:rPr>
        <w:t xml:space="preserve">  It has since been shown that the 1217 </w:t>
      </w:r>
      <w:r>
        <w:rPr>
          <w:rFonts w:ascii="Times New Roman" w:hAnsi="Times New Roman"/>
        </w:rPr>
        <w:t>issue of Magna Carta</w:t>
      </w:r>
      <w:r w:rsidRPr="00517CC8">
        <w:rPr>
          <w:rFonts w:ascii="Times New Roman" w:hAnsi="Times New Roman"/>
        </w:rPr>
        <w:t xml:space="preserve"> circulated in at least two different versions, one deliberately undated, the other supplied with a date given by the hand of the chancellor, Richard Marsh bishop of Durham, at St Paul's London on 6 November 1217.  The version preserved in the Black Book is, in any case, a conflation of the issues of 1217 and 1225.</w:t>
      </w:r>
      <w:r w:rsidRPr="00517CC8">
        <w:rPr>
          <w:rStyle w:val="FootnoteReference"/>
          <w:rFonts w:ascii="Times New Roman" w:hAnsi="Times New Roman"/>
        </w:rPr>
        <w:footnoteReference w:id="20"/>
      </w:r>
      <w:r w:rsidRPr="00517CC8">
        <w:rPr>
          <w:rFonts w:ascii="Times New Roman" w:hAnsi="Times New Roman"/>
        </w:rPr>
        <w:t xml:space="preserve">  What was most significant about Lawlor's article was not so much the controversy over dating, but the proof that Magna Carta travelled to Ireland, certainly in its 1216 </w:t>
      </w:r>
      <w:r>
        <w:rPr>
          <w:rFonts w:ascii="Times New Roman" w:hAnsi="Times New Roman"/>
        </w:rPr>
        <w:t>reissue</w:t>
      </w:r>
      <w:r w:rsidRPr="00517CC8">
        <w:rPr>
          <w:rFonts w:ascii="Times New Roman" w:hAnsi="Times New Roman"/>
        </w:rPr>
        <w:t xml:space="preserve"> and probably in the original issue of 1215.</w:t>
      </w:r>
      <w:r w:rsidRPr="00517CC8">
        <w:rPr>
          <w:rStyle w:val="FootnoteReference"/>
          <w:rFonts w:ascii="Times New Roman" w:hAnsi="Times New Roman"/>
        </w:rPr>
        <w:footnoteReference w:id="21"/>
      </w:r>
      <w:r w:rsidRPr="00517CC8">
        <w:rPr>
          <w:rFonts w:ascii="Times New Roman" w:hAnsi="Times New Roman"/>
        </w:rPr>
        <w:t xml:space="preserve">  Ireland thereby became the first of the King's overseas possessions to share in Magna Carta's provisions.  </w:t>
      </w:r>
    </w:p>
    <w:p w14:paraId="630F5552" w14:textId="77777777" w:rsidR="00A27FF6" w:rsidRPr="00517CC8" w:rsidRDefault="00A27FF6" w:rsidP="00A27FF6">
      <w:pPr>
        <w:rPr>
          <w:rFonts w:ascii="Times New Roman" w:hAnsi="Times New Roman"/>
        </w:rPr>
      </w:pPr>
    </w:p>
    <w:p w14:paraId="5E491FAD" w14:textId="77777777" w:rsidR="00A27FF6" w:rsidRPr="00517CC8" w:rsidRDefault="00A27FF6" w:rsidP="00A27FF6">
      <w:pPr>
        <w:rPr>
          <w:rFonts w:ascii="Times New Roman" w:hAnsi="Times New Roman"/>
        </w:rPr>
      </w:pPr>
      <w:r>
        <w:rPr>
          <w:rFonts w:ascii="Times New Roman" w:hAnsi="Times New Roman"/>
        </w:rPr>
        <w:t>Neither Ireland nor Lawlor's discovery was</w:t>
      </w:r>
      <w:r w:rsidRPr="00517CC8">
        <w:rPr>
          <w:rFonts w:ascii="Times New Roman" w:hAnsi="Times New Roman"/>
        </w:rPr>
        <w:t xml:space="preserve"> alluded to in Reginald Lane Poole's survey article of 1913, intended to establish the means by which Magna Carta </w:t>
      </w:r>
      <w:r>
        <w:rPr>
          <w:rFonts w:ascii="Times New Roman" w:hAnsi="Times New Roman"/>
        </w:rPr>
        <w:t xml:space="preserve">and </w:t>
      </w:r>
      <w:r w:rsidRPr="00517CC8">
        <w:rPr>
          <w:rFonts w:ascii="Times New Roman" w:hAnsi="Times New Roman"/>
        </w:rPr>
        <w:t>other charters of liberties, from Henry I to Edward I, were published and distributed.</w:t>
      </w:r>
      <w:r w:rsidRPr="00517CC8">
        <w:rPr>
          <w:rStyle w:val="FootnoteReference"/>
          <w:rFonts w:ascii="Times New Roman" w:hAnsi="Times New Roman"/>
        </w:rPr>
        <w:footnoteReference w:id="22"/>
      </w:r>
      <w:r w:rsidRPr="00517CC8">
        <w:rPr>
          <w:rFonts w:ascii="Times New Roman" w:hAnsi="Times New Roman"/>
        </w:rPr>
        <w:t xml:space="preserve">  Poole argued that although Magna Carta had been granted to church and people, 'its execution was entrusted to a commission of nine prelates and Master Pandulf'.  As evidence here, he cited the exemplification of Magna Carta, issued in the name of the bishops, copied into the English Exchequer Red Book</w:t>
      </w:r>
      <w:r>
        <w:rPr>
          <w:rFonts w:ascii="Times New Roman" w:hAnsi="Times New Roman"/>
        </w:rPr>
        <w:t xml:space="preserve"> recently edited by Hall</w:t>
      </w:r>
      <w:r w:rsidRPr="00517CC8">
        <w:rPr>
          <w:rFonts w:ascii="Times New Roman" w:hAnsi="Times New Roman"/>
        </w:rPr>
        <w:t>.  Poole misunderstood the purpose of these letters testimonial.</w:t>
      </w:r>
      <w:r w:rsidRPr="00517CC8">
        <w:rPr>
          <w:rStyle w:val="FootnoteReference"/>
          <w:rFonts w:ascii="Times New Roman" w:hAnsi="Times New Roman"/>
        </w:rPr>
        <w:footnoteReference w:id="23"/>
      </w:r>
      <w:r w:rsidRPr="00517CC8">
        <w:rPr>
          <w:rFonts w:ascii="Times New Roman" w:hAnsi="Times New Roman"/>
        </w:rPr>
        <w:t xml:space="preserve">  By drawing attention to the role played by the bishops in Magna Carta's enforcement he nonetheless advance</w:t>
      </w:r>
      <w:r>
        <w:rPr>
          <w:rFonts w:ascii="Times New Roman" w:hAnsi="Times New Roman"/>
        </w:rPr>
        <w:t xml:space="preserve">d an important line of argument.  This went </w:t>
      </w:r>
      <w:r w:rsidRPr="00517CC8">
        <w:rPr>
          <w:rFonts w:ascii="Times New Roman" w:hAnsi="Times New Roman"/>
        </w:rPr>
        <w:t xml:space="preserve">largely ignored by commentators between 1913 and the revival of Poole's theory, in improved form, by Ifor Rowlands </w:t>
      </w:r>
      <w:r>
        <w:rPr>
          <w:rFonts w:ascii="Times New Roman" w:hAnsi="Times New Roman"/>
        </w:rPr>
        <w:t>a</w:t>
      </w:r>
      <w:r w:rsidRPr="00517CC8">
        <w:rPr>
          <w:rFonts w:ascii="Times New Roman" w:hAnsi="Times New Roman"/>
        </w:rPr>
        <w:t>s recently as 2009.</w:t>
      </w:r>
      <w:r w:rsidRPr="00517CC8">
        <w:rPr>
          <w:rStyle w:val="FootnoteReference"/>
          <w:rFonts w:ascii="Times New Roman" w:hAnsi="Times New Roman"/>
        </w:rPr>
        <w:footnoteReference w:id="24"/>
      </w:r>
      <w:r w:rsidRPr="00517CC8">
        <w:rPr>
          <w:rFonts w:ascii="Times New Roman" w:hAnsi="Times New Roman"/>
        </w:rPr>
        <w:t xml:space="preserve">  As noted by Rowlands, the </w:t>
      </w:r>
      <w:r>
        <w:rPr>
          <w:rFonts w:ascii="Times New Roman" w:hAnsi="Times New Roman"/>
        </w:rPr>
        <w:t>thirteen exemplifications of Magna Carta released by the</w:t>
      </w:r>
      <w:r w:rsidRPr="00517CC8">
        <w:rPr>
          <w:rFonts w:ascii="Times New Roman" w:hAnsi="Times New Roman"/>
        </w:rPr>
        <w:t xml:space="preserve"> chancery</w:t>
      </w:r>
      <w:r>
        <w:rPr>
          <w:rFonts w:ascii="Times New Roman" w:hAnsi="Times New Roman"/>
        </w:rPr>
        <w:t xml:space="preserve"> in June/July 1215 exactly match</w:t>
      </w:r>
      <w:r w:rsidRPr="00517CC8">
        <w:rPr>
          <w:rFonts w:ascii="Times New Roman" w:hAnsi="Times New Roman"/>
        </w:rPr>
        <w:t xml:space="preserve"> the number of cathedral churches in England</w:t>
      </w:r>
      <w:r>
        <w:rPr>
          <w:rFonts w:ascii="Times New Roman" w:hAnsi="Times New Roman"/>
        </w:rPr>
        <w:t xml:space="preserve"> with a bishop in place.  It</w:t>
      </w:r>
      <w:r w:rsidRPr="00517CC8">
        <w:rPr>
          <w:rFonts w:ascii="Times New Roman" w:hAnsi="Times New Roman"/>
        </w:rPr>
        <w:t xml:space="preserve"> was </w:t>
      </w:r>
      <w:r>
        <w:rPr>
          <w:rFonts w:ascii="Times New Roman" w:hAnsi="Times New Roman"/>
        </w:rPr>
        <w:t xml:space="preserve">thus </w:t>
      </w:r>
      <w:r w:rsidRPr="00517CC8">
        <w:rPr>
          <w:rFonts w:ascii="Times New Roman" w:hAnsi="Times New Roman"/>
        </w:rPr>
        <w:t>probably to the cathedrals and their bishops (including the examples still surviving at Lincoln and Salisbury), rather than to the sheriffs, that the charter was first sent.</w:t>
      </w:r>
      <w:r>
        <w:rPr>
          <w:rStyle w:val="FootnoteReference"/>
          <w:rFonts w:ascii="Times New Roman" w:hAnsi="Times New Roman"/>
        </w:rPr>
        <w:footnoteReference w:id="25"/>
      </w:r>
      <w:r w:rsidRPr="00517CC8">
        <w:rPr>
          <w:rFonts w:ascii="Times New Roman" w:hAnsi="Times New Roman"/>
        </w:rPr>
        <w:t xml:space="preserve">  This remains unproved, although reattribution</w:t>
      </w:r>
      <w:r>
        <w:rPr>
          <w:rFonts w:ascii="Times New Roman" w:hAnsi="Times New Roman"/>
        </w:rPr>
        <w:t xml:space="preserve"> within the past few months</w:t>
      </w:r>
      <w:r w:rsidRPr="00517CC8">
        <w:rPr>
          <w:rFonts w:ascii="Times New Roman" w:hAnsi="Times New Roman"/>
        </w:rPr>
        <w:t xml:space="preserve"> of one of the two 1215 Magna Cartas preserved in the British Library tends to confirm Rowlands' theory and hence to vindicate Poole.</w:t>
      </w:r>
      <w:r w:rsidRPr="00517CC8">
        <w:rPr>
          <w:rStyle w:val="FootnoteReference"/>
          <w:rFonts w:ascii="Times New Roman" w:hAnsi="Times New Roman"/>
        </w:rPr>
        <w:footnoteReference w:id="26"/>
      </w:r>
    </w:p>
    <w:p w14:paraId="36511779" w14:textId="77777777" w:rsidR="00A27FF6" w:rsidRPr="00517CC8" w:rsidRDefault="00A27FF6" w:rsidP="00A27FF6">
      <w:pPr>
        <w:rPr>
          <w:rFonts w:ascii="Times New Roman" w:hAnsi="Times New Roman"/>
        </w:rPr>
      </w:pPr>
    </w:p>
    <w:p w14:paraId="5FFE5ED0" w14:textId="77777777" w:rsidR="00A27FF6" w:rsidRPr="00517CC8" w:rsidRDefault="00A27FF6" w:rsidP="00A27FF6">
      <w:pPr>
        <w:rPr>
          <w:rFonts w:ascii="Times New Roman" w:hAnsi="Times New Roman"/>
        </w:rPr>
      </w:pPr>
      <w:r>
        <w:rPr>
          <w:rFonts w:ascii="Times New Roman" w:hAnsi="Times New Roman"/>
        </w:rPr>
        <w:t>Equally</w:t>
      </w:r>
      <w:r w:rsidRPr="00517CC8">
        <w:rPr>
          <w:rFonts w:ascii="Times New Roman" w:hAnsi="Times New Roman"/>
        </w:rPr>
        <w:t xml:space="preserve"> definitively, in 1915, </w:t>
      </w:r>
      <w:r>
        <w:rPr>
          <w:rFonts w:ascii="Times New Roman" w:hAnsi="Times New Roman"/>
        </w:rPr>
        <w:t xml:space="preserve">the American, </w:t>
      </w:r>
      <w:r w:rsidRPr="00517CC8">
        <w:rPr>
          <w:rFonts w:ascii="Times New Roman" w:hAnsi="Times New Roman"/>
        </w:rPr>
        <w:t>Albert Beebe White</w:t>
      </w:r>
      <w:r>
        <w:rPr>
          <w:rFonts w:ascii="Times New Roman" w:hAnsi="Times New Roman"/>
        </w:rPr>
        <w:t>,</w:t>
      </w:r>
      <w:r w:rsidRPr="00517CC8">
        <w:rPr>
          <w:rFonts w:ascii="Times New Roman" w:hAnsi="Times New Roman"/>
        </w:rPr>
        <w:t xml:space="preserve"> revealed that the name 'Magna Carta' was first applied to the great charter of liberties not as </w:t>
      </w:r>
      <w:r>
        <w:rPr>
          <w:rFonts w:ascii="Times New Roman" w:hAnsi="Times New Roman"/>
        </w:rPr>
        <w:t>had previously</w:t>
      </w:r>
      <w:r w:rsidRPr="00517CC8">
        <w:rPr>
          <w:rFonts w:ascii="Times New Roman" w:hAnsi="Times New Roman"/>
        </w:rPr>
        <w:t xml:space="preserve"> been supposed, in the 1230s or 40s, but as early as February 1218, shortly after the issue of the Forest Charter.  In commanding publication of </w:t>
      </w:r>
      <w:r>
        <w:rPr>
          <w:rFonts w:ascii="Times New Roman" w:hAnsi="Times New Roman"/>
        </w:rPr>
        <w:t>the Forest Charter</w:t>
      </w:r>
      <w:r w:rsidRPr="00517CC8">
        <w:rPr>
          <w:rFonts w:ascii="Times New Roman" w:hAnsi="Times New Roman"/>
        </w:rPr>
        <w:t xml:space="preserve"> the royal chancery specifically contrasted it with the great (or 'magna') charter of liberties.</w:t>
      </w:r>
      <w:r w:rsidRPr="00517CC8">
        <w:rPr>
          <w:rStyle w:val="FootnoteReference"/>
          <w:rFonts w:ascii="Times New Roman" w:hAnsi="Times New Roman"/>
        </w:rPr>
        <w:footnoteReference w:id="27"/>
      </w:r>
      <w:r w:rsidRPr="00517CC8">
        <w:rPr>
          <w:rFonts w:ascii="Times New Roman" w:hAnsi="Times New Roman"/>
        </w:rPr>
        <w:t xml:space="preserve">  In 1218, as White demonstrated, the chancery remained uncertain as to whether to call the great charter 'magna carta' or 'maior carta' ('the big'</w:t>
      </w:r>
      <w:r>
        <w:rPr>
          <w:rFonts w:ascii="Times New Roman" w:hAnsi="Times New Roman"/>
        </w:rPr>
        <w:t xml:space="preserve"> or 'the bigger'</w:t>
      </w:r>
      <w:r w:rsidRPr="00517CC8">
        <w:rPr>
          <w:rFonts w:ascii="Times New Roman" w:hAnsi="Times New Roman"/>
        </w:rPr>
        <w:t xml:space="preserve"> charter).  In a supplementary note published in 1917, White showed that such ambiguity continued to trouble the chancery as late as 1225 when the charter was reissued in what was to become its standard text.</w:t>
      </w:r>
      <w:r w:rsidRPr="00517CC8">
        <w:rPr>
          <w:rStyle w:val="FootnoteReference"/>
          <w:rFonts w:ascii="Times New Roman" w:hAnsi="Times New Roman"/>
        </w:rPr>
        <w:footnoteReference w:id="28"/>
      </w:r>
      <w:r w:rsidRPr="00517CC8">
        <w:rPr>
          <w:rFonts w:ascii="Times New Roman" w:hAnsi="Times New Roman"/>
        </w:rPr>
        <w:t xml:space="preserve">  White's first note had appeared in the journal's issue for July 1915, as virtually the only commemorations of Magna Carta in its 700th anniversary year.  For the rest, celebrations long planned to mark Magna Carta 1915 melted away in </w:t>
      </w:r>
      <w:r>
        <w:rPr>
          <w:rFonts w:ascii="Times New Roman" w:hAnsi="Times New Roman"/>
        </w:rPr>
        <w:t>the midst of war</w:t>
      </w:r>
      <w:r w:rsidRPr="00517CC8">
        <w:rPr>
          <w:rFonts w:ascii="Times New Roman" w:hAnsi="Times New Roman"/>
        </w:rPr>
        <w:t>.</w:t>
      </w:r>
      <w:r w:rsidRPr="00517CC8">
        <w:rPr>
          <w:rStyle w:val="FootnoteReference"/>
          <w:rFonts w:ascii="Times New Roman" w:hAnsi="Times New Roman"/>
        </w:rPr>
        <w:footnoteReference w:id="29"/>
      </w:r>
      <w:r>
        <w:rPr>
          <w:rFonts w:ascii="Times New Roman" w:hAnsi="Times New Roman"/>
        </w:rPr>
        <w:t xml:space="preserve">  As we shall see, </w:t>
      </w:r>
      <w:r w:rsidRPr="006B4678">
        <w:rPr>
          <w:rFonts w:ascii="Times New Roman" w:hAnsi="Times New Roman"/>
          <w:i/>
        </w:rPr>
        <w:t>EHR</w:t>
      </w:r>
      <w:r>
        <w:rPr>
          <w:rFonts w:ascii="Times New Roman" w:hAnsi="Times New Roman"/>
        </w:rPr>
        <w:t xml:space="preserve"> was to allow the 750th anniversary, in 1965, to pass similarly uncommemorated. </w:t>
      </w:r>
    </w:p>
    <w:p w14:paraId="3C8833F2" w14:textId="77777777" w:rsidR="00A27FF6" w:rsidRPr="00517CC8" w:rsidRDefault="00A27FF6" w:rsidP="00A27FF6">
      <w:pPr>
        <w:rPr>
          <w:rFonts w:ascii="Times New Roman" w:hAnsi="Times New Roman"/>
        </w:rPr>
      </w:pPr>
    </w:p>
    <w:p w14:paraId="503D9159" w14:textId="77777777" w:rsidR="00A27FF6" w:rsidRDefault="00A27FF6" w:rsidP="00A27FF6">
      <w:pPr>
        <w:rPr>
          <w:rFonts w:ascii="Times New Roman" w:hAnsi="Times New Roman"/>
        </w:rPr>
      </w:pPr>
      <w:r w:rsidRPr="00517CC8">
        <w:rPr>
          <w:rFonts w:ascii="Times New Roman" w:hAnsi="Times New Roman"/>
        </w:rPr>
        <w:t xml:space="preserve">Round's rediscovery of the 'Unknown Charter' </w:t>
      </w:r>
      <w:r>
        <w:rPr>
          <w:rFonts w:ascii="Times New Roman" w:hAnsi="Times New Roman"/>
        </w:rPr>
        <w:t>marked</w:t>
      </w:r>
      <w:r w:rsidRPr="00517CC8">
        <w:rPr>
          <w:rFonts w:ascii="Times New Roman" w:hAnsi="Times New Roman"/>
        </w:rPr>
        <w:t xml:space="preserve"> a turning point in Magna Carta studies.  </w:t>
      </w:r>
      <w:r>
        <w:rPr>
          <w:rFonts w:ascii="Times New Roman" w:hAnsi="Times New Roman"/>
        </w:rPr>
        <w:t>Yet a</w:t>
      </w:r>
      <w:r w:rsidRPr="00517CC8">
        <w:rPr>
          <w:rFonts w:ascii="Times New Roman" w:hAnsi="Times New Roman"/>
        </w:rPr>
        <w:t xml:space="preserve">rguably even more significant were the articles that </w:t>
      </w:r>
      <w:r w:rsidRPr="00517CC8">
        <w:rPr>
          <w:rFonts w:ascii="Times New Roman" w:hAnsi="Times New Roman"/>
          <w:i/>
        </w:rPr>
        <w:t>EHR</w:t>
      </w:r>
      <w:r w:rsidRPr="00517CC8">
        <w:rPr>
          <w:rFonts w:ascii="Times New Roman" w:hAnsi="Times New Roman"/>
        </w:rPr>
        <w:t xml:space="preserve"> pub</w:t>
      </w:r>
      <w:r>
        <w:rPr>
          <w:rFonts w:ascii="Times New Roman" w:hAnsi="Times New Roman"/>
        </w:rPr>
        <w:t>lished</w:t>
      </w:r>
      <w:r w:rsidRPr="00517CC8">
        <w:rPr>
          <w:rFonts w:ascii="Times New Roman" w:hAnsi="Times New Roman"/>
        </w:rPr>
        <w:t xml:space="preserve">, </w:t>
      </w:r>
      <w:r>
        <w:rPr>
          <w:rFonts w:ascii="Times New Roman" w:hAnsi="Times New Roman"/>
        </w:rPr>
        <w:t>from 1906 to 1909, by the most promising of Tout's young apprentices, Frederick Maurice Powicke</w:t>
      </w:r>
      <w:r w:rsidRPr="00517CC8">
        <w:rPr>
          <w:rFonts w:ascii="Times New Roman" w:hAnsi="Times New Roman"/>
        </w:rPr>
        <w:t xml:space="preserve">.  </w:t>
      </w:r>
      <w:r>
        <w:rPr>
          <w:rFonts w:ascii="Times New Roman" w:hAnsi="Times New Roman"/>
        </w:rPr>
        <w:t>The first of these concerned the relation between two of the principal chronicles of the reign of King John.</w:t>
      </w:r>
      <w:r>
        <w:rPr>
          <w:rStyle w:val="FootnoteReference"/>
          <w:rFonts w:ascii="Times New Roman" w:hAnsi="Times New Roman"/>
        </w:rPr>
        <w:footnoteReference w:id="30"/>
      </w:r>
      <w:r>
        <w:rPr>
          <w:rFonts w:ascii="Times New Roman" w:hAnsi="Times New Roman"/>
        </w:rPr>
        <w:t xml:space="preserve">  The next two concerned the administration of Normandy, whose loss in 1204 was an essential step along the road to Magna Carta.</w:t>
      </w:r>
      <w:r>
        <w:rPr>
          <w:rStyle w:val="FootnoteReference"/>
          <w:rFonts w:ascii="Times New Roman" w:hAnsi="Times New Roman"/>
        </w:rPr>
        <w:footnoteReference w:id="31"/>
      </w:r>
      <w:r>
        <w:rPr>
          <w:rFonts w:ascii="Times New Roman" w:hAnsi="Times New Roman"/>
        </w:rPr>
        <w:t xml:space="preserve">  The fourth was a classic detective story, suggesting</w:t>
      </w:r>
      <w:r w:rsidRPr="00517CC8">
        <w:rPr>
          <w:rFonts w:ascii="Times New Roman" w:hAnsi="Times New Roman"/>
        </w:rPr>
        <w:t xml:space="preserve"> not only that the disappearance </w:t>
      </w:r>
      <w:r>
        <w:rPr>
          <w:rFonts w:ascii="Times New Roman" w:hAnsi="Times New Roman"/>
        </w:rPr>
        <w:t xml:space="preserve">in 1202 </w:t>
      </w:r>
      <w:r w:rsidRPr="00517CC8">
        <w:rPr>
          <w:rFonts w:ascii="Times New Roman" w:hAnsi="Times New Roman"/>
        </w:rPr>
        <w:t>of Arthur</w:t>
      </w:r>
      <w:r>
        <w:rPr>
          <w:rFonts w:ascii="Times New Roman" w:hAnsi="Times New Roman"/>
        </w:rPr>
        <w:t xml:space="preserve"> of Brittany</w:t>
      </w:r>
      <w:r w:rsidRPr="00517CC8">
        <w:rPr>
          <w:rFonts w:ascii="Times New Roman" w:hAnsi="Times New Roman"/>
        </w:rPr>
        <w:t xml:space="preserve">, the King's nephew, was the mistake that cost John </w:t>
      </w:r>
      <w:r>
        <w:rPr>
          <w:rFonts w:ascii="Times New Roman" w:hAnsi="Times New Roman"/>
        </w:rPr>
        <w:t>his continental lands</w:t>
      </w:r>
      <w:r w:rsidRPr="00517CC8">
        <w:rPr>
          <w:rFonts w:ascii="Times New Roman" w:hAnsi="Times New Roman"/>
        </w:rPr>
        <w:t>, but that the disgrace at John's court of the royal favourite, William de Braose, was a consequence of loose talk</w:t>
      </w:r>
      <w:r>
        <w:rPr>
          <w:rFonts w:ascii="Times New Roman" w:hAnsi="Times New Roman"/>
        </w:rPr>
        <w:t xml:space="preserve"> as to Arthur's fate</w:t>
      </w:r>
      <w:r w:rsidRPr="00517CC8">
        <w:rPr>
          <w:rFonts w:ascii="Times New Roman" w:hAnsi="Times New Roman"/>
        </w:rPr>
        <w:t>, begun by William's wife.</w:t>
      </w:r>
      <w:r w:rsidRPr="00517CC8">
        <w:rPr>
          <w:rStyle w:val="FootnoteReference"/>
          <w:rFonts w:ascii="Times New Roman" w:hAnsi="Times New Roman"/>
        </w:rPr>
        <w:footnoteReference w:id="32"/>
      </w:r>
      <w:r w:rsidRPr="00517CC8">
        <w:rPr>
          <w:rFonts w:ascii="Times New Roman" w:hAnsi="Times New Roman"/>
        </w:rPr>
        <w:t xml:space="preserve">  </w:t>
      </w:r>
      <w:r>
        <w:rPr>
          <w:rFonts w:ascii="Times New Roman" w:hAnsi="Times New Roman"/>
        </w:rPr>
        <w:t>Founded upon a chain of conjectures almost worthy of Hubert Hall, this established the rich narrative tone that was to remain Powicke's hallmark through to his death in 1963.  Despite much subsequent work on the Braose family, Powicke's conjectures remain in many ways the most plausible explanation for William de Braose's spectacular fall.</w:t>
      </w:r>
      <w:r>
        <w:rPr>
          <w:rStyle w:val="FootnoteReference"/>
          <w:rFonts w:ascii="Times New Roman" w:hAnsi="Times New Roman"/>
        </w:rPr>
        <w:footnoteReference w:id="33"/>
      </w:r>
    </w:p>
    <w:p w14:paraId="64FDD347" w14:textId="77777777" w:rsidR="00A27FF6" w:rsidRDefault="00A27FF6" w:rsidP="00A27FF6">
      <w:pPr>
        <w:rPr>
          <w:rFonts w:ascii="Times New Roman" w:hAnsi="Times New Roman"/>
        </w:rPr>
      </w:pPr>
    </w:p>
    <w:p w14:paraId="789F43B9" w14:textId="77777777" w:rsidR="00A27FF6" w:rsidRDefault="00A27FF6" w:rsidP="00A27FF6">
      <w:pPr>
        <w:rPr>
          <w:rFonts w:ascii="Times New Roman" w:hAnsi="Times New Roman"/>
        </w:rPr>
      </w:pPr>
      <w:r>
        <w:rPr>
          <w:rFonts w:ascii="Times New Roman" w:hAnsi="Times New Roman"/>
        </w:rPr>
        <w:t xml:space="preserve">At the time of his </w:t>
      </w:r>
      <w:r w:rsidRPr="00E35B51">
        <w:rPr>
          <w:rFonts w:ascii="Times New Roman" w:hAnsi="Times New Roman"/>
          <w:i/>
        </w:rPr>
        <w:t>EHR</w:t>
      </w:r>
      <w:r>
        <w:rPr>
          <w:rFonts w:ascii="Times New Roman" w:hAnsi="Times New Roman"/>
        </w:rPr>
        <w:t xml:space="preserve"> debut, Powicke, born in 1879, had more than half a century of writing ahead of him.  Not so </w:t>
      </w:r>
      <w:r w:rsidRPr="00517CC8">
        <w:rPr>
          <w:rFonts w:ascii="Times New Roman" w:hAnsi="Times New Roman"/>
        </w:rPr>
        <w:t>Mary Bateson</w:t>
      </w:r>
      <w:r>
        <w:rPr>
          <w:rFonts w:ascii="Times New Roman" w:hAnsi="Times New Roman"/>
        </w:rPr>
        <w:t xml:space="preserve"> (1865-1906</w:t>
      </w:r>
      <w:proofErr w:type="gramStart"/>
      <w:r>
        <w:rPr>
          <w:rFonts w:ascii="Times New Roman" w:hAnsi="Times New Roman"/>
        </w:rPr>
        <w:t>),</w:t>
      </w:r>
      <w:proofErr w:type="gramEnd"/>
      <w:r>
        <w:rPr>
          <w:rFonts w:ascii="Times New Roman" w:hAnsi="Times New Roman"/>
        </w:rPr>
        <w:t xml:space="preserve"> destined to die of a brain haemorrhage aged only forty-one.  A</w:t>
      </w:r>
      <w:r w:rsidRPr="00517CC8">
        <w:rPr>
          <w:rFonts w:ascii="Times New Roman" w:hAnsi="Times New Roman"/>
        </w:rPr>
        <w:t xml:space="preserve"> protegée of Maitland</w:t>
      </w:r>
      <w:r>
        <w:rPr>
          <w:rFonts w:ascii="Times New Roman" w:hAnsi="Times New Roman"/>
        </w:rPr>
        <w:t xml:space="preserve">, Bateson used </w:t>
      </w:r>
      <w:r w:rsidRPr="009764E7">
        <w:rPr>
          <w:rFonts w:ascii="Times New Roman" w:hAnsi="Times New Roman"/>
          <w:i/>
        </w:rPr>
        <w:t>EHR</w:t>
      </w:r>
      <w:r>
        <w:rPr>
          <w:rFonts w:ascii="Times New Roman" w:hAnsi="Times New Roman"/>
        </w:rPr>
        <w:t xml:space="preserve"> in 1902 to publish</w:t>
      </w:r>
      <w:r w:rsidRPr="00517CC8">
        <w:rPr>
          <w:rFonts w:ascii="Times New Roman" w:hAnsi="Times New Roman"/>
        </w:rPr>
        <w:t xml:space="preserve"> a lengthy edition of a London law book compiled in the years immediately before Magna Carta</w:t>
      </w:r>
      <w:r>
        <w:rPr>
          <w:rFonts w:ascii="Times New Roman" w:hAnsi="Times New Roman"/>
        </w:rPr>
        <w:t>.  This supplied significant proof of</w:t>
      </w:r>
      <w:r w:rsidRPr="00517CC8">
        <w:rPr>
          <w:rFonts w:ascii="Times New Roman" w:hAnsi="Times New Roman"/>
        </w:rPr>
        <w:t xml:space="preserve"> the </w:t>
      </w:r>
      <w:r>
        <w:rPr>
          <w:rFonts w:ascii="Times New Roman" w:hAnsi="Times New Roman"/>
        </w:rPr>
        <w:t xml:space="preserve">spread </w:t>
      </w:r>
      <w:r w:rsidRPr="00517CC8">
        <w:rPr>
          <w:rFonts w:ascii="Times New Roman" w:hAnsi="Times New Roman"/>
        </w:rPr>
        <w:t xml:space="preserve">of legal </w:t>
      </w:r>
      <w:r>
        <w:rPr>
          <w:rFonts w:ascii="Times New Roman" w:hAnsi="Times New Roman"/>
        </w:rPr>
        <w:t>expertise</w:t>
      </w:r>
      <w:r w:rsidRPr="00517CC8">
        <w:rPr>
          <w:rFonts w:ascii="Times New Roman" w:hAnsi="Times New Roman"/>
        </w:rPr>
        <w:t xml:space="preserve"> within the city.</w:t>
      </w:r>
      <w:r w:rsidRPr="00517CC8">
        <w:rPr>
          <w:rStyle w:val="FootnoteReference"/>
          <w:rFonts w:ascii="Times New Roman" w:hAnsi="Times New Roman"/>
        </w:rPr>
        <w:footnoteReference w:id="34"/>
      </w:r>
      <w:r w:rsidRPr="00517CC8">
        <w:rPr>
          <w:rFonts w:ascii="Times New Roman" w:hAnsi="Times New Roman"/>
        </w:rPr>
        <w:t xml:space="preserve"> </w:t>
      </w:r>
      <w:r>
        <w:rPr>
          <w:rFonts w:ascii="Times New Roman" w:hAnsi="Times New Roman"/>
        </w:rPr>
        <w:t xml:space="preserve">It </w:t>
      </w:r>
      <w:r w:rsidRPr="00517CC8">
        <w:rPr>
          <w:rFonts w:ascii="Times New Roman" w:hAnsi="Times New Roman"/>
        </w:rPr>
        <w:t xml:space="preserve">was supplemented in 1913 by Felix Liebermann's </w:t>
      </w:r>
      <w:r>
        <w:rPr>
          <w:rFonts w:ascii="Times New Roman" w:hAnsi="Times New Roman"/>
        </w:rPr>
        <w:t>notice of</w:t>
      </w:r>
      <w:r w:rsidRPr="00517CC8">
        <w:rPr>
          <w:rFonts w:ascii="Times New Roman" w:hAnsi="Times New Roman"/>
        </w:rPr>
        <w:t xml:space="preserve"> an</w:t>
      </w:r>
      <w:r>
        <w:rPr>
          <w:rFonts w:ascii="Times New Roman" w:hAnsi="Times New Roman"/>
        </w:rPr>
        <w:t xml:space="preserve"> equally</w:t>
      </w:r>
      <w:r w:rsidRPr="00517CC8">
        <w:rPr>
          <w:rFonts w:ascii="Times New Roman" w:hAnsi="Times New Roman"/>
        </w:rPr>
        <w:t xml:space="preserve"> important legal manuscript, first discovered in Manchester by Tout, closely related to the collection that Bateson had published and once again throwing light upon the Londoners' knowledge both of ancient charters and of English law.</w:t>
      </w:r>
      <w:r w:rsidRPr="00517CC8">
        <w:rPr>
          <w:rStyle w:val="FootnoteReference"/>
          <w:rFonts w:ascii="Times New Roman" w:hAnsi="Times New Roman"/>
        </w:rPr>
        <w:footnoteReference w:id="35"/>
      </w:r>
      <w:r w:rsidRPr="00517CC8">
        <w:rPr>
          <w:rFonts w:ascii="Times New Roman" w:hAnsi="Times New Roman"/>
        </w:rPr>
        <w:t xml:space="preserve">  </w:t>
      </w:r>
      <w:r>
        <w:rPr>
          <w:rFonts w:ascii="Times New Roman" w:hAnsi="Times New Roman"/>
        </w:rPr>
        <w:t>As early as 1899, Adolphus Ballard had already noted the significance of borough charters for the study of communal liberties and hence for political society under King John.</w:t>
      </w:r>
      <w:r>
        <w:rPr>
          <w:rStyle w:val="FootnoteReference"/>
          <w:rFonts w:ascii="Times New Roman" w:hAnsi="Times New Roman"/>
        </w:rPr>
        <w:footnoteReference w:id="36"/>
      </w:r>
    </w:p>
    <w:p w14:paraId="10F616DB" w14:textId="77777777" w:rsidR="00A27FF6" w:rsidRDefault="00A27FF6" w:rsidP="00A27FF6">
      <w:pPr>
        <w:rPr>
          <w:rFonts w:ascii="Times New Roman" w:hAnsi="Times New Roman"/>
        </w:rPr>
      </w:pPr>
    </w:p>
    <w:p w14:paraId="4BD792C5" w14:textId="77777777" w:rsidR="00A27FF6" w:rsidRPr="00517CC8" w:rsidRDefault="00A27FF6" w:rsidP="00A27FF6">
      <w:pPr>
        <w:rPr>
          <w:rFonts w:ascii="Times New Roman" w:hAnsi="Times New Roman"/>
        </w:rPr>
      </w:pPr>
      <w:r w:rsidRPr="00517CC8">
        <w:rPr>
          <w:rFonts w:ascii="Times New Roman" w:hAnsi="Times New Roman"/>
        </w:rPr>
        <w:t>Just as important to the history of Magna Carta, J.H. Round's 1904 article on 'King John and Robert Fitzwalter'</w:t>
      </w:r>
      <w:r>
        <w:rPr>
          <w:rFonts w:ascii="Times New Roman" w:hAnsi="Times New Roman"/>
        </w:rPr>
        <w:t xml:space="preserve"> (republished below) </w:t>
      </w:r>
      <w:r w:rsidRPr="00517CC8">
        <w:rPr>
          <w:rFonts w:ascii="Times New Roman" w:hAnsi="Times New Roman"/>
        </w:rPr>
        <w:t>still stands as a classic</w:t>
      </w:r>
      <w:r>
        <w:rPr>
          <w:rFonts w:ascii="Times New Roman" w:hAnsi="Times New Roman"/>
        </w:rPr>
        <w:t xml:space="preserve"> exercise in</w:t>
      </w:r>
      <w:r w:rsidRPr="00517CC8">
        <w:rPr>
          <w:rFonts w:ascii="Times New Roman" w:hAnsi="Times New Roman"/>
        </w:rPr>
        <w:t xml:space="preserve"> Roundian </w:t>
      </w:r>
      <w:r>
        <w:rPr>
          <w:rFonts w:ascii="Times New Roman" w:hAnsi="Times New Roman"/>
        </w:rPr>
        <w:t>'</w:t>
      </w:r>
      <w:r w:rsidRPr="00517CC8">
        <w:rPr>
          <w:rFonts w:ascii="Times New Roman" w:hAnsi="Times New Roman"/>
        </w:rPr>
        <w:t>prosopography</w:t>
      </w:r>
      <w:r>
        <w:rPr>
          <w:rFonts w:ascii="Times New Roman" w:hAnsi="Times New Roman"/>
        </w:rPr>
        <w:t>' (a word that Round himself would not have cared for)</w:t>
      </w:r>
      <w:r w:rsidRPr="00517CC8">
        <w:rPr>
          <w:rFonts w:ascii="Times New Roman" w:hAnsi="Times New Roman"/>
        </w:rPr>
        <w:t>.  What Round proved here was that Robert fitz Walter and a signifi</w:t>
      </w:r>
      <w:r>
        <w:rPr>
          <w:rFonts w:ascii="Times New Roman" w:hAnsi="Times New Roman"/>
        </w:rPr>
        <w:t xml:space="preserve">cant number of his fellow rebels </w:t>
      </w:r>
      <w:r w:rsidRPr="00517CC8">
        <w:rPr>
          <w:rFonts w:ascii="Times New Roman" w:hAnsi="Times New Roman"/>
        </w:rPr>
        <w:t>came from East Anglia rather than th</w:t>
      </w:r>
      <w:r>
        <w:rPr>
          <w:rFonts w:ascii="Times New Roman" w:hAnsi="Times New Roman"/>
        </w:rPr>
        <w:t xml:space="preserve">e </w:t>
      </w:r>
      <w:r w:rsidRPr="00517CC8">
        <w:rPr>
          <w:rFonts w:ascii="Times New Roman" w:hAnsi="Times New Roman"/>
        </w:rPr>
        <w:t>north, being bound to o</w:t>
      </w:r>
      <w:r>
        <w:rPr>
          <w:rFonts w:ascii="Times New Roman" w:hAnsi="Times New Roman"/>
        </w:rPr>
        <w:t>ne another by kinship with</w:t>
      </w:r>
      <w:r w:rsidRPr="00517CC8">
        <w:rPr>
          <w:rFonts w:ascii="Times New Roman" w:hAnsi="Times New Roman"/>
        </w:rPr>
        <w:t xml:space="preserve"> the Anglo-Norman family of the Clares.</w:t>
      </w:r>
      <w:r w:rsidRPr="00517CC8">
        <w:rPr>
          <w:rStyle w:val="FootnoteReference"/>
          <w:rFonts w:ascii="Times New Roman" w:hAnsi="Times New Roman"/>
        </w:rPr>
        <w:footnoteReference w:id="37"/>
      </w:r>
      <w:r w:rsidRPr="00517CC8">
        <w:rPr>
          <w:rFonts w:ascii="Times New Roman" w:hAnsi="Times New Roman"/>
        </w:rPr>
        <w:t xml:space="preserve">  Despite the discoveries of Round, and subsequently of</w:t>
      </w:r>
      <w:r>
        <w:rPr>
          <w:rFonts w:ascii="Times New Roman" w:hAnsi="Times New Roman"/>
        </w:rPr>
        <w:t xml:space="preserve"> J.C.</w:t>
      </w:r>
      <w:r w:rsidRPr="00517CC8">
        <w:rPr>
          <w:rFonts w:ascii="Times New Roman" w:hAnsi="Times New Roman"/>
        </w:rPr>
        <w:t xml:space="preserve"> Holt and others, there remains a great deal of work still to be done on the networks of rebellion in 1215.  As a pointer to the sorts of evidence at our disposal, Round's </w:t>
      </w:r>
      <w:r>
        <w:rPr>
          <w:rFonts w:ascii="Times New Roman" w:hAnsi="Times New Roman"/>
        </w:rPr>
        <w:t>'</w:t>
      </w:r>
      <w:r w:rsidRPr="00517CC8">
        <w:rPr>
          <w:rFonts w:ascii="Times New Roman" w:hAnsi="Times New Roman"/>
        </w:rPr>
        <w:t xml:space="preserve">Robert </w:t>
      </w:r>
      <w:proofErr w:type="gramStart"/>
      <w:r w:rsidRPr="00517CC8">
        <w:rPr>
          <w:rFonts w:ascii="Times New Roman" w:hAnsi="Times New Roman"/>
        </w:rPr>
        <w:t>fitz</w:t>
      </w:r>
      <w:proofErr w:type="gramEnd"/>
      <w:r w:rsidRPr="00517CC8">
        <w:rPr>
          <w:rFonts w:ascii="Times New Roman" w:hAnsi="Times New Roman"/>
        </w:rPr>
        <w:t xml:space="preserve"> Walter</w:t>
      </w:r>
      <w:r>
        <w:rPr>
          <w:rFonts w:ascii="Times New Roman" w:hAnsi="Times New Roman"/>
        </w:rPr>
        <w:t>'</w:t>
      </w:r>
      <w:r w:rsidRPr="00517CC8">
        <w:rPr>
          <w:rFonts w:ascii="Times New Roman" w:hAnsi="Times New Roman"/>
        </w:rPr>
        <w:t xml:space="preserve"> </w:t>
      </w:r>
      <w:r>
        <w:rPr>
          <w:rFonts w:ascii="Times New Roman" w:hAnsi="Times New Roman"/>
        </w:rPr>
        <w:t>remains of considerable significance</w:t>
      </w:r>
      <w:r w:rsidRPr="00517CC8">
        <w:rPr>
          <w:rFonts w:ascii="Times New Roman" w:hAnsi="Times New Roman"/>
        </w:rPr>
        <w:t>.</w:t>
      </w:r>
    </w:p>
    <w:p w14:paraId="282666C9" w14:textId="77777777" w:rsidR="00A27FF6" w:rsidRPr="00517CC8" w:rsidRDefault="00A27FF6" w:rsidP="00A27FF6">
      <w:pPr>
        <w:rPr>
          <w:rFonts w:ascii="Times New Roman" w:hAnsi="Times New Roman"/>
        </w:rPr>
      </w:pPr>
    </w:p>
    <w:p w14:paraId="6441F0FA" w14:textId="10B14867" w:rsidR="00A27FF6" w:rsidRDefault="00A27FF6" w:rsidP="00A27FF6">
      <w:pPr>
        <w:rPr>
          <w:rFonts w:ascii="Times New Roman" w:hAnsi="Times New Roman"/>
        </w:rPr>
      </w:pPr>
      <w:r w:rsidRPr="00517CC8">
        <w:rPr>
          <w:rFonts w:ascii="Times New Roman" w:hAnsi="Times New Roman"/>
        </w:rPr>
        <w:t xml:space="preserve">Before leaving the earliest years of </w:t>
      </w:r>
      <w:r w:rsidRPr="00517CC8">
        <w:rPr>
          <w:rFonts w:ascii="Times New Roman" w:hAnsi="Times New Roman"/>
          <w:i/>
        </w:rPr>
        <w:t>EHR</w:t>
      </w:r>
      <w:r w:rsidRPr="00517CC8">
        <w:rPr>
          <w:rFonts w:ascii="Times New Roman" w:hAnsi="Times New Roman"/>
        </w:rPr>
        <w:t xml:space="preserve">, </w:t>
      </w:r>
      <w:r>
        <w:rPr>
          <w:rFonts w:ascii="Times New Roman" w:hAnsi="Times New Roman"/>
        </w:rPr>
        <w:t>we must glance at the</w:t>
      </w:r>
      <w:r w:rsidRPr="00517CC8">
        <w:rPr>
          <w:rFonts w:ascii="Times New Roman" w:hAnsi="Times New Roman"/>
        </w:rPr>
        <w:t xml:space="preserve"> reviews.  Stubbs'</w:t>
      </w:r>
      <w:r>
        <w:rPr>
          <w:rFonts w:ascii="Times New Roman" w:hAnsi="Times New Roman"/>
        </w:rPr>
        <w:t>s</w:t>
      </w:r>
      <w:r w:rsidRPr="00517CC8">
        <w:rPr>
          <w:rFonts w:ascii="Times New Roman" w:hAnsi="Times New Roman"/>
        </w:rPr>
        <w:t xml:space="preserve"> </w:t>
      </w:r>
      <w:r w:rsidRPr="00517CC8">
        <w:rPr>
          <w:rFonts w:ascii="Times New Roman" w:hAnsi="Times New Roman"/>
          <w:i/>
        </w:rPr>
        <w:t>Constitutional History</w:t>
      </w:r>
      <w:r w:rsidRPr="00517CC8">
        <w:rPr>
          <w:rFonts w:ascii="Times New Roman" w:hAnsi="Times New Roman"/>
        </w:rPr>
        <w:t xml:space="preserve"> appeared too early for notice, but H.W.C. Davis </w:t>
      </w:r>
      <w:r>
        <w:rPr>
          <w:rFonts w:ascii="Times New Roman" w:hAnsi="Times New Roman"/>
        </w:rPr>
        <w:t>reviewed</w:t>
      </w:r>
      <w:r w:rsidRPr="00517CC8">
        <w:rPr>
          <w:rFonts w:ascii="Times New Roman" w:hAnsi="Times New Roman"/>
        </w:rPr>
        <w:t xml:space="preserve"> the first two-volumes of the French translation of Stubbs</w:t>
      </w:r>
      <w:r>
        <w:rPr>
          <w:rFonts w:ascii="Times New Roman" w:hAnsi="Times New Roman"/>
        </w:rPr>
        <w:t>,</w:t>
      </w:r>
      <w:r w:rsidRPr="00517CC8">
        <w:rPr>
          <w:rFonts w:ascii="Times New Roman" w:hAnsi="Times New Roman"/>
        </w:rPr>
        <w:t xml:space="preserve"> by Georges Lefebvre</w:t>
      </w:r>
      <w:r>
        <w:rPr>
          <w:rFonts w:ascii="Times New Roman" w:hAnsi="Times New Roman"/>
        </w:rPr>
        <w:t>, published between 1907 and 1913</w:t>
      </w:r>
      <w:r w:rsidRPr="00517CC8">
        <w:rPr>
          <w:rFonts w:ascii="Times New Roman" w:hAnsi="Times New Roman"/>
        </w:rPr>
        <w:t>, amply supplied with notes by Charles Petit-Dutaillis.</w:t>
      </w:r>
      <w:r w:rsidRPr="00517CC8">
        <w:rPr>
          <w:rStyle w:val="FootnoteReference"/>
          <w:rFonts w:ascii="Times New Roman" w:hAnsi="Times New Roman"/>
        </w:rPr>
        <w:footnoteReference w:id="38"/>
      </w:r>
      <w:r w:rsidRPr="00517CC8">
        <w:rPr>
          <w:rFonts w:ascii="Times New Roman" w:hAnsi="Times New Roman"/>
        </w:rPr>
        <w:t xml:space="preserve">  These notes went to form the basis of Petit-Dutaillis' own </w:t>
      </w:r>
      <w:r w:rsidRPr="00517CC8">
        <w:rPr>
          <w:rFonts w:ascii="Times New Roman" w:hAnsi="Times New Roman"/>
          <w:i/>
        </w:rPr>
        <w:t>Studies and Notes Supplementary to Stubbs's Constitutional History</w:t>
      </w:r>
      <w:r w:rsidRPr="00517CC8">
        <w:rPr>
          <w:rFonts w:ascii="Times New Roman" w:hAnsi="Times New Roman"/>
        </w:rPr>
        <w:t>, published in English translation by Manchester University Press between 1908 and 1929.</w:t>
      </w:r>
      <w:r w:rsidRPr="00517CC8">
        <w:rPr>
          <w:rStyle w:val="FootnoteReference"/>
          <w:rFonts w:ascii="Times New Roman" w:hAnsi="Times New Roman"/>
        </w:rPr>
        <w:footnoteReference w:id="39"/>
      </w:r>
      <w:r w:rsidRPr="00517CC8">
        <w:rPr>
          <w:rFonts w:ascii="Times New Roman" w:hAnsi="Times New Roman"/>
        </w:rPr>
        <w:t xml:space="preserve">  The reviews of the French edition of Lefebvre and Petit-Dutaillis reveal the extent to which Oxford, in the person of H.W.C. Davis, </w:t>
      </w:r>
      <w:r>
        <w:rPr>
          <w:rFonts w:ascii="Times New Roman" w:hAnsi="Times New Roman"/>
        </w:rPr>
        <w:t>continued to grind</w:t>
      </w:r>
      <w:r w:rsidRPr="00517CC8">
        <w:rPr>
          <w:rFonts w:ascii="Times New Roman" w:hAnsi="Times New Roman"/>
        </w:rPr>
        <w:t xml:space="preserve"> away at the Stubbsian mill</w:t>
      </w:r>
      <w:r>
        <w:rPr>
          <w:rFonts w:ascii="Times New Roman" w:hAnsi="Times New Roman"/>
        </w:rPr>
        <w:t xml:space="preserve">, half a century after Stubbs's </w:t>
      </w:r>
      <w:r w:rsidRPr="00446E88">
        <w:rPr>
          <w:rFonts w:ascii="Times New Roman" w:hAnsi="Times New Roman"/>
          <w:i/>
        </w:rPr>
        <w:t xml:space="preserve">Constitutional </w:t>
      </w:r>
      <w:r w:rsidRPr="00517CC8">
        <w:rPr>
          <w:rFonts w:ascii="Times New Roman" w:hAnsi="Times New Roman"/>
          <w:i/>
        </w:rPr>
        <w:t>History</w:t>
      </w:r>
      <w:r w:rsidRPr="00517CC8">
        <w:rPr>
          <w:rFonts w:ascii="Times New Roman" w:hAnsi="Times New Roman"/>
        </w:rPr>
        <w:t xml:space="preserve">.  It was Davis who in 1913 produced the latest, 9th and definitive edition of Stubbs's </w:t>
      </w:r>
      <w:r w:rsidRPr="00517CC8">
        <w:rPr>
          <w:rFonts w:ascii="Times New Roman" w:hAnsi="Times New Roman"/>
          <w:i/>
        </w:rPr>
        <w:t>Select Charters</w:t>
      </w:r>
      <w:r w:rsidRPr="00517CC8">
        <w:rPr>
          <w:rFonts w:ascii="Times New Roman" w:hAnsi="Times New Roman"/>
        </w:rPr>
        <w:t>, still a staple of the Oxford undergraduate syllabus into the 1960s.  Thanks to Stubbs</w:t>
      </w:r>
      <w:r>
        <w:rPr>
          <w:rFonts w:ascii="Times New Roman" w:hAnsi="Times New Roman"/>
        </w:rPr>
        <w:t>'s</w:t>
      </w:r>
      <w:r w:rsidRPr="00517CC8">
        <w:rPr>
          <w:rFonts w:ascii="Times New Roman" w:hAnsi="Times New Roman"/>
        </w:rPr>
        <w:t xml:space="preserve"> </w:t>
      </w:r>
      <w:r w:rsidRPr="00517CC8">
        <w:rPr>
          <w:rFonts w:ascii="Times New Roman" w:hAnsi="Times New Roman"/>
          <w:i/>
        </w:rPr>
        <w:t>Charters</w:t>
      </w:r>
      <w:r w:rsidRPr="00517CC8">
        <w:rPr>
          <w:rFonts w:ascii="Times New Roman" w:hAnsi="Times New Roman"/>
        </w:rPr>
        <w:t xml:space="preserve">, Magna Carta remained an Oxford 'set text' </w:t>
      </w:r>
      <w:r>
        <w:rPr>
          <w:rFonts w:ascii="Times New Roman" w:hAnsi="Times New Roman"/>
        </w:rPr>
        <w:t>for</w:t>
      </w:r>
      <w:r w:rsidRPr="00517CC8">
        <w:rPr>
          <w:rFonts w:ascii="Times New Roman" w:hAnsi="Times New Roman"/>
        </w:rPr>
        <w:t xml:space="preserve"> J.E.A</w:t>
      </w:r>
      <w:r>
        <w:rPr>
          <w:rFonts w:ascii="Times New Roman" w:hAnsi="Times New Roman"/>
        </w:rPr>
        <w:t xml:space="preserve">. </w:t>
      </w:r>
      <w:proofErr w:type="gramStart"/>
      <w:r>
        <w:rPr>
          <w:rFonts w:ascii="Times New Roman" w:hAnsi="Times New Roman"/>
        </w:rPr>
        <w:t>Jolliffe ,</w:t>
      </w:r>
      <w:proofErr w:type="gramEnd"/>
      <w:r>
        <w:rPr>
          <w:rFonts w:ascii="Times New Roman" w:hAnsi="Times New Roman"/>
        </w:rPr>
        <w:t xml:space="preserve"> </w:t>
      </w:r>
      <w:r w:rsidR="00497837">
        <w:rPr>
          <w:rFonts w:ascii="Times New Roman" w:hAnsi="Times New Roman"/>
        </w:rPr>
        <w:t xml:space="preserve">J.O. Prestwich, </w:t>
      </w:r>
      <w:r w:rsidRPr="00517CC8">
        <w:rPr>
          <w:rFonts w:ascii="Times New Roman" w:hAnsi="Times New Roman"/>
        </w:rPr>
        <w:t>J.C. Holt</w:t>
      </w:r>
      <w:r w:rsidR="00497837">
        <w:rPr>
          <w:rFonts w:ascii="Times New Roman" w:hAnsi="Times New Roman"/>
        </w:rPr>
        <w:t xml:space="preserve">, </w:t>
      </w:r>
      <w:r>
        <w:rPr>
          <w:rFonts w:ascii="Times New Roman" w:hAnsi="Times New Roman"/>
        </w:rPr>
        <w:t>David Carpenter</w:t>
      </w:r>
      <w:r w:rsidR="00497837">
        <w:rPr>
          <w:rFonts w:ascii="Times New Roman" w:hAnsi="Times New Roman"/>
        </w:rPr>
        <w:t xml:space="preserve"> and (as perhaps the last of its acolytes, as recently as 1983) John Hudson</w:t>
      </w:r>
      <w:r w:rsidRPr="00517CC8">
        <w:rPr>
          <w:rFonts w:ascii="Times New Roman" w:hAnsi="Times New Roman"/>
        </w:rPr>
        <w:t>.</w:t>
      </w:r>
    </w:p>
    <w:p w14:paraId="50C69D5B" w14:textId="77777777" w:rsidR="00A27FF6" w:rsidRDefault="00A27FF6" w:rsidP="00A27FF6">
      <w:pPr>
        <w:rPr>
          <w:rFonts w:ascii="Times New Roman" w:hAnsi="Times New Roman"/>
        </w:rPr>
      </w:pPr>
    </w:p>
    <w:p w14:paraId="6E8F9388" w14:textId="77777777" w:rsidR="00A27FF6" w:rsidRPr="00517CC8" w:rsidRDefault="00A27FF6" w:rsidP="00A27FF6">
      <w:pPr>
        <w:rPr>
          <w:rFonts w:ascii="Times New Roman" w:hAnsi="Times New Roman"/>
        </w:rPr>
      </w:pPr>
      <w:r>
        <w:rPr>
          <w:rFonts w:ascii="Times New Roman" w:hAnsi="Times New Roman"/>
        </w:rPr>
        <w:t xml:space="preserve">In 1913, Elizabeth Levett had used a minor error in Stubbs's </w:t>
      </w:r>
      <w:r w:rsidRPr="00BA5A86">
        <w:rPr>
          <w:rFonts w:ascii="Times New Roman" w:hAnsi="Times New Roman"/>
          <w:i/>
        </w:rPr>
        <w:t>Charters</w:t>
      </w:r>
      <w:r>
        <w:rPr>
          <w:rFonts w:ascii="Times New Roman" w:hAnsi="Times New Roman"/>
        </w:rPr>
        <w:t xml:space="preserve"> to assess the importance of King John's summons, issued in November 1213, to four knights of every county to attend the King a week later at Oxford, to discuss the business of the realm.  This was not (as Levett perhaps wished it to be) a direct ancestor of the later summonses to the parliamentary Commons.  It was nonetheless of no small importance in the background to Magna Carta.</w:t>
      </w:r>
      <w:r>
        <w:rPr>
          <w:rStyle w:val="FootnoteReference"/>
          <w:rFonts w:ascii="Times New Roman" w:hAnsi="Times New Roman"/>
        </w:rPr>
        <w:footnoteReference w:id="40"/>
      </w:r>
      <w:r>
        <w:rPr>
          <w:rFonts w:ascii="Times New Roman" w:hAnsi="Times New Roman"/>
        </w:rPr>
        <w:t xml:space="preserve">  As late as 1968, a (Glaswegian) contributor to </w:t>
      </w:r>
      <w:r w:rsidRPr="00A75FC9">
        <w:rPr>
          <w:rFonts w:ascii="Times New Roman" w:hAnsi="Times New Roman"/>
          <w:i/>
        </w:rPr>
        <w:t>EHR</w:t>
      </w:r>
      <w:r>
        <w:rPr>
          <w:rFonts w:ascii="Times New Roman" w:hAnsi="Times New Roman"/>
        </w:rPr>
        <w:t xml:space="preserve"> could look forwards to a time when 'a revised edition of </w:t>
      </w:r>
      <w:r w:rsidRPr="00A75FC9">
        <w:rPr>
          <w:rFonts w:ascii="Times New Roman" w:hAnsi="Times New Roman"/>
          <w:i/>
        </w:rPr>
        <w:t>Select Charters</w:t>
      </w:r>
      <w:r>
        <w:rPr>
          <w:rFonts w:ascii="Times New Roman" w:hAnsi="Times New Roman"/>
        </w:rPr>
        <w:t xml:space="preserve"> will one day remove [a particularly small] stumbling-block from the path of students'.</w:t>
      </w:r>
      <w:r>
        <w:rPr>
          <w:rStyle w:val="FootnoteReference"/>
          <w:rFonts w:ascii="Times New Roman" w:hAnsi="Times New Roman"/>
        </w:rPr>
        <w:footnoteReference w:id="41"/>
      </w:r>
      <w:r>
        <w:rPr>
          <w:rFonts w:ascii="Times New Roman" w:hAnsi="Times New Roman"/>
        </w:rPr>
        <w:t xml:space="preserve">  This was perhaps naive in the year of </w:t>
      </w:r>
      <w:r w:rsidRPr="00A75FC9">
        <w:rPr>
          <w:rFonts w:ascii="Times New Roman" w:hAnsi="Times New Roman"/>
          <w:i/>
        </w:rPr>
        <w:t>les événements</w:t>
      </w:r>
      <w:r>
        <w:rPr>
          <w:rFonts w:ascii="Times New Roman" w:hAnsi="Times New Roman"/>
        </w:rPr>
        <w:t xml:space="preserve">.  </w:t>
      </w:r>
      <w:r w:rsidRPr="00517CC8">
        <w:rPr>
          <w:rFonts w:ascii="Times New Roman" w:hAnsi="Times New Roman"/>
        </w:rPr>
        <w:t>Stubbs himself</w:t>
      </w:r>
      <w:r>
        <w:rPr>
          <w:rFonts w:ascii="Times New Roman" w:hAnsi="Times New Roman"/>
        </w:rPr>
        <w:t>, meanwhile,</w:t>
      </w:r>
      <w:r w:rsidRPr="00517CC8">
        <w:rPr>
          <w:rFonts w:ascii="Times New Roman" w:hAnsi="Times New Roman"/>
        </w:rPr>
        <w:t xml:space="preserve"> had attracted a fulsome obituary notice from Maitland, published in 1901.</w:t>
      </w:r>
      <w:r w:rsidRPr="00517CC8">
        <w:rPr>
          <w:rStyle w:val="FootnoteReference"/>
          <w:rFonts w:ascii="Times New Roman" w:hAnsi="Times New Roman"/>
        </w:rPr>
        <w:footnoteReference w:id="42"/>
      </w:r>
      <w:r w:rsidRPr="00517CC8">
        <w:rPr>
          <w:rFonts w:ascii="Times New Roman" w:hAnsi="Times New Roman"/>
        </w:rPr>
        <w:t xml:space="preserve">  Perhaps because his </w:t>
      </w:r>
      <w:r w:rsidRPr="00517CC8">
        <w:rPr>
          <w:rFonts w:ascii="Times New Roman" w:hAnsi="Times New Roman"/>
          <w:i/>
        </w:rPr>
        <w:t>Charters</w:t>
      </w:r>
      <w:r w:rsidRPr="00517CC8">
        <w:rPr>
          <w:rFonts w:ascii="Times New Roman" w:hAnsi="Times New Roman"/>
        </w:rPr>
        <w:t xml:space="preserve"> were </w:t>
      </w:r>
      <w:r>
        <w:rPr>
          <w:rFonts w:ascii="Times New Roman" w:hAnsi="Times New Roman"/>
        </w:rPr>
        <w:t xml:space="preserve">now </w:t>
      </w:r>
      <w:r w:rsidRPr="00517CC8">
        <w:rPr>
          <w:rFonts w:ascii="Times New Roman" w:hAnsi="Times New Roman"/>
        </w:rPr>
        <w:t>so much part of the Oxford furniture, they themselve</w:t>
      </w:r>
      <w:r>
        <w:rPr>
          <w:rFonts w:ascii="Times New Roman" w:hAnsi="Times New Roman"/>
        </w:rPr>
        <w:t xml:space="preserve">s were never offered for scrutiny in </w:t>
      </w:r>
      <w:r w:rsidRPr="00A75FC9">
        <w:rPr>
          <w:rFonts w:ascii="Times New Roman" w:hAnsi="Times New Roman"/>
          <w:i/>
        </w:rPr>
        <w:t>EHR</w:t>
      </w:r>
      <w:r>
        <w:rPr>
          <w:rFonts w:ascii="Times New Roman" w:hAnsi="Times New Roman"/>
        </w:rPr>
        <w:t xml:space="preserve">, although William McKechnie, the Glasgow lawyer and authority on Magna Carta, reviewed them in 1914 in </w:t>
      </w:r>
      <w:r w:rsidRPr="00A75FC9">
        <w:rPr>
          <w:rFonts w:ascii="Times New Roman" w:hAnsi="Times New Roman"/>
          <w:i/>
        </w:rPr>
        <w:t>EHR</w:t>
      </w:r>
      <w:r>
        <w:rPr>
          <w:rFonts w:ascii="Times New Roman" w:hAnsi="Times New Roman"/>
        </w:rPr>
        <w:t>'s sister journal in Scotland.</w:t>
      </w:r>
      <w:r>
        <w:rPr>
          <w:rStyle w:val="FootnoteReference"/>
          <w:rFonts w:ascii="Times New Roman" w:hAnsi="Times New Roman"/>
        </w:rPr>
        <w:footnoteReference w:id="43"/>
      </w:r>
      <w:r w:rsidRPr="00517CC8">
        <w:rPr>
          <w:rFonts w:ascii="Times New Roman" w:hAnsi="Times New Roman"/>
        </w:rPr>
        <w:t xml:space="preserve">  </w:t>
      </w:r>
    </w:p>
    <w:p w14:paraId="151BC2B1" w14:textId="77777777" w:rsidR="00A27FF6" w:rsidRPr="00517CC8" w:rsidRDefault="00A27FF6" w:rsidP="00A27FF6">
      <w:pPr>
        <w:rPr>
          <w:rFonts w:ascii="Times New Roman" w:hAnsi="Times New Roman"/>
        </w:rPr>
      </w:pPr>
    </w:p>
    <w:p w14:paraId="6508C48F" w14:textId="77777777" w:rsidR="00A27FF6" w:rsidRPr="00517CC8" w:rsidRDefault="00A27FF6" w:rsidP="00A27FF6">
      <w:pPr>
        <w:rPr>
          <w:rFonts w:ascii="Times New Roman" w:hAnsi="Times New Roman"/>
        </w:rPr>
      </w:pPr>
      <w:r>
        <w:rPr>
          <w:rFonts w:ascii="Times New Roman" w:hAnsi="Times New Roman"/>
        </w:rPr>
        <w:t>Tackling</w:t>
      </w:r>
      <w:r w:rsidRPr="00517CC8">
        <w:rPr>
          <w:rFonts w:ascii="Times New Roman" w:hAnsi="Times New Roman"/>
        </w:rPr>
        <w:t xml:space="preserve"> Kate Norgate's biography of </w:t>
      </w:r>
      <w:r w:rsidRPr="00517CC8">
        <w:rPr>
          <w:rFonts w:ascii="Times New Roman" w:hAnsi="Times New Roman"/>
          <w:i/>
        </w:rPr>
        <w:t>John Lackland</w:t>
      </w:r>
      <w:r w:rsidRPr="00517CC8">
        <w:rPr>
          <w:rFonts w:ascii="Times New Roman" w:hAnsi="Times New Roman"/>
        </w:rPr>
        <w:t xml:space="preserve"> in 1903, the great historian of the friars, A.G. Little allowed that Norgate had satisfactorily demolished the King's reputation for </w:t>
      </w:r>
      <w:r>
        <w:rPr>
          <w:rFonts w:ascii="Times New Roman" w:hAnsi="Times New Roman"/>
        </w:rPr>
        <w:t>'cleverness'</w:t>
      </w:r>
      <w:r w:rsidRPr="00517CC8">
        <w:rPr>
          <w:rFonts w:ascii="Times New Roman" w:hAnsi="Times New Roman"/>
        </w:rPr>
        <w:t>, recently emphasized by J.R. Green</w:t>
      </w:r>
      <w:r>
        <w:rPr>
          <w:rFonts w:ascii="Times New Roman" w:hAnsi="Times New Roman"/>
        </w:rPr>
        <w:t>.</w:t>
      </w:r>
      <w:r w:rsidRPr="00517CC8">
        <w:rPr>
          <w:rStyle w:val="FootnoteReference"/>
          <w:rFonts w:ascii="Times New Roman" w:hAnsi="Times New Roman"/>
        </w:rPr>
        <w:footnoteReference w:id="44"/>
      </w:r>
      <w:r w:rsidRPr="00517CC8">
        <w:rPr>
          <w:rFonts w:ascii="Times New Roman" w:hAnsi="Times New Roman"/>
        </w:rPr>
        <w:t xml:space="preserve">  Norgate, he suggested, was fair on the King but less fair on the King's baronial opponents</w:t>
      </w:r>
      <w:r>
        <w:rPr>
          <w:rFonts w:ascii="Times New Roman" w:hAnsi="Times New Roman"/>
        </w:rPr>
        <w:t>, a criticism of writers on the reign that we shall find repeated more than once in what follows</w:t>
      </w:r>
      <w:r w:rsidRPr="00517CC8">
        <w:rPr>
          <w:rFonts w:ascii="Times New Roman" w:hAnsi="Times New Roman"/>
        </w:rPr>
        <w:t xml:space="preserve">.  Powicke's </w:t>
      </w:r>
      <w:r w:rsidRPr="00517CC8">
        <w:rPr>
          <w:rFonts w:ascii="Times New Roman" w:hAnsi="Times New Roman"/>
          <w:i/>
        </w:rPr>
        <w:t>The Loss of Normandy (1189-1204): Studies in the History of the Angevin Empire</w:t>
      </w:r>
      <w:r>
        <w:rPr>
          <w:rFonts w:ascii="Times New Roman" w:hAnsi="Times New Roman"/>
        </w:rPr>
        <w:t>, first published in 1913</w:t>
      </w:r>
      <w:r w:rsidRPr="00517CC8">
        <w:rPr>
          <w:rFonts w:ascii="Times New Roman" w:hAnsi="Times New Roman"/>
        </w:rPr>
        <w:t xml:space="preserve">, </w:t>
      </w:r>
      <w:r>
        <w:rPr>
          <w:rFonts w:ascii="Times New Roman" w:hAnsi="Times New Roman"/>
        </w:rPr>
        <w:t>remains</w:t>
      </w:r>
      <w:r w:rsidRPr="00517CC8">
        <w:rPr>
          <w:rFonts w:ascii="Times New Roman" w:hAnsi="Times New Roman"/>
        </w:rPr>
        <w:t xml:space="preserve"> in use today, albeit cited from its second edition of 1961.  The ideas that informed it had first been aired in </w:t>
      </w:r>
      <w:r w:rsidRPr="00517CC8">
        <w:rPr>
          <w:rFonts w:ascii="Times New Roman" w:hAnsi="Times New Roman"/>
          <w:i/>
        </w:rPr>
        <w:t>EHR</w:t>
      </w:r>
      <w:r w:rsidRPr="00517CC8">
        <w:rPr>
          <w:rFonts w:ascii="Times New Roman" w:hAnsi="Times New Roman"/>
        </w:rPr>
        <w:t>, in a linked pair of articles by Powicke, published in 1906-7.</w:t>
      </w:r>
      <w:r w:rsidRPr="00517CC8">
        <w:rPr>
          <w:rStyle w:val="FootnoteReference"/>
          <w:rFonts w:ascii="Times New Roman" w:hAnsi="Times New Roman"/>
        </w:rPr>
        <w:footnoteReference w:id="45"/>
      </w:r>
      <w:r w:rsidRPr="00517CC8">
        <w:rPr>
          <w:rFonts w:ascii="Times New Roman" w:hAnsi="Times New Roman"/>
        </w:rPr>
        <w:t xml:space="preserve">  It was reviewed by Round, in general favourably, and with particular enthusiasm (from that great writer of appendices) for the 'remarkable </w:t>
      </w:r>
      <w:proofErr w:type="gramStart"/>
      <w:r w:rsidRPr="00517CC8">
        <w:rPr>
          <w:rFonts w:ascii="Times New Roman" w:hAnsi="Times New Roman"/>
        </w:rPr>
        <w:t>appendices which</w:t>
      </w:r>
      <w:proofErr w:type="gramEnd"/>
      <w:r w:rsidRPr="00517CC8">
        <w:rPr>
          <w:rFonts w:ascii="Times New Roman" w:hAnsi="Times New Roman"/>
        </w:rPr>
        <w:t xml:space="preserve"> give a peculiar value to the book'.  In passing, Round drew attention to the need for a full-scale study of the 'Terra</w:t>
      </w:r>
      <w:r>
        <w:rPr>
          <w:rFonts w:ascii="Times New Roman" w:hAnsi="Times New Roman"/>
        </w:rPr>
        <w:t>e</w:t>
      </w:r>
      <w:r w:rsidRPr="00517CC8">
        <w:rPr>
          <w:rFonts w:ascii="Times New Roman" w:hAnsi="Times New Roman"/>
        </w:rPr>
        <w:t xml:space="preserve"> Normannorum' in England confiscated from Norman landholders after 1204.</w:t>
      </w:r>
      <w:r w:rsidRPr="00517CC8">
        <w:rPr>
          <w:rStyle w:val="FootnoteReference"/>
          <w:rFonts w:ascii="Times New Roman" w:hAnsi="Times New Roman"/>
        </w:rPr>
        <w:footnoteReference w:id="46"/>
      </w:r>
      <w:r w:rsidRPr="00517CC8">
        <w:rPr>
          <w:rFonts w:ascii="Times New Roman" w:hAnsi="Times New Roman"/>
        </w:rPr>
        <w:t xml:space="preserve">  A preliminary investigation towards such a study did at last appear in </w:t>
      </w:r>
      <w:r w:rsidRPr="00517CC8">
        <w:rPr>
          <w:rFonts w:ascii="Times New Roman" w:hAnsi="Times New Roman"/>
          <w:i/>
        </w:rPr>
        <w:t>EHR</w:t>
      </w:r>
      <w:r w:rsidRPr="00517CC8">
        <w:rPr>
          <w:rFonts w:ascii="Times New Roman" w:hAnsi="Times New Roman"/>
        </w:rPr>
        <w:t>, almost a century after Round's remarks, published by Tony Moore in 2010.</w:t>
      </w:r>
      <w:r w:rsidRPr="00517CC8">
        <w:rPr>
          <w:rStyle w:val="FootnoteReference"/>
          <w:rFonts w:ascii="Times New Roman" w:hAnsi="Times New Roman"/>
        </w:rPr>
        <w:footnoteReference w:id="47"/>
      </w:r>
    </w:p>
    <w:p w14:paraId="1C698E00" w14:textId="77777777" w:rsidR="00A27FF6" w:rsidRPr="00517CC8" w:rsidRDefault="00A27FF6" w:rsidP="00A27FF6">
      <w:pPr>
        <w:rPr>
          <w:rFonts w:ascii="Times New Roman" w:hAnsi="Times New Roman"/>
        </w:rPr>
      </w:pPr>
    </w:p>
    <w:p w14:paraId="187946A2" w14:textId="221AED77" w:rsidR="00A27FF6" w:rsidRDefault="00A27FF6" w:rsidP="00A27FF6">
      <w:pPr>
        <w:rPr>
          <w:rFonts w:ascii="Times New Roman" w:hAnsi="Times New Roman"/>
        </w:rPr>
      </w:pPr>
      <w:r w:rsidRPr="00517CC8">
        <w:rPr>
          <w:rFonts w:ascii="Times New Roman" w:hAnsi="Times New Roman"/>
        </w:rPr>
        <w:t>Both of the principal secondary studies of Magna Carta published before the end of the First World War, McKechnie’s commentary, and the volume of commemorative essays edited by H.E. Malden in 1917, attracted reviews.  H.W.C. Davis was assigned to the first edition of McKechnie published in 1905, commending its thoroughness but noting its almost complete lack of originality and its tendency to privilege political philosophy over the specific details of history.</w:t>
      </w:r>
      <w:r w:rsidRPr="00517CC8">
        <w:rPr>
          <w:rStyle w:val="FootnoteReference"/>
          <w:rFonts w:ascii="Times New Roman" w:hAnsi="Times New Roman"/>
        </w:rPr>
        <w:footnoteReference w:id="48"/>
      </w:r>
      <w:r w:rsidRPr="00517CC8">
        <w:rPr>
          <w:rFonts w:ascii="Times New Roman" w:hAnsi="Times New Roman"/>
        </w:rPr>
        <w:t xml:space="preserve">  In reviewing Malden’s volume, James Tait </w:t>
      </w:r>
      <w:r>
        <w:rPr>
          <w:rFonts w:ascii="Times New Roman" w:hAnsi="Times New Roman"/>
        </w:rPr>
        <w:t>stressed</w:t>
      </w:r>
      <w:r w:rsidRPr="00517CC8">
        <w:rPr>
          <w:rFonts w:ascii="Times New Roman" w:hAnsi="Times New Roman"/>
        </w:rPr>
        <w:t xml:space="preserve"> the failure of Paul Vinogradoff and Powicke to agree on the translation of the all important word ‘vel’ in Magna Carta clause 39, in either a disjunctive or a conjunctive sense (‘or’ versus ‘and’).  In other words, were all men, not just the ‘feudal’ barons (as the American legal historian G.B. Adams had suggested), to be allowed access to judgement by peers?</w:t>
      </w:r>
      <w:r w:rsidRPr="00517CC8">
        <w:rPr>
          <w:rStyle w:val="FootnoteReference"/>
          <w:rFonts w:ascii="Times New Roman" w:hAnsi="Times New Roman"/>
        </w:rPr>
        <w:footnoteReference w:id="49"/>
      </w:r>
      <w:r w:rsidRPr="00517CC8">
        <w:rPr>
          <w:rFonts w:ascii="Times New Roman" w:hAnsi="Times New Roman"/>
        </w:rPr>
        <w:t xml:space="preserve">  </w:t>
      </w:r>
      <w:r>
        <w:rPr>
          <w:rFonts w:ascii="Times New Roman" w:hAnsi="Times New Roman"/>
        </w:rPr>
        <w:t xml:space="preserve">In his 1965 and 1992 translations, J.C. </w:t>
      </w:r>
      <w:r w:rsidRPr="00517CC8">
        <w:rPr>
          <w:rFonts w:ascii="Times New Roman" w:hAnsi="Times New Roman"/>
        </w:rPr>
        <w:t>Holt</w:t>
      </w:r>
      <w:r>
        <w:rPr>
          <w:rFonts w:ascii="Times New Roman" w:hAnsi="Times New Roman"/>
        </w:rPr>
        <w:t xml:space="preserve"> </w:t>
      </w:r>
      <w:r w:rsidRPr="00517CC8">
        <w:rPr>
          <w:rFonts w:ascii="Times New Roman" w:hAnsi="Times New Roman"/>
        </w:rPr>
        <w:t xml:space="preserve">continued to prefer a disjunctive word (‘or’), whilst allowing that ‘judgement by peers </w:t>
      </w:r>
      <w:r w:rsidRPr="00517CC8">
        <w:rPr>
          <w:rFonts w:ascii="Times New Roman" w:hAnsi="Times New Roman"/>
          <w:i/>
        </w:rPr>
        <w:t>or</w:t>
      </w:r>
      <w:r w:rsidRPr="00517CC8">
        <w:rPr>
          <w:rFonts w:ascii="Times New Roman" w:hAnsi="Times New Roman"/>
        </w:rPr>
        <w:t xml:space="preserve"> by the law of the land were advanced as loose, but not exclusive, alternatives’.</w:t>
      </w:r>
      <w:r w:rsidRPr="00517CC8">
        <w:rPr>
          <w:rStyle w:val="FootnoteReference"/>
          <w:rFonts w:ascii="Times New Roman" w:hAnsi="Times New Roman"/>
        </w:rPr>
        <w:footnoteReference w:id="50"/>
      </w:r>
      <w:r w:rsidRPr="00517CC8">
        <w:rPr>
          <w:rFonts w:ascii="Times New Roman" w:hAnsi="Times New Roman"/>
        </w:rPr>
        <w:t xml:space="preserve">  </w:t>
      </w:r>
      <w:r>
        <w:rPr>
          <w:rFonts w:ascii="Times New Roman" w:hAnsi="Times New Roman"/>
        </w:rPr>
        <w:t>W</w:t>
      </w:r>
      <w:r w:rsidRPr="00517CC8">
        <w:rPr>
          <w:rFonts w:ascii="Times New Roman" w:hAnsi="Times New Roman"/>
        </w:rPr>
        <w:t xml:space="preserve">hat had in 1917 appeared a major problem had </w:t>
      </w:r>
      <w:r>
        <w:rPr>
          <w:rFonts w:ascii="Times New Roman" w:hAnsi="Times New Roman"/>
        </w:rPr>
        <w:t xml:space="preserve">by 1992 </w:t>
      </w:r>
      <w:r w:rsidRPr="00517CC8">
        <w:rPr>
          <w:rFonts w:ascii="Times New Roman" w:hAnsi="Times New Roman"/>
        </w:rPr>
        <w:t>resolved itself into a minor footnote, not leas</w:t>
      </w:r>
      <w:r w:rsidR="00497837">
        <w:rPr>
          <w:rFonts w:ascii="Times New Roman" w:hAnsi="Times New Roman"/>
        </w:rPr>
        <w:t>t as a result of the waning of the 'feudal constitution'</w:t>
      </w:r>
      <w:r w:rsidRPr="00517CC8">
        <w:rPr>
          <w:rFonts w:ascii="Times New Roman" w:hAnsi="Times New Roman"/>
        </w:rPr>
        <w:t xml:space="preserve"> as an active concern in Magna Carta studies.</w:t>
      </w:r>
      <w:r w:rsidR="008E14EF">
        <w:rPr>
          <w:rFonts w:ascii="Times New Roman" w:hAnsi="Times New Roman"/>
        </w:rPr>
        <w:t xml:space="preserve">  Tait meanwhile was on the brink of another significant Magna Carta 'discovery': his re-evaluation of the so-called 'Cheshire Magna Carta', a document known only from later thirteenth-century copies, but apparently issued in June or July 1215, promising on behalf of earl Ranulf of Cheshire to uphold the liberties of the knights and barons of Cheshire at </w:t>
      </w:r>
      <w:r w:rsidR="00DC036D">
        <w:rPr>
          <w:rFonts w:ascii="Times New Roman" w:hAnsi="Times New Roman"/>
        </w:rPr>
        <w:t>precisely</w:t>
      </w:r>
      <w:r w:rsidR="008E14EF">
        <w:rPr>
          <w:rFonts w:ascii="Times New Roman" w:hAnsi="Times New Roman"/>
        </w:rPr>
        <w:t xml:space="preserve"> the same time that, at Runnymede, John was confirming the liberties of England more generally.</w:t>
      </w:r>
      <w:r w:rsidR="008E14EF">
        <w:rPr>
          <w:rStyle w:val="FootnoteReference"/>
          <w:rFonts w:ascii="Times New Roman" w:hAnsi="Times New Roman"/>
        </w:rPr>
        <w:footnoteReference w:id="51"/>
      </w:r>
    </w:p>
    <w:p w14:paraId="7F9763E7" w14:textId="77777777" w:rsidR="00A27FF6" w:rsidRDefault="00A27FF6" w:rsidP="00A27FF6">
      <w:pPr>
        <w:rPr>
          <w:rFonts w:ascii="Times New Roman" w:hAnsi="Times New Roman"/>
        </w:rPr>
      </w:pPr>
    </w:p>
    <w:p w14:paraId="6DE097D1" w14:textId="77777777" w:rsidR="00A27FF6" w:rsidRDefault="00A27FF6" w:rsidP="00A27FF6">
      <w:pPr>
        <w:rPr>
          <w:rFonts w:ascii="Times New Roman" w:hAnsi="Times New Roman"/>
        </w:rPr>
      </w:pPr>
    </w:p>
    <w:p w14:paraId="5C2D135A" w14:textId="77777777" w:rsidR="00A27FF6" w:rsidRPr="00517CC8" w:rsidRDefault="00A27FF6" w:rsidP="00A27FF6">
      <w:pPr>
        <w:jc w:val="center"/>
        <w:rPr>
          <w:rFonts w:ascii="Times New Roman" w:hAnsi="Times New Roman"/>
        </w:rPr>
      </w:pPr>
      <w:r>
        <w:rPr>
          <w:rFonts w:ascii="Times New Roman" w:hAnsi="Times New Roman"/>
        </w:rPr>
        <w:t>1918-1950</w:t>
      </w:r>
    </w:p>
    <w:p w14:paraId="484C4939" w14:textId="77777777" w:rsidR="00A27FF6" w:rsidRPr="00517CC8" w:rsidRDefault="00A27FF6" w:rsidP="00A27FF6">
      <w:pPr>
        <w:rPr>
          <w:rFonts w:ascii="Times New Roman" w:hAnsi="Times New Roman"/>
        </w:rPr>
      </w:pPr>
    </w:p>
    <w:p w14:paraId="31A1EE45" w14:textId="77777777" w:rsidR="00A27FF6" w:rsidRPr="00517CC8" w:rsidRDefault="00A27FF6" w:rsidP="00A27FF6">
      <w:pPr>
        <w:rPr>
          <w:rFonts w:ascii="Times New Roman" w:hAnsi="Times New Roman"/>
        </w:rPr>
      </w:pPr>
      <w:r w:rsidRPr="00517CC8">
        <w:rPr>
          <w:rFonts w:ascii="Times New Roman" w:hAnsi="Times New Roman"/>
        </w:rPr>
        <w:t xml:space="preserve">Turning now to the </w:t>
      </w:r>
      <w:r>
        <w:rPr>
          <w:rFonts w:ascii="Times New Roman" w:hAnsi="Times New Roman"/>
        </w:rPr>
        <w:t>years after 1918</w:t>
      </w:r>
      <w:r w:rsidRPr="00517CC8">
        <w:rPr>
          <w:rFonts w:ascii="Times New Roman" w:hAnsi="Times New Roman"/>
        </w:rPr>
        <w:t xml:space="preserve">, although the journal recruited new writers who in due course were to make their mark on the study of Magna Carta - Helen Cam, Christopher Cheney, Vivian Galbraith, J.E.A. Jolliffe, H.G. Richardson - their offerings to </w:t>
      </w:r>
      <w:r w:rsidRPr="00517CC8">
        <w:rPr>
          <w:rFonts w:ascii="Times New Roman" w:hAnsi="Times New Roman"/>
          <w:i/>
        </w:rPr>
        <w:t>EHR</w:t>
      </w:r>
      <w:r w:rsidRPr="00517CC8">
        <w:rPr>
          <w:rFonts w:ascii="Times New Roman" w:hAnsi="Times New Roman"/>
        </w:rPr>
        <w:t xml:space="preserve"> dealt only indirectly with the events of 1215.  Thus Richardson's 1933 article on the papal legate Guala, and Cheney's article two years later on 'Legislation of the Medieval Church' were of significance as pointers to future work, but as yet contributed only tangentially to debate.</w:t>
      </w:r>
      <w:r w:rsidRPr="00517CC8">
        <w:rPr>
          <w:rStyle w:val="FootnoteReference"/>
          <w:rFonts w:ascii="Times New Roman" w:hAnsi="Times New Roman"/>
        </w:rPr>
        <w:footnoteReference w:id="52"/>
      </w:r>
      <w:r w:rsidRPr="00517CC8">
        <w:rPr>
          <w:rFonts w:ascii="Times New Roman" w:hAnsi="Times New Roman"/>
        </w:rPr>
        <w:t xml:space="preserve">  Both Cheney and Richardson were to publish seminal Magna Carta articles, but in other journals, most </w:t>
      </w:r>
      <w:r>
        <w:rPr>
          <w:rFonts w:ascii="Times New Roman" w:hAnsi="Times New Roman"/>
        </w:rPr>
        <w:t>notably (in homage to Manchester, still at this time in contention for Oxford's laurels</w:t>
      </w:r>
      <w:r w:rsidRPr="00517CC8">
        <w:rPr>
          <w:rFonts w:ascii="Times New Roman" w:hAnsi="Times New Roman"/>
        </w:rPr>
        <w:t xml:space="preserve">) in the </w:t>
      </w:r>
      <w:r w:rsidRPr="00517CC8">
        <w:rPr>
          <w:rFonts w:ascii="Times New Roman" w:hAnsi="Times New Roman"/>
          <w:i/>
        </w:rPr>
        <w:t>Bulletin of the John Rylands Library</w:t>
      </w:r>
      <w:r w:rsidRPr="00517CC8">
        <w:rPr>
          <w:rFonts w:ascii="Times New Roman" w:hAnsi="Times New Roman"/>
        </w:rPr>
        <w:t>.</w:t>
      </w:r>
      <w:r w:rsidRPr="00517CC8">
        <w:rPr>
          <w:rStyle w:val="FootnoteReference"/>
          <w:rFonts w:ascii="Times New Roman" w:hAnsi="Times New Roman"/>
        </w:rPr>
        <w:footnoteReference w:id="53"/>
      </w:r>
      <w:r w:rsidRPr="00517CC8">
        <w:rPr>
          <w:rFonts w:ascii="Times New Roman" w:hAnsi="Times New Roman"/>
        </w:rPr>
        <w:t xml:space="preserve">  In 1938, David Knowles, living under monastic discipline though already in exile from Downside, contributed an important article setting out the circumstances in which King John had broken with the Church and plunged England into Interdict.</w:t>
      </w:r>
      <w:r w:rsidRPr="00517CC8">
        <w:rPr>
          <w:rStyle w:val="FootnoteReference"/>
          <w:rFonts w:ascii="Times New Roman" w:hAnsi="Times New Roman"/>
        </w:rPr>
        <w:footnoteReference w:id="54"/>
      </w:r>
      <w:r w:rsidRPr="00517CC8">
        <w:rPr>
          <w:rFonts w:ascii="Times New Roman" w:hAnsi="Times New Roman"/>
        </w:rPr>
        <w:t xml:space="preserve">  Helen Cam, reviewing Jolliffe's </w:t>
      </w:r>
      <w:r w:rsidRPr="00517CC8">
        <w:rPr>
          <w:rFonts w:ascii="Times New Roman" w:hAnsi="Times New Roman"/>
          <w:i/>
        </w:rPr>
        <w:t>Constitutional History</w:t>
      </w:r>
      <w:r w:rsidRPr="00517CC8">
        <w:rPr>
          <w:rFonts w:ascii="Times New Roman" w:hAnsi="Times New Roman"/>
        </w:rPr>
        <w:t xml:space="preserve"> in 1939, admitted that there was much good in Jolliffe's account of Magna Carta, but at the same time ('torn between admiration and exasperation') criticized </w:t>
      </w:r>
      <w:r>
        <w:rPr>
          <w:rFonts w:ascii="Times New Roman" w:hAnsi="Times New Roman"/>
        </w:rPr>
        <w:t>Jolliffe for his increasingly</w:t>
      </w:r>
      <w:r w:rsidRPr="00517CC8">
        <w:rPr>
          <w:rFonts w:ascii="Times New Roman" w:hAnsi="Times New Roman"/>
        </w:rPr>
        <w:t xml:space="preserve"> notorious inaccuracies of citation.</w:t>
      </w:r>
      <w:r w:rsidRPr="00517CC8">
        <w:rPr>
          <w:rStyle w:val="FootnoteReference"/>
          <w:rFonts w:ascii="Times New Roman" w:hAnsi="Times New Roman"/>
        </w:rPr>
        <w:footnoteReference w:id="55"/>
      </w:r>
      <w:r w:rsidRPr="00517CC8">
        <w:rPr>
          <w:rFonts w:ascii="Times New Roman" w:hAnsi="Times New Roman"/>
        </w:rPr>
        <w:t xml:space="preserve"> There are </w:t>
      </w:r>
      <w:r>
        <w:rPr>
          <w:rFonts w:ascii="Times New Roman" w:hAnsi="Times New Roman"/>
        </w:rPr>
        <w:t>at least some</w:t>
      </w:r>
      <w:r w:rsidRPr="00517CC8">
        <w:rPr>
          <w:rFonts w:ascii="Times New Roman" w:hAnsi="Times New Roman"/>
        </w:rPr>
        <w:t xml:space="preserve"> today who would argue, </w:t>
      </w:r>
      <w:r w:rsidRPr="00517CC8">
        <w:rPr>
          <w:rFonts w:ascii="Times New Roman" w:hAnsi="Times New Roman"/>
          <w:i/>
        </w:rPr>
        <w:t>contra</w:t>
      </w:r>
      <w:r w:rsidRPr="00517CC8">
        <w:rPr>
          <w:rFonts w:ascii="Times New Roman" w:hAnsi="Times New Roman"/>
        </w:rPr>
        <w:t xml:space="preserve"> Cam, that Jolliffe's </w:t>
      </w:r>
      <w:r w:rsidRPr="00517CC8">
        <w:rPr>
          <w:rFonts w:ascii="Times New Roman" w:hAnsi="Times New Roman"/>
          <w:i/>
        </w:rPr>
        <w:t>Constitutional History</w:t>
      </w:r>
      <w:r w:rsidRPr="00517CC8">
        <w:rPr>
          <w:rFonts w:ascii="Times New Roman" w:hAnsi="Times New Roman"/>
        </w:rPr>
        <w:t xml:space="preserve">, like his later and greater </w:t>
      </w:r>
      <w:r w:rsidRPr="00517CC8">
        <w:rPr>
          <w:rFonts w:ascii="Times New Roman" w:hAnsi="Times New Roman"/>
          <w:i/>
        </w:rPr>
        <w:t>Angevin Kingship</w:t>
      </w:r>
      <w:r w:rsidRPr="00517CC8">
        <w:rPr>
          <w:rFonts w:ascii="Times New Roman" w:hAnsi="Times New Roman"/>
        </w:rPr>
        <w:t xml:space="preserve"> (for which see below) is a book whose insights far outweigh its many faults.  Cam's first and pioneering attack on the whole concept of 'feudalism' was meanwhile published in 1940, not in </w:t>
      </w:r>
      <w:r w:rsidRPr="00517CC8">
        <w:rPr>
          <w:rFonts w:ascii="Times New Roman" w:hAnsi="Times New Roman"/>
          <w:i/>
        </w:rPr>
        <w:t>EHR</w:t>
      </w:r>
      <w:r w:rsidRPr="00517CC8">
        <w:rPr>
          <w:rFonts w:ascii="Times New Roman" w:hAnsi="Times New Roman"/>
        </w:rPr>
        <w:t xml:space="preserve"> but in the journal of the Historical Association.  There it rubbed shoulders with an early </w:t>
      </w:r>
      <w:r>
        <w:rPr>
          <w:rFonts w:ascii="Times New Roman" w:hAnsi="Times New Roman"/>
        </w:rPr>
        <w:t>notice</w:t>
      </w:r>
      <w:r w:rsidRPr="00517CC8">
        <w:rPr>
          <w:rFonts w:ascii="Times New Roman" w:hAnsi="Times New Roman"/>
        </w:rPr>
        <w:t xml:space="preserve"> of Marc Bloch's </w:t>
      </w:r>
      <w:r w:rsidRPr="00517CC8">
        <w:rPr>
          <w:rFonts w:ascii="Times New Roman" w:hAnsi="Times New Roman"/>
          <w:i/>
        </w:rPr>
        <w:t>La Société Féodale</w:t>
      </w:r>
      <w:r w:rsidRPr="00517CC8">
        <w:rPr>
          <w:rFonts w:ascii="Times New Roman" w:hAnsi="Times New Roman"/>
        </w:rPr>
        <w:t xml:space="preserve">, itself reviewed by Powicke in </w:t>
      </w:r>
      <w:r w:rsidRPr="00517CC8">
        <w:rPr>
          <w:rFonts w:ascii="Times New Roman" w:hAnsi="Times New Roman"/>
          <w:i/>
        </w:rPr>
        <w:t>EHR</w:t>
      </w:r>
      <w:r w:rsidRPr="00517CC8">
        <w:rPr>
          <w:rFonts w:ascii="Times New Roman" w:hAnsi="Times New Roman"/>
        </w:rPr>
        <w:t xml:space="preserve">, </w:t>
      </w:r>
      <w:r>
        <w:rPr>
          <w:rFonts w:ascii="Times New Roman" w:hAnsi="Times New Roman"/>
        </w:rPr>
        <w:t xml:space="preserve">yet </w:t>
      </w:r>
      <w:r w:rsidRPr="00517CC8">
        <w:rPr>
          <w:rFonts w:ascii="Times New Roman" w:hAnsi="Times New Roman"/>
        </w:rPr>
        <w:t>even by the time</w:t>
      </w:r>
      <w:r>
        <w:rPr>
          <w:rFonts w:ascii="Times New Roman" w:hAnsi="Times New Roman"/>
        </w:rPr>
        <w:t xml:space="preserve"> of its publication</w:t>
      </w:r>
      <w:r w:rsidRPr="00517CC8">
        <w:rPr>
          <w:rFonts w:ascii="Times New Roman" w:hAnsi="Times New Roman"/>
        </w:rPr>
        <w:t xml:space="preserve"> based upon an outmoded sy</w:t>
      </w:r>
      <w:r>
        <w:rPr>
          <w:rFonts w:ascii="Times New Roman" w:hAnsi="Times New Roman"/>
        </w:rPr>
        <w:t>stematiz</w:t>
      </w:r>
      <w:r w:rsidRPr="00517CC8">
        <w:rPr>
          <w:rFonts w:ascii="Times New Roman" w:hAnsi="Times New Roman"/>
        </w:rPr>
        <w:t>ation of 'feudalism' and 'feudal' law that henceforth was to face mounting challenge.</w:t>
      </w:r>
      <w:r w:rsidRPr="00517CC8">
        <w:rPr>
          <w:rStyle w:val="FootnoteReference"/>
          <w:rFonts w:ascii="Times New Roman" w:hAnsi="Times New Roman"/>
        </w:rPr>
        <w:footnoteReference w:id="56"/>
      </w:r>
    </w:p>
    <w:p w14:paraId="2C3E8963" w14:textId="77777777" w:rsidR="00A27FF6" w:rsidRPr="00517CC8" w:rsidRDefault="00A27FF6" w:rsidP="00A27FF6">
      <w:pPr>
        <w:rPr>
          <w:rFonts w:ascii="Times New Roman" w:hAnsi="Times New Roman"/>
        </w:rPr>
      </w:pPr>
    </w:p>
    <w:p w14:paraId="762956E8" w14:textId="77777777" w:rsidR="00A27FF6" w:rsidRPr="00517CC8" w:rsidRDefault="00A27FF6" w:rsidP="00A27FF6">
      <w:pPr>
        <w:tabs>
          <w:tab w:val="left" w:pos="3402"/>
        </w:tabs>
        <w:rPr>
          <w:rFonts w:ascii="Times New Roman" w:hAnsi="Times New Roman"/>
        </w:rPr>
      </w:pPr>
      <w:r w:rsidRPr="00517CC8">
        <w:rPr>
          <w:rFonts w:ascii="Times New Roman" w:hAnsi="Times New Roman"/>
        </w:rPr>
        <w:t>This was unfortunate.  So too was the fact</w:t>
      </w:r>
      <w:r>
        <w:rPr>
          <w:rFonts w:ascii="Times New Roman" w:hAnsi="Times New Roman"/>
        </w:rPr>
        <w:t xml:space="preserve"> that, with the exception of a</w:t>
      </w:r>
      <w:r w:rsidRPr="00517CC8">
        <w:rPr>
          <w:rFonts w:ascii="Times New Roman" w:hAnsi="Times New Roman"/>
        </w:rPr>
        <w:t xml:space="preserve"> brief note by </w:t>
      </w:r>
      <w:r>
        <w:rPr>
          <w:rFonts w:ascii="Times New Roman" w:hAnsi="Times New Roman"/>
        </w:rPr>
        <w:t xml:space="preserve">Ludwig </w:t>
      </w:r>
      <w:r w:rsidRPr="00517CC8">
        <w:rPr>
          <w:rFonts w:ascii="Times New Roman" w:hAnsi="Times New Roman"/>
        </w:rPr>
        <w:t>Riess, first published in German in 1910, republished in English form in 1926, the Franco-German contribution to the study of Magna Carta before 1914, so prominent in the work of Charles Bémont, Charles Petit-Dutaillis and Felix Liebermann, yielded place to a more narrowly Anglocentric approach.</w:t>
      </w:r>
      <w:r w:rsidRPr="00517CC8">
        <w:rPr>
          <w:rStyle w:val="FootnoteReference"/>
          <w:rFonts w:ascii="Times New Roman" w:hAnsi="Times New Roman"/>
        </w:rPr>
        <w:footnoteReference w:id="57"/>
      </w:r>
      <w:r w:rsidRPr="00517CC8">
        <w:rPr>
          <w:rFonts w:ascii="Times New Roman" w:hAnsi="Times New Roman"/>
        </w:rPr>
        <w:t xml:space="preserve">  Here Powicke stood out as an exception.  His contributions to </w:t>
      </w:r>
      <w:r w:rsidRPr="00517CC8">
        <w:rPr>
          <w:rFonts w:ascii="Times New Roman" w:hAnsi="Times New Roman"/>
          <w:i/>
        </w:rPr>
        <w:t>EHR</w:t>
      </w:r>
      <w:r w:rsidRPr="00517CC8">
        <w:rPr>
          <w:rFonts w:ascii="Times New Roman" w:hAnsi="Times New Roman"/>
        </w:rPr>
        <w:t xml:space="preserve"> included a rich stream of book reviews, more than eighty of them, spanning his career from 1907 to 1963</w:t>
      </w:r>
      <w:r>
        <w:rPr>
          <w:rFonts w:ascii="Times New Roman" w:hAnsi="Times New Roman"/>
        </w:rPr>
        <w:t xml:space="preserve">, </w:t>
      </w:r>
      <w:r w:rsidRPr="00517CC8">
        <w:rPr>
          <w:rFonts w:ascii="Times New Roman" w:hAnsi="Times New Roman"/>
        </w:rPr>
        <w:t>ranging from the most arcane points of ninth-century diplomatic to the broadest of intellectual horizons.</w:t>
      </w:r>
      <w:r w:rsidRPr="00517CC8">
        <w:rPr>
          <w:rStyle w:val="FootnoteReference"/>
          <w:rFonts w:ascii="Times New Roman" w:hAnsi="Times New Roman"/>
        </w:rPr>
        <w:footnoteReference w:id="58"/>
      </w:r>
      <w:r w:rsidRPr="00517CC8">
        <w:rPr>
          <w:rFonts w:ascii="Times New Roman" w:hAnsi="Times New Roman"/>
        </w:rPr>
        <w:t xml:space="preserve">  Most of these were of books published in French or English, with a scattering of German books chiefly before 1914.</w:t>
      </w:r>
      <w:r w:rsidRPr="00517CC8">
        <w:rPr>
          <w:rStyle w:val="FootnoteReference"/>
          <w:rFonts w:ascii="Times New Roman" w:hAnsi="Times New Roman"/>
        </w:rPr>
        <w:footnoteReference w:id="59"/>
      </w:r>
      <w:r w:rsidRPr="00517CC8">
        <w:rPr>
          <w:rFonts w:ascii="Times New Roman" w:hAnsi="Times New Roman"/>
        </w:rPr>
        <w:t xml:space="preserve">  Powicke's use of manuscripts and record sources was notoriously limited.  It was rumoured that he would only visit the Public Record Office if a committee meeting dragged him there. In this respect he resembled not Stubbs but E.A. Freeman (who declared that 'a manuscript becomes practically useful only when it is changed into the more everyday shape of a printed book').</w:t>
      </w:r>
      <w:r w:rsidRPr="00517CC8">
        <w:rPr>
          <w:rStyle w:val="FootnoteReference"/>
          <w:rFonts w:ascii="Times New Roman" w:hAnsi="Times New Roman"/>
        </w:rPr>
        <w:footnoteReference w:id="60"/>
      </w:r>
      <w:r w:rsidRPr="00517CC8">
        <w:rPr>
          <w:rFonts w:ascii="Times New Roman" w:hAnsi="Times New Roman"/>
        </w:rPr>
        <w:t xml:space="preserve">  More plausibly, as Michael Clanchy has suggested, Powicke decision to distance himself from unpublished manuscripts was </w:t>
      </w:r>
      <w:r>
        <w:rPr>
          <w:rFonts w:ascii="Times New Roman" w:hAnsi="Times New Roman"/>
        </w:rPr>
        <w:t>deliberate</w:t>
      </w:r>
      <w:r w:rsidRPr="00517CC8">
        <w:rPr>
          <w:rFonts w:ascii="Times New Roman" w:hAnsi="Times New Roman"/>
        </w:rPr>
        <w:t>, intended to set his own methods apart from those of his Manchester masters, Tout and Tait.</w:t>
      </w:r>
      <w:r w:rsidRPr="00517CC8">
        <w:rPr>
          <w:rStyle w:val="FootnoteReference"/>
          <w:rFonts w:ascii="Times New Roman" w:hAnsi="Times New Roman"/>
        </w:rPr>
        <w:footnoteReference w:id="61"/>
      </w:r>
      <w:r w:rsidRPr="00517CC8">
        <w:rPr>
          <w:rFonts w:ascii="Times New Roman" w:hAnsi="Times New Roman"/>
        </w:rPr>
        <w:t xml:space="preserve">  Certainly, Powicke with his training in Manchester and Oxford,</w:t>
      </w:r>
      <w:r>
        <w:rPr>
          <w:rFonts w:ascii="Times New Roman" w:hAnsi="Times New Roman"/>
        </w:rPr>
        <w:t xml:space="preserve"> was </w:t>
      </w:r>
      <w:r w:rsidRPr="00517CC8">
        <w:rPr>
          <w:rFonts w:ascii="Times New Roman" w:hAnsi="Times New Roman"/>
        </w:rPr>
        <w:t>well-equipped</w:t>
      </w:r>
      <w:r>
        <w:rPr>
          <w:rFonts w:ascii="Times New Roman" w:hAnsi="Times New Roman"/>
        </w:rPr>
        <w:t>, if not for manuscript work, then</w:t>
      </w:r>
      <w:r w:rsidRPr="00517CC8">
        <w:rPr>
          <w:rFonts w:ascii="Times New Roman" w:hAnsi="Times New Roman"/>
        </w:rPr>
        <w:t xml:space="preserve"> for the exploration of the Public Record Office's calendars and printed editions.</w:t>
      </w:r>
      <w:r w:rsidRPr="00517CC8">
        <w:rPr>
          <w:rStyle w:val="FootnoteReference"/>
          <w:rFonts w:ascii="Times New Roman" w:hAnsi="Times New Roman"/>
        </w:rPr>
        <w:footnoteReference w:id="62"/>
      </w:r>
      <w:r w:rsidRPr="00517CC8">
        <w:rPr>
          <w:rFonts w:ascii="Times New Roman" w:hAnsi="Times New Roman"/>
        </w:rPr>
        <w:t xml:space="preserve">  </w:t>
      </w:r>
    </w:p>
    <w:p w14:paraId="2AF7E81C" w14:textId="77777777" w:rsidR="00A27FF6" w:rsidRPr="00517CC8" w:rsidRDefault="00A27FF6" w:rsidP="00A27FF6">
      <w:pPr>
        <w:rPr>
          <w:rFonts w:ascii="Times New Roman" w:hAnsi="Times New Roman"/>
        </w:rPr>
      </w:pPr>
    </w:p>
    <w:p w14:paraId="03904E52" w14:textId="77777777" w:rsidR="00A27FF6" w:rsidRPr="00517CC8" w:rsidRDefault="00A27FF6" w:rsidP="00A27FF6">
      <w:pPr>
        <w:rPr>
          <w:rFonts w:ascii="Times New Roman" w:hAnsi="Times New Roman"/>
        </w:rPr>
      </w:pPr>
      <w:r w:rsidRPr="00517CC8">
        <w:rPr>
          <w:rFonts w:ascii="Times New Roman" w:hAnsi="Times New Roman"/>
        </w:rPr>
        <w:t xml:space="preserve">The most important of his notices here were those that he contributed between 1924 and 1937 on the first seven volumes of the </w:t>
      </w:r>
      <w:r w:rsidRPr="00517CC8">
        <w:rPr>
          <w:rFonts w:ascii="Times New Roman" w:hAnsi="Times New Roman"/>
          <w:i/>
        </w:rPr>
        <w:t>Curia Regis Rolls</w:t>
      </w:r>
      <w:r w:rsidRPr="00517CC8">
        <w:rPr>
          <w:rFonts w:ascii="Times New Roman" w:hAnsi="Times New Roman"/>
        </w:rPr>
        <w:t xml:space="preserve"> of the reign of King John.  Here he assembled a great feast of references and memoranda, still of great value.</w:t>
      </w:r>
      <w:r w:rsidRPr="00517CC8">
        <w:rPr>
          <w:rStyle w:val="FootnoteReference"/>
          <w:rFonts w:ascii="Times New Roman" w:hAnsi="Times New Roman"/>
        </w:rPr>
        <w:footnoteReference w:id="63"/>
      </w:r>
      <w:r w:rsidRPr="00517CC8">
        <w:rPr>
          <w:rFonts w:ascii="Times New Roman" w:hAnsi="Times New Roman"/>
        </w:rPr>
        <w:t xml:space="preserve">  It was Powicke, for example, who drew attention to John's insistence on personally attending judicial duels, and to the nicknames attached by the King's clerks to a particularly memorable attorney (referred to by the writers of the rolls as 'Sighing and Weeping' or 'Grief and Sighing').</w:t>
      </w:r>
      <w:r w:rsidRPr="00517CC8">
        <w:rPr>
          <w:rStyle w:val="FootnoteReference"/>
          <w:rFonts w:ascii="Times New Roman" w:hAnsi="Times New Roman"/>
        </w:rPr>
        <w:footnoteReference w:id="64"/>
      </w:r>
      <w:r w:rsidRPr="00517CC8">
        <w:rPr>
          <w:rFonts w:ascii="Times New Roman" w:hAnsi="Times New Roman"/>
        </w:rPr>
        <w:t xml:space="preserve">  It was Powicke who noted the transcripts of pleadings from the Hilary term of 27 Henry II preserved in the rolls for 1207: a lone survivor of records that must originally have extended back at least as far as the 1170s.</w:t>
      </w:r>
      <w:r w:rsidRPr="00517CC8">
        <w:rPr>
          <w:rStyle w:val="FootnoteReference"/>
          <w:rFonts w:ascii="Times New Roman" w:hAnsi="Times New Roman"/>
        </w:rPr>
        <w:footnoteReference w:id="65"/>
      </w:r>
      <w:r w:rsidRPr="00517CC8">
        <w:rPr>
          <w:rFonts w:ascii="Times New Roman" w:hAnsi="Times New Roman"/>
        </w:rPr>
        <w:t xml:space="preserve">  Elsewhere, there are glimpses of Powicke's command of medieval legal proce</w:t>
      </w:r>
      <w:r>
        <w:rPr>
          <w:rFonts w:ascii="Times New Roman" w:hAnsi="Times New Roman"/>
        </w:rPr>
        <w:t>ss</w:t>
      </w:r>
      <w:r w:rsidRPr="00517CC8">
        <w:rPr>
          <w:rFonts w:ascii="Times New Roman" w:hAnsi="Times New Roman"/>
        </w:rPr>
        <w:t>.  Reviewing a recent study, in French, of the customs of the prévôté of Paris, in 1924, for example, we find him declaring that 'the growth of English common law had little or no relation with the growth of borough customs; in spite of constant royal supervision, London had not much more effect upon it than Burford or Stockport had'.</w:t>
      </w:r>
      <w:r w:rsidRPr="00517CC8">
        <w:rPr>
          <w:rStyle w:val="FootnoteReference"/>
          <w:rFonts w:ascii="Times New Roman" w:hAnsi="Times New Roman"/>
        </w:rPr>
        <w:footnoteReference w:id="66"/>
      </w:r>
      <w:r w:rsidRPr="00517CC8">
        <w:rPr>
          <w:rFonts w:ascii="Times New Roman" w:hAnsi="Times New Roman"/>
        </w:rPr>
        <w:t xml:space="preserve">  The choice of examples here is revealing.  As long ago as 1886, when Powicke was aged only seven, his father, a non-conformist minister, had uprooted his young family from the ducal certainties of Alnwick to the working-class rough and tumble of Stockport.</w:t>
      </w:r>
      <w:r w:rsidRPr="00517CC8">
        <w:rPr>
          <w:rStyle w:val="FootnoteReference"/>
          <w:rFonts w:ascii="Times New Roman" w:hAnsi="Times New Roman"/>
        </w:rPr>
        <w:footnoteReference w:id="67"/>
      </w:r>
      <w:r w:rsidRPr="00517CC8">
        <w:rPr>
          <w:rFonts w:ascii="Times New Roman" w:hAnsi="Times New Roman"/>
        </w:rPr>
        <w:t xml:space="preserve">  Just as Powicke had detached himself from Tout, so here there was a determination to distance </w:t>
      </w:r>
      <w:proofErr w:type="gramStart"/>
      <w:r w:rsidRPr="00517CC8">
        <w:rPr>
          <w:rFonts w:ascii="Times New Roman" w:hAnsi="Times New Roman"/>
        </w:rPr>
        <w:t>himself</w:t>
      </w:r>
      <w:proofErr w:type="gramEnd"/>
      <w:r w:rsidRPr="00517CC8">
        <w:rPr>
          <w:rFonts w:ascii="Times New Roman" w:hAnsi="Times New Roman"/>
        </w:rPr>
        <w:t xml:space="preserve"> from the work of another of his </w:t>
      </w:r>
      <w:r>
        <w:rPr>
          <w:rFonts w:ascii="Times New Roman" w:hAnsi="Times New Roman"/>
        </w:rPr>
        <w:t xml:space="preserve">Manchester </w:t>
      </w:r>
      <w:r w:rsidRPr="00517CC8">
        <w:rPr>
          <w:rFonts w:ascii="Times New Roman" w:hAnsi="Times New Roman"/>
        </w:rPr>
        <w:t>masters, James Tait.</w:t>
      </w:r>
      <w:r w:rsidRPr="00517CC8">
        <w:rPr>
          <w:rStyle w:val="FootnoteReference"/>
          <w:rFonts w:ascii="Times New Roman" w:hAnsi="Times New Roman"/>
        </w:rPr>
        <w:footnoteReference w:id="68"/>
      </w:r>
    </w:p>
    <w:p w14:paraId="52195297" w14:textId="77777777" w:rsidR="00A27FF6" w:rsidRPr="00517CC8" w:rsidRDefault="00A27FF6" w:rsidP="00A27FF6">
      <w:pPr>
        <w:rPr>
          <w:rFonts w:ascii="Times New Roman" w:hAnsi="Times New Roman"/>
        </w:rPr>
      </w:pPr>
    </w:p>
    <w:p w14:paraId="30824A8A" w14:textId="77777777" w:rsidR="00A27FF6" w:rsidRPr="00517CC8" w:rsidRDefault="00A27FF6" w:rsidP="00A27FF6">
      <w:pPr>
        <w:rPr>
          <w:rFonts w:ascii="Times New Roman" w:hAnsi="Times New Roman"/>
        </w:rPr>
      </w:pPr>
      <w:r w:rsidRPr="00517CC8">
        <w:rPr>
          <w:rFonts w:ascii="Times New Roman" w:hAnsi="Times New Roman"/>
        </w:rPr>
        <w:t>In 1928, reviewing the festschrift for Henri Pirenne, we find Powicke commending a paper by Léon Leclère that 'illustrates the extent of the reaction against recent views on Magna Carta'.</w:t>
      </w:r>
      <w:r w:rsidRPr="00517CC8">
        <w:rPr>
          <w:rStyle w:val="FootnoteReference"/>
          <w:rFonts w:ascii="Times New Roman" w:hAnsi="Times New Roman"/>
        </w:rPr>
        <w:footnoteReference w:id="69"/>
      </w:r>
      <w:r w:rsidRPr="00517CC8">
        <w:rPr>
          <w:rFonts w:ascii="Times New Roman" w:hAnsi="Times New Roman"/>
        </w:rPr>
        <w:t xml:space="preserve">  What Leclère had attacked here was the view propounded by Petit-Dutaillis, McKechnie and others, in deliberate reaction against Stubbs, that Magna Carta was essentially a 'baronial' settlement, dictated by the 'selfish' interests of a feudal aristocracy, divorced from the later tradition of liberal constitutionalism onto which it was only, much later and most uncomfortably, grafted. On the contrary, Leclère argued, Magna Carta had from its very origins been targeted at a community that extended far beyond the baronial elite.</w:t>
      </w:r>
      <w:r w:rsidRPr="00517CC8">
        <w:rPr>
          <w:rStyle w:val="FootnoteReference"/>
          <w:rFonts w:ascii="Times New Roman" w:hAnsi="Times New Roman"/>
        </w:rPr>
        <w:footnoteReference w:id="70"/>
      </w:r>
      <w:r w:rsidRPr="00517CC8">
        <w:rPr>
          <w:rFonts w:ascii="Times New Roman" w:hAnsi="Times New Roman"/>
        </w:rPr>
        <w:t xml:space="preserve">  Powicke likewise believed Magna Carta to be broadly based, </w:t>
      </w:r>
      <w:r>
        <w:rPr>
          <w:rFonts w:ascii="Times New Roman" w:hAnsi="Times New Roman"/>
        </w:rPr>
        <w:t>for the benefit of</w:t>
      </w:r>
      <w:r w:rsidRPr="00517CC8">
        <w:rPr>
          <w:rFonts w:ascii="Times New Roman" w:hAnsi="Times New Roman"/>
        </w:rPr>
        <w:t xml:space="preserve"> all free men.  This was a quality that he was inclined to attribute to the influence of Archbishop Stephen Langton.  In this, Powicke followed a much older tradition, represented by the work of Langton</w:t>
      </w:r>
      <w:r>
        <w:rPr>
          <w:rFonts w:ascii="Times New Roman" w:hAnsi="Times New Roman"/>
        </w:rPr>
        <w:t xml:space="preserve">'s Victorian biographers, including </w:t>
      </w:r>
      <w:r w:rsidRPr="00517CC8">
        <w:rPr>
          <w:rFonts w:ascii="Times New Roman" w:hAnsi="Times New Roman"/>
        </w:rPr>
        <w:t>Mark Pattison, Walter Farquhar Hook,</w:t>
      </w:r>
      <w:r>
        <w:rPr>
          <w:rFonts w:ascii="Times New Roman" w:hAnsi="Times New Roman"/>
        </w:rPr>
        <w:t xml:space="preserve"> and</w:t>
      </w:r>
      <w:r w:rsidRPr="00517CC8">
        <w:rPr>
          <w:rFonts w:ascii="Times New Roman" w:hAnsi="Times New Roman"/>
        </w:rPr>
        <w:t xml:space="preserve"> C.E. Maurice (whose 1872 </w:t>
      </w:r>
      <w:r>
        <w:rPr>
          <w:rFonts w:ascii="Times New Roman" w:hAnsi="Times New Roman"/>
        </w:rPr>
        <w:t xml:space="preserve">life of </w:t>
      </w:r>
      <w:r w:rsidRPr="00517CC8">
        <w:rPr>
          <w:rFonts w:ascii="Times New Roman" w:hAnsi="Times New Roman"/>
          <w:i/>
        </w:rPr>
        <w:t>Stephen Langton</w:t>
      </w:r>
      <w:r>
        <w:rPr>
          <w:rFonts w:ascii="Times New Roman" w:hAnsi="Times New Roman"/>
        </w:rPr>
        <w:t xml:space="preserve"> appeared in a series devoted to</w:t>
      </w:r>
      <w:r w:rsidRPr="00517CC8">
        <w:rPr>
          <w:rFonts w:ascii="Times New Roman" w:hAnsi="Times New Roman"/>
        </w:rPr>
        <w:t xml:space="preserve"> </w:t>
      </w:r>
      <w:r>
        <w:rPr>
          <w:rFonts w:ascii="Times New Roman" w:hAnsi="Times New Roman"/>
        </w:rPr>
        <w:t>'</w:t>
      </w:r>
      <w:r w:rsidRPr="00517CC8">
        <w:rPr>
          <w:rFonts w:ascii="Times New Roman" w:hAnsi="Times New Roman"/>
        </w:rPr>
        <w:t>English Popular Leaders').</w:t>
      </w:r>
      <w:r w:rsidRPr="00517CC8">
        <w:rPr>
          <w:rStyle w:val="FootnoteReference"/>
          <w:rFonts w:ascii="Times New Roman" w:hAnsi="Times New Roman"/>
        </w:rPr>
        <w:footnoteReference w:id="71"/>
      </w:r>
      <w:r>
        <w:rPr>
          <w:rFonts w:ascii="Times New Roman" w:hAnsi="Times New Roman"/>
        </w:rPr>
        <w:t xml:space="preserve">  Stubbs himself had allowed that 'it was probably by the bishops, Langton in particular ... that the rights of the freeholder were so carefully fenced round with provisions'.</w:t>
      </w:r>
      <w:r>
        <w:rPr>
          <w:rStyle w:val="FootnoteReference"/>
          <w:rFonts w:ascii="Times New Roman" w:hAnsi="Times New Roman"/>
        </w:rPr>
        <w:footnoteReference w:id="72"/>
      </w:r>
    </w:p>
    <w:p w14:paraId="11726840" w14:textId="77777777" w:rsidR="00A27FF6" w:rsidRPr="00517CC8" w:rsidRDefault="00A27FF6" w:rsidP="00A27FF6">
      <w:pPr>
        <w:rPr>
          <w:rFonts w:ascii="Times New Roman" w:hAnsi="Times New Roman"/>
        </w:rPr>
      </w:pPr>
    </w:p>
    <w:p w14:paraId="6D162A1A" w14:textId="77777777" w:rsidR="00A27FF6" w:rsidRPr="00517CC8" w:rsidRDefault="00A27FF6" w:rsidP="00A27FF6">
      <w:pPr>
        <w:rPr>
          <w:rFonts w:ascii="Times New Roman" w:hAnsi="Times New Roman"/>
        </w:rPr>
      </w:pPr>
      <w:r w:rsidRPr="00517CC8">
        <w:rPr>
          <w:rFonts w:ascii="Times New Roman" w:hAnsi="Times New Roman"/>
        </w:rPr>
        <w:t xml:space="preserve">Powicke </w:t>
      </w:r>
      <w:r>
        <w:rPr>
          <w:rFonts w:ascii="Times New Roman" w:hAnsi="Times New Roman"/>
        </w:rPr>
        <w:t xml:space="preserve">himself, now engaged in what was intended as an international scholarly collaboration on Langton, remained </w:t>
      </w:r>
      <w:r w:rsidRPr="00517CC8">
        <w:rPr>
          <w:rFonts w:ascii="Times New Roman" w:hAnsi="Times New Roman"/>
        </w:rPr>
        <w:t xml:space="preserve">prolific in articles as well as </w:t>
      </w:r>
      <w:r>
        <w:rPr>
          <w:rFonts w:ascii="Times New Roman" w:hAnsi="Times New Roman"/>
        </w:rPr>
        <w:t xml:space="preserve">in </w:t>
      </w:r>
      <w:r w:rsidRPr="00517CC8">
        <w:rPr>
          <w:rFonts w:ascii="Times New Roman" w:hAnsi="Times New Roman"/>
        </w:rPr>
        <w:t>reviews</w:t>
      </w:r>
      <w:r>
        <w:rPr>
          <w:rFonts w:ascii="Times New Roman" w:hAnsi="Times New Roman"/>
        </w:rPr>
        <w:t xml:space="preserve">.  In </w:t>
      </w:r>
      <w:r w:rsidRPr="00C030A0">
        <w:rPr>
          <w:rFonts w:ascii="Times New Roman" w:hAnsi="Times New Roman"/>
          <w:i/>
        </w:rPr>
        <w:t>EHR</w:t>
      </w:r>
      <w:r>
        <w:rPr>
          <w:rFonts w:ascii="Times New Roman" w:hAnsi="Times New Roman"/>
        </w:rPr>
        <w:t>, t</w:t>
      </w:r>
      <w:r w:rsidRPr="00517CC8">
        <w:rPr>
          <w:rFonts w:ascii="Times New Roman" w:hAnsi="Times New Roman"/>
        </w:rPr>
        <w:t xml:space="preserve">he most relevant and significant of his inter-war efforts was his edition in 1929 of the letters, issued at Dover in September 1215, by which the Pope's commissioners published papal excommunication of the rebel barons and prepared the way </w:t>
      </w:r>
      <w:r>
        <w:rPr>
          <w:rFonts w:ascii="Times New Roman" w:hAnsi="Times New Roman"/>
        </w:rPr>
        <w:t>to suspend</w:t>
      </w:r>
      <w:r w:rsidRPr="00517CC8">
        <w:rPr>
          <w:rFonts w:ascii="Times New Roman" w:hAnsi="Times New Roman"/>
        </w:rPr>
        <w:t xml:space="preserve"> Archbishop Langton from office.  These letters, recently brought to light in the cathedral archives, marked, in effect, the moment at which the </w:t>
      </w:r>
      <w:proofErr w:type="gramStart"/>
      <w:r w:rsidRPr="00517CC8">
        <w:rPr>
          <w:rFonts w:ascii="Times New Roman" w:hAnsi="Times New Roman"/>
        </w:rPr>
        <w:t>entire programme of Magna Carta was repudiated by the King</w:t>
      </w:r>
      <w:proofErr w:type="gramEnd"/>
      <w:r w:rsidRPr="00517CC8">
        <w:rPr>
          <w:rFonts w:ascii="Times New Roman" w:hAnsi="Times New Roman"/>
        </w:rPr>
        <w:t>.</w:t>
      </w:r>
      <w:r w:rsidRPr="00517CC8">
        <w:rPr>
          <w:rStyle w:val="FootnoteReference"/>
          <w:rFonts w:ascii="Times New Roman" w:hAnsi="Times New Roman"/>
        </w:rPr>
        <w:footnoteReference w:id="73"/>
      </w:r>
      <w:r w:rsidRPr="00517CC8">
        <w:rPr>
          <w:rFonts w:ascii="Times New Roman" w:hAnsi="Times New Roman"/>
        </w:rPr>
        <w:t xml:space="preserve">  On a more technical note, in 1920, Powicke had defended McKechnie's translation of 'abbrevientur' in the 1215 Articles of the Barons, deploying his mastery of </w:t>
      </w:r>
      <w:r>
        <w:rPr>
          <w:rFonts w:ascii="Times New Roman" w:hAnsi="Times New Roman"/>
        </w:rPr>
        <w:t>legal records</w:t>
      </w:r>
      <w:r w:rsidRPr="00517CC8">
        <w:rPr>
          <w:rFonts w:ascii="Times New Roman" w:hAnsi="Times New Roman"/>
        </w:rPr>
        <w:t xml:space="preserve"> to prove that it meant 'shortened' not 'set down in writing', in the process paying due homage to Maitland.</w:t>
      </w:r>
      <w:r w:rsidRPr="00517CC8">
        <w:rPr>
          <w:rStyle w:val="FootnoteReference"/>
          <w:rFonts w:ascii="Times New Roman" w:hAnsi="Times New Roman"/>
        </w:rPr>
        <w:footnoteReference w:id="74"/>
      </w:r>
      <w:r w:rsidRPr="00517CC8">
        <w:rPr>
          <w:rFonts w:ascii="Times New Roman" w:hAnsi="Times New Roman"/>
        </w:rPr>
        <w:t xml:space="preserve">  </w:t>
      </w:r>
      <w:r>
        <w:rPr>
          <w:rFonts w:ascii="Times New Roman" w:hAnsi="Times New Roman"/>
        </w:rPr>
        <w:t>Powicke's work on</w:t>
      </w:r>
      <w:r w:rsidRPr="00517CC8">
        <w:rPr>
          <w:rFonts w:ascii="Times New Roman" w:hAnsi="Times New Roman"/>
        </w:rPr>
        <w:t xml:space="preserve"> Stephen Langton,</w:t>
      </w:r>
      <w:r>
        <w:rPr>
          <w:rFonts w:ascii="Times New Roman" w:hAnsi="Times New Roman"/>
        </w:rPr>
        <w:t xml:space="preserve"> meanwhile,</w:t>
      </w:r>
      <w:r w:rsidRPr="00517CC8">
        <w:rPr>
          <w:rFonts w:ascii="Times New Roman" w:hAnsi="Times New Roman"/>
        </w:rPr>
        <w:t xml:space="preserve"> </w:t>
      </w:r>
      <w:r>
        <w:rPr>
          <w:rFonts w:ascii="Times New Roman" w:hAnsi="Times New Roman"/>
        </w:rPr>
        <w:t>emerged</w:t>
      </w:r>
      <w:r w:rsidRPr="00517CC8">
        <w:rPr>
          <w:rFonts w:ascii="Times New Roman" w:hAnsi="Times New Roman"/>
        </w:rPr>
        <w:t xml:space="preserve"> </w:t>
      </w:r>
      <w:r>
        <w:rPr>
          <w:rFonts w:ascii="Times New Roman" w:hAnsi="Times New Roman"/>
        </w:rPr>
        <w:t>as his Ford Lectures for 1927.  These</w:t>
      </w:r>
      <w:r w:rsidRPr="00517CC8">
        <w:rPr>
          <w:rFonts w:ascii="Times New Roman" w:hAnsi="Times New Roman"/>
        </w:rPr>
        <w:t xml:space="preserve"> obtained a favourable but insipid review in </w:t>
      </w:r>
      <w:r w:rsidRPr="00517CC8">
        <w:rPr>
          <w:rFonts w:ascii="Times New Roman" w:hAnsi="Times New Roman"/>
          <w:i/>
        </w:rPr>
        <w:t>EHR</w:t>
      </w:r>
      <w:r w:rsidRPr="00517CC8">
        <w:rPr>
          <w:rFonts w:ascii="Times New Roman" w:hAnsi="Times New Roman"/>
        </w:rPr>
        <w:t xml:space="preserve"> by (the otherwise forgotten) Charles George Crump.</w:t>
      </w:r>
      <w:r w:rsidRPr="00517CC8">
        <w:rPr>
          <w:rStyle w:val="FootnoteReference"/>
          <w:rFonts w:ascii="Times New Roman" w:hAnsi="Times New Roman"/>
        </w:rPr>
        <w:footnoteReference w:id="75"/>
      </w:r>
      <w:r w:rsidRPr="00517CC8">
        <w:rPr>
          <w:rFonts w:ascii="Times New Roman" w:hAnsi="Times New Roman"/>
        </w:rPr>
        <w:t xml:space="preserve">  </w:t>
      </w:r>
      <w:r>
        <w:rPr>
          <w:rFonts w:ascii="Times New Roman" w:hAnsi="Times New Roman"/>
        </w:rPr>
        <w:t>They were</w:t>
      </w:r>
      <w:r w:rsidRPr="00517CC8">
        <w:rPr>
          <w:rFonts w:ascii="Times New Roman" w:hAnsi="Times New Roman"/>
        </w:rPr>
        <w:t xml:space="preserve"> followed both by a further update on recent </w:t>
      </w:r>
      <w:r>
        <w:rPr>
          <w:rFonts w:ascii="Times New Roman" w:hAnsi="Times New Roman"/>
        </w:rPr>
        <w:t>Langton discoveries</w:t>
      </w:r>
      <w:r w:rsidRPr="00517CC8">
        <w:rPr>
          <w:rFonts w:ascii="Times New Roman" w:hAnsi="Times New Roman"/>
        </w:rPr>
        <w:t xml:space="preserve"> by Powicke and, more significantly, by Kathleen Major's first venture into print, on the household and familiars of Langton, prolegomenon to the great edition of Langton's letters and charters that Major was to publish in 1950.</w:t>
      </w:r>
      <w:r w:rsidRPr="00517CC8">
        <w:rPr>
          <w:rStyle w:val="FootnoteReference"/>
          <w:rFonts w:ascii="Times New Roman" w:hAnsi="Times New Roman"/>
        </w:rPr>
        <w:footnoteReference w:id="76"/>
      </w:r>
      <w:r>
        <w:rPr>
          <w:rFonts w:ascii="Times New Roman" w:hAnsi="Times New Roman"/>
        </w:rPr>
        <w:t xml:space="preserve">  I have discussed Powicke's </w:t>
      </w:r>
      <w:r w:rsidRPr="00F449F9">
        <w:rPr>
          <w:rFonts w:ascii="Times New Roman" w:hAnsi="Times New Roman"/>
          <w:i/>
        </w:rPr>
        <w:t>Langton</w:t>
      </w:r>
      <w:r>
        <w:rPr>
          <w:rFonts w:ascii="Times New Roman" w:hAnsi="Times New Roman"/>
        </w:rPr>
        <w:t xml:space="preserve"> elsewhere.</w:t>
      </w:r>
      <w:r>
        <w:rPr>
          <w:rStyle w:val="FootnoteReference"/>
          <w:rFonts w:ascii="Times New Roman" w:hAnsi="Times New Roman"/>
        </w:rPr>
        <w:footnoteReference w:id="77"/>
      </w:r>
      <w:r>
        <w:rPr>
          <w:rFonts w:ascii="Times New Roman" w:hAnsi="Times New Roman"/>
        </w:rPr>
        <w:t xml:space="preserve">  For present purposes, its principal achievement lay in its willingness to invest the actors of 1215 with minds and ideas as well as grievances.  This was a brave new departure in English constitutional studies.  It was nonetheless achieved by means with which Stubbs himself would have been thoroughly familiar.</w:t>
      </w:r>
    </w:p>
    <w:p w14:paraId="065A12E5" w14:textId="77777777" w:rsidR="00A27FF6" w:rsidRPr="00517CC8" w:rsidRDefault="00A27FF6" w:rsidP="00A27FF6">
      <w:pPr>
        <w:rPr>
          <w:rFonts w:ascii="Times New Roman" w:hAnsi="Times New Roman"/>
        </w:rPr>
      </w:pPr>
    </w:p>
    <w:p w14:paraId="4893A0F3" w14:textId="77777777" w:rsidR="00A27FF6" w:rsidRPr="00517CC8" w:rsidRDefault="00A27FF6" w:rsidP="00A27FF6">
      <w:pPr>
        <w:rPr>
          <w:rFonts w:ascii="Times New Roman" w:hAnsi="Times New Roman"/>
        </w:rPr>
      </w:pPr>
      <w:r w:rsidRPr="00517CC8">
        <w:rPr>
          <w:rFonts w:ascii="Times New Roman" w:hAnsi="Times New Roman"/>
        </w:rPr>
        <w:t xml:space="preserve">From this interwar period, I have selected </w:t>
      </w:r>
      <w:r>
        <w:rPr>
          <w:rFonts w:ascii="Times New Roman" w:hAnsi="Times New Roman"/>
        </w:rPr>
        <w:t>another</w:t>
      </w:r>
      <w:r w:rsidRPr="00517CC8">
        <w:rPr>
          <w:rFonts w:ascii="Times New Roman" w:hAnsi="Times New Roman"/>
        </w:rPr>
        <w:t xml:space="preserve"> article for republication below. Sir John Charles Fox's study of the originals of the 1215 Magna Carta is a period piece, </w:t>
      </w:r>
      <w:r>
        <w:rPr>
          <w:rFonts w:ascii="Times New Roman" w:hAnsi="Times New Roman"/>
        </w:rPr>
        <w:t>overshadowed after</w:t>
      </w:r>
      <w:r w:rsidRPr="00517CC8">
        <w:rPr>
          <w:rFonts w:ascii="Times New Roman" w:hAnsi="Times New Roman"/>
        </w:rPr>
        <w:t xml:space="preserve"> 1948 by a much more detailed survey by A.J. Collins, of the British Museum.</w:t>
      </w:r>
      <w:r w:rsidRPr="00517CC8">
        <w:rPr>
          <w:rStyle w:val="FootnoteReference"/>
          <w:rFonts w:ascii="Times New Roman" w:hAnsi="Times New Roman"/>
        </w:rPr>
        <w:footnoteReference w:id="78"/>
      </w:r>
      <w:r w:rsidRPr="00517CC8">
        <w:rPr>
          <w:rFonts w:ascii="Times New Roman" w:hAnsi="Times New Roman"/>
        </w:rPr>
        <w:t xml:space="preserve">  Fox (1855-1943) was a solicitor, former Senior Master of the Chancery Division, and a dabbler in medieval studies. He had previously contributed articles to </w:t>
      </w:r>
      <w:r w:rsidRPr="00517CC8">
        <w:rPr>
          <w:rFonts w:ascii="Times New Roman" w:hAnsi="Times New Roman"/>
          <w:i/>
        </w:rPr>
        <w:t>EHR</w:t>
      </w:r>
      <w:r w:rsidRPr="00517CC8">
        <w:rPr>
          <w:rFonts w:ascii="Times New Roman" w:hAnsi="Times New Roman"/>
        </w:rPr>
        <w:t>, seeking to identify Marie de France with Henry II's half-sister,</w:t>
      </w:r>
      <w:r>
        <w:rPr>
          <w:rFonts w:ascii="Times New Roman" w:hAnsi="Times New Roman"/>
        </w:rPr>
        <w:t xml:space="preserve"> the</w:t>
      </w:r>
      <w:r w:rsidRPr="00517CC8">
        <w:rPr>
          <w:rFonts w:ascii="Times New Roman" w:hAnsi="Times New Roman"/>
        </w:rPr>
        <w:t xml:space="preserve"> abbess of Shaftesbury.</w:t>
      </w:r>
      <w:r w:rsidRPr="00517CC8">
        <w:rPr>
          <w:rStyle w:val="FootnoteReference"/>
          <w:rFonts w:ascii="Times New Roman" w:hAnsi="Times New Roman"/>
        </w:rPr>
        <w:footnoteReference w:id="79"/>
      </w:r>
      <w:r w:rsidRPr="00517CC8">
        <w:rPr>
          <w:rFonts w:ascii="Times New Roman" w:hAnsi="Times New Roman"/>
        </w:rPr>
        <w:t xml:space="preserve">  In dealing with the physicality of Magna Carta, he offered a welcome </w:t>
      </w:r>
      <w:r>
        <w:rPr>
          <w:rFonts w:ascii="Times New Roman" w:hAnsi="Times New Roman"/>
        </w:rPr>
        <w:t>departure from the excessively constitutional-textual</w:t>
      </w:r>
      <w:r w:rsidRPr="00517CC8">
        <w:rPr>
          <w:rFonts w:ascii="Times New Roman" w:hAnsi="Times New Roman"/>
        </w:rPr>
        <w:t xml:space="preserve"> tradition in which Powicke and others had been raised.  His article makes one remarkable claim.  Three slits are pierced at the bottom of the original Magna Carta now BL ms. Cotton Augustus ii.106.  These had already attracted the attention of Richard Thomson in 1829, </w:t>
      </w:r>
      <w:proofErr w:type="gramStart"/>
      <w:r w:rsidRPr="00517CC8">
        <w:rPr>
          <w:rFonts w:ascii="Times New Roman" w:hAnsi="Times New Roman"/>
        </w:rPr>
        <w:t>who</w:t>
      </w:r>
      <w:proofErr w:type="gramEnd"/>
      <w:r w:rsidRPr="00517CC8">
        <w:rPr>
          <w:rFonts w:ascii="Times New Roman" w:hAnsi="Times New Roman"/>
        </w:rPr>
        <w:t xml:space="preserve"> suggested that they were made to carry the seals of three of the barons.</w:t>
      </w:r>
      <w:r w:rsidRPr="00517CC8">
        <w:rPr>
          <w:rStyle w:val="FootnoteReference"/>
          <w:rFonts w:ascii="Times New Roman" w:hAnsi="Times New Roman"/>
        </w:rPr>
        <w:footnoteReference w:id="80"/>
      </w:r>
      <w:r w:rsidRPr="00517CC8">
        <w:rPr>
          <w:rFonts w:ascii="Times New Roman" w:hAnsi="Times New Roman"/>
        </w:rPr>
        <w:t xml:space="preserve">  Reginald Lane Poole had concurred, in 1913 reporting them as 'slits for three seals'.</w:t>
      </w:r>
      <w:r w:rsidRPr="00517CC8">
        <w:rPr>
          <w:rStyle w:val="FootnoteReference"/>
          <w:rFonts w:ascii="Times New Roman" w:hAnsi="Times New Roman"/>
        </w:rPr>
        <w:footnoteReference w:id="81"/>
      </w:r>
      <w:r w:rsidRPr="00517CC8">
        <w:rPr>
          <w:rFonts w:ascii="Times New Roman" w:hAnsi="Times New Roman"/>
        </w:rPr>
        <w:t xml:space="preserve">  As a government solicitor in the age of Lloyd George, Fox was perhaps inclined to seek out more dramatic explanations for the abuse of state documents.  He now suggested that the slits in the foot of Magna Carta were in reality 'stabs with a knife or a dagger - the visible evidence of [King John's] fury'.</w:t>
      </w:r>
      <w:r w:rsidRPr="00517CC8">
        <w:rPr>
          <w:rStyle w:val="FootnoteReference"/>
          <w:rFonts w:ascii="Times New Roman" w:hAnsi="Times New Roman"/>
        </w:rPr>
        <w:footnoteReference w:id="82"/>
      </w:r>
      <w:r w:rsidRPr="00517CC8">
        <w:rPr>
          <w:rFonts w:ascii="Times New Roman" w:hAnsi="Times New Roman"/>
        </w:rPr>
        <w:t xml:space="preserve">  The truth is more mundane.  As pointed out in 1948 by Collins, the three slits were in reality nothing more than traces left by Sir Robert Cotton's bookbinder, from the time that Augustus ii.106 had been bound up with other charters into a guard book.</w:t>
      </w:r>
      <w:r w:rsidRPr="00517CC8">
        <w:rPr>
          <w:rStyle w:val="FootnoteReference"/>
          <w:rFonts w:ascii="Times New Roman" w:hAnsi="Times New Roman"/>
        </w:rPr>
        <w:footnoteReference w:id="83"/>
      </w:r>
    </w:p>
    <w:p w14:paraId="6292683C" w14:textId="77777777" w:rsidR="00A27FF6" w:rsidRPr="00517CC8" w:rsidRDefault="00A27FF6" w:rsidP="00A27FF6">
      <w:pPr>
        <w:rPr>
          <w:rFonts w:ascii="Times New Roman" w:hAnsi="Times New Roman"/>
        </w:rPr>
      </w:pPr>
    </w:p>
    <w:p w14:paraId="25B5BD76" w14:textId="77777777" w:rsidR="00A27FF6" w:rsidRPr="00517CC8" w:rsidRDefault="00A27FF6" w:rsidP="00A27FF6">
      <w:pPr>
        <w:widowControl w:val="0"/>
        <w:autoSpaceDE w:val="0"/>
        <w:autoSpaceDN w:val="0"/>
        <w:adjustRightInd w:val="0"/>
        <w:rPr>
          <w:rFonts w:ascii="Times New Roman" w:hAnsi="Times New Roman"/>
        </w:rPr>
      </w:pPr>
      <w:r w:rsidRPr="00517CC8">
        <w:rPr>
          <w:rFonts w:ascii="Times New Roman" w:hAnsi="Times New Roman"/>
        </w:rPr>
        <w:t>Collins' article was published amidst post-war austerity, but at a time when Magna Carta itself seemed more relevant than ever, not least as a totem of that democracy so recently triumphant over Fascism.</w:t>
      </w:r>
      <w:r w:rsidRPr="00517CC8">
        <w:rPr>
          <w:rStyle w:val="FootnoteReference"/>
          <w:rFonts w:ascii="Times New Roman" w:hAnsi="Times New Roman"/>
        </w:rPr>
        <w:footnoteReference w:id="84"/>
      </w:r>
      <w:r w:rsidRPr="00517CC8">
        <w:rPr>
          <w:rFonts w:ascii="Times New Roman" w:hAnsi="Times New Roman"/>
        </w:rPr>
        <w:t xml:space="preserve">  The war years saw little sustained work on the charter of 1215.  The best efforts were those of V.H. Galbraith, </w:t>
      </w:r>
      <w:r>
        <w:rPr>
          <w:rFonts w:ascii="Times New Roman" w:hAnsi="Times New Roman"/>
        </w:rPr>
        <w:t>whose</w:t>
      </w:r>
      <w:r w:rsidRPr="00517CC8">
        <w:rPr>
          <w:rFonts w:ascii="Times New Roman" w:hAnsi="Times New Roman"/>
        </w:rPr>
        <w:t xml:space="preserve"> </w:t>
      </w:r>
      <w:r w:rsidRPr="00517CC8">
        <w:rPr>
          <w:rFonts w:ascii="Times New Roman" w:hAnsi="Times New Roman"/>
          <w:i/>
        </w:rPr>
        <w:t>Studies in the Public Records</w:t>
      </w:r>
      <w:r w:rsidRPr="00517CC8">
        <w:rPr>
          <w:rFonts w:ascii="Times New Roman" w:hAnsi="Times New Roman"/>
        </w:rPr>
        <w:t xml:space="preserve">, </w:t>
      </w:r>
      <w:proofErr w:type="gramStart"/>
      <w:r w:rsidRPr="00517CC8">
        <w:rPr>
          <w:rFonts w:ascii="Times New Roman" w:hAnsi="Times New Roman"/>
        </w:rPr>
        <w:t>delivered</w:t>
      </w:r>
      <w:proofErr w:type="gramEnd"/>
      <w:r w:rsidRPr="00517CC8">
        <w:rPr>
          <w:rFonts w:ascii="Times New Roman" w:hAnsi="Times New Roman"/>
        </w:rPr>
        <w:t xml:space="preserve"> as the Ford Lectures for 1941, </w:t>
      </w:r>
      <w:r>
        <w:rPr>
          <w:rFonts w:ascii="Times New Roman" w:hAnsi="Times New Roman"/>
        </w:rPr>
        <w:t>were</w:t>
      </w:r>
      <w:r w:rsidRPr="00517CC8">
        <w:rPr>
          <w:rFonts w:ascii="Times New Roman" w:hAnsi="Times New Roman"/>
        </w:rPr>
        <w:t xml:space="preserve"> not published until 1948, by which time Galbraith had succeeded Powicke </w:t>
      </w:r>
      <w:r>
        <w:rPr>
          <w:rFonts w:ascii="Times New Roman" w:hAnsi="Times New Roman"/>
        </w:rPr>
        <w:t>as Regius at Oxford</w:t>
      </w:r>
      <w:r w:rsidRPr="00517CC8">
        <w:rPr>
          <w:rFonts w:ascii="Times New Roman" w:hAnsi="Times New Roman"/>
        </w:rPr>
        <w:t>.</w:t>
      </w:r>
      <w:r w:rsidRPr="00517CC8">
        <w:rPr>
          <w:rStyle w:val="FootnoteReference"/>
          <w:rFonts w:ascii="Times New Roman" w:hAnsi="Times New Roman"/>
        </w:rPr>
        <w:footnoteReference w:id="85"/>
      </w:r>
      <w:r w:rsidRPr="00517CC8">
        <w:rPr>
          <w:rFonts w:ascii="Times New Roman" w:hAnsi="Times New Roman"/>
        </w:rPr>
        <w:t xml:space="preserve">  There were, nonetheless, stirrings of a new interest in the charter's later role in law and constitutionalism.  Much of this came from America, and in particular from the work of Faith Thompson whose </w:t>
      </w:r>
      <w:r w:rsidRPr="00517CC8">
        <w:rPr>
          <w:rFonts w:ascii="Times New Roman" w:hAnsi="Times New Roman"/>
          <w:i/>
        </w:rPr>
        <w:t>First Century of Magna Carta</w:t>
      </w:r>
      <w:r w:rsidRPr="00517CC8">
        <w:rPr>
          <w:rFonts w:ascii="Times New Roman" w:hAnsi="Times New Roman"/>
        </w:rPr>
        <w:t xml:space="preserve"> </w:t>
      </w:r>
      <w:proofErr w:type="gramStart"/>
      <w:r w:rsidRPr="00517CC8">
        <w:rPr>
          <w:rFonts w:ascii="Times New Roman" w:hAnsi="Times New Roman"/>
        </w:rPr>
        <w:t xml:space="preserve">had been favourably reviewed, </w:t>
      </w:r>
      <w:r>
        <w:rPr>
          <w:rFonts w:ascii="Times New Roman" w:hAnsi="Times New Roman"/>
        </w:rPr>
        <w:t xml:space="preserve">as long ago as 1925, </w:t>
      </w:r>
      <w:r w:rsidRPr="00517CC8">
        <w:rPr>
          <w:rFonts w:ascii="Times New Roman" w:hAnsi="Times New Roman"/>
        </w:rPr>
        <w:t>by Powicke's student, E.F. Jacob</w:t>
      </w:r>
      <w:proofErr w:type="gramEnd"/>
      <w:r w:rsidRPr="00517CC8">
        <w:rPr>
          <w:rFonts w:ascii="Times New Roman" w:hAnsi="Times New Roman"/>
        </w:rPr>
        <w:t xml:space="preserve">. Jacob pronounced the book 'useful', but questioned its author's assumption that medieval lawyers were servants of the law rather than of the crown.  </w:t>
      </w:r>
      <w:r>
        <w:rPr>
          <w:rFonts w:ascii="Times New Roman" w:hAnsi="Times New Roman"/>
        </w:rPr>
        <w:t>Drawing</w:t>
      </w:r>
      <w:r w:rsidRPr="00517CC8">
        <w:rPr>
          <w:rFonts w:ascii="Times New Roman" w:hAnsi="Times New Roman"/>
        </w:rPr>
        <w:t xml:space="preserve"> attention to the 'strength of the household system', </w:t>
      </w:r>
      <w:r>
        <w:rPr>
          <w:rFonts w:ascii="Times New Roman" w:hAnsi="Times New Roman"/>
        </w:rPr>
        <w:t>Jacob suggested</w:t>
      </w:r>
      <w:r w:rsidRPr="00517CC8">
        <w:rPr>
          <w:rFonts w:ascii="Times New Roman" w:hAnsi="Times New Roman"/>
        </w:rPr>
        <w:t xml:space="preserve"> that, throughout the thirteenth century, the crown managed to evade the Charter through 'procedure' or 'administrative technique'</w:t>
      </w:r>
      <w:r>
        <w:rPr>
          <w:rFonts w:ascii="Times New Roman" w:hAnsi="Times New Roman"/>
        </w:rPr>
        <w:t>.  The only remedy here, Jacob proposed</w:t>
      </w:r>
      <w:r w:rsidRPr="00517CC8">
        <w:rPr>
          <w:rFonts w:ascii="Times New Roman" w:hAnsi="Times New Roman"/>
        </w:rPr>
        <w:t>, was for those opposed to the King to take control of crown patronage and the appointment of the crown's servants, a method so drastic that it was never in practice enforced, even during the period of baronial rebellion after 1258.</w:t>
      </w:r>
      <w:r w:rsidRPr="00517CC8">
        <w:rPr>
          <w:rStyle w:val="FootnoteReference"/>
          <w:rFonts w:ascii="Times New Roman" w:hAnsi="Times New Roman"/>
        </w:rPr>
        <w:footnoteReference w:id="86"/>
      </w:r>
    </w:p>
    <w:p w14:paraId="48320E6A" w14:textId="77777777" w:rsidR="00A27FF6" w:rsidRPr="00517CC8" w:rsidRDefault="00A27FF6" w:rsidP="00A27FF6">
      <w:pPr>
        <w:widowControl w:val="0"/>
        <w:autoSpaceDE w:val="0"/>
        <w:autoSpaceDN w:val="0"/>
        <w:adjustRightInd w:val="0"/>
        <w:rPr>
          <w:rFonts w:ascii="Times New Roman" w:hAnsi="Times New Roman"/>
        </w:rPr>
      </w:pPr>
    </w:p>
    <w:p w14:paraId="435FDB57" w14:textId="0D1B4A58" w:rsidR="00A27FF6" w:rsidRPr="00517CC8" w:rsidRDefault="00A27FF6" w:rsidP="00A27FF6">
      <w:pPr>
        <w:widowControl w:val="0"/>
        <w:autoSpaceDE w:val="0"/>
        <w:autoSpaceDN w:val="0"/>
        <w:adjustRightInd w:val="0"/>
        <w:rPr>
          <w:rFonts w:ascii="Times New Roman" w:hAnsi="Times New Roman"/>
        </w:rPr>
      </w:pPr>
      <w:r w:rsidRPr="00517CC8">
        <w:rPr>
          <w:rFonts w:ascii="Times New Roman" w:hAnsi="Times New Roman"/>
        </w:rPr>
        <w:t xml:space="preserve">An even more favourable judgement was pronounced by S.B. Chrimes, in 1950, on Faith Thompson's </w:t>
      </w:r>
      <w:r w:rsidRPr="00517CC8">
        <w:rPr>
          <w:rFonts w:ascii="Times New Roman" w:hAnsi="Times New Roman"/>
          <w:i/>
        </w:rPr>
        <w:t>Magna Carta: Its Role in the Making of the English Constitution 1300-1629</w:t>
      </w:r>
      <w:r w:rsidRPr="00517CC8">
        <w:rPr>
          <w:rFonts w:ascii="Times New Roman" w:hAnsi="Times New Roman"/>
        </w:rPr>
        <w:t>. Chrimes rightly considered this 'a remarkable contribution'.</w:t>
      </w:r>
      <w:r w:rsidRPr="00517CC8">
        <w:rPr>
          <w:rStyle w:val="FootnoteReference"/>
          <w:rFonts w:ascii="Times New Roman" w:hAnsi="Times New Roman"/>
        </w:rPr>
        <w:t xml:space="preserve"> </w:t>
      </w:r>
      <w:r w:rsidRPr="00517CC8">
        <w:rPr>
          <w:rStyle w:val="FootnoteReference"/>
          <w:rFonts w:ascii="Times New Roman" w:hAnsi="Times New Roman"/>
        </w:rPr>
        <w:footnoteReference w:id="87"/>
      </w:r>
      <w:r w:rsidRPr="00517CC8">
        <w:rPr>
          <w:rFonts w:ascii="Times New Roman" w:hAnsi="Times New Roman"/>
        </w:rPr>
        <w:t xml:space="preserve">  As a study of the charter's reception </w:t>
      </w:r>
      <w:r>
        <w:rPr>
          <w:rFonts w:ascii="Times New Roman" w:hAnsi="Times New Roman"/>
        </w:rPr>
        <w:t xml:space="preserve">it </w:t>
      </w:r>
      <w:r w:rsidRPr="00517CC8">
        <w:rPr>
          <w:rFonts w:ascii="Times New Roman" w:hAnsi="Times New Roman"/>
        </w:rPr>
        <w:t xml:space="preserve">has </w:t>
      </w:r>
      <w:r>
        <w:rPr>
          <w:rFonts w:ascii="Times New Roman" w:hAnsi="Times New Roman"/>
        </w:rPr>
        <w:t>never been surpassed</w:t>
      </w:r>
      <w:r w:rsidRPr="00517CC8">
        <w:rPr>
          <w:rFonts w:ascii="Times New Roman" w:hAnsi="Times New Roman"/>
        </w:rPr>
        <w:t xml:space="preserve">, although Anne Pallister's </w:t>
      </w:r>
      <w:r w:rsidRPr="00517CC8">
        <w:rPr>
          <w:rFonts w:ascii="Times New Roman" w:hAnsi="Times New Roman"/>
          <w:i/>
        </w:rPr>
        <w:t>Magna Carta: The Heritage of Liberty</w:t>
      </w:r>
      <w:r w:rsidRPr="00517CC8">
        <w:rPr>
          <w:rFonts w:ascii="Times New Roman" w:hAnsi="Times New Roman"/>
        </w:rPr>
        <w:t xml:space="preserve"> (1971) </w:t>
      </w:r>
      <w:r>
        <w:rPr>
          <w:rFonts w:ascii="Times New Roman" w:hAnsi="Times New Roman"/>
        </w:rPr>
        <w:t>extends the story that</w:t>
      </w:r>
      <w:r w:rsidRPr="00517CC8">
        <w:rPr>
          <w:rFonts w:ascii="Times New Roman" w:hAnsi="Times New Roman"/>
        </w:rPr>
        <w:t xml:space="preserve"> </w:t>
      </w:r>
      <w:r>
        <w:rPr>
          <w:rFonts w:ascii="Times New Roman" w:hAnsi="Times New Roman"/>
        </w:rPr>
        <w:t>Thompson told,</w:t>
      </w:r>
      <w:r w:rsidRPr="00517CC8">
        <w:rPr>
          <w:rFonts w:ascii="Times New Roman" w:hAnsi="Times New Roman"/>
        </w:rPr>
        <w:t xml:space="preserve"> from the 1640s, via Wilkes, Macaulay and the Chartists, into the </w:t>
      </w:r>
      <w:r w:rsidR="0088502E">
        <w:rPr>
          <w:rFonts w:ascii="Times New Roman" w:hAnsi="Times New Roman"/>
        </w:rPr>
        <w:t>latter half of the</w:t>
      </w:r>
      <w:r w:rsidRPr="00517CC8">
        <w:rPr>
          <w:rFonts w:ascii="Times New Roman" w:hAnsi="Times New Roman"/>
        </w:rPr>
        <w:t xml:space="preserve"> twentieth century.</w:t>
      </w:r>
      <w:r w:rsidRPr="00517CC8">
        <w:rPr>
          <w:rStyle w:val="FootnoteReference"/>
          <w:rFonts w:ascii="Times New Roman" w:hAnsi="Times New Roman"/>
        </w:rPr>
        <w:footnoteReference w:id="88"/>
      </w:r>
      <w:r w:rsidRPr="00517CC8">
        <w:rPr>
          <w:rFonts w:ascii="Times New Roman" w:hAnsi="Times New Roman"/>
        </w:rPr>
        <w:t xml:space="preserve"> </w:t>
      </w:r>
      <w:r>
        <w:rPr>
          <w:rFonts w:ascii="Times New Roman" w:hAnsi="Times New Roman"/>
        </w:rPr>
        <w:t>A.E. Dick Howard had attempted something similar for North America.</w:t>
      </w:r>
      <w:r>
        <w:rPr>
          <w:rStyle w:val="FootnoteReference"/>
          <w:rFonts w:ascii="Times New Roman" w:hAnsi="Times New Roman"/>
        </w:rPr>
        <w:footnoteReference w:id="89"/>
      </w:r>
      <w:r>
        <w:rPr>
          <w:rFonts w:ascii="Times New Roman" w:hAnsi="Times New Roman"/>
        </w:rPr>
        <w:t xml:space="preserve">  </w:t>
      </w:r>
      <w:r w:rsidRPr="00517CC8">
        <w:rPr>
          <w:rFonts w:ascii="Times New Roman" w:hAnsi="Times New Roman"/>
        </w:rPr>
        <w:t xml:space="preserve">Thompson in turn pointed the way to that rediscovery of the sixteenth and seventeenth-century obsession with an 'Ancient Constitution', itself an increasingly significant theme in the work of early modernists and intellectual historians, most notably J.G.A. Pocock, whose </w:t>
      </w:r>
      <w:r w:rsidRPr="00517CC8">
        <w:rPr>
          <w:rFonts w:ascii="Times New Roman" w:hAnsi="Times New Roman"/>
          <w:i/>
        </w:rPr>
        <w:t>Ancient Constitution and the Feudal Law</w:t>
      </w:r>
      <w:r w:rsidRPr="00517CC8">
        <w:rPr>
          <w:rFonts w:ascii="Times New Roman" w:hAnsi="Times New Roman"/>
        </w:rPr>
        <w:t xml:space="preserve"> (1957) was favourably reviewed in </w:t>
      </w:r>
      <w:r w:rsidRPr="00517CC8">
        <w:rPr>
          <w:rFonts w:ascii="Times New Roman" w:hAnsi="Times New Roman"/>
          <w:i/>
        </w:rPr>
        <w:t>EHR</w:t>
      </w:r>
      <w:r w:rsidRPr="00517CC8">
        <w:rPr>
          <w:rFonts w:ascii="Times New Roman" w:hAnsi="Times New Roman"/>
        </w:rPr>
        <w:t xml:space="preserve"> by D.C. Douglas.</w:t>
      </w:r>
      <w:r w:rsidRPr="00517CC8">
        <w:rPr>
          <w:rStyle w:val="FootnoteReference"/>
          <w:rFonts w:ascii="Times New Roman" w:hAnsi="Times New Roman"/>
        </w:rPr>
        <w:footnoteReference w:id="90"/>
      </w:r>
      <w:r w:rsidRPr="00517CC8">
        <w:rPr>
          <w:rFonts w:ascii="Times New Roman" w:hAnsi="Times New Roman"/>
        </w:rPr>
        <w:t xml:space="preserve">  For the most part, however, this was a </w:t>
      </w:r>
      <w:r>
        <w:rPr>
          <w:rFonts w:ascii="Times New Roman" w:hAnsi="Times New Roman"/>
        </w:rPr>
        <w:t>debate conducted in journals elsewhere</w:t>
      </w:r>
      <w:r w:rsidRPr="00517CC8">
        <w:rPr>
          <w:rFonts w:ascii="Times New Roman" w:hAnsi="Times New Roman"/>
        </w:rPr>
        <w:t>.</w:t>
      </w:r>
      <w:r w:rsidRPr="00517CC8">
        <w:rPr>
          <w:rStyle w:val="FootnoteReference"/>
          <w:rFonts w:ascii="Times New Roman" w:hAnsi="Times New Roman"/>
        </w:rPr>
        <w:footnoteReference w:id="91"/>
      </w:r>
      <w:r w:rsidRPr="00517CC8">
        <w:rPr>
          <w:rFonts w:ascii="Times New Roman" w:hAnsi="Times New Roman"/>
        </w:rPr>
        <w:t xml:space="preserve">  </w:t>
      </w:r>
    </w:p>
    <w:p w14:paraId="4F6E627C" w14:textId="77777777" w:rsidR="00A27FF6" w:rsidRPr="00517CC8" w:rsidRDefault="00A27FF6" w:rsidP="00A27FF6">
      <w:pPr>
        <w:widowControl w:val="0"/>
        <w:autoSpaceDE w:val="0"/>
        <w:autoSpaceDN w:val="0"/>
        <w:adjustRightInd w:val="0"/>
        <w:rPr>
          <w:rFonts w:ascii="Times New Roman" w:hAnsi="Times New Roman"/>
        </w:rPr>
      </w:pPr>
    </w:p>
    <w:p w14:paraId="58C50CA2" w14:textId="77777777" w:rsidR="00A27FF6" w:rsidRDefault="00A27FF6" w:rsidP="00A27FF6">
      <w:pPr>
        <w:widowControl w:val="0"/>
        <w:autoSpaceDE w:val="0"/>
        <w:autoSpaceDN w:val="0"/>
        <w:adjustRightInd w:val="0"/>
        <w:rPr>
          <w:rFonts w:ascii="Times New Roman" w:hAnsi="Times New Roman"/>
        </w:rPr>
      </w:pPr>
      <w:r w:rsidRPr="00517CC8">
        <w:rPr>
          <w:rFonts w:ascii="Times New Roman" w:hAnsi="Times New Roman"/>
        </w:rPr>
        <w:t xml:space="preserve">Instead, </w:t>
      </w:r>
      <w:r w:rsidRPr="0071778E">
        <w:rPr>
          <w:rFonts w:ascii="Times New Roman" w:hAnsi="Times New Roman"/>
          <w:i/>
        </w:rPr>
        <w:t>EHR</w:t>
      </w:r>
      <w:r>
        <w:rPr>
          <w:rFonts w:ascii="Times New Roman" w:hAnsi="Times New Roman"/>
        </w:rPr>
        <w:t>'s</w:t>
      </w:r>
      <w:r w:rsidRPr="00517CC8">
        <w:rPr>
          <w:rFonts w:ascii="Times New Roman" w:hAnsi="Times New Roman"/>
        </w:rPr>
        <w:t xml:space="preserve"> chief contribution during the war years was limited to narrative accounts of the reissue of Magna Carta in 1297, culminating in a long piece by Harry Rothwell, published as one of those multi-part articles with </w:t>
      </w:r>
      <w:r w:rsidRPr="004710A2">
        <w:rPr>
          <w:rFonts w:ascii="Times New Roman" w:hAnsi="Times New Roman"/>
        </w:rPr>
        <w:t>which the scholarly journals compensated for war-time shorta</w:t>
      </w:r>
      <w:r w:rsidRPr="00517CC8">
        <w:rPr>
          <w:rFonts w:ascii="Times New Roman" w:hAnsi="Times New Roman"/>
        </w:rPr>
        <w:t>ge of copy.</w:t>
      </w:r>
      <w:r w:rsidRPr="00517CC8">
        <w:rPr>
          <w:rStyle w:val="FootnoteReference"/>
          <w:rFonts w:ascii="Times New Roman" w:hAnsi="Times New Roman"/>
        </w:rPr>
        <w:footnoteReference w:id="92"/>
      </w:r>
      <w:r w:rsidRPr="00517CC8">
        <w:rPr>
          <w:rFonts w:ascii="Times New Roman" w:hAnsi="Times New Roman"/>
        </w:rPr>
        <w:t xml:space="preserve">  It was Rothwell, a decade later, </w:t>
      </w:r>
      <w:proofErr w:type="gramStart"/>
      <w:r w:rsidRPr="00517CC8">
        <w:rPr>
          <w:rFonts w:ascii="Times New Roman" w:hAnsi="Times New Roman"/>
        </w:rPr>
        <w:t>who</w:t>
      </w:r>
      <w:proofErr w:type="gramEnd"/>
      <w:r w:rsidRPr="00517CC8">
        <w:rPr>
          <w:rFonts w:ascii="Times New Roman" w:hAnsi="Times New Roman"/>
        </w:rPr>
        <w:t xml:space="preserve"> did his best to deter the young W.L. Warren from writing a biography of King John.  'What', Rothwell is reputed to have asked, 'can you possibly say about King John that Sidney Painter has not said already?'.</w:t>
      </w:r>
      <w:r w:rsidRPr="00517CC8">
        <w:rPr>
          <w:rStyle w:val="FootnoteReference"/>
          <w:rFonts w:ascii="Times New Roman" w:hAnsi="Times New Roman"/>
        </w:rPr>
        <w:footnoteReference w:id="93"/>
      </w:r>
      <w:r w:rsidRPr="00517CC8">
        <w:rPr>
          <w:rFonts w:ascii="Times New Roman" w:hAnsi="Times New Roman"/>
        </w:rPr>
        <w:t xml:space="preserve"> There was irony to this, since Painter's biography of John, published in 1949, had met with a far from laudatory </w:t>
      </w:r>
      <w:r w:rsidRPr="00517CC8">
        <w:rPr>
          <w:rFonts w:ascii="Times New Roman" w:hAnsi="Times New Roman"/>
          <w:i/>
        </w:rPr>
        <w:t>EHR</w:t>
      </w:r>
      <w:r w:rsidRPr="00517CC8">
        <w:rPr>
          <w:rFonts w:ascii="Times New Roman" w:hAnsi="Times New Roman"/>
        </w:rPr>
        <w:t xml:space="preserve"> review by Cheney.</w:t>
      </w:r>
      <w:r w:rsidRPr="00517CC8">
        <w:rPr>
          <w:rStyle w:val="FootnoteReference"/>
          <w:rFonts w:ascii="Times New Roman" w:hAnsi="Times New Roman"/>
        </w:rPr>
        <w:footnoteReference w:id="94"/>
      </w:r>
      <w:r w:rsidRPr="00517CC8">
        <w:rPr>
          <w:rFonts w:ascii="Times New Roman" w:hAnsi="Times New Roman"/>
        </w:rPr>
        <w:t xml:space="preserve">  Cheney, damning with faint praise, approved Painter's 'liveliness'.  He found him, nonetheless, woefully deficient in point of detail</w:t>
      </w:r>
      <w:r>
        <w:rPr>
          <w:rFonts w:ascii="Times New Roman" w:hAnsi="Times New Roman"/>
        </w:rPr>
        <w:t>.</w:t>
      </w:r>
      <w:r w:rsidRPr="00517CC8">
        <w:rPr>
          <w:rFonts w:ascii="Times New Roman" w:hAnsi="Times New Roman"/>
        </w:rPr>
        <w:t xml:space="preserve"> Painter's attempt to recreate the psychology of king, barons and pope</w:t>
      </w:r>
      <w:r>
        <w:rPr>
          <w:rFonts w:ascii="Times New Roman" w:hAnsi="Times New Roman"/>
        </w:rPr>
        <w:t xml:space="preserve"> was </w:t>
      </w:r>
      <w:proofErr w:type="gramStart"/>
      <w:r>
        <w:rPr>
          <w:rFonts w:ascii="Times New Roman" w:hAnsi="Times New Roman"/>
        </w:rPr>
        <w:t>unwelcome</w:t>
      </w:r>
      <w:r w:rsidRPr="00517CC8">
        <w:rPr>
          <w:rFonts w:ascii="Times New Roman" w:hAnsi="Times New Roman"/>
        </w:rPr>
        <w:t>,</w:t>
      </w:r>
      <w:proofErr w:type="gramEnd"/>
      <w:r w:rsidRPr="00517CC8">
        <w:rPr>
          <w:rFonts w:ascii="Times New Roman" w:hAnsi="Times New Roman"/>
        </w:rPr>
        <w:t xml:space="preserve"> </w:t>
      </w:r>
      <w:r>
        <w:rPr>
          <w:rFonts w:ascii="Times New Roman" w:hAnsi="Times New Roman"/>
        </w:rPr>
        <w:t>as was his description in which everybody acted</w:t>
      </w:r>
      <w:r w:rsidRPr="00517CC8">
        <w:rPr>
          <w:rFonts w:ascii="Times New Roman" w:hAnsi="Times New Roman"/>
        </w:rPr>
        <w:t xml:space="preserve"> from entirely selfish motives, </w:t>
      </w:r>
      <w:r>
        <w:rPr>
          <w:rFonts w:ascii="Times New Roman" w:hAnsi="Times New Roman"/>
        </w:rPr>
        <w:t>save</w:t>
      </w:r>
      <w:r w:rsidRPr="00517CC8">
        <w:rPr>
          <w:rFonts w:ascii="Times New Roman" w:hAnsi="Times New Roman"/>
        </w:rPr>
        <w:t xml:space="preserve"> only Langton 'moving in another and rarefied atmosphere of ideal politics'.  As a product of the Manchester school, Cheney was suspicious of any attempt to ascribe administrative changes (be it in seals, warranty or sheriffs) to personal as opposed to official motives. Yet by concluding that 'Mr Painter is not sufficiently rigorous in his analysis of evidence and is too imaginative in his interpretation of it', Cheney did a disservice to what remains, in many eyes, the best and certainly the most detailed modern biography of King John. It is perhaps not too fanciful to detect here an element of Old World resentment against the brash success of post-War America.</w:t>
      </w:r>
      <w:r w:rsidRPr="00517CC8">
        <w:rPr>
          <w:rStyle w:val="FootnoteReference"/>
          <w:rFonts w:ascii="Times New Roman" w:hAnsi="Times New Roman"/>
        </w:rPr>
        <w:footnoteReference w:id="95"/>
      </w:r>
    </w:p>
    <w:p w14:paraId="1A8277AC" w14:textId="77777777" w:rsidR="00A27FF6" w:rsidRDefault="00A27FF6" w:rsidP="00A27FF6">
      <w:pPr>
        <w:widowControl w:val="0"/>
        <w:autoSpaceDE w:val="0"/>
        <w:autoSpaceDN w:val="0"/>
        <w:adjustRightInd w:val="0"/>
        <w:rPr>
          <w:rFonts w:ascii="Times New Roman" w:hAnsi="Times New Roman"/>
        </w:rPr>
      </w:pPr>
    </w:p>
    <w:p w14:paraId="1A35CCA4" w14:textId="77777777" w:rsidR="00A27FF6" w:rsidRDefault="00A27FF6" w:rsidP="00A27FF6">
      <w:pPr>
        <w:widowControl w:val="0"/>
        <w:autoSpaceDE w:val="0"/>
        <w:autoSpaceDN w:val="0"/>
        <w:adjustRightInd w:val="0"/>
        <w:rPr>
          <w:rFonts w:ascii="Times New Roman" w:hAnsi="Times New Roman"/>
        </w:rPr>
      </w:pPr>
    </w:p>
    <w:p w14:paraId="1CF86A2D" w14:textId="77777777" w:rsidR="00A27FF6" w:rsidRPr="00517CC8" w:rsidRDefault="00A27FF6" w:rsidP="00A27FF6">
      <w:pPr>
        <w:widowControl w:val="0"/>
        <w:autoSpaceDE w:val="0"/>
        <w:autoSpaceDN w:val="0"/>
        <w:adjustRightInd w:val="0"/>
        <w:jc w:val="center"/>
        <w:rPr>
          <w:rFonts w:ascii="Times New Roman" w:hAnsi="Times New Roman"/>
        </w:rPr>
      </w:pPr>
      <w:r>
        <w:rPr>
          <w:rFonts w:ascii="Times New Roman" w:hAnsi="Times New Roman"/>
        </w:rPr>
        <w:t>1950-1965</w:t>
      </w:r>
    </w:p>
    <w:p w14:paraId="010DF57A" w14:textId="77777777" w:rsidR="00A27FF6" w:rsidRPr="00517CC8" w:rsidRDefault="00A27FF6" w:rsidP="00A27FF6">
      <w:pPr>
        <w:widowControl w:val="0"/>
        <w:autoSpaceDE w:val="0"/>
        <w:autoSpaceDN w:val="0"/>
        <w:adjustRightInd w:val="0"/>
        <w:rPr>
          <w:rFonts w:ascii="Times New Roman" w:hAnsi="Times New Roman"/>
        </w:rPr>
      </w:pPr>
    </w:p>
    <w:p w14:paraId="0F8EF47B" w14:textId="0366D510" w:rsidR="00A27FF6" w:rsidRPr="00517CC8" w:rsidRDefault="00A27FF6" w:rsidP="00A27FF6">
      <w:pPr>
        <w:widowControl w:val="0"/>
        <w:autoSpaceDE w:val="0"/>
        <w:autoSpaceDN w:val="0"/>
        <w:adjustRightInd w:val="0"/>
        <w:rPr>
          <w:rFonts w:ascii="Times New Roman" w:hAnsi="Times New Roman"/>
        </w:rPr>
      </w:pPr>
      <w:r>
        <w:rPr>
          <w:rFonts w:ascii="Times New Roman" w:hAnsi="Times New Roman"/>
        </w:rPr>
        <w:t xml:space="preserve">Not even two world wars buried the desire to score points over Magna Carta's terminology.  </w:t>
      </w:r>
      <w:r w:rsidRPr="00517CC8">
        <w:rPr>
          <w:rFonts w:ascii="Times New Roman" w:hAnsi="Times New Roman"/>
        </w:rPr>
        <w:t>Cheney's review</w:t>
      </w:r>
      <w:r>
        <w:rPr>
          <w:rFonts w:ascii="Times New Roman" w:hAnsi="Times New Roman"/>
        </w:rPr>
        <w:t xml:space="preserve"> of Painter</w:t>
      </w:r>
      <w:r w:rsidRPr="00517CC8">
        <w:rPr>
          <w:rFonts w:ascii="Times New Roman" w:hAnsi="Times New Roman"/>
        </w:rPr>
        <w:t xml:space="preserve"> made one very interesting observation, inspired by Jolliffe, on the </w:t>
      </w:r>
      <w:r w:rsidR="001E55A3">
        <w:rPr>
          <w:rFonts w:ascii="Times New Roman" w:hAnsi="Times New Roman"/>
        </w:rPr>
        <w:t>use</w:t>
      </w:r>
      <w:r w:rsidRPr="00517CC8">
        <w:rPr>
          <w:rFonts w:ascii="Times New Roman" w:hAnsi="Times New Roman"/>
        </w:rPr>
        <w:t xml:space="preserve"> of the </w:t>
      </w:r>
      <w:r w:rsidR="001E55A3">
        <w:rPr>
          <w:rFonts w:ascii="Times New Roman" w:hAnsi="Times New Roman"/>
        </w:rPr>
        <w:t xml:space="preserve">one </w:t>
      </w:r>
      <w:r w:rsidRPr="00517CC8">
        <w:rPr>
          <w:rFonts w:ascii="Times New Roman" w:hAnsi="Times New Roman"/>
        </w:rPr>
        <w:t>word '</w:t>
      </w:r>
      <w:r w:rsidR="001E55A3">
        <w:rPr>
          <w:rFonts w:ascii="Times New Roman" w:hAnsi="Times New Roman"/>
        </w:rPr>
        <w:t>aids</w:t>
      </w:r>
      <w:r w:rsidRPr="00517CC8">
        <w:rPr>
          <w:rFonts w:ascii="Times New Roman" w:hAnsi="Times New Roman"/>
        </w:rPr>
        <w:t>' in clause 12 of Magna Carta, where the Articles of the Barons had referred to</w:t>
      </w:r>
      <w:r w:rsidR="001E55A3">
        <w:rPr>
          <w:rFonts w:ascii="Times New Roman" w:hAnsi="Times New Roman"/>
        </w:rPr>
        <w:t xml:space="preserve"> London's payment both of 'aids' and</w:t>
      </w:r>
      <w:r w:rsidRPr="00517CC8">
        <w:rPr>
          <w:rFonts w:ascii="Times New Roman" w:hAnsi="Times New Roman"/>
        </w:rPr>
        <w:t xml:space="preserve"> </w:t>
      </w:r>
      <w:r w:rsidR="001E55A3">
        <w:rPr>
          <w:rFonts w:ascii="Times New Roman" w:hAnsi="Times New Roman"/>
        </w:rPr>
        <w:t>of 'tallages</w:t>
      </w:r>
      <w:r w:rsidRPr="00517CC8">
        <w:rPr>
          <w:rFonts w:ascii="Times New Roman" w:hAnsi="Times New Roman"/>
        </w:rPr>
        <w:t>'.  This, he suggested was a result of the Londoners' insistence that they were bound to pay 'aid' but not 'tallage'.  As Cheney noticed, this suggested that the Londoners' influence lay more heavily on the Charter than on the Articles.</w:t>
      </w:r>
      <w:r w:rsidRPr="00517CC8">
        <w:rPr>
          <w:rStyle w:val="FootnoteReference"/>
          <w:rFonts w:ascii="Times New Roman" w:hAnsi="Times New Roman"/>
        </w:rPr>
        <w:footnoteReference w:id="96"/>
      </w:r>
      <w:r w:rsidRPr="00517CC8">
        <w:rPr>
          <w:rFonts w:ascii="Times New Roman" w:hAnsi="Times New Roman"/>
        </w:rPr>
        <w:t xml:space="preserve">  Cheney also commended Painter for dismissing the work of H.G. Richardson on the origins of the chancery rolls (which Richardson argued were first introduced as a means of calculating fees in chancery).  Richardson's theory, first propounded in his introduct</w:t>
      </w:r>
      <w:r>
        <w:rPr>
          <w:rFonts w:ascii="Times New Roman" w:hAnsi="Times New Roman"/>
        </w:rPr>
        <w:t>i</w:t>
      </w:r>
      <w:r w:rsidRPr="00517CC8">
        <w:rPr>
          <w:rFonts w:ascii="Times New Roman" w:hAnsi="Times New Roman"/>
        </w:rPr>
        <w:t xml:space="preserve">on to the </w:t>
      </w:r>
      <w:r w:rsidRPr="00517CC8">
        <w:rPr>
          <w:rFonts w:ascii="Times New Roman" w:hAnsi="Times New Roman"/>
          <w:i/>
        </w:rPr>
        <w:t>Memoranda Roll 1 John</w:t>
      </w:r>
      <w:r w:rsidRPr="00517CC8">
        <w:rPr>
          <w:rFonts w:ascii="Times New Roman" w:hAnsi="Times New Roman"/>
        </w:rPr>
        <w:t xml:space="preserve">, published as a </w:t>
      </w:r>
      <w:proofErr w:type="gramStart"/>
      <w:r w:rsidRPr="00517CC8">
        <w:rPr>
          <w:rFonts w:ascii="Times New Roman" w:hAnsi="Times New Roman"/>
        </w:rPr>
        <w:t>war-time</w:t>
      </w:r>
      <w:proofErr w:type="gramEnd"/>
      <w:r w:rsidRPr="00517CC8">
        <w:rPr>
          <w:rFonts w:ascii="Times New Roman" w:hAnsi="Times New Roman"/>
        </w:rPr>
        <w:t xml:space="preserve"> venture of the Pipe Roll Society, had already attracted the scorn of Austin Lane Poole.</w:t>
      </w:r>
      <w:r w:rsidRPr="00517CC8">
        <w:rPr>
          <w:rStyle w:val="FootnoteReference"/>
          <w:rFonts w:ascii="Times New Roman" w:hAnsi="Times New Roman"/>
        </w:rPr>
        <w:footnoteReference w:id="97"/>
      </w:r>
      <w:r w:rsidRPr="00517CC8">
        <w:rPr>
          <w:rFonts w:ascii="Times New Roman" w:hAnsi="Times New Roman"/>
        </w:rPr>
        <w:t xml:space="preserve">  It nonetheless introduces us to Richardson's methods, and in particular to his determination to stir up the otherwise </w:t>
      </w:r>
      <w:r>
        <w:rPr>
          <w:rFonts w:ascii="Times New Roman" w:hAnsi="Times New Roman"/>
        </w:rPr>
        <w:t>complacent</w:t>
      </w:r>
      <w:r w:rsidRPr="00517CC8">
        <w:rPr>
          <w:rFonts w:ascii="Times New Roman" w:hAnsi="Times New Roman"/>
        </w:rPr>
        <w:t xml:space="preserve"> </w:t>
      </w:r>
      <w:r>
        <w:rPr>
          <w:rFonts w:ascii="Times New Roman" w:hAnsi="Times New Roman"/>
        </w:rPr>
        <w:t>pond of academe, lobbing grenades at the bottom feeders, and taking pot shots at the less agile wildfowl</w:t>
      </w:r>
      <w:r w:rsidRPr="00517CC8">
        <w:rPr>
          <w:rFonts w:ascii="Times New Roman" w:hAnsi="Times New Roman"/>
        </w:rPr>
        <w:t xml:space="preserve">. </w:t>
      </w:r>
    </w:p>
    <w:p w14:paraId="7A45DE22" w14:textId="77777777" w:rsidR="00A27FF6" w:rsidRPr="00517CC8" w:rsidRDefault="00A27FF6" w:rsidP="00A27FF6">
      <w:pPr>
        <w:widowControl w:val="0"/>
        <w:autoSpaceDE w:val="0"/>
        <w:autoSpaceDN w:val="0"/>
        <w:adjustRightInd w:val="0"/>
        <w:rPr>
          <w:rFonts w:ascii="Times New Roman" w:hAnsi="Times New Roman"/>
        </w:rPr>
      </w:pPr>
    </w:p>
    <w:p w14:paraId="6567C6AE" w14:textId="39308FF8" w:rsidR="00A27FF6" w:rsidRDefault="0088502E" w:rsidP="00A27FF6">
      <w:pPr>
        <w:widowControl w:val="0"/>
        <w:autoSpaceDE w:val="0"/>
        <w:autoSpaceDN w:val="0"/>
        <w:adjustRightInd w:val="0"/>
        <w:rPr>
          <w:rFonts w:ascii="Times New Roman" w:hAnsi="Times New Roman"/>
        </w:rPr>
      </w:pPr>
      <w:r>
        <w:rPr>
          <w:rFonts w:ascii="Times New Roman" w:hAnsi="Times New Roman"/>
        </w:rPr>
        <w:t>Two such Richardson</w:t>
      </w:r>
      <w:r w:rsidR="00A27FF6" w:rsidRPr="00517CC8">
        <w:rPr>
          <w:rFonts w:ascii="Times New Roman" w:hAnsi="Times New Roman"/>
        </w:rPr>
        <w:t xml:space="preserve">ian ventures occupied space in the </w:t>
      </w:r>
      <w:r w:rsidR="00A27FF6" w:rsidRPr="00517CC8">
        <w:rPr>
          <w:rFonts w:ascii="Times New Roman" w:hAnsi="Times New Roman"/>
          <w:i/>
        </w:rPr>
        <w:t>EHR</w:t>
      </w:r>
      <w:r w:rsidR="00A27FF6" w:rsidRPr="00517CC8">
        <w:rPr>
          <w:rFonts w:ascii="Times New Roman" w:hAnsi="Times New Roman"/>
        </w:rPr>
        <w:t xml:space="preserve">.  The first was a debate between Richardson and Painter, argued out between 1946 and 1952, in a bad-tempered series of papers on King John's </w:t>
      </w:r>
      <w:r w:rsidR="00A27FF6">
        <w:rPr>
          <w:rFonts w:ascii="Times New Roman" w:hAnsi="Times New Roman"/>
        </w:rPr>
        <w:t xml:space="preserve">(possibly no less bad-tempered) </w:t>
      </w:r>
      <w:r w:rsidR="00A27FF6" w:rsidRPr="00517CC8">
        <w:rPr>
          <w:rFonts w:ascii="Times New Roman" w:hAnsi="Times New Roman"/>
        </w:rPr>
        <w:t>marriage.</w:t>
      </w:r>
      <w:r w:rsidR="00A27FF6" w:rsidRPr="00517CC8">
        <w:rPr>
          <w:rStyle w:val="FootnoteReference"/>
          <w:rFonts w:ascii="Times New Roman" w:hAnsi="Times New Roman"/>
        </w:rPr>
        <w:footnoteReference w:id="98"/>
      </w:r>
      <w:r w:rsidR="00A27FF6" w:rsidRPr="00517CC8">
        <w:rPr>
          <w:rFonts w:ascii="Times New Roman" w:hAnsi="Times New Roman"/>
        </w:rPr>
        <w:t xml:space="preserve">  In this, as is now </w:t>
      </w:r>
      <w:proofErr w:type="gramStart"/>
      <w:r w:rsidR="00A27FF6" w:rsidRPr="00517CC8">
        <w:rPr>
          <w:rFonts w:ascii="Times New Roman" w:hAnsi="Times New Roman"/>
        </w:rPr>
        <w:t>acknowledged,</w:t>
      </w:r>
      <w:proofErr w:type="gramEnd"/>
      <w:r w:rsidR="00A27FF6" w:rsidRPr="00517CC8">
        <w:rPr>
          <w:rFonts w:ascii="Times New Roman" w:hAnsi="Times New Roman"/>
        </w:rPr>
        <w:t xml:space="preserve"> Richardson knew that he was wrong, yet fought tooth and claw not to admit the fact.</w:t>
      </w:r>
      <w:r w:rsidR="00A27FF6" w:rsidRPr="00517CC8">
        <w:rPr>
          <w:rStyle w:val="FootnoteReference"/>
          <w:rFonts w:ascii="Times New Roman" w:hAnsi="Times New Roman"/>
        </w:rPr>
        <w:footnoteReference w:id="99"/>
      </w:r>
      <w:r w:rsidR="00A27FF6" w:rsidRPr="00517CC8">
        <w:rPr>
          <w:rFonts w:ascii="Times New Roman" w:hAnsi="Times New Roman"/>
        </w:rPr>
        <w:t xml:space="preserve">  There was also a vendetta pursued by Richar</w:t>
      </w:r>
      <w:r>
        <w:rPr>
          <w:rFonts w:ascii="Times New Roman" w:hAnsi="Times New Roman"/>
        </w:rPr>
        <w:t xml:space="preserve">dson against J.E.A. Jolliffe.  </w:t>
      </w:r>
      <w:r w:rsidR="00A27FF6" w:rsidRPr="00517CC8">
        <w:rPr>
          <w:rFonts w:ascii="Times New Roman" w:hAnsi="Times New Roman"/>
        </w:rPr>
        <w:t xml:space="preserve">Beginning with an article in Powicke's festschrift, published in 1948, Jolliffe had developed a theory of the significance of household government to the early Plantagenet kings, and in particular of the importance of the 'camera regis' attached to the itinerant court, increasingly </w:t>
      </w:r>
      <w:r w:rsidR="00A27FF6">
        <w:rPr>
          <w:rFonts w:ascii="Times New Roman" w:hAnsi="Times New Roman"/>
        </w:rPr>
        <w:t>presented</w:t>
      </w:r>
      <w:r w:rsidR="00A27FF6" w:rsidRPr="00517CC8">
        <w:rPr>
          <w:rFonts w:ascii="Times New Roman" w:hAnsi="Times New Roman"/>
        </w:rPr>
        <w:t xml:space="preserve"> as a rival to the sedentary Exchequer at Westminster.</w:t>
      </w:r>
      <w:r w:rsidR="00A27FF6" w:rsidRPr="00517CC8">
        <w:rPr>
          <w:rStyle w:val="FootnoteReference"/>
          <w:rFonts w:ascii="Times New Roman" w:hAnsi="Times New Roman"/>
        </w:rPr>
        <w:footnoteReference w:id="100"/>
      </w:r>
      <w:r w:rsidR="00A27FF6" w:rsidRPr="00517CC8">
        <w:rPr>
          <w:rFonts w:ascii="Times New Roman" w:hAnsi="Times New Roman"/>
        </w:rPr>
        <w:t xml:space="preserve">  In due course, this was to form a central plank of Jolliffe's </w:t>
      </w:r>
      <w:r w:rsidR="00A27FF6" w:rsidRPr="00517CC8">
        <w:rPr>
          <w:rFonts w:ascii="Times New Roman" w:hAnsi="Times New Roman"/>
          <w:i/>
        </w:rPr>
        <w:t>Angevin Kingship</w:t>
      </w:r>
      <w:r w:rsidR="00A27FF6" w:rsidRPr="00517CC8">
        <w:rPr>
          <w:rFonts w:ascii="Times New Roman" w:hAnsi="Times New Roman"/>
        </w:rPr>
        <w:t xml:space="preserve">, published in 1955.  Informed by Jolliffe's own wartime experiences working in Brazil, under a military junta headed by the dictator Getúlio Vargas, this was a book that attempted to return to first principles.  Not only did Jolliffe cut through a century or more of constitutional afflatus to search out the underlying characteristics of </w:t>
      </w:r>
      <w:r w:rsidR="00A27FF6">
        <w:rPr>
          <w:rFonts w:ascii="Times New Roman" w:hAnsi="Times New Roman"/>
        </w:rPr>
        <w:t xml:space="preserve">Plantagenet </w:t>
      </w:r>
      <w:r w:rsidR="00A27FF6" w:rsidRPr="00517CC8">
        <w:rPr>
          <w:rFonts w:ascii="Times New Roman" w:hAnsi="Times New Roman"/>
        </w:rPr>
        <w:t xml:space="preserve">government </w:t>
      </w:r>
      <w:r w:rsidR="00A27FF6">
        <w:rPr>
          <w:rFonts w:ascii="Times New Roman" w:hAnsi="Times New Roman"/>
        </w:rPr>
        <w:t>(rule</w:t>
      </w:r>
      <w:r w:rsidR="00A27FF6" w:rsidRPr="00517CC8">
        <w:rPr>
          <w:rFonts w:ascii="Times New Roman" w:hAnsi="Times New Roman"/>
        </w:rPr>
        <w:t xml:space="preserve"> by</w:t>
      </w:r>
      <w:r w:rsidR="00A27FF6">
        <w:rPr>
          <w:rFonts w:ascii="Times New Roman" w:hAnsi="Times New Roman"/>
        </w:rPr>
        <w:t xml:space="preserve"> the King's fiat, by</w:t>
      </w:r>
      <w:r w:rsidR="009671DD">
        <w:rPr>
          <w:rFonts w:ascii="Times New Roman" w:hAnsi="Times New Roman"/>
        </w:rPr>
        <w:t xml:space="preserve"> 'vis et voluntas', 'ira et male</w:t>
      </w:r>
      <w:r w:rsidR="00A27FF6" w:rsidRPr="00517CC8">
        <w:rPr>
          <w:rFonts w:ascii="Times New Roman" w:hAnsi="Times New Roman"/>
        </w:rPr>
        <w:t xml:space="preserve">volentia'), but he did so by exploiting the riches of Pipe Rolls, Charter, Close and Patent Rolls, with hardly a glance at the secondary authorities.  </w:t>
      </w:r>
      <w:r w:rsidR="00A27FF6">
        <w:rPr>
          <w:rFonts w:ascii="Times New Roman" w:hAnsi="Times New Roman"/>
        </w:rPr>
        <w:t>The government of Henry II and his sons, according to Jolliffe, was underpinned by no broad ideology.  Rather, it represented 'a sustained course of intrigue and violence which can by no stretch of argument be justified within any conventional limits of legitimate power'.</w:t>
      </w:r>
      <w:r w:rsidR="00A27FF6">
        <w:rPr>
          <w:rStyle w:val="FootnoteReference"/>
          <w:rFonts w:ascii="Times New Roman" w:hAnsi="Times New Roman"/>
        </w:rPr>
        <w:footnoteReference w:id="101"/>
      </w:r>
    </w:p>
    <w:p w14:paraId="593E0143" w14:textId="77777777" w:rsidR="00A27FF6" w:rsidRDefault="00A27FF6" w:rsidP="00A27FF6">
      <w:pPr>
        <w:widowControl w:val="0"/>
        <w:autoSpaceDE w:val="0"/>
        <w:autoSpaceDN w:val="0"/>
        <w:adjustRightInd w:val="0"/>
        <w:rPr>
          <w:rFonts w:ascii="Times New Roman" w:hAnsi="Times New Roman"/>
        </w:rPr>
      </w:pPr>
    </w:p>
    <w:p w14:paraId="3AC35170" w14:textId="77777777" w:rsidR="00A27FF6" w:rsidRPr="00517CC8" w:rsidRDefault="00A27FF6" w:rsidP="00A27FF6">
      <w:pPr>
        <w:widowControl w:val="0"/>
        <w:autoSpaceDE w:val="0"/>
        <w:autoSpaceDN w:val="0"/>
        <w:adjustRightInd w:val="0"/>
        <w:rPr>
          <w:rFonts w:ascii="Times New Roman" w:hAnsi="Times New Roman"/>
        </w:rPr>
      </w:pPr>
      <w:r w:rsidRPr="00517CC8">
        <w:rPr>
          <w:rFonts w:ascii="Times New Roman" w:hAnsi="Times New Roman"/>
        </w:rPr>
        <w:t>The problem (as ever with Jolliffe) was that a crabbed and convoluted prose style (single sentences threaten to run on for entire pages) was matched to almost pathological inaccuracy in the citation and interpretation of sources.  This was all the more unfortunate because Jolliffe's theories on the royal chamber had recently attracted the disapproval of Richardson.</w:t>
      </w:r>
      <w:r w:rsidRPr="00517CC8">
        <w:rPr>
          <w:rStyle w:val="FootnoteReference"/>
          <w:rFonts w:ascii="Times New Roman" w:hAnsi="Times New Roman"/>
        </w:rPr>
        <w:footnoteReference w:id="102"/>
      </w:r>
      <w:r w:rsidRPr="00517CC8">
        <w:rPr>
          <w:rFonts w:ascii="Times New Roman" w:hAnsi="Times New Roman"/>
        </w:rPr>
        <w:t xml:space="preserve">  Having butchered Jolliffe on the 'camera </w:t>
      </w:r>
      <w:proofErr w:type="gramStart"/>
      <w:r w:rsidRPr="00517CC8">
        <w:rPr>
          <w:rFonts w:ascii="Times New Roman" w:hAnsi="Times New Roman"/>
        </w:rPr>
        <w:t>regis</w:t>
      </w:r>
      <w:proofErr w:type="gramEnd"/>
      <w:r w:rsidRPr="00517CC8">
        <w:rPr>
          <w:rFonts w:ascii="Times New Roman" w:hAnsi="Times New Roman"/>
        </w:rPr>
        <w:t xml:space="preserve">', Richardson went on to slay </w:t>
      </w:r>
      <w:r w:rsidRPr="00517CC8">
        <w:rPr>
          <w:rFonts w:ascii="Times New Roman" w:hAnsi="Times New Roman"/>
          <w:i/>
        </w:rPr>
        <w:t>Angevin Kingship</w:t>
      </w:r>
      <w:r w:rsidRPr="00517CC8">
        <w:rPr>
          <w:rFonts w:ascii="Times New Roman" w:hAnsi="Times New Roman"/>
        </w:rPr>
        <w:t xml:space="preserve"> in an </w:t>
      </w:r>
      <w:r w:rsidRPr="00517CC8">
        <w:rPr>
          <w:rFonts w:ascii="Times New Roman" w:hAnsi="Times New Roman"/>
          <w:i/>
        </w:rPr>
        <w:t>EHR</w:t>
      </w:r>
      <w:r w:rsidRPr="00517CC8">
        <w:rPr>
          <w:rFonts w:ascii="Times New Roman" w:hAnsi="Times New Roman"/>
        </w:rPr>
        <w:t xml:space="preserve"> notice whose ungenerosity is matched</w:t>
      </w:r>
      <w:r>
        <w:rPr>
          <w:rFonts w:ascii="Times New Roman" w:hAnsi="Times New Roman"/>
        </w:rPr>
        <w:t xml:space="preserve"> only by its</w:t>
      </w:r>
      <w:r w:rsidRPr="00517CC8">
        <w:rPr>
          <w:rFonts w:ascii="Times New Roman" w:hAnsi="Times New Roman"/>
        </w:rPr>
        <w:t xml:space="preserve"> lack of perception.  Unable (or </w:t>
      </w:r>
      <w:r>
        <w:rPr>
          <w:rFonts w:ascii="Times New Roman" w:hAnsi="Times New Roman"/>
        </w:rPr>
        <w:t>perhaps unwilling</w:t>
      </w:r>
      <w:r w:rsidRPr="00517CC8">
        <w:rPr>
          <w:rFonts w:ascii="Times New Roman" w:hAnsi="Times New Roman"/>
        </w:rPr>
        <w:t xml:space="preserve">) to get the point of Jolliffe's book, Richardson found only </w:t>
      </w:r>
      <w:r>
        <w:rPr>
          <w:rFonts w:ascii="Times New Roman" w:hAnsi="Times New Roman"/>
        </w:rPr>
        <w:t>blemishes</w:t>
      </w:r>
      <w:r w:rsidRPr="00517CC8">
        <w:rPr>
          <w:rFonts w:ascii="Times New Roman" w:hAnsi="Times New Roman"/>
        </w:rPr>
        <w:t xml:space="preserve"> where others have since found a flawed masterpiece.</w:t>
      </w:r>
      <w:r w:rsidRPr="00517CC8">
        <w:rPr>
          <w:rStyle w:val="FootnoteReference"/>
          <w:rFonts w:ascii="Times New Roman" w:hAnsi="Times New Roman"/>
        </w:rPr>
        <w:footnoteReference w:id="103"/>
      </w:r>
      <w:r w:rsidRPr="00517CC8">
        <w:rPr>
          <w:rFonts w:ascii="Times New Roman" w:hAnsi="Times New Roman"/>
        </w:rPr>
        <w:t xml:space="preserve">  His notice </w:t>
      </w:r>
      <w:r>
        <w:rPr>
          <w:rFonts w:ascii="Times New Roman" w:hAnsi="Times New Roman"/>
        </w:rPr>
        <w:t>still serves as warning</w:t>
      </w:r>
      <w:r w:rsidRPr="00517CC8">
        <w:rPr>
          <w:rFonts w:ascii="Times New Roman" w:hAnsi="Times New Roman"/>
        </w:rPr>
        <w:t xml:space="preserve"> of why reviewing </w:t>
      </w:r>
      <w:r>
        <w:rPr>
          <w:rFonts w:ascii="Times New Roman" w:hAnsi="Times New Roman"/>
        </w:rPr>
        <w:t>should</w:t>
      </w:r>
      <w:r w:rsidRPr="00517CC8">
        <w:rPr>
          <w:rFonts w:ascii="Times New Roman" w:hAnsi="Times New Roman"/>
        </w:rPr>
        <w:t xml:space="preserve"> never </w:t>
      </w:r>
      <w:r>
        <w:rPr>
          <w:rFonts w:ascii="Times New Roman" w:hAnsi="Times New Roman"/>
        </w:rPr>
        <w:t>descend into</w:t>
      </w:r>
      <w:r w:rsidRPr="00517CC8">
        <w:rPr>
          <w:rFonts w:ascii="Times New Roman" w:hAnsi="Times New Roman"/>
        </w:rPr>
        <w:t xml:space="preserve"> vendetta.  </w:t>
      </w:r>
    </w:p>
    <w:p w14:paraId="72181751" w14:textId="77777777" w:rsidR="00A27FF6" w:rsidRPr="00517CC8" w:rsidRDefault="00A27FF6" w:rsidP="00A27FF6">
      <w:pPr>
        <w:widowControl w:val="0"/>
        <w:autoSpaceDE w:val="0"/>
        <w:autoSpaceDN w:val="0"/>
        <w:adjustRightInd w:val="0"/>
        <w:rPr>
          <w:rFonts w:ascii="Times New Roman" w:hAnsi="Times New Roman"/>
        </w:rPr>
      </w:pPr>
    </w:p>
    <w:p w14:paraId="21437244" w14:textId="77777777" w:rsidR="00A27FF6" w:rsidRPr="00517CC8" w:rsidRDefault="00A27FF6" w:rsidP="00A27FF6">
      <w:pPr>
        <w:widowControl w:val="0"/>
        <w:tabs>
          <w:tab w:val="left" w:pos="6096"/>
        </w:tabs>
        <w:autoSpaceDE w:val="0"/>
        <w:autoSpaceDN w:val="0"/>
        <w:adjustRightInd w:val="0"/>
        <w:rPr>
          <w:rFonts w:ascii="Times New Roman" w:hAnsi="Times New Roman"/>
        </w:rPr>
      </w:pPr>
      <w:r w:rsidRPr="00517CC8">
        <w:rPr>
          <w:rFonts w:ascii="Times New Roman" w:hAnsi="Times New Roman"/>
        </w:rPr>
        <w:t xml:space="preserve">Much more perceptive was the reaction to Jolliffe by the young J.C. Holt, at this time making his first forays into the study of Magna Carta.  </w:t>
      </w:r>
      <w:proofErr w:type="gramStart"/>
      <w:r w:rsidRPr="00517CC8">
        <w:rPr>
          <w:rFonts w:ascii="Times New Roman" w:hAnsi="Times New Roman"/>
        </w:rPr>
        <w:t xml:space="preserve">Holt had been supervised by Vivian Galbraith, Powicke's most influential Oxford </w:t>
      </w:r>
      <w:r>
        <w:rPr>
          <w:rFonts w:ascii="Times New Roman" w:hAnsi="Times New Roman"/>
        </w:rPr>
        <w:t>disciple</w:t>
      </w:r>
      <w:proofErr w:type="gramEnd"/>
      <w:r w:rsidRPr="00517CC8">
        <w:rPr>
          <w:rFonts w:ascii="Times New Roman" w:hAnsi="Times New Roman"/>
        </w:rPr>
        <w:t xml:space="preserve">.  As a senior scholar of Merton (1947-9), </w:t>
      </w:r>
      <w:r>
        <w:rPr>
          <w:rFonts w:ascii="Times New Roman" w:hAnsi="Times New Roman"/>
        </w:rPr>
        <w:t>Holt</w:t>
      </w:r>
      <w:r w:rsidRPr="00517CC8">
        <w:rPr>
          <w:rFonts w:ascii="Times New Roman" w:hAnsi="Times New Roman"/>
        </w:rPr>
        <w:t xml:space="preserve"> had a college connection both to Powicke (fellow of Merton 1908-15, viewed by Holt with the </w:t>
      </w:r>
      <w:r>
        <w:rPr>
          <w:rFonts w:ascii="Times New Roman" w:hAnsi="Times New Roman"/>
        </w:rPr>
        <w:t>sceptic</w:t>
      </w:r>
      <w:r w:rsidRPr="00517CC8">
        <w:rPr>
          <w:rFonts w:ascii="Times New Roman" w:hAnsi="Times New Roman"/>
        </w:rPr>
        <w:t xml:space="preserve">ism that youth is accustomed to extend to age) and later to R.H.C. Davis, son of H.W.C. (fellow of Merton 1956-70).  Jolliffe was still teaching when Holt was at Oxford, but as a fellow of Keble, Oxford's </w:t>
      </w:r>
      <w:r>
        <w:rPr>
          <w:rFonts w:ascii="Times New Roman" w:hAnsi="Times New Roman"/>
          <w:i/>
        </w:rPr>
        <w:t>u</w:t>
      </w:r>
      <w:r w:rsidRPr="00517CC8">
        <w:rPr>
          <w:rFonts w:ascii="Times New Roman" w:hAnsi="Times New Roman"/>
          <w:i/>
        </w:rPr>
        <w:t>ltima Thule</w:t>
      </w:r>
      <w:r w:rsidRPr="00517CC8">
        <w:rPr>
          <w:rFonts w:ascii="Times New Roman" w:hAnsi="Times New Roman"/>
        </w:rPr>
        <w:t xml:space="preserve">. By the time that he came to publish his first Magna Carta article in 1955, devoted to 'The Barons and the Great Charter', Holt, on his own admission, had neither met Jolliffe </w:t>
      </w:r>
      <w:r>
        <w:rPr>
          <w:rFonts w:ascii="Times New Roman" w:hAnsi="Times New Roman"/>
        </w:rPr>
        <w:t>nor</w:t>
      </w:r>
      <w:r w:rsidRPr="00517CC8">
        <w:rPr>
          <w:rFonts w:ascii="Times New Roman" w:hAnsi="Times New Roman"/>
        </w:rPr>
        <w:t xml:space="preserve"> read </w:t>
      </w:r>
      <w:r w:rsidRPr="00517CC8">
        <w:rPr>
          <w:rFonts w:ascii="Times New Roman" w:hAnsi="Times New Roman"/>
          <w:i/>
        </w:rPr>
        <w:t>Angevin Kingship</w:t>
      </w:r>
      <w:r w:rsidRPr="00517CC8">
        <w:rPr>
          <w:rFonts w:ascii="Times New Roman" w:hAnsi="Times New Roman"/>
        </w:rPr>
        <w:t xml:space="preserve">.  Half a century later, he was nonetheless prepared to admit that he and Jolliffe </w:t>
      </w:r>
      <w:r>
        <w:rPr>
          <w:rFonts w:ascii="Times New Roman" w:hAnsi="Times New Roman"/>
        </w:rPr>
        <w:t>had pioneered</w:t>
      </w:r>
      <w:r w:rsidRPr="00517CC8">
        <w:rPr>
          <w:rFonts w:ascii="Times New Roman" w:hAnsi="Times New Roman"/>
        </w:rPr>
        <w:t xml:space="preserve"> a</w:t>
      </w:r>
      <w:r>
        <w:rPr>
          <w:rFonts w:ascii="Times New Roman" w:hAnsi="Times New Roman"/>
        </w:rPr>
        <w:t xml:space="preserve"> new</w:t>
      </w:r>
      <w:r w:rsidRPr="00517CC8">
        <w:rPr>
          <w:rFonts w:ascii="Times New Roman" w:hAnsi="Times New Roman"/>
        </w:rPr>
        <w:t xml:space="preserve"> 'method': '(Jolliffe) lit upon government records as his chief source in describing the government's ideology; his case was largely made up of bits and pieces selected from the rolls'.</w:t>
      </w:r>
      <w:r w:rsidRPr="00517CC8">
        <w:rPr>
          <w:rStyle w:val="FootnoteReference"/>
          <w:rFonts w:ascii="Times New Roman" w:hAnsi="Times New Roman"/>
        </w:rPr>
        <w:footnoteReference w:id="104"/>
      </w:r>
      <w:r w:rsidRPr="00517CC8">
        <w:rPr>
          <w:rFonts w:ascii="Times New Roman" w:hAnsi="Times New Roman"/>
        </w:rPr>
        <w:t xml:space="preserve">  Political thought </w:t>
      </w:r>
      <w:r>
        <w:rPr>
          <w:rFonts w:ascii="Times New Roman" w:hAnsi="Times New Roman"/>
        </w:rPr>
        <w:t>was thus</w:t>
      </w:r>
      <w:r w:rsidRPr="00517CC8">
        <w:rPr>
          <w:rFonts w:ascii="Times New Roman" w:hAnsi="Times New Roman"/>
        </w:rPr>
        <w:t xml:space="preserve"> reconstructed not from theory but from </w:t>
      </w:r>
      <w:r>
        <w:rPr>
          <w:rFonts w:ascii="Times New Roman" w:hAnsi="Times New Roman"/>
        </w:rPr>
        <w:t>the</w:t>
      </w:r>
      <w:r w:rsidRPr="00517CC8">
        <w:rPr>
          <w:rFonts w:ascii="Times New Roman" w:hAnsi="Times New Roman"/>
        </w:rPr>
        <w:t xml:space="preserve"> </w:t>
      </w:r>
      <w:proofErr w:type="gramStart"/>
      <w:r w:rsidRPr="00517CC8">
        <w:rPr>
          <w:rFonts w:ascii="Times New Roman" w:hAnsi="Times New Roman"/>
        </w:rPr>
        <w:t>day to day</w:t>
      </w:r>
      <w:proofErr w:type="gramEnd"/>
      <w:r w:rsidRPr="00517CC8">
        <w:rPr>
          <w:rFonts w:ascii="Times New Roman" w:hAnsi="Times New Roman"/>
        </w:rPr>
        <w:t xml:space="preserve"> </w:t>
      </w:r>
      <w:r>
        <w:rPr>
          <w:rFonts w:ascii="Times New Roman" w:hAnsi="Times New Roman"/>
        </w:rPr>
        <w:t>echo of</w:t>
      </w:r>
      <w:r w:rsidRPr="00517CC8">
        <w:rPr>
          <w:rFonts w:ascii="Times New Roman" w:hAnsi="Times New Roman"/>
        </w:rPr>
        <w:t xml:space="preserve"> ideas </w:t>
      </w:r>
      <w:r>
        <w:rPr>
          <w:rFonts w:ascii="Times New Roman" w:hAnsi="Times New Roman"/>
        </w:rPr>
        <w:t>reflected</w:t>
      </w:r>
      <w:r w:rsidRPr="00517CC8">
        <w:rPr>
          <w:rFonts w:ascii="Times New Roman" w:hAnsi="Times New Roman"/>
        </w:rPr>
        <w:t xml:space="preserve"> </w:t>
      </w:r>
      <w:r>
        <w:rPr>
          <w:rFonts w:ascii="Times New Roman" w:hAnsi="Times New Roman"/>
        </w:rPr>
        <w:t>in events</w:t>
      </w:r>
      <w:r w:rsidRPr="00517CC8">
        <w:rPr>
          <w:rFonts w:ascii="Times New Roman" w:hAnsi="Times New Roman"/>
        </w:rPr>
        <w:t>.  In the process, again in Holt's formulation, Magna Carta was to be rescued 'from the hands of the lawyers where it had lain since the time of Blackstone and set it in a proper historical context, both English and European'.</w:t>
      </w:r>
      <w:r w:rsidRPr="00517CC8">
        <w:rPr>
          <w:rStyle w:val="FootnoteReference"/>
          <w:rFonts w:ascii="Times New Roman" w:hAnsi="Times New Roman"/>
        </w:rPr>
        <w:footnoteReference w:id="105"/>
      </w:r>
      <w:r w:rsidRPr="00517CC8">
        <w:rPr>
          <w:rFonts w:ascii="Times New Roman" w:hAnsi="Times New Roman"/>
        </w:rPr>
        <w:t xml:space="preserve"> </w:t>
      </w:r>
    </w:p>
    <w:p w14:paraId="33836DA6" w14:textId="77777777" w:rsidR="00A27FF6" w:rsidRPr="00517CC8" w:rsidRDefault="00A27FF6" w:rsidP="00A27FF6">
      <w:pPr>
        <w:widowControl w:val="0"/>
        <w:tabs>
          <w:tab w:val="left" w:pos="6096"/>
        </w:tabs>
        <w:autoSpaceDE w:val="0"/>
        <w:autoSpaceDN w:val="0"/>
        <w:adjustRightInd w:val="0"/>
        <w:rPr>
          <w:rFonts w:ascii="Times New Roman" w:hAnsi="Times New Roman"/>
        </w:rPr>
      </w:pPr>
    </w:p>
    <w:p w14:paraId="54125611" w14:textId="77777777" w:rsidR="00A27FF6" w:rsidRPr="00517CC8" w:rsidRDefault="00A27FF6" w:rsidP="00A27FF6">
      <w:pPr>
        <w:widowControl w:val="0"/>
        <w:tabs>
          <w:tab w:val="left" w:pos="6096"/>
        </w:tabs>
        <w:autoSpaceDE w:val="0"/>
        <w:autoSpaceDN w:val="0"/>
        <w:adjustRightInd w:val="0"/>
        <w:rPr>
          <w:rFonts w:ascii="Times New Roman" w:hAnsi="Times New Roman"/>
        </w:rPr>
      </w:pPr>
      <w:r w:rsidRPr="00517CC8">
        <w:rPr>
          <w:rFonts w:ascii="Times New Roman" w:hAnsi="Times New Roman"/>
        </w:rPr>
        <w:t>There is an element of exaggeration here.  Since the 1930s, both Cheney and Richardson had been using just such 'bits and pieces' to study the reign of King John.  So had Sidney Painter.  So, from an earlier generation, had Powicke and Kate N</w:t>
      </w:r>
      <w:r>
        <w:rPr>
          <w:rFonts w:ascii="Times New Roman" w:hAnsi="Times New Roman"/>
        </w:rPr>
        <w:t xml:space="preserve">orgate.  What was most novel in </w:t>
      </w:r>
      <w:r w:rsidRPr="00517CC8">
        <w:rPr>
          <w:rFonts w:ascii="Times New Roman" w:hAnsi="Times New Roman"/>
        </w:rPr>
        <w:t xml:space="preserve">Jolliffe and Holt's </w:t>
      </w:r>
      <w:r>
        <w:rPr>
          <w:rFonts w:ascii="Times New Roman" w:hAnsi="Times New Roman"/>
        </w:rPr>
        <w:t>'</w:t>
      </w:r>
      <w:r w:rsidRPr="00517CC8">
        <w:rPr>
          <w:rFonts w:ascii="Times New Roman" w:hAnsi="Times New Roman"/>
        </w:rPr>
        <w:t>method</w:t>
      </w:r>
      <w:r>
        <w:rPr>
          <w:rFonts w:ascii="Times New Roman" w:hAnsi="Times New Roman"/>
        </w:rPr>
        <w:t>'</w:t>
      </w:r>
      <w:r w:rsidRPr="00517CC8">
        <w:rPr>
          <w:rFonts w:ascii="Times New Roman" w:hAnsi="Times New Roman"/>
        </w:rPr>
        <w:t xml:space="preserve"> was a feature that neither they, nor their earliest reviewers seem consciously to have acknowledged: their </w:t>
      </w:r>
      <w:r>
        <w:rPr>
          <w:rFonts w:ascii="Times New Roman" w:hAnsi="Times New Roman"/>
        </w:rPr>
        <w:t xml:space="preserve">almost total </w:t>
      </w:r>
      <w:r w:rsidRPr="00517CC8">
        <w:rPr>
          <w:rFonts w:ascii="Times New Roman" w:hAnsi="Times New Roman"/>
        </w:rPr>
        <w:t xml:space="preserve">abandonment of the sort of rich narrative that Powicke had pioneered, in favour of much </w:t>
      </w:r>
      <w:r>
        <w:rPr>
          <w:rFonts w:ascii="Times New Roman" w:hAnsi="Times New Roman"/>
        </w:rPr>
        <w:t>more searching</w:t>
      </w:r>
      <w:r w:rsidRPr="00517CC8">
        <w:rPr>
          <w:rFonts w:ascii="Times New Roman" w:hAnsi="Times New Roman"/>
        </w:rPr>
        <w:t xml:space="preserve"> analysis. Jolliffe had direct experience of autocracy.  </w:t>
      </w:r>
      <w:r>
        <w:rPr>
          <w:rFonts w:ascii="Times New Roman" w:hAnsi="Times New Roman"/>
        </w:rPr>
        <w:t>Apart from</w:t>
      </w:r>
      <w:r w:rsidRPr="00517CC8">
        <w:rPr>
          <w:rFonts w:ascii="Times New Roman" w:hAnsi="Times New Roman"/>
        </w:rPr>
        <w:t xml:space="preserve"> </w:t>
      </w:r>
      <w:r>
        <w:rPr>
          <w:rFonts w:ascii="Times New Roman" w:hAnsi="Times New Roman"/>
        </w:rPr>
        <w:t xml:space="preserve">Bradford Grammar School and </w:t>
      </w:r>
      <w:r w:rsidRPr="00517CC8">
        <w:rPr>
          <w:rFonts w:ascii="Times New Roman" w:hAnsi="Times New Roman"/>
        </w:rPr>
        <w:t>wartime service in the Royal Artillery</w:t>
      </w:r>
      <w:r>
        <w:rPr>
          <w:rFonts w:ascii="Times New Roman" w:hAnsi="Times New Roman"/>
        </w:rPr>
        <w:t>, Holt had not.  Nonetheless</w:t>
      </w:r>
      <w:r w:rsidRPr="00517CC8">
        <w:rPr>
          <w:rFonts w:ascii="Times New Roman" w:hAnsi="Times New Roman"/>
        </w:rPr>
        <w:t xml:space="preserve">, an early dose of Marxism enabled him to view individual baronial grievances as symptoms of wider 'class' sentiment.  Long before Namier set to work, J.H. Round had taught medievalists the importance of genealogy and the accurate tracing of family descents.  To this extent, Holt was more </w:t>
      </w:r>
      <w:proofErr w:type="gramStart"/>
      <w:r w:rsidRPr="00517CC8">
        <w:rPr>
          <w:rFonts w:ascii="Times New Roman" w:hAnsi="Times New Roman"/>
        </w:rPr>
        <w:t>Roundian</w:t>
      </w:r>
      <w:proofErr w:type="gramEnd"/>
      <w:r w:rsidRPr="00517CC8">
        <w:rPr>
          <w:rFonts w:ascii="Times New Roman" w:hAnsi="Times New Roman"/>
        </w:rPr>
        <w:t xml:space="preserve"> than Namierite.  In 'rescuing' Magna Carta from the lawyers, he nonetheless employed methods that Namier himself would have approved.</w:t>
      </w:r>
    </w:p>
    <w:p w14:paraId="5E7C9F11" w14:textId="77777777" w:rsidR="00A27FF6" w:rsidRPr="00517CC8" w:rsidRDefault="00A27FF6" w:rsidP="00A27FF6">
      <w:pPr>
        <w:rPr>
          <w:rFonts w:ascii="Times New Roman" w:hAnsi="Times New Roman"/>
        </w:rPr>
      </w:pPr>
    </w:p>
    <w:p w14:paraId="6DEF47A8" w14:textId="783D4D13" w:rsidR="00A27FF6" w:rsidRDefault="00A27FF6" w:rsidP="00A27FF6">
      <w:pPr>
        <w:rPr>
          <w:rFonts w:ascii="Times New Roman" w:hAnsi="Times New Roman"/>
        </w:rPr>
      </w:pPr>
      <w:r w:rsidRPr="00517CC8">
        <w:rPr>
          <w:rFonts w:ascii="Times New Roman" w:hAnsi="Times New Roman"/>
        </w:rPr>
        <w:t xml:space="preserve">Before this rescue could be </w:t>
      </w:r>
      <w:proofErr w:type="gramStart"/>
      <w:r w:rsidRPr="00517CC8">
        <w:rPr>
          <w:rFonts w:ascii="Times New Roman" w:hAnsi="Times New Roman"/>
        </w:rPr>
        <w:t>effected</w:t>
      </w:r>
      <w:proofErr w:type="gramEnd"/>
      <w:r w:rsidRPr="00517CC8">
        <w:rPr>
          <w:rFonts w:ascii="Times New Roman" w:hAnsi="Times New Roman"/>
        </w:rPr>
        <w:t xml:space="preserve">, various of Holt's 'bits and pieces' had first to be put in place.  </w:t>
      </w:r>
      <w:proofErr w:type="gramStart"/>
      <w:r w:rsidR="00E31570">
        <w:rPr>
          <w:rFonts w:ascii="Times New Roman" w:hAnsi="Times New Roman"/>
        </w:rPr>
        <w:t xml:space="preserve">The pre-war edition of </w:t>
      </w:r>
      <w:r w:rsidR="00E31570" w:rsidRPr="00E31570">
        <w:rPr>
          <w:rFonts w:ascii="Times New Roman" w:hAnsi="Times New Roman"/>
          <w:i/>
        </w:rPr>
        <w:t>Curia Regis Rolls</w:t>
      </w:r>
      <w:r w:rsidR="00E31570">
        <w:rPr>
          <w:rFonts w:ascii="Times New Roman" w:hAnsi="Times New Roman"/>
        </w:rPr>
        <w:t xml:space="preserve"> was continued</w:t>
      </w:r>
      <w:r w:rsidR="0088502E">
        <w:rPr>
          <w:rFonts w:ascii="Times New Roman" w:hAnsi="Times New Roman"/>
        </w:rPr>
        <w:t xml:space="preserve"> by C.A.F. Meekings</w:t>
      </w:r>
      <w:proofErr w:type="gramEnd"/>
      <w:r w:rsidR="00E31570">
        <w:rPr>
          <w:rFonts w:ascii="Times New Roman" w:hAnsi="Times New Roman"/>
        </w:rPr>
        <w:t xml:space="preserve"> into the period of Magna Carta's enforcement.</w:t>
      </w:r>
      <w:r w:rsidR="00E31570">
        <w:rPr>
          <w:rStyle w:val="FootnoteReference"/>
          <w:rFonts w:ascii="Times New Roman" w:hAnsi="Times New Roman"/>
        </w:rPr>
        <w:footnoteReference w:id="106"/>
      </w:r>
      <w:r w:rsidR="00E31570">
        <w:rPr>
          <w:rFonts w:ascii="Times New Roman" w:hAnsi="Times New Roman"/>
        </w:rPr>
        <w:t xml:space="preserve">  Just as significant</w:t>
      </w:r>
      <w:r w:rsidRPr="00517CC8">
        <w:rPr>
          <w:rFonts w:ascii="Times New Roman" w:hAnsi="Times New Roman"/>
        </w:rPr>
        <w:t xml:space="preserve">, </w:t>
      </w:r>
      <w:r w:rsidR="00E31570">
        <w:rPr>
          <w:rFonts w:ascii="Times New Roman" w:hAnsi="Times New Roman"/>
        </w:rPr>
        <w:t xml:space="preserve">and </w:t>
      </w:r>
      <w:r w:rsidRPr="00517CC8">
        <w:rPr>
          <w:rFonts w:ascii="Times New Roman" w:hAnsi="Times New Roman"/>
        </w:rPr>
        <w:t xml:space="preserve">already crucial to Jolliffe's explorations, </w:t>
      </w:r>
      <w:r>
        <w:rPr>
          <w:rFonts w:ascii="Times New Roman" w:hAnsi="Times New Roman"/>
        </w:rPr>
        <w:t xml:space="preserve">was the work of the Pipe Roll and Selden Societies, </w:t>
      </w:r>
      <w:r w:rsidRPr="00517CC8">
        <w:rPr>
          <w:rFonts w:ascii="Times New Roman" w:hAnsi="Times New Roman"/>
        </w:rPr>
        <w:t xml:space="preserve">and the encouragement supplied by Doris, Lady Stenton to the </w:t>
      </w:r>
      <w:r>
        <w:rPr>
          <w:rFonts w:ascii="Times New Roman" w:hAnsi="Times New Roman"/>
        </w:rPr>
        <w:t>edition of plea rolls and</w:t>
      </w:r>
      <w:r w:rsidRPr="00517CC8">
        <w:rPr>
          <w:rFonts w:ascii="Times New Roman" w:hAnsi="Times New Roman"/>
        </w:rPr>
        <w:t xml:space="preserve"> Pipe Rolls </w:t>
      </w:r>
      <w:r>
        <w:rPr>
          <w:rFonts w:ascii="Times New Roman" w:hAnsi="Times New Roman"/>
        </w:rPr>
        <w:t>from the reign of</w:t>
      </w:r>
      <w:r w:rsidRPr="00517CC8">
        <w:rPr>
          <w:rFonts w:ascii="Times New Roman" w:hAnsi="Times New Roman"/>
        </w:rPr>
        <w:t xml:space="preserve"> King John.</w:t>
      </w:r>
      <w:r w:rsidRPr="00517CC8">
        <w:rPr>
          <w:rStyle w:val="FootnoteReference"/>
          <w:rFonts w:ascii="Times New Roman" w:hAnsi="Times New Roman"/>
        </w:rPr>
        <w:footnoteReference w:id="107"/>
      </w:r>
      <w:r w:rsidRPr="00517CC8">
        <w:rPr>
          <w:rFonts w:ascii="Times New Roman" w:hAnsi="Times New Roman"/>
        </w:rPr>
        <w:t xml:space="preserve"> </w:t>
      </w:r>
      <w:r w:rsidR="0088502E">
        <w:rPr>
          <w:rFonts w:ascii="Times New Roman" w:hAnsi="Times New Roman"/>
        </w:rPr>
        <w:t xml:space="preserve">In particular, Stenton's editions of </w:t>
      </w:r>
      <w:r w:rsidR="0088502E" w:rsidRPr="0088502E">
        <w:rPr>
          <w:rFonts w:ascii="Times New Roman" w:hAnsi="Times New Roman"/>
          <w:i/>
        </w:rPr>
        <w:t>Pleas Before the King or his Justices</w:t>
      </w:r>
      <w:r w:rsidR="0088502E">
        <w:rPr>
          <w:rFonts w:ascii="Times New Roman" w:hAnsi="Times New Roman"/>
        </w:rPr>
        <w:t xml:space="preserve"> supplied the first in-depth analysis of the </w:t>
      </w:r>
      <w:proofErr w:type="gramStart"/>
      <w:r w:rsidR="0088502E">
        <w:rPr>
          <w:rFonts w:ascii="Times New Roman" w:hAnsi="Times New Roman"/>
        </w:rPr>
        <w:t>day to day</w:t>
      </w:r>
      <w:proofErr w:type="gramEnd"/>
      <w:r w:rsidR="0088502E">
        <w:rPr>
          <w:rFonts w:ascii="Times New Roman" w:hAnsi="Times New Roman"/>
        </w:rPr>
        <w:t xml:space="preserve"> </w:t>
      </w:r>
      <w:r w:rsidR="009D33F1">
        <w:rPr>
          <w:rFonts w:ascii="Times New Roman" w:hAnsi="Times New Roman"/>
        </w:rPr>
        <w:t>administration</w:t>
      </w:r>
      <w:r w:rsidR="0088502E">
        <w:rPr>
          <w:rFonts w:ascii="Times New Roman" w:hAnsi="Times New Roman"/>
        </w:rPr>
        <w:t xml:space="preserve"> (as opposed to the broader theory) of </w:t>
      </w:r>
      <w:r w:rsidR="009D33F1">
        <w:rPr>
          <w:rFonts w:ascii="Times New Roman" w:hAnsi="Times New Roman"/>
        </w:rPr>
        <w:t xml:space="preserve">royal </w:t>
      </w:r>
      <w:r w:rsidR="0088502E">
        <w:rPr>
          <w:rFonts w:ascii="Times New Roman" w:hAnsi="Times New Roman"/>
        </w:rPr>
        <w:t>justice.</w:t>
      </w:r>
      <w:r w:rsidR="0088502E">
        <w:rPr>
          <w:rStyle w:val="FootnoteReference"/>
          <w:rFonts w:ascii="Times New Roman" w:hAnsi="Times New Roman"/>
        </w:rPr>
        <w:footnoteReference w:id="108"/>
      </w:r>
      <w:r w:rsidR="0088502E">
        <w:rPr>
          <w:rFonts w:ascii="Times New Roman" w:hAnsi="Times New Roman"/>
        </w:rPr>
        <w:t xml:space="preserve">  </w:t>
      </w:r>
      <w:r>
        <w:rPr>
          <w:rFonts w:ascii="Times New Roman" w:hAnsi="Times New Roman"/>
        </w:rPr>
        <w:t xml:space="preserve">Stenton's </w:t>
      </w:r>
      <w:r w:rsidR="0088502E">
        <w:rPr>
          <w:rFonts w:ascii="Times New Roman" w:hAnsi="Times New Roman"/>
        </w:rPr>
        <w:t>synthetic history of English law making</w:t>
      </w:r>
      <w:r w:rsidR="009D33F1">
        <w:rPr>
          <w:rFonts w:ascii="Times New Roman" w:hAnsi="Times New Roman"/>
        </w:rPr>
        <w:t>, meanwhile,</w:t>
      </w:r>
      <w:r>
        <w:rPr>
          <w:rFonts w:ascii="Times New Roman" w:hAnsi="Times New Roman"/>
        </w:rPr>
        <w:t xml:space="preserve"> </w:t>
      </w:r>
      <w:r w:rsidR="00E31570">
        <w:rPr>
          <w:rFonts w:ascii="Times New Roman" w:hAnsi="Times New Roman"/>
        </w:rPr>
        <w:t xml:space="preserve">did not appear until </w:t>
      </w:r>
      <w:r>
        <w:rPr>
          <w:rFonts w:ascii="Times New Roman" w:hAnsi="Times New Roman"/>
        </w:rPr>
        <w:t>1965 (and as a collection of lectures first delivered in America).  Based upon research stretching back into the 1920s, it viewed royal justice as an essentially benign affair, massively improved in efficiency by Henry II and his sons ('genius was at work'). King John emerged from this as a more than competent ruler, directly involved in the work of his courts, fully committed to the customs and laws of England, confronted with rebellion in 1215 only as a result of defeats overseas that were not his direct responsibility. This was to argue the case that English law was a function of an English exceptionalism stretching back beyond the Norman Conquest, with the Angevin kings as the law's active and inventive stewards.</w:t>
      </w:r>
      <w:r>
        <w:rPr>
          <w:rStyle w:val="FootnoteReference"/>
          <w:rFonts w:ascii="Times New Roman" w:hAnsi="Times New Roman"/>
        </w:rPr>
        <w:footnoteReference w:id="109"/>
      </w:r>
      <w:r>
        <w:rPr>
          <w:rFonts w:ascii="Times New Roman" w:hAnsi="Times New Roman"/>
        </w:rPr>
        <w:t xml:space="preserve">  </w:t>
      </w:r>
    </w:p>
    <w:p w14:paraId="0F9CFB3C" w14:textId="77777777" w:rsidR="00A27FF6" w:rsidRDefault="00A27FF6" w:rsidP="00A27FF6">
      <w:pPr>
        <w:rPr>
          <w:rFonts w:ascii="Times New Roman" w:hAnsi="Times New Roman"/>
        </w:rPr>
      </w:pPr>
    </w:p>
    <w:p w14:paraId="145EE260" w14:textId="77777777" w:rsidR="00A27FF6" w:rsidRPr="00517CC8" w:rsidRDefault="00A27FF6" w:rsidP="00A27FF6">
      <w:pPr>
        <w:rPr>
          <w:rFonts w:ascii="Times New Roman" w:hAnsi="Times New Roman"/>
        </w:rPr>
      </w:pPr>
      <w:r>
        <w:rPr>
          <w:rFonts w:ascii="Times New Roman" w:hAnsi="Times New Roman"/>
        </w:rPr>
        <w:t xml:space="preserve">By contrast, with his Selden Society edition of </w:t>
      </w:r>
      <w:r w:rsidRPr="0096757E">
        <w:rPr>
          <w:rFonts w:ascii="Times New Roman" w:hAnsi="Times New Roman"/>
          <w:i/>
        </w:rPr>
        <w:t>Royal Writs</w:t>
      </w:r>
      <w:r>
        <w:rPr>
          <w:rFonts w:ascii="Times New Roman" w:hAnsi="Times New Roman"/>
        </w:rPr>
        <w:t>, published in 1959, the Belgian historian, Raoul van Caenegem, had set out a very different trajectory for the law, allowing for only a muted Angevin 'leap forwards', and with English procedures, for all their antique peculiarity, joining a European-wide process of 'judicialisation' already chronicled in Van Caengem's work on Flanders and northern France.</w:t>
      </w:r>
      <w:r>
        <w:rPr>
          <w:rStyle w:val="FootnoteReference"/>
          <w:rFonts w:ascii="Times New Roman" w:hAnsi="Times New Roman"/>
        </w:rPr>
        <w:footnoteReference w:id="110"/>
      </w:r>
      <w:r>
        <w:rPr>
          <w:rFonts w:ascii="Times New Roman" w:hAnsi="Times New Roman"/>
        </w:rPr>
        <w:t xml:space="preserve"> </w:t>
      </w:r>
      <w:r w:rsidRPr="00517CC8">
        <w:rPr>
          <w:rFonts w:ascii="Times New Roman" w:hAnsi="Times New Roman"/>
        </w:rPr>
        <w:t xml:space="preserve">For Holt, a Yorkshireman with a particular concern for the barons of the north, it was also </w:t>
      </w:r>
      <w:r>
        <w:rPr>
          <w:rFonts w:ascii="Times New Roman" w:hAnsi="Times New Roman"/>
        </w:rPr>
        <w:t>important</w:t>
      </w:r>
      <w:r w:rsidRPr="00517CC8">
        <w:rPr>
          <w:rFonts w:ascii="Times New Roman" w:hAnsi="Times New Roman"/>
        </w:rPr>
        <w:t xml:space="preserve"> that the edition of </w:t>
      </w:r>
      <w:r w:rsidRPr="00517CC8">
        <w:rPr>
          <w:rFonts w:ascii="Times New Roman" w:hAnsi="Times New Roman"/>
          <w:i/>
        </w:rPr>
        <w:t>Early Yorkshire Charters</w:t>
      </w:r>
      <w:r w:rsidRPr="00517CC8">
        <w:rPr>
          <w:rFonts w:ascii="Times New Roman" w:hAnsi="Times New Roman"/>
        </w:rPr>
        <w:t>, pioneered by William Farrer, was continued with ever more scholarly finesse, throughout the 1950s, by Sir Charles Clay.</w:t>
      </w:r>
      <w:r w:rsidRPr="00517CC8">
        <w:rPr>
          <w:rStyle w:val="FootnoteReference"/>
          <w:rFonts w:ascii="Times New Roman" w:hAnsi="Times New Roman"/>
        </w:rPr>
        <w:footnoteReference w:id="111"/>
      </w:r>
      <w:r w:rsidRPr="00517CC8">
        <w:rPr>
          <w:rFonts w:ascii="Times New Roman" w:hAnsi="Times New Roman"/>
        </w:rPr>
        <w:t xml:space="preserve"> Here Holt found the grit of family descents and feuds and </w:t>
      </w:r>
      <w:proofErr w:type="gramStart"/>
      <w:r w:rsidRPr="00517CC8">
        <w:rPr>
          <w:rFonts w:ascii="Times New Roman" w:hAnsi="Times New Roman"/>
        </w:rPr>
        <w:t>law suits</w:t>
      </w:r>
      <w:proofErr w:type="gramEnd"/>
      <w:r w:rsidRPr="00517CC8">
        <w:rPr>
          <w:rFonts w:ascii="Times New Roman" w:hAnsi="Times New Roman"/>
        </w:rPr>
        <w:t xml:space="preserve">, stretching back into the twelfth century, with which to grind </w:t>
      </w:r>
      <w:r>
        <w:rPr>
          <w:rFonts w:ascii="Times New Roman" w:hAnsi="Times New Roman"/>
        </w:rPr>
        <w:t>his mill</w:t>
      </w:r>
      <w:r w:rsidRPr="00517CC8">
        <w:rPr>
          <w:rFonts w:ascii="Times New Roman" w:hAnsi="Times New Roman"/>
        </w:rPr>
        <w:t xml:space="preserve">.  Here, also, it is worth noting that for all his reaction against Powickian chiaroscuro, Holt like Powicke remained a master of printed </w:t>
      </w:r>
      <w:r>
        <w:rPr>
          <w:rFonts w:ascii="Times New Roman" w:hAnsi="Times New Roman"/>
        </w:rPr>
        <w:t xml:space="preserve">rather than unpublished </w:t>
      </w:r>
      <w:r w:rsidRPr="00517CC8">
        <w:rPr>
          <w:rFonts w:ascii="Times New Roman" w:hAnsi="Times New Roman"/>
        </w:rPr>
        <w:t>sources.  In a career of more than fifty years, he edited only three, fairly brief manuscript excerpts, none of which he himself claimed to have discovered.</w:t>
      </w:r>
      <w:r w:rsidRPr="00517CC8">
        <w:rPr>
          <w:rStyle w:val="FootnoteReference"/>
          <w:rFonts w:ascii="Times New Roman" w:hAnsi="Times New Roman"/>
        </w:rPr>
        <w:footnoteReference w:id="112"/>
      </w:r>
    </w:p>
    <w:p w14:paraId="171F2B7C" w14:textId="77777777" w:rsidR="00A27FF6" w:rsidRPr="00517CC8" w:rsidRDefault="00A27FF6" w:rsidP="00A27FF6">
      <w:pPr>
        <w:rPr>
          <w:rFonts w:ascii="Times New Roman" w:hAnsi="Times New Roman"/>
        </w:rPr>
      </w:pPr>
    </w:p>
    <w:p w14:paraId="21D3E6C7" w14:textId="6D5AB8CD" w:rsidR="00A27FF6" w:rsidRPr="00517CC8" w:rsidRDefault="00A27FF6" w:rsidP="00A27FF6">
      <w:pPr>
        <w:widowControl w:val="0"/>
        <w:autoSpaceDE w:val="0"/>
        <w:autoSpaceDN w:val="0"/>
        <w:adjustRightInd w:val="0"/>
        <w:spacing w:after="240"/>
        <w:rPr>
          <w:rFonts w:ascii="Times New Roman" w:hAnsi="Times New Roman"/>
          <w:bCs/>
        </w:rPr>
      </w:pPr>
      <w:r w:rsidRPr="00517CC8">
        <w:rPr>
          <w:rFonts w:ascii="Times New Roman" w:hAnsi="Times New Roman"/>
        </w:rPr>
        <w:t>From 1955 onwards, Holt established himself as un</w:t>
      </w:r>
      <w:r>
        <w:rPr>
          <w:rFonts w:ascii="Times New Roman" w:hAnsi="Times New Roman"/>
        </w:rPr>
        <w:t>disputed</w:t>
      </w:r>
      <w:r w:rsidRPr="00517CC8">
        <w:rPr>
          <w:rFonts w:ascii="Times New Roman" w:hAnsi="Times New Roman"/>
        </w:rPr>
        <w:t xml:space="preserve"> </w:t>
      </w:r>
      <w:r w:rsidRPr="00517CC8">
        <w:rPr>
          <w:rFonts w:ascii="Times New Roman" w:hAnsi="Times New Roman"/>
          <w:i/>
        </w:rPr>
        <w:t>dominus rex</w:t>
      </w:r>
      <w:r>
        <w:rPr>
          <w:rFonts w:ascii="Times New Roman" w:hAnsi="Times New Roman"/>
        </w:rPr>
        <w:t xml:space="preserve"> of Magna Carta studies.</w:t>
      </w:r>
      <w:r w:rsidRPr="00517CC8">
        <w:rPr>
          <w:rFonts w:ascii="Times New Roman" w:hAnsi="Times New Roman"/>
        </w:rPr>
        <w:t xml:space="preserve">  His </w:t>
      </w:r>
      <w:r w:rsidRPr="00517CC8">
        <w:rPr>
          <w:rFonts w:ascii="Times New Roman" w:hAnsi="Times New Roman"/>
          <w:i/>
        </w:rPr>
        <w:t>EHR</w:t>
      </w:r>
      <w:r w:rsidRPr="00517CC8">
        <w:rPr>
          <w:rFonts w:ascii="Times New Roman" w:hAnsi="Times New Roman"/>
        </w:rPr>
        <w:t xml:space="preserve"> articles, on the 'Barons' (in 1955) and on 'The Making of Magna Carta' (in 1957) performed two quite distinct functions</w:t>
      </w:r>
      <w:r>
        <w:rPr>
          <w:rFonts w:ascii="Times New Roman" w:hAnsi="Times New Roman"/>
        </w:rPr>
        <w:t>.  T</w:t>
      </w:r>
      <w:r w:rsidRPr="00517CC8">
        <w:rPr>
          <w:rFonts w:ascii="Times New Roman" w:hAnsi="Times New Roman"/>
        </w:rPr>
        <w:t xml:space="preserve">he first </w:t>
      </w:r>
      <w:r>
        <w:rPr>
          <w:rFonts w:ascii="Times New Roman" w:hAnsi="Times New Roman"/>
        </w:rPr>
        <w:t xml:space="preserve">offered </w:t>
      </w:r>
      <w:r w:rsidRPr="00517CC8">
        <w:rPr>
          <w:rFonts w:ascii="Times New Roman" w:hAnsi="Times New Roman"/>
        </w:rPr>
        <w:t xml:space="preserve">a </w:t>
      </w:r>
      <w:r>
        <w:rPr>
          <w:rFonts w:ascii="Times New Roman" w:hAnsi="Times New Roman"/>
        </w:rPr>
        <w:t>wide ranging</w:t>
      </w:r>
      <w:r w:rsidRPr="00517CC8">
        <w:rPr>
          <w:rFonts w:ascii="Times New Roman" w:hAnsi="Times New Roman"/>
        </w:rPr>
        <w:t xml:space="preserve"> survey of political attitudes </w:t>
      </w:r>
      <w:r>
        <w:rPr>
          <w:rFonts w:ascii="Times New Roman" w:hAnsi="Times New Roman"/>
        </w:rPr>
        <w:t xml:space="preserve">amongst King John's contemporaries, </w:t>
      </w:r>
      <w:r w:rsidRPr="00517CC8">
        <w:rPr>
          <w:rFonts w:ascii="Times New Roman" w:hAnsi="Times New Roman"/>
        </w:rPr>
        <w:t>informed by mor</w:t>
      </w:r>
      <w:r>
        <w:rPr>
          <w:rFonts w:ascii="Times New Roman" w:hAnsi="Times New Roman"/>
        </w:rPr>
        <w:t>e manuscript references than were</w:t>
      </w:r>
      <w:r w:rsidRPr="00517CC8">
        <w:rPr>
          <w:rFonts w:ascii="Times New Roman" w:hAnsi="Times New Roman"/>
        </w:rPr>
        <w:t xml:space="preserve"> subsequently to bec</w:t>
      </w:r>
      <w:r>
        <w:rPr>
          <w:rFonts w:ascii="Times New Roman" w:hAnsi="Times New Roman"/>
        </w:rPr>
        <w:t>ome Holt's norm, perhaps in deliberate alignment with Galbraith and those others inclined to regard Powicke as too detached from the PRO.  The second was a</w:t>
      </w:r>
      <w:r w:rsidRPr="00517CC8">
        <w:rPr>
          <w:rFonts w:ascii="Times New Roman" w:hAnsi="Times New Roman"/>
        </w:rPr>
        <w:t xml:space="preserve"> forensic study of events at Runnymede in June 1215, dealing in particular with the relationship between the surviving 'Articles of the Barons' (an early draft of the terms agreed) and Magna Carta itself.  Both of these </w:t>
      </w:r>
      <w:r>
        <w:rPr>
          <w:rFonts w:ascii="Times New Roman" w:hAnsi="Times New Roman"/>
        </w:rPr>
        <w:t>effort</w:t>
      </w:r>
      <w:r w:rsidRPr="00517CC8">
        <w:rPr>
          <w:rFonts w:ascii="Times New Roman" w:hAnsi="Times New Roman"/>
        </w:rPr>
        <w:t xml:space="preserve">s </w:t>
      </w:r>
      <w:r>
        <w:rPr>
          <w:rFonts w:ascii="Times New Roman" w:hAnsi="Times New Roman"/>
        </w:rPr>
        <w:t>were masterly</w:t>
      </w:r>
      <w:r w:rsidRPr="00517CC8">
        <w:rPr>
          <w:rFonts w:ascii="Times New Roman" w:hAnsi="Times New Roman"/>
        </w:rPr>
        <w:t>.  Together they la</w:t>
      </w:r>
      <w:r>
        <w:rPr>
          <w:rFonts w:ascii="Times New Roman" w:hAnsi="Times New Roman"/>
        </w:rPr>
        <w:t>id the foundations upon which Holt</w:t>
      </w:r>
      <w:r w:rsidRPr="00517CC8">
        <w:rPr>
          <w:rFonts w:ascii="Times New Roman" w:hAnsi="Times New Roman"/>
        </w:rPr>
        <w:t xml:space="preserve"> built two great</w:t>
      </w:r>
      <w:r>
        <w:rPr>
          <w:rFonts w:ascii="Times New Roman" w:hAnsi="Times New Roman"/>
        </w:rPr>
        <w:t>,</w:t>
      </w:r>
      <w:r w:rsidRPr="00517CC8">
        <w:rPr>
          <w:rFonts w:ascii="Times New Roman" w:hAnsi="Times New Roman"/>
        </w:rPr>
        <w:t xml:space="preserve"> but very different books</w:t>
      </w:r>
      <w:r>
        <w:rPr>
          <w:rFonts w:ascii="Times New Roman" w:hAnsi="Times New Roman"/>
        </w:rPr>
        <w:t xml:space="preserve">.  The first, </w:t>
      </w:r>
      <w:r w:rsidRPr="00517CC8">
        <w:rPr>
          <w:rFonts w:ascii="Times New Roman" w:hAnsi="Times New Roman"/>
          <w:i/>
        </w:rPr>
        <w:t>The Northerners</w:t>
      </w:r>
      <w:r>
        <w:rPr>
          <w:rFonts w:ascii="Times New Roman" w:hAnsi="Times New Roman"/>
        </w:rPr>
        <w:t xml:space="preserve">, was published in </w:t>
      </w:r>
      <w:r w:rsidRPr="00517CC8">
        <w:rPr>
          <w:rFonts w:ascii="Times New Roman" w:hAnsi="Times New Roman"/>
        </w:rPr>
        <w:t>1961</w:t>
      </w:r>
      <w:r>
        <w:rPr>
          <w:rFonts w:ascii="Times New Roman" w:hAnsi="Times New Roman"/>
        </w:rPr>
        <w:t xml:space="preserve">, the same year, oddly enough, that witnessed the republication of Powicke's </w:t>
      </w:r>
      <w:r w:rsidRPr="009B1BA2">
        <w:rPr>
          <w:rFonts w:ascii="Times New Roman" w:hAnsi="Times New Roman"/>
          <w:i/>
        </w:rPr>
        <w:t>Loss of Normandy</w:t>
      </w:r>
      <w:r>
        <w:rPr>
          <w:rFonts w:ascii="Times New Roman" w:hAnsi="Times New Roman"/>
        </w:rPr>
        <w:t xml:space="preserve">, a still far from busted flush.  The second, </w:t>
      </w:r>
      <w:r w:rsidRPr="00517CC8">
        <w:rPr>
          <w:rFonts w:ascii="Times New Roman" w:hAnsi="Times New Roman"/>
          <w:i/>
        </w:rPr>
        <w:t>Magna Carta</w:t>
      </w:r>
      <w:r w:rsidRPr="00517CC8">
        <w:rPr>
          <w:rFonts w:ascii="Times New Roman" w:hAnsi="Times New Roman"/>
        </w:rPr>
        <w:t xml:space="preserve">, </w:t>
      </w:r>
      <w:r>
        <w:rPr>
          <w:rFonts w:ascii="Times New Roman" w:hAnsi="Times New Roman"/>
        </w:rPr>
        <w:t>was</w:t>
      </w:r>
      <w:r w:rsidRPr="00517CC8">
        <w:rPr>
          <w:rFonts w:ascii="Times New Roman" w:hAnsi="Times New Roman"/>
        </w:rPr>
        <w:t xml:space="preserve"> commissioned as part of the 750th anniversary celebrations of</w:t>
      </w:r>
      <w:r>
        <w:rPr>
          <w:rFonts w:ascii="Times New Roman" w:hAnsi="Times New Roman"/>
        </w:rPr>
        <w:t xml:space="preserve"> Magna Carta, duly published in</w:t>
      </w:r>
      <w:r w:rsidRPr="00517CC8">
        <w:rPr>
          <w:rFonts w:ascii="Times New Roman" w:hAnsi="Times New Roman"/>
        </w:rPr>
        <w:t xml:space="preserve"> 1965.  </w:t>
      </w:r>
      <w:r w:rsidRPr="00517CC8">
        <w:rPr>
          <w:rFonts w:ascii="Times New Roman" w:hAnsi="Times New Roman"/>
          <w:i/>
        </w:rPr>
        <w:t>EHR</w:t>
      </w:r>
      <w:r w:rsidRPr="00517CC8">
        <w:rPr>
          <w:rFonts w:ascii="Times New Roman" w:hAnsi="Times New Roman"/>
        </w:rPr>
        <w:t xml:space="preserve">, meanwhile, </w:t>
      </w:r>
      <w:r>
        <w:rPr>
          <w:rFonts w:ascii="Times New Roman" w:hAnsi="Times New Roman"/>
        </w:rPr>
        <w:t xml:space="preserve">made only oblique reference to the charter's anniversary.  It </w:t>
      </w:r>
      <w:r w:rsidRPr="00517CC8">
        <w:rPr>
          <w:rFonts w:ascii="Times New Roman" w:hAnsi="Times New Roman"/>
        </w:rPr>
        <w:t>1965 issue</w:t>
      </w:r>
      <w:r>
        <w:rPr>
          <w:rFonts w:ascii="Times New Roman" w:hAnsi="Times New Roman"/>
        </w:rPr>
        <w:t xml:space="preserve"> opened with an obituary notice for Powicke (perhaps</w:t>
      </w:r>
      <w:r w:rsidRPr="00517CC8">
        <w:rPr>
          <w:rFonts w:ascii="Times New Roman" w:hAnsi="Times New Roman"/>
        </w:rPr>
        <w:t xml:space="preserve"> appropriately in the year of Holt's </w:t>
      </w:r>
      <w:r w:rsidRPr="00517CC8">
        <w:rPr>
          <w:rFonts w:ascii="Times New Roman" w:hAnsi="Times New Roman"/>
          <w:i/>
        </w:rPr>
        <w:t>Magna Carta</w:t>
      </w:r>
      <w:r>
        <w:rPr>
          <w:rFonts w:ascii="Times New Roman" w:hAnsi="Times New Roman"/>
        </w:rPr>
        <w:t>)</w:t>
      </w:r>
      <w:r>
        <w:rPr>
          <w:rFonts w:ascii="Times New Roman" w:hAnsi="Times New Roman"/>
          <w:bCs/>
        </w:rPr>
        <w:t>.</w:t>
      </w:r>
      <w:r w:rsidRPr="00517CC8">
        <w:rPr>
          <w:rStyle w:val="FootnoteReference"/>
          <w:rFonts w:ascii="Times New Roman" w:hAnsi="Times New Roman"/>
          <w:bCs/>
        </w:rPr>
        <w:footnoteReference w:id="113"/>
      </w:r>
      <w:r w:rsidRPr="00517CC8">
        <w:rPr>
          <w:rFonts w:ascii="Times New Roman" w:hAnsi="Times New Roman"/>
          <w:bCs/>
        </w:rPr>
        <w:t xml:space="preserve"> </w:t>
      </w:r>
      <w:r>
        <w:rPr>
          <w:rFonts w:ascii="Times New Roman" w:hAnsi="Times New Roman"/>
          <w:bCs/>
        </w:rPr>
        <w:t xml:space="preserve">There was also a review of Richardson and Sayle's </w:t>
      </w:r>
      <w:r w:rsidRPr="009B1BA2">
        <w:rPr>
          <w:rFonts w:ascii="Times New Roman" w:hAnsi="Times New Roman"/>
          <w:bCs/>
          <w:i/>
        </w:rPr>
        <w:t>Governance of Medieval England</w:t>
      </w:r>
      <w:r w:rsidR="001E55A3">
        <w:rPr>
          <w:rFonts w:ascii="Times New Roman" w:hAnsi="Times New Roman"/>
          <w:bCs/>
        </w:rPr>
        <w:t>, a book published in 1963</w:t>
      </w:r>
      <w:r>
        <w:rPr>
          <w:rFonts w:ascii="Times New Roman" w:hAnsi="Times New Roman"/>
          <w:bCs/>
        </w:rPr>
        <w:t>, intended to pronounce sentence of death upon the tradition of Stubbs.</w:t>
      </w:r>
      <w:r>
        <w:rPr>
          <w:rStyle w:val="FootnoteReference"/>
          <w:rFonts w:ascii="Times New Roman" w:hAnsi="Times New Roman"/>
          <w:bCs/>
        </w:rPr>
        <w:footnoteReference w:id="114"/>
      </w:r>
      <w:r>
        <w:rPr>
          <w:rFonts w:ascii="Times New Roman" w:hAnsi="Times New Roman"/>
          <w:bCs/>
        </w:rPr>
        <w:t xml:space="preserve"> </w:t>
      </w:r>
    </w:p>
    <w:p w14:paraId="594912A5" w14:textId="7B1754B5" w:rsidR="00A27FF6" w:rsidRDefault="00A27FF6" w:rsidP="00A27FF6">
      <w:pPr>
        <w:widowControl w:val="0"/>
        <w:autoSpaceDE w:val="0"/>
        <w:autoSpaceDN w:val="0"/>
        <w:adjustRightInd w:val="0"/>
        <w:spacing w:after="240"/>
        <w:rPr>
          <w:rFonts w:ascii="Times New Roman" w:hAnsi="Times New Roman"/>
        </w:rPr>
      </w:pPr>
      <w:r w:rsidRPr="00517CC8">
        <w:rPr>
          <w:rFonts w:ascii="Times New Roman" w:hAnsi="Times New Roman"/>
          <w:bCs/>
        </w:rPr>
        <w:t xml:space="preserve">Reviewing Holt's </w:t>
      </w:r>
      <w:r w:rsidRPr="00517CC8">
        <w:rPr>
          <w:rFonts w:ascii="Times New Roman" w:hAnsi="Times New Roman"/>
          <w:bCs/>
          <w:i/>
        </w:rPr>
        <w:t>Northerners</w:t>
      </w:r>
      <w:r w:rsidRPr="00517CC8">
        <w:rPr>
          <w:rFonts w:ascii="Times New Roman" w:hAnsi="Times New Roman"/>
          <w:bCs/>
        </w:rPr>
        <w:t xml:space="preserve"> in 1963, </w:t>
      </w:r>
      <w:r>
        <w:rPr>
          <w:rFonts w:ascii="Times New Roman" w:hAnsi="Times New Roman"/>
        </w:rPr>
        <w:t xml:space="preserve">R.H.C. Davis </w:t>
      </w:r>
      <w:r w:rsidRPr="00517CC8">
        <w:rPr>
          <w:rFonts w:ascii="Times New Roman" w:hAnsi="Times New Roman"/>
        </w:rPr>
        <w:t>pronounced it</w:t>
      </w:r>
      <w:r>
        <w:rPr>
          <w:rFonts w:ascii="Times New Roman" w:hAnsi="Times New Roman"/>
        </w:rPr>
        <w:t xml:space="preserve"> to be</w:t>
      </w:r>
      <w:r w:rsidRPr="00517CC8">
        <w:rPr>
          <w:rFonts w:ascii="Times New Roman" w:hAnsi="Times New Roman"/>
        </w:rPr>
        <w:t xml:space="preserve"> 'full of good things [but] not easy reading'.  Despite </w:t>
      </w:r>
      <w:r>
        <w:rPr>
          <w:rFonts w:ascii="Times New Roman" w:hAnsi="Times New Roman"/>
        </w:rPr>
        <w:t>Holt's</w:t>
      </w:r>
      <w:r w:rsidRPr="00517CC8">
        <w:rPr>
          <w:rFonts w:ascii="Times New Roman" w:hAnsi="Times New Roman"/>
        </w:rPr>
        <w:t xml:space="preserve"> concern for </w:t>
      </w:r>
      <w:r w:rsidR="0088502E">
        <w:rPr>
          <w:rFonts w:ascii="Times New Roman" w:hAnsi="Times New Roman"/>
        </w:rPr>
        <w:t xml:space="preserve">faction and </w:t>
      </w:r>
      <w:r>
        <w:rPr>
          <w:rFonts w:ascii="Times New Roman" w:hAnsi="Times New Roman"/>
        </w:rPr>
        <w:t>class</w:t>
      </w:r>
      <w:r w:rsidRPr="00517CC8">
        <w:rPr>
          <w:rFonts w:ascii="Times New Roman" w:hAnsi="Times New Roman"/>
        </w:rPr>
        <w:t xml:space="preserve">, in this instance for the </w:t>
      </w:r>
      <w:r w:rsidR="0088502E">
        <w:rPr>
          <w:rFonts w:ascii="Times New Roman" w:hAnsi="Times New Roman"/>
        </w:rPr>
        <w:t>faction of the</w:t>
      </w:r>
      <w:r w:rsidRPr="00517CC8">
        <w:rPr>
          <w:rFonts w:ascii="Times New Roman" w:hAnsi="Times New Roman"/>
        </w:rPr>
        <w:t xml:space="preserve"> 'outs', excluded from royal patronage, Davis noted Holt's disdain for any grander theory, a tacit repudiation of </w:t>
      </w:r>
      <w:r>
        <w:rPr>
          <w:rFonts w:ascii="Times New Roman" w:hAnsi="Times New Roman"/>
        </w:rPr>
        <w:t xml:space="preserve">the methods both of Marx and the </w:t>
      </w:r>
      <w:r w:rsidRPr="00084D40">
        <w:rPr>
          <w:rFonts w:ascii="Times New Roman" w:hAnsi="Times New Roman"/>
          <w:i/>
        </w:rPr>
        <w:t>Annales</w:t>
      </w:r>
      <w:r w:rsidRPr="00517CC8">
        <w:rPr>
          <w:rFonts w:ascii="Times New Roman" w:hAnsi="Times New Roman"/>
        </w:rPr>
        <w:t xml:space="preserve">. Thus, Holt was sceptical of any theory that associated tensions between king and barons with the rise </w:t>
      </w:r>
      <w:proofErr w:type="gramStart"/>
      <w:r w:rsidRPr="00517CC8">
        <w:rPr>
          <w:rFonts w:ascii="Times New Roman" w:hAnsi="Times New Roman"/>
        </w:rPr>
        <w:t>of a</w:t>
      </w:r>
      <w:proofErr w:type="gramEnd"/>
      <w:r w:rsidRPr="00517CC8">
        <w:rPr>
          <w:rFonts w:ascii="Times New Roman" w:hAnsi="Times New Roman"/>
        </w:rPr>
        <w:t xml:space="preserve"> new thirteenth-century gentry: the gentry, he argued, were always rising, 'It is their habit'.  Davis suggested that the 'outs' of John's reign were excluded not just on pe</w:t>
      </w:r>
      <w:r>
        <w:rPr>
          <w:rFonts w:ascii="Times New Roman" w:hAnsi="Times New Roman"/>
        </w:rPr>
        <w:t>rsonal but geographical grounds;</w:t>
      </w:r>
      <w:r w:rsidRPr="00517CC8">
        <w:rPr>
          <w:rFonts w:ascii="Times New Roman" w:hAnsi="Times New Roman"/>
        </w:rPr>
        <w:t xml:space="preserve"> those from the north were simply too remote from a court that increasingly rewarded southerners or Frenc</w:t>
      </w:r>
      <w:r>
        <w:rPr>
          <w:rFonts w:ascii="Times New Roman" w:hAnsi="Times New Roman"/>
        </w:rPr>
        <w:t xml:space="preserve">hmen.  Aliens, </w:t>
      </w:r>
      <w:r w:rsidRPr="00517CC8">
        <w:rPr>
          <w:rFonts w:ascii="Times New Roman" w:hAnsi="Times New Roman"/>
        </w:rPr>
        <w:t xml:space="preserve">exiled from France after 1204, now 'went to court (some of them had nowhere else to go) and waited there until they were rewarded'.  This was a crude formulation.  It nonetheless predicted various tendencies both in regional history, and in the history of John's 'alien' courtiers, that </w:t>
      </w:r>
      <w:r>
        <w:rPr>
          <w:rFonts w:ascii="Times New Roman" w:hAnsi="Times New Roman"/>
        </w:rPr>
        <w:t>were to</w:t>
      </w:r>
      <w:r w:rsidRPr="00517CC8">
        <w:rPr>
          <w:rFonts w:ascii="Times New Roman" w:hAnsi="Times New Roman"/>
        </w:rPr>
        <w:t xml:space="preserve"> </w:t>
      </w:r>
      <w:r>
        <w:rPr>
          <w:rFonts w:ascii="Times New Roman" w:hAnsi="Times New Roman"/>
        </w:rPr>
        <w:t>emerge</w:t>
      </w:r>
      <w:r w:rsidRPr="00517CC8">
        <w:rPr>
          <w:rFonts w:ascii="Times New Roman" w:hAnsi="Times New Roman"/>
        </w:rPr>
        <w:t>, in the wake of</w:t>
      </w:r>
      <w:r>
        <w:rPr>
          <w:rFonts w:ascii="Times New Roman" w:hAnsi="Times New Roman"/>
        </w:rPr>
        <w:t xml:space="preserve"> Holt, from the 197</w:t>
      </w:r>
      <w:r w:rsidRPr="00517CC8">
        <w:rPr>
          <w:rFonts w:ascii="Times New Roman" w:hAnsi="Times New Roman"/>
        </w:rPr>
        <w:t>0s onwards.</w:t>
      </w:r>
      <w:r w:rsidRPr="00517CC8">
        <w:rPr>
          <w:rStyle w:val="FootnoteReference"/>
          <w:rFonts w:ascii="Times New Roman" w:hAnsi="Times New Roman"/>
        </w:rPr>
        <w:footnoteReference w:id="115"/>
      </w:r>
      <w:r w:rsidRPr="00517CC8">
        <w:rPr>
          <w:rFonts w:ascii="Times New Roman" w:hAnsi="Times New Roman"/>
        </w:rPr>
        <w:t xml:space="preserve">  </w:t>
      </w:r>
    </w:p>
    <w:p w14:paraId="635D202D" w14:textId="7A8D73E8" w:rsidR="00A27FF6" w:rsidRDefault="00A27FF6" w:rsidP="00A27FF6">
      <w:pPr>
        <w:widowControl w:val="0"/>
        <w:autoSpaceDE w:val="0"/>
        <w:autoSpaceDN w:val="0"/>
        <w:adjustRightInd w:val="0"/>
        <w:spacing w:after="240"/>
        <w:rPr>
          <w:rFonts w:ascii="Times New Roman" w:hAnsi="Times New Roman"/>
        </w:rPr>
      </w:pPr>
      <w:r w:rsidRPr="00517CC8">
        <w:rPr>
          <w:rFonts w:ascii="Times New Roman" w:hAnsi="Times New Roman"/>
        </w:rPr>
        <w:t xml:space="preserve">In the second part of Holt's book, </w:t>
      </w:r>
      <w:r>
        <w:rPr>
          <w:rFonts w:ascii="Times New Roman" w:hAnsi="Times New Roman"/>
        </w:rPr>
        <w:t>returning</w:t>
      </w:r>
      <w:r w:rsidRPr="00517CC8">
        <w:rPr>
          <w:rFonts w:ascii="Times New Roman" w:hAnsi="Times New Roman"/>
        </w:rPr>
        <w:t xml:space="preserve"> 'from Namierization to a constitutional history of the sort that Stubbs would have understood', Davis detected a tension between politics and personalities: did the barons fight for the charter</w:t>
      </w:r>
      <w:r w:rsidR="009671DD">
        <w:rPr>
          <w:rFonts w:ascii="Times New Roman" w:hAnsi="Times New Roman"/>
        </w:rPr>
        <w:t xml:space="preserve"> or for themselves</w:t>
      </w:r>
      <w:r w:rsidRPr="00517CC8">
        <w:rPr>
          <w:rFonts w:ascii="Times New Roman" w:hAnsi="Times New Roman"/>
        </w:rPr>
        <w:t xml:space="preserve">, </w:t>
      </w:r>
      <w:r w:rsidR="009671DD">
        <w:rPr>
          <w:rFonts w:ascii="Times New Roman" w:hAnsi="Times New Roman"/>
        </w:rPr>
        <w:t>from political conviction or from crude</w:t>
      </w:r>
      <w:r w:rsidRPr="00517CC8">
        <w:rPr>
          <w:rFonts w:ascii="Times New Roman" w:hAnsi="Times New Roman"/>
        </w:rPr>
        <w:t xml:space="preserve"> self-interest?  Paying tribute to a master of the genre, Davis ended with a long quotation </w:t>
      </w:r>
      <w:r>
        <w:rPr>
          <w:rFonts w:ascii="Times New Roman" w:hAnsi="Times New Roman"/>
        </w:rPr>
        <w:t xml:space="preserve">from Holt </w:t>
      </w:r>
      <w:r w:rsidRPr="00517CC8">
        <w:rPr>
          <w:rFonts w:ascii="Times New Roman" w:hAnsi="Times New Roman"/>
        </w:rPr>
        <w:t xml:space="preserve">intended to demonstrate </w:t>
      </w:r>
      <w:r>
        <w:rPr>
          <w:rFonts w:ascii="Times New Roman" w:hAnsi="Times New Roman"/>
        </w:rPr>
        <w:t>its author's</w:t>
      </w:r>
      <w:r w:rsidRPr="00517CC8">
        <w:rPr>
          <w:rFonts w:ascii="Times New Roman" w:hAnsi="Times New Roman"/>
        </w:rPr>
        <w:t xml:space="preserve"> epigrammatic style: </w:t>
      </w:r>
    </w:p>
    <w:p w14:paraId="06A84F32" w14:textId="77777777" w:rsidR="00A27FF6" w:rsidRPr="00350435" w:rsidRDefault="00A27FF6" w:rsidP="00A27FF6">
      <w:pPr>
        <w:widowControl w:val="0"/>
        <w:tabs>
          <w:tab w:val="left" w:pos="7513"/>
          <w:tab w:val="left" w:pos="8080"/>
        </w:tabs>
        <w:autoSpaceDE w:val="0"/>
        <w:autoSpaceDN w:val="0"/>
        <w:adjustRightInd w:val="0"/>
        <w:spacing w:after="240"/>
        <w:ind w:left="567" w:right="787"/>
        <w:rPr>
          <w:rFonts w:ascii="Times New Roman" w:hAnsi="Times New Roman"/>
          <w:bCs/>
          <w:sz w:val="20"/>
          <w:szCs w:val="20"/>
        </w:rPr>
      </w:pPr>
      <w:r w:rsidRPr="00350435">
        <w:rPr>
          <w:rFonts w:ascii="Times New Roman" w:hAnsi="Times New Roman"/>
          <w:sz w:val="20"/>
          <w:szCs w:val="20"/>
        </w:rPr>
        <w:t>'</w:t>
      </w:r>
      <w:r w:rsidRPr="00350435">
        <w:rPr>
          <w:rFonts w:ascii="Times New Roman" w:hAnsi="Times New Roman"/>
          <w:bCs/>
          <w:sz w:val="20"/>
          <w:szCs w:val="20"/>
        </w:rPr>
        <w:t>John was not too cruel as a medieval king, but too supple, too clever. There was nothing in his character to cushion him from the logic of his actions, nothing to blur the hardening lines of political division, nothing around which a neutral body of opinion could form. Few men have ensured so effectively that those who were not for him would be against him'.</w:t>
      </w:r>
      <w:r w:rsidRPr="00350435">
        <w:rPr>
          <w:rStyle w:val="FootnoteReference"/>
          <w:rFonts w:ascii="Times New Roman" w:hAnsi="Times New Roman"/>
          <w:bCs/>
          <w:sz w:val="20"/>
          <w:szCs w:val="20"/>
        </w:rPr>
        <w:footnoteReference w:id="116"/>
      </w:r>
      <w:r w:rsidRPr="00350435">
        <w:rPr>
          <w:rFonts w:ascii="Times New Roman" w:hAnsi="Times New Roman"/>
          <w:bCs/>
          <w:sz w:val="20"/>
          <w:szCs w:val="20"/>
        </w:rPr>
        <w:t xml:space="preserve">  </w:t>
      </w:r>
    </w:p>
    <w:p w14:paraId="01F2D369" w14:textId="77777777" w:rsidR="00A27FF6" w:rsidRPr="00084D40" w:rsidRDefault="00A27FF6" w:rsidP="00A27FF6">
      <w:pPr>
        <w:widowControl w:val="0"/>
        <w:autoSpaceDE w:val="0"/>
        <w:autoSpaceDN w:val="0"/>
        <w:adjustRightInd w:val="0"/>
        <w:spacing w:after="240"/>
        <w:rPr>
          <w:rFonts w:ascii="Times New Roman" w:hAnsi="Times New Roman"/>
        </w:rPr>
      </w:pPr>
      <w:proofErr w:type="gramStart"/>
      <w:r>
        <w:rPr>
          <w:rFonts w:ascii="Times New Roman" w:hAnsi="Times New Roman"/>
          <w:bCs/>
        </w:rPr>
        <w:t>No-one</w:t>
      </w:r>
      <w:proofErr w:type="gramEnd"/>
      <w:r w:rsidRPr="00517CC8">
        <w:rPr>
          <w:rFonts w:ascii="Times New Roman" w:hAnsi="Times New Roman"/>
          <w:bCs/>
        </w:rPr>
        <w:t xml:space="preserve"> since has penned a more lucid, or a more perceptive </w:t>
      </w:r>
      <w:r>
        <w:rPr>
          <w:rFonts w:ascii="Times New Roman" w:hAnsi="Times New Roman"/>
          <w:bCs/>
        </w:rPr>
        <w:t>account of John</w:t>
      </w:r>
      <w:r w:rsidRPr="00517CC8">
        <w:rPr>
          <w:rFonts w:ascii="Times New Roman" w:hAnsi="Times New Roman"/>
          <w:bCs/>
        </w:rPr>
        <w:t>.</w:t>
      </w:r>
    </w:p>
    <w:p w14:paraId="5BA516FE" w14:textId="665EBCE6" w:rsidR="00A27FF6" w:rsidRPr="00517CC8" w:rsidRDefault="00A27FF6" w:rsidP="00A27FF6">
      <w:pPr>
        <w:widowControl w:val="0"/>
        <w:autoSpaceDE w:val="0"/>
        <w:autoSpaceDN w:val="0"/>
        <w:adjustRightInd w:val="0"/>
        <w:spacing w:after="240"/>
        <w:rPr>
          <w:rFonts w:ascii="Times New Roman" w:hAnsi="Times New Roman"/>
        </w:rPr>
      </w:pPr>
      <w:r>
        <w:rPr>
          <w:rFonts w:ascii="Times New Roman" w:hAnsi="Times New Roman"/>
          <w:bCs/>
        </w:rPr>
        <w:t xml:space="preserve">Richard </w:t>
      </w:r>
      <w:r w:rsidRPr="00517CC8">
        <w:rPr>
          <w:rFonts w:ascii="Times New Roman" w:hAnsi="Times New Roman"/>
          <w:bCs/>
        </w:rPr>
        <w:t xml:space="preserve">Southern's review of Holt's </w:t>
      </w:r>
      <w:r w:rsidRPr="00517CC8">
        <w:rPr>
          <w:rFonts w:ascii="Times New Roman" w:hAnsi="Times New Roman"/>
          <w:bCs/>
          <w:i/>
        </w:rPr>
        <w:t>Magna Carta</w:t>
      </w:r>
      <w:r w:rsidRPr="00517CC8">
        <w:rPr>
          <w:rFonts w:ascii="Times New Roman" w:hAnsi="Times New Roman"/>
          <w:bCs/>
        </w:rPr>
        <w:t xml:space="preserve"> was superficially more admiring</w:t>
      </w:r>
      <w:r>
        <w:rPr>
          <w:rFonts w:ascii="Times New Roman" w:hAnsi="Times New Roman"/>
          <w:bCs/>
        </w:rPr>
        <w:t xml:space="preserve"> than Davis</w:t>
      </w:r>
      <w:r w:rsidRPr="00517CC8">
        <w:rPr>
          <w:rFonts w:ascii="Times New Roman" w:hAnsi="Times New Roman"/>
          <w:bCs/>
        </w:rPr>
        <w:t>,</w:t>
      </w:r>
      <w:r>
        <w:rPr>
          <w:rFonts w:ascii="Times New Roman" w:hAnsi="Times New Roman"/>
          <w:bCs/>
        </w:rPr>
        <w:t xml:space="preserve"> yet intrinsically more critical</w:t>
      </w:r>
      <w:r w:rsidRPr="00517CC8">
        <w:rPr>
          <w:rFonts w:ascii="Times New Roman" w:hAnsi="Times New Roman"/>
          <w:bCs/>
        </w:rPr>
        <w:t>.  'Holt's volume takes first place among r</w:t>
      </w:r>
      <w:r>
        <w:rPr>
          <w:rFonts w:ascii="Times New Roman" w:hAnsi="Times New Roman"/>
          <w:bCs/>
        </w:rPr>
        <w:t xml:space="preserve">ecent studies of Magna Carta', Southern declared, placing it in the apostolic succession that led from Blackstone via McKechnie.  Yet Southern judged it to be an oddly imbalanced book.  Being based so heavily on administrative sources, it threatened to </w:t>
      </w:r>
      <w:r w:rsidRPr="00517CC8">
        <w:rPr>
          <w:rFonts w:ascii="Times New Roman" w:hAnsi="Times New Roman"/>
        </w:rPr>
        <w:t xml:space="preserve">impose a simplified royal pattern upon events, </w:t>
      </w:r>
      <w:r>
        <w:rPr>
          <w:rFonts w:ascii="Times New Roman" w:hAnsi="Times New Roman"/>
        </w:rPr>
        <w:t>giving an appear</w:t>
      </w:r>
      <w:r w:rsidRPr="00517CC8">
        <w:rPr>
          <w:rFonts w:ascii="Times New Roman" w:hAnsi="Times New Roman"/>
        </w:rPr>
        <w:t>ance of consistency to the twists an</w:t>
      </w:r>
      <w:r>
        <w:rPr>
          <w:rFonts w:ascii="Times New Roman" w:hAnsi="Times New Roman"/>
        </w:rPr>
        <w:t>d turns of John's policy that was</w:t>
      </w:r>
      <w:r w:rsidRPr="00517CC8">
        <w:rPr>
          <w:rFonts w:ascii="Times New Roman" w:hAnsi="Times New Roman"/>
        </w:rPr>
        <w:t xml:space="preserve"> denied to the barons</w:t>
      </w:r>
      <w:r>
        <w:rPr>
          <w:rFonts w:ascii="Times New Roman" w:hAnsi="Times New Roman"/>
        </w:rPr>
        <w:t xml:space="preserve">.  Holt had paid lip service to Powicke, but on the whole ignored the thought worlds that Powicke had endeavoured to explore.  By confining </w:t>
      </w:r>
      <w:r w:rsidRPr="00517CC8">
        <w:rPr>
          <w:rFonts w:ascii="Times New Roman" w:hAnsi="Times New Roman"/>
        </w:rPr>
        <w:t xml:space="preserve">himself mainly to </w:t>
      </w:r>
      <w:r>
        <w:rPr>
          <w:rFonts w:ascii="Times New Roman" w:hAnsi="Times New Roman"/>
        </w:rPr>
        <w:t>spheres, such as John's submission to the Pope, '</w:t>
      </w:r>
      <w:r w:rsidRPr="00517CC8">
        <w:rPr>
          <w:rFonts w:ascii="Times New Roman" w:hAnsi="Times New Roman"/>
        </w:rPr>
        <w:t>where all the initiative and advantage lay with the king</w:t>
      </w:r>
      <w:r>
        <w:rPr>
          <w:rFonts w:ascii="Times New Roman" w:hAnsi="Times New Roman"/>
        </w:rPr>
        <w:t>', Holt had once again unfairly weighted the scales against the barons</w:t>
      </w:r>
      <w:r w:rsidRPr="00517CC8">
        <w:rPr>
          <w:rFonts w:ascii="Times New Roman" w:hAnsi="Times New Roman"/>
        </w:rPr>
        <w:t xml:space="preserve">. </w:t>
      </w:r>
      <w:r>
        <w:rPr>
          <w:rFonts w:ascii="Times New Roman" w:hAnsi="Times New Roman"/>
        </w:rPr>
        <w:t>'</w:t>
      </w:r>
      <w:r w:rsidRPr="00517CC8">
        <w:rPr>
          <w:rFonts w:ascii="Times New Roman" w:hAnsi="Times New Roman"/>
        </w:rPr>
        <w:t>The barons' turn will come again</w:t>
      </w:r>
      <w:r>
        <w:rPr>
          <w:rFonts w:ascii="Times New Roman" w:hAnsi="Times New Roman"/>
        </w:rPr>
        <w:t>', Southern declared,</w:t>
      </w:r>
      <w:r w:rsidRPr="00517CC8">
        <w:rPr>
          <w:rFonts w:ascii="Times New Roman" w:hAnsi="Times New Roman"/>
        </w:rPr>
        <w:t xml:space="preserve"> when </w:t>
      </w:r>
      <w:r>
        <w:rPr>
          <w:rFonts w:ascii="Times New Roman" w:hAnsi="Times New Roman"/>
        </w:rPr>
        <w:t>'</w:t>
      </w:r>
      <w:r w:rsidRPr="00517CC8">
        <w:rPr>
          <w:rFonts w:ascii="Times New Roman" w:hAnsi="Times New Roman"/>
        </w:rPr>
        <w:t xml:space="preserve">attention is given to the developing ideas of community and corporation among the lawyers, theologians and masters of arts of the late twelfth and early thirteenth century'.  </w:t>
      </w:r>
      <w:r>
        <w:rPr>
          <w:rFonts w:ascii="Times New Roman" w:hAnsi="Times New Roman"/>
        </w:rPr>
        <w:t xml:space="preserve">Southern here anticipated the explosion set off in studies both of Magna Carta, and more widely of medieval political theory, by John Baldwin's </w:t>
      </w:r>
      <w:r w:rsidRPr="001A3A73">
        <w:rPr>
          <w:rFonts w:ascii="Times New Roman" w:hAnsi="Times New Roman"/>
          <w:i/>
        </w:rPr>
        <w:t>Masters, Princes and Merchants</w:t>
      </w:r>
      <w:r>
        <w:rPr>
          <w:rFonts w:ascii="Times New Roman" w:hAnsi="Times New Roman"/>
        </w:rPr>
        <w:t xml:space="preserve">: a study of the </w:t>
      </w:r>
      <w:r w:rsidRPr="00271984">
        <w:rPr>
          <w:rFonts w:ascii="Times New Roman" w:hAnsi="Times New Roman"/>
          <w:i/>
        </w:rPr>
        <w:t xml:space="preserve">mentalités </w:t>
      </w:r>
      <w:r>
        <w:rPr>
          <w:rFonts w:ascii="Times New Roman" w:hAnsi="Times New Roman"/>
        </w:rPr>
        <w:t>of the Parisian masters published in 1970,</w:t>
      </w:r>
      <w:r w:rsidRPr="00517CC8">
        <w:rPr>
          <w:rFonts w:ascii="Times New Roman" w:hAnsi="Times New Roman"/>
        </w:rPr>
        <w:t xml:space="preserve"> enthusiastically reviewed</w:t>
      </w:r>
      <w:r>
        <w:rPr>
          <w:rFonts w:ascii="Times New Roman" w:hAnsi="Times New Roman"/>
        </w:rPr>
        <w:t xml:space="preserve"> in </w:t>
      </w:r>
      <w:r w:rsidRPr="001A3A73">
        <w:rPr>
          <w:rFonts w:ascii="Times New Roman" w:hAnsi="Times New Roman"/>
          <w:i/>
        </w:rPr>
        <w:t>EHR</w:t>
      </w:r>
      <w:r w:rsidRPr="00517CC8">
        <w:rPr>
          <w:rFonts w:ascii="Times New Roman" w:hAnsi="Times New Roman"/>
        </w:rPr>
        <w:t xml:space="preserve"> by Beryl Smalley</w:t>
      </w:r>
      <w:r>
        <w:rPr>
          <w:rFonts w:ascii="Times New Roman" w:hAnsi="Times New Roman"/>
        </w:rPr>
        <w:t>, herself already queen dowager of this particular realm.</w:t>
      </w:r>
      <w:r>
        <w:rPr>
          <w:rStyle w:val="FootnoteReference"/>
          <w:rFonts w:ascii="Times New Roman" w:hAnsi="Times New Roman"/>
        </w:rPr>
        <w:footnoteReference w:id="117"/>
      </w:r>
      <w:r>
        <w:rPr>
          <w:rFonts w:ascii="Times New Roman" w:hAnsi="Times New Roman"/>
        </w:rPr>
        <w:t xml:space="preserve">  </w:t>
      </w:r>
      <w:r w:rsidR="0088502E">
        <w:rPr>
          <w:rFonts w:ascii="Times New Roman" w:hAnsi="Times New Roman"/>
        </w:rPr>
        <w:t>In the process, he tended to neglect Holt's own contention,</w:t>
      </w:r>
      <w:r w:rsidR="00DB0D58">
        <w:rPr>
          <w:rFonts w:ascii="Times New Roman" w:hAnsi="Times New Roman"/>
        </w:rPr>
        <w:t xml:space="preserve"> itself derived from Maitland:</w:t>
      </w:r>
      <w:r w:rsidR="0088502E">
        <w:rPr>
          <w:rFonts w:ascii="Times New Roman" w:hAnsi="Times New Roman"/>
        </w:rPr>
        <w:t xml:space="preserve"> that p</w:t>
      </w:r>
      <w:r w:rsidR="00DB0D58">
        <w:rPr>
          <w:rFonts w:ascii="Times New Roman" w:hAnsi="Times New Roman"/>
        </w:rPr>
        <w:t xml:space="preserve">olitical ideas can be recovered, not just from learned treatises, </w:t>
      </w:r>
      <w:proofErr w:type="gramStart"/>
      <w:r w:rsidR="00DB0D58">
        <w:rPr>
          <w:rFonts w:ascii="Times New Roman" w:hAnsi="Times New Roman"/>
        </w:rPr>
        <w:t>but</w:t>
      </w:r>
      <w:proofErr w:type="gramEnd"/>
      <w:r w:rsidR="00DB0D58">
        <w:rPr>
          <w:rFonts w:ascii="Times New Roman" w:hAnsi="Times New Roman"/>
        </w:rPr>
        <w:t xml:space="preserve"> from administrative routine.</w:t>
      </w:r>
      <w:r w:rsidR="00DB0D58">
        <w:rPr>
          <w:rStyle w:val="FootnoteReference"/>
          <w:rFonts w:ascii="Times New Roman" w:hAnsi="Times New Roman"/>
        </w:rPr>
        <w:footnoteReference w:id="118"/>
      </w:r>
    </w:p>
    <w:p w14:paraId="677002CA" w14:textId="51266485"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Meanwhile, Southern detected a further imbalance, between Holt's concern for the background to Magna Carta and his relative lack of interest in the charter itself.  So critical was Holt of the charter's terms that, in Southern's formulation, he emerged as a 'King's man', ignoring the practical difficulties involved in devising a settleme</w:t>
      </w:r>
      <w:r w:rsidR="00DB0D58">
        <w:rPr>
          <w:rFonts w:ascii="Times New Roman" w:hAnsi="Times New Roman"/>
        </w:rPr>
        <w:t>nt 'negotiated in a field by me</w:t>
      </w:r>
      <w:r>
        <w:rPr>
          <w:rFonts w:ascii="Times New Roman" w:hAnsi="Times New Roman"/>
        </w:rPr>
        <w:t>n in arms, with no handy edition of the Curia Regis Rolls to refer to'.  Far from being sincere in his attempts</w:t>
      </w:r>
      <w:r w:rsidRPr="00517CC8">
        <w:rPr>
          <w:rFonts w:ascii="Times New Roman" w:hAnsi="Times New Roman"/>
        </w:rPr>
        <w:t xml:space="preserve"> to impose the charter, the King (as Blackstone long ago believed) was intent upon seeking </w:t>
      </w:r>
      <w:r>
        <w:rPr>
          <w:rFonts w:ascii="Times New Roman" w:hAnsi="Times New Roman"/>
        </w:rPr>
        <w:t>its</w:t>
      </w:r>
      <w:r w:rsidRPr="00517CC8">
        <w:rPr>
          <w:rFonts w:ascii="Times New Roman" w:hAnsi="Times New Roman"/>
        </w:rPr>
        <w:t xml:space="preserve"> annulment </w:t>
      </w:r>
      <w:r>
        <w:rPr>
          <w:rFonts w:ascii="Times New Roman" w:hAnsi="Times New Roman"/>
        </w:rPr>
        <w:t>by the Pope.  Hence, Southern suggested, the insistence of the letters testimonial issued by the bishops that the King had granted his charter but that the barons had refused to issue the reciprocal undertakings demanded by the King.  All of this, within a week of 15 June 1215, was to put on record a royalist version of events, targeted specifically at the Pope.  This was reviewing at its very best, saluting a masterpiece yet pointing in directions that even the master would find perceptive.</w:t>
      </w:r>
    </w:p>
    <w:p w14:paraId="4F27DB2B" w14:textId="77777777"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 xml:space="preserve">Holt himself was never to surpass his efforts of the 1960s, at least not in direct application to Magna Carta.  Second editions of both </w:t>
      </w:r>
      <w:r w:rsidRPr="0077167A">
        <w:rPr>
          <w:rFonts w:ascii="Times New Roman" w:hAnsi="Times New Roman"/>
          <w:i/>
        </w:rPr>
        <w:t>The Northerners</w:t>
      </w:r>
      <w:r>
        <w:rPr>
          <w:rFonts w:ascii="Times New Roman" w:hAnsi="Times New Roman"/>
        </w:rPr>
        <w:t xml:space="preserve"> and </w:t>
      </w:r>
      <w:r w:rsidRPr="0077167A">
        <w:rPr>
          <w:rFonts w:ascii="Times New Roman" w:hAnsi="Times New Roman"/>
          <w:i/>
        </w:rPr>
        <w:t>Magna Carta</w:t>
      </w:r>
      <w:r>
        <w:rPr>
          <w:rFonts w:ascii="Times New Roman" w:hAnsi="Times New Roman"/>
        </w:rPr>
        <w:t xml:space="preserve"> were published in the early 1990s.  They showed, as Michael Prestwich noted, that </w:t>
      </w:r>
      <w:r w:rsidRPr="00517CC8">
        <w:rPr>
          <w:rFonts w:ascii="Times New Roman" w:hAnsi="Times New Roman"/>
        </w:rPr>
        <w:t xml:space="preserve">'for the most part Holt has found in recent work confirmation, not revision, of his original views'.  </w:t>
      </w:r>
      <w:r>
        <w:rPr>
          <w:rFonts w:ascii="Times New Roman" w:hAnsi="Times New Roman"/>
        </w:rPr>
        <w:t xml:space="preserve">Far from accepting Southern's criticisms, Holt had moved </w:t>
      </w:r>
      <w:r w:rsidRPr="00517CC8">
        <w:rPr>
          <w:rFonts w:ascii="Times New Roman" w:hAnsi="Times New Roman"/>
        </w:rPr>
        <w:t xml:space="preserve">even further towards admiration of a King </w:t>
      </w:r>
      <w:r>
        <w:rPr>
          <w:rFonts w:ascii="Times New Roman" w:hAnsi="Times New Roman"/>
        </w:rPr>
        <w:t xml:space="preserve">of 'probing legal intelligence'.  </w:t>
      </w:r>
      <w:r w:rsidRPr="00517CC8">
        <w:rPr>
          <w:rFonts w:ascii="Times New Roman" w:hAnsi="Times New Roman"/>
        </w:rPr>
        <w:t>Robert fitz Walter</w:t>
      </w:r>
      <w:r>
        <w:rPr>
          <w:rFonts w:ascii="Times New Roman" w:hAnsi="Times New Roman"/>
        </w:rPr>
        <w:t>'s adopted title as '</w:t>
      </w:r>
      <w:r w:rsidRPr="00517CC8">
        <w:rPr>
          <w:rFonts w:ascii="Times New Roman" w:hAnsi="Times New Roman"/>
        </w:rPr>
        <w:t>Marshal of the Army of God and Holy Church</w:t>
      </w:r>
      <w:r>
        <w:rPr>
          <w:rFonts w:ascii="Times New Roman" w:hAnsi="Times New Roman"/>
        </w:rPr>
        <w:t>', described by Holt i</w:t>
      </w:r>
      <w:r w:rsidRPr="00517CC8">
        <w:rPr>
          <w:rFonts w:ascii="Times New Roman" w:hAnsi="Times New Roman"/>
        </w:rPr>
        <w:t xml:space="preserve">n 1965 </w:t>
      </w:r>
      <w:r>
        <w:rPr>
          <w:rFonts w:ascii="Times New Roman" w:hAnsi="Times New Roman"/>
        </w:rPr>
        <w:t xml:space="preserve">as 'imposing', was by 1992 </w:t>
      </w:r>
      <w:r w:rsidRPr="00517CC8">
        <w:rPr>
          <w:rFonts w:ascii="Times New Roman" w:hAnsi="Times New Roman"/>
        </w:rPr>
        <w:t>dismissed</w:t>
      </w:r>
      <w:r>
        <w:rPr>
          <w:rFonts w:ascii="Times New Roman" w:hAnsi="Times New Roman"/>
        </w:rPr>
        <w:t xml:space="preserve"> </w:t>
      </w:r>
      <w:r w:rsidRPr="00517CC8">
        <w:rPr>
          <w:rFonts w:ascii="Times New Roman" w:hAnsi="Times New Roman"/>
        </w:rPr>
        <w:t>as 'vainglorious and seditious'</w:t>
      </w:r>
      <w:r>
        <w:rPr>
          <w:rFonts w:ascii="Times New Roman" w:hAnsi="Times New Roman"/>
        </w:rPr>
        <w:t>.</w:t>
      </w:r>
      <w:r>
        <w:rPr>
          <w:rStyle w:val="FootnoteReference"/>
          <w:rFonts w:ascii="Times New Roman" w:hAnsi="Times New Roman"/>
        </w:rPr>
        <w:footnoteReference w:id="119"/>
      </w:r>
      <w:r>
        <w:rPr>
          <w:rFonts w:ascii="Times New Roman" w:hAnsi="Times New Roman"/>
        </w:rPr>
        <w:t xml:space="preserve">  In his very last review for </w:t>
      </w:r>
      <w:r w:rsidRPr="0077167A">
        <w:rPr>
          <w:rFonts w:ascii="Times New Roman" w:hAnsi="Times New Roman"/>
          <w:i/>
        </w:rPr>
        <w:t>EHR</w:t>
      </w:r>
      <w:r>
        <w:rPr>
          <w:rFonts w:ascii="Times New Roman" w:hAnsi="Times New Roman"/>
        </w:rPr>
        <w:t xml:space="preserve">, published in 2003, Holt was still settling old scores.  Southern had criticized him for ignoring the Parisian schools.  Holt now criticized Natalie Fryde (with good humour and a particularly funny anecdote) for attempting to introduce the Paris schools into a debate over Magna Carta in which, according to Holt, neither theory nor the </w:t>
      </w:r>
      <w:r w:rsidRPr="0077167A">
        <w:rPr>
          <w:rFonts w:ascii="Times New Roman" w:hAnsi="Times New Roman"/>
          <w:i/>
        </w:rPr>
        <w:t>Policraticus</w:t>
      </w:r>
      <w:r>
        <w:rPr>
          <w:rFonts w:ascii="Times New Roman" w:hAnsi="Times New Roman"/>
        </w:rPr>
        <w:t xml:space="preserve"> had any real place.  At the same time, not all </w:t>
      </w:r>
      <w:proofErr w:type="gramStart"/>
      <w:r>
        <w:rPr>
          <w:rFonts w:ascii="Times New Roman" w:hAnsi="Times New Roman"/>
        </w:rPr>
        <w:t>was</w:t>
      </w:r>
      <w:proofErr w:type="gramEnd"/>
      <w:r>
        <w:rPr>
          <w:rFonts w:ascii="Times New Roman" w:hAnsi="Times New Roman"/>
        </w:rPr>
        <w:t xml:space="preserve"> as it seemed.   The </w:t>
      </w:r>
      <w:r w:rsidRPr="00012152">
        <w:rPr>
          <w:rFonts w:ascii="Times New Roman" w:hAnsi="Times New Roman"/>
          <w:i/>
        </w:rPr>
        <w:t>Policraticus</w:t>
      </w:r>
      <w:r>
        <w:rPr>
          <w:rFonts w:ascii="Times New Roman" w:hAnsi="Times New Roman"/>
        </w:rPr>
        <w:t>, Holt argued, would have meant nothing to the barons.  But what of the thought world of Gervase of Howbridge and the canons of St Paul's, preaching apocalyptic sermons in the heart of King John's capital city?</w:t>
      </w:r>
      <w:r>
        <w:rPr>
          <w:rStyle w:val="FootnoteReference"/>
          <w:rFonts w:ascii="Times New Roman" w:hAnsi="Times New Roman"/>
        </w:rPr>
        <w:footnoteReference w:id="120"/>
      </w:r>
      <w:r>
        <w:rPr>
          <w:rFonts w:ascii="Times New Roman" w:hAnsi="Times New Roman"/>
        </w:rPr>
        <w:t xml:space="preserve">  Here we find Holt espousing London radicalism, six centuries before Wilkes and at the expense of Southern, Smalley and their coterie of Left-Bank intellectuals.  Between the 1960s and the 1990s, Holt had himself been transformed from provincial outsider into establishment Grand Old Man.  The young pretender had inherited Powicke's crown.  With it came no small claim to omniscience.</w:t>
      </w:r>
    </w:p>
    <w:p w14:paraId="470FEE04" w14:textId="77777777" w:rsidR="00A27FF6" w:rsidRDefault="00A27FF6" w:rsidP="00A27FF6">
      <w:pPr>
        <w:widowControl w:val="0"/>
        <w:autoSpaceDE w:val="0"/>
        <w:autoSpaceDN w:val="0"/>
        <w:adjustRightInd w:val="0"/>
        <w:spacing w:after="240"/>
        <w:jc w:val="center"/>
        <w:rPr>
          <w:rFonts w:ascii="Times New Roman" w:hAnsi="Times New Roman"/>
        </w:rPr>
      </w:pPr>
      <w:r>
        <w:rPr>
          <w:rFonts w:ascii="Times New Roman" w:hAnsi="Times New Roman"/>
        </w:rPr>
        <w:t>1965-2015</w:t>
      </w:r>
    </w:p>
    <w:p w14:paraId="492AF0C9" w14:textId="1F959443"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 xml:space="preserve">Holt began his 2003 review, his parting shot in </w:t>
      </w:r>
      <w:r w:rsidRPr="00012152">
        <w:rPr>
          <w:rFonts w:ascii="Times New Roman" w:hAnsi="Times New Roman"/>
          <w:i/>
        </w:rPr>
        <w:t>EHR</w:t>
      </w:r>
      <w:r>
        <w:rPr>
          <w:rFonts w:ascii="Times New Roman" w:hAnsi="Times New Roman"/>
        </w:rPr>
        <w:t xml:space="preserve">, by declaring that </w:t>
      </w:r>
      <w:r w:rsidRPr="00517CC8">
        <w:rPr>
          <w:rFonts w:ascii="Times New Roman" w:hAnsi="Times New Roman"/>
        </w:rPr>
        <w:t>'Magna Carta seems no longer to be an active field of study'</w:t>
      </w:r>
      <w:r>
        <w:rPr>
          <w:rFonts w:ascii="Times New Roman" w:hAnsi="Times New Roman"/>
        </w:rPr>
        <w:t xml:space="preserve">.  Few masters relish the attendance of inspectors in their classroom.  In reality, of course, Holt, although undisputed captain of his team, never obtained freehold possession of the playing field.  He continued to contribute to debate.  In 1972, for example, we find him offering a generous and enthusiastic review of Ralph Turner's first book, on the activities of </w:t>
      </w:r>
      <w:r w:rsidRPr="00F82DF5">
        <w:rPr>
          <w:rFonts w:ascii="Times New Roman" w:hAnsi="Times New Roman"/>
          <w:i/>
        </w:rPr>
        <w:t>The King and his Courts</w:t>
      </w:r>
      <w:r>
        <w:rPr>
          <w:rFonts w:ascii="Times New Roman" w:hAnsi="Times New Roman"/>
        </w:rPr>
        <w:t>, a study that offered a wealth of new evidence on the enforcement of law in the immediate aftermath of 1215.</w:t>
      </w:r>
      <w:r>
        <w:rPr>
          <w:rStyle w:val="FootnoteReference"/>
          <w:rFonts w:ascii="Times New Roman" w:hAnsi="Times New Roman"/>
        </w:rPr>
        <w:footnoteReference w:id="121"/>
      </w:r>
      <w:r>
        <w:rPr>
          <w:rFonts w:ascii="Times New Roman" w:hAnsi="Times New Roman"/>
        </w:rPr>
        <w:t xml:space="preserve">  Much of Holt's best work after 1965 lay at a tangent to Magna Carta, in his studies of Domesday and the politics of family and naming patterns, and</w:t>
      </w:r>
      <w:r w:rsidR="004570AA">
        <w:rPr>
          <w:rFonts w:ascii="Times New Roman" w:hAnsi="Times New Roman"/>
        </w:rPr>
        <w:t xml:space="preserve"> in his classic account of 'The P</w:t>
      </w:r>
      <w:r>
        <w:rPr>
          <w:rFonts w:ascii="Times New Roman" w:hAnsi="Times New Roman"/>
        </w:rPr>
        <w:t>rehistory of Parliament</w:t>
      </w:r>
      <w:r w:rsidR="004570AA">
        <w:rPr>
          <w:rFonts w:ascii="Times New Roman" w:hAnsi="Times New Roman"/>
        </w:rPr>
        <w:t>'</w:t>
      </w:r>
      <w:r>
        <w:rPr>
          <w:rFonts w:ascii="Times New Roman" w:hAnsi="Times New Roman"/>
        </w:rPr>
        <w:t>.</w:t>
      </w:r>
      <w:r>
        <w:rPr>
          <w:rStyle w:val="FootnoteReference"/>
          <w:rFonts w:ascii="Times New Roman" w:hAnsi="Times New Roman"/>
        </w:rPr>
        <w:footnoteReference w:id="122"/>
      </w:r>
      <w:r>
        <w:rPr>
          <w:rFonts w:ascii="Times New Roman" w:hAnsi="Times New Roman"/>
        </w:rPr>
        <w:t xml:space="preserve">  With direct relevance to the events at Runnymede, in 1973 Holt published an important Anglo-Norman translation of the 1215 charter, clearly the version of the text as it was publicized, in the vernacular in the Hampshire county court.  The text certainly showed the difficulty that even contemporaries faced in translating some of the thornier of the charter's Latin phrases.  Holt supposed it to be unknown.</w:t>
      </w:r>
      <w:r>
        <w:rPr>
          <w:rStyle w:val="FootnoteReference"/>
          <w:rFonts w:ascii="Times New Roman" w:hAnsi="Times New Roman"/>
        </w:rPr>
        <w:footnoteReference w:id="123"/>
      </w:r>
      <w:r>
        <w:rPr>
          <w:rFonts w:ascii="Times New Roman" w:hAnsi="Times New Roman"/>
        </w:rPr>
        <w:t xml:space="preserve">  In fact, rather as with Round's 'Unknown' charter, it had already attracted notice, brought to the attention of the young Thomas Stapleton, editor of the Norman Pipe Rolls, as long ago as 1833.</w:t>
      </w:r>
      <w:r>
        <w:rPr>
          <w:rStyle w:val="FootnoteReference"/>
          <w:rFonts w:ascii="Times New Roman" w:hAnsi="Times New Roman"/>
        </w:rPr>
        <w:footnoteReference w:id="124"/>
      </w:r>
    </w:p>
    <w:p w14:paraId="0F6426FD" w14:textId="77777777"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 xml:space="preserve">Scholars of an older generation continued to publish, most notably Christopher Cheney.  In 1971, reviewing Christopher and Mary Cheney's </w:t>
      </w:r>
      <w:r>
        <w:rPr>
          <w:rFonts w:ascii="Times New Roman" w:hAnsi="Times New Roman"/>
          <w:i/>
        </w:rPr>
        <w:t>Lett</w:t>
      </w:r>
      <w:r w:rsidRPr="00C622C6">
        <w:rPr>
          <w:rFonts w:ascii="Times New Roman" w:hAnsi="Times New Roman"/>
          <w:i/>
        </w:rPr>
        <w:t>ers of Pope Innocent III concerning England</w:t>
      </w:r>
      <w:r>
        <w:rPr>
          <w:rFonts w:ascii="Times New Roman" w:hAnsi="Times New Roman"/>
        </w:rPr>
        <w:t>, Richard Southern declared it to be an 'inflammatory' book whose virtue derived</w:t>
      </w:r>
      <w:r w:rsidRPr="00517CC8">
        <w:rPr>
          <w:rFonts w:ascii="Times New Roman" w:hAnsi="Times New Roman"/>
        </w:rPr>
        <w:t xml:space="preserve"> from setting out so clearly so immense </w:t>
      </w:r>
      <w:r>
        <w:rPr>
          <w:rFonts w:ascii="Times New Roman" w:hAnsi="Times New Roman"/>
        </w:rPr>
        <w:t>a quantity</w:t>
      </w:r>
      <w:r w:rsidRPr="00517CC8">
        <w:rPr>
          <w:rFonts w:ascii="Times New Roman" w:hAnsi="Times New Roman"/>
        </w:rPr>
        <w:t xml:space="preserve"> of </w:t>
      </w:r>
      <w:r>
        <w:rPr>
          <w:rFonts w:ascii="Times New Roman" w:hAnsi="Times New Roman"/>
        </w:rPr>
        <w:t>detail ('I</w:t>
      </w:r>
      <w:r w:rsidRPr="00517CC8">
        <w:rPr>
          <w:rFonts w:ascii="Times New Roman" w:hAnsi="Times New Roman"/>
        </w:rPr>
        <w:t>t might have come from Léopold Delisle'</w:t>
      </w:r>
      <w:r>
        <w:rPr>
          <w:rFonts w:ascii="Times New Roman" w:hAnsi="Times New Roman"/>
        </w:rPr>
        <w:t>). Southern here drew attention to an important fact that should not be overlooked by future historians, henceforth dependent upon the Cheneys rather than the archives for their understanding of papal policy: that the loss of the papal registers for the period from February 1214 to June 1216 deprives us of knowledge of a crucial period in Anglo-papal diplomacy, only partially compensated by the scattered evidences surviving elsewhere.</w:t>
      </w:r>
      <w:r>
        <w:rPr>
          <w:rStyle w:val="FootnoteReference"/>
          <w:rFonts w:ascii="Times New Roman" w:hAnsi="Times New Roman"/>
        </w:rPr>
        <w:footnoteReference w:id="125"/>
      </w:r>
      <w:r>
        <w:rPr>
          <w:rFonts w:ascii="Times New Roman" w:hAnsi="Times New Roman"/>
        </w:rPr>
        <w:t xml:space="preserve"> Less informative, because more directly focused upon ecclesiastical politics, C.H. Lawrence's review of Cheney's </w:t>
      </w:r>
      <w:r w:rsidRPr="00752B97">
        <w:rPr>
          <w:rFonts w:ascii="Times New Roman" w:hAnsi="Times New Roman"/>
          <w:i/>
        </w:rPr>
        <w:t>Innocent III and England</w:t>
      </w:r>
      <w:r w:rsidRPr="00517CC8">
        <w:rPr>
          <w:rFonts w:ascii="Times New Roman" w:hAnsi="Times New Roman"/>
        </w:rPr>
        <w:t xml:space="preserve"> </w:t>
      </w:r>
      <w:r>
        <w:rPr>
          <w:rFonts w:ascii="Times New Roman" w:hAnsi="Times New Roman"/>
        </w:rPr>
        <w:t>(1976) failed to spot the significance of a book that summarized a life-time's achievement, offering what remains by far the best synthetic treatment of King John's relations with the Church.</w:t>
      </w:r>
      <w:r>
        <w:rPr>
          <w:rStyle w:val="FootnoteReference"/>
          <w:rFonts w:ascii="Times New Roman" w:hAnsi="Times New Roman"/>
        </w:rPr>
        <w:footnoteReference w:id="126"/>
      </w:r>
      <w:r>
        <w:rPr>
          <w:rFonts w:ascii="Times New Roman" w:hAnsi="Times New Roman"/>
        </w:rPr>
        <w:t xml:space="preserve"> </w:t>
      </w:r>
    </w:p>
    <w:p w14:paraId="103874D5" w14:textId="77777777"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 xml:space="preserve">As early as the 1950s, W.L. Warren had been warned against any attempt to supplant Painter as biographer of King John.  Warren ignored this advice.  His </w:t>
      </w:r>
      <w:r w:rsidRPr="00666BC4">
        <w:rPr>
          <w:rFonts w:ascii="Times New Roman" w:hAnsi="Times New Roman"/>
          <w:i/>
        </w:rPr>
        <w:t>King John</w:t>
      </w:r>
      <w:r>
        <w:rPr>
          <w:rFonts w:ascii="Times New Roman" w:hAnsi="Times New Roman"/>
        </w:rPr>
        <w:t xml:space="preserve">, published in 1961, the same year as Holt's </w:t>
      </w:r>
      <w:r w:rsidRPr="00752B97">
        <w:rPr>
          <w:rFonts w:ascii="Times New Roman" w:hAnsi="Times New Roman"/>
          <w:i/>
        </w:rPr>
        <w:t>Northerners</w:t>
      </w:r>
      <w:r>
        <w:rPr>
          <w:rFonts w:ascii="Times New Roman" w:hAnsi="Times New Roman"/>
        </w:rPr>
        <w:t xml:space="preserve">, was a fluent and still readable effort, judged by Doris Stenton to be careless in its interpretation of sources, to exaggerate the King's adulteries and to underestimate 'the catastrophe of King John's excommunication and the heroic efforts made by the </w:t>
      </w:r>
      <w:proofErr w:type="gramStart"/>
      <w:r>
        <w:rPr>
          <w:rFonts w:ascii="Times New Roman" w:hAnsi="Times New Roman"/>
        </w:rPr>
        <w:t>King ....</w:t>
      </w:r>
      <w:proofErr w:type="gramEnd"/>
      <w:r>
        <w:rPr>
          <w:rFonts w:ascii="Times New Roman" w:hAnsi="Times New Roman"/>
        </w:rPr>
        <w:t xml:space="preserve"> </w:t>
      </w:r>
      <w:proofErr w:type="gramStart"/>
      <w:r>
        <w:rPr>
          <w:rFonts w:ascii="Times New Roman" w:hAnsi="Times New Roman"/>
        </w:rPr>
        <w:t>to</w:t>
      </w:r>
      <w:proofErr w:type="gramEnd"/>
      <w:r>
        <w:rPr>
          <w:rFonts w:ascii="Times New Roman" w:hAnsi="Times New Roman"/>
        </w:rPr>
        <w:t xml:space="preserve"> control local government and take justice to the shires'.  Like Holt, her husband's nominated successor as Professor in the University of Reading, Stenton had a more than sneaking admiration for a King who would certainly have made for a stimulating head of department.</w:t>
      </w:r>
      <w:r>
        <w:rPr>
          <w:rStyle w:val="FootnoteReference"/>
          <w:rFonts w:ascii="Times New Roman" w:hAnsi="Times New Roman"/>
        </w:rPr>
        <w:footnoteReference w:id="127"/>
      </w:r>
      <w:r>
        <w:rPr>
          <w:rFonts w:ascii="Times New Roman" w:hAnsi="Times New Roman"/>
        </w:rPr>
        <w:t xml:space="preserve">   Other biographical studies of John have followed, most notably that by Ralph Turner published in 1994, together with an important collection of essays edited by Stephen Church to commemorate the 800th anniversary of John's accession, in 1999.</w:t>
      </w:r>
      <w:r>
        <w:rPr>
          <w:rStyle w:val="FootnoteReference"/>
          <w:rFonts w:ascii="Times New Roman" w:hAnsi="Times New Roman"/>
        </w:rPr>
        <w:footnoteReference w:id="128"/>
      </w:r>
      <w:r>
        <w:rPr>
          <w:rFonts w:ascii="Times New Roman" w:hAnsi="Times New Roman"/>
        </w:rPr>
        <w:t xml:space="preserve">  </w:t>
      </w:r>
    </w:p>
    <w:p w14:paraId="60E6B657" w14:textId="0536CE85"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 xml:space="preserve">The impression that these studies convey is of a King too clever by half, never trusted by his barons, brought down by a combination of his Capetian rivals, economic pressure and his own unlovely personality.  In all of this, there remains a teleological impulse, to judge the beginnings by the end.  The reign of King John is too often written backwards from 1215, with Magna Carta and civil war as the inevitable climax of a tale of woe.  Holt drew attention to this tendency in his Historical Association pamphlet on </w:t>
      </w:r>
      <w:r w:rsidRPr="00A632B3">
        <w:rPr>
          <w:rFonts w:ascii="Times New Roman" w:hAnsi="Times New Roman"/>
          <w:i/>
        </w:rPr>
        <w:t>King John</w:t>
      </w:r>
      <w:r>
        <w:rPr>
          <w:rFonts w:ascii="Times New Roman" w:hAnsi="Times New Roman"/>
        </w:rPr>
        <w:t>, first published in 1963.  Here he suggested that the most influential of the chroniclers, Roger of Wendover and the 'Barnwell' Chronicle, wrote with hindsight of a King who, in his earliest years, had inspired no particular hatred.</w:t>
      </w:r>
      <w:r>
        <w:rPr>
          <w:rStyle w:val="FootnoteReference"/>
          <w:rFonts w:ascii="Times New Roman" w:hAnsi="Times New Roman"/>
        </w:rPr>
        <w:footnoteReference w:id="129"/>
      </w:r>
      <w:r>
        <w:rPr>
          <w:rFonts w:ascii="Times New Roman" w:hAnsi="Times New Roman"/>
        </w:rPr>
        <w:t xml:space="preserve">  This is not a view that has stood up to scrutiny.  According to the latest thinking, although there is some evidence that the chroniclers (especially Ralph of Coggeshall) took a positive view of John in his first few years as King, their optimism swiftly evaporated.</w:t>
      </w:r>
      <w:r>
        <w:rPr>
          <w:rStyle w:val="FootnoteReference"/>
          <w:rFonts w:ascii="Times New Roman" w:hAnsi="Times New Roman"/>
        </w:rPr>
        <w:footnoteReference w:id="130"/>
      </w:r>
      <w:r>
        <w:rPr>
          <w:rFonts w:ascii="Times New Roman" w:hAnsi="Times New Roman"/>
        </w:rPr>
        <w:t xml:space="preserve">  Amongst modern accounts, even those, such as Daniel Power's book on </w:t>
      </w:r>
      <w:r w:rsidRPr="00216E86">
        <w:rPr>
          <w:rFonts w:ascii="Times New Roman" w:hAnsi="Times New Roman"/>
          <w:i/>
        </w:rPr>
        <w:t>The Norman Frontier</w:t>
      </w:r>
      <w:r>
        <w:rPr>
          <w:rFonts w:ascii="Times New Roman" w:hAnsi="Times New Roman"/>
        </w:rPr>
        <w:t xml:space="preserve"> (2004) that treat only the earlier years of John's reign, have a tendency to focus on the King's mistakes, not least his transformation of Normandy into a battle zone, leading in turn to the disaffection of the Norman aristocracy.</w:t>
      </w:r>
      <w:r>
        <w:rPr>
          <w:rStyle w:val="FootnoteReference"/>
          <w:rFonts w:ascii="Times New Roman" w:hAnsi="Times New Roman"/>
        </w:rPr>
        <w:footnoteReference w:id="131"/>
      </w:r>
      <w:r>
        <w:rPr>
          <w:rFonts w:ascii="Times New Roman" w:hAnsi="Times New Roman"/>
        </w:rPr>
        <w:t xml:space="preserve">  This was a point first sketched out by Holt in his British Academy Raleigh Lecture of 1975, deliberately framed as a revisiting of Powicke's </w:t>
      </w:r>
      <w:r w:rsidRPr="00216E86">
        <w:rPr>
          <w:rFonts w:ascii="Times New Roman" w:hAnsi="Times New Roman"/>
          <w:i/>
        </w:rPr>
        <w:t>Loss of Normandy</w:t>
      </w:r>
      <w:r w:rsidR="00DB0D58">
        <w:rPr>
          <w:rFonts w:ascii="Times New Roman" w:hAnsi="Times New Roman"/>
        </w:rPr>
        <w:t>, of all Powicke's works, the book that Holt most admired.</w:t>
      </w:r>
      <w:r>
        <w:rPr>
          <w:rStyle w:val="FootnoteReference"/>
          <w:rFonts w:ascii="Times New Roman" w:hAnsi="Times New Roman"/>
        </w:rPr>
        <w:footnoteReference w:id="132"/>
      </w:r>
      <w:r>
        <w:rPr>
          <w:rFonts w:ascii="Times New Roman" w:hAnsi="Times New Roman"/>
        </w:rPr>
        <w:t xml:space="preserve">  Here, it is intriguing to find Holt still in contention with the master, long after he had put on Powicke's crown.</w:t>
      </w:r>
    </w:p>
    <w:p w14:paraId="0DEE12D5" w14:textId="43C988B4"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Having been 'rescued' from the lawyers by Holt, Magna Carta has seldom since been treated in jurisprudential isolation.  Michael Clanchy's article of 1964, for example, published a year before Holt's great monograph, was only superficially a technical performance, in reality a historian's attempt to explain the effects of Magna Carta clause 34, previously supposed a mere administrative convenience, in fact eliminating an entire species of procedure by writ.</w:t>
      </w:r>
      <w:r>
        <w:rPr>
          <w:rStyle w:val="FootnoteReference"/>
          <w:rFonts w:ascii="Times New Roman" w:hAnsi="Times New Roman"/>
        </w:rPr>
        <w:footnoteReference w:id="133"/>
      </w:r>
      <w:r>
        <w:rPr>
          <w:rFonts w:ascii="Times New Roman" w:hAnsi="Times New Roman"/>
        </w:rPr>
        <w:t xml:space="preserve">  </w:t>
      </w:r>
      <w:r w:rsidRPr="006E2050">
        <w:rPr>
          <w:rFonts w:ascii="Times New Roman" w:hAnsi="Times New Roman"/>
          <w:i/>
        </w:rPr>
        <w:t>EHR</w:t>
      </w:r>
      <w:r>
        <w:rPr>
          <w:rFonts w:ascii="Times New Roman" w:hAnsi="Times New Roman"/>
        </w:rPr>
        <w:t xml:space="preserve"> has since extended notice to the work of Paul Brand, George Garnett, Richard Helmholz, John Hudson and Ralph Turner, all of whom have made valuable contributions to our understanding of the legal culture from which Magna Carta emerged.</w:t>
      </w:r>
      <w:r>
        <w:rPr>
          <w:rStyle w:val="FootnoteReference"/>
          <w:rFonts w:ascii="Times New Roman" w:hAnsi="Times New Roman"/>
        </w:rPr>
        <w:footnoteReference w:id="134"/>
      </w:r>
      <w:r>
        <w:rPr>
          <w:rFonts w:ascii="Times New Roman" w:hAnsi="Times New Roman"/>
        </w:rPr>
        <w:t xml:space="preserve">  Elsewhere, there has been a useful revisiting of the interplay between 'common', canon and Roman law systems, probing the connections between English and continental law and dispelling the older and cruder interpretation that at Runnymede only Stephen Langton possessed th</w:t>
      </w:r>
      <w:r w:rsidR="009671DD">
        <w:rPr>
          <w:rFonts w:ascii="Times New Roman" w:hAnsi="Times New Roman"/>
        </w:rPr>
        <w:t xml:space="preserve">e vision that could transform </w:t>
      </w:r>
      <w:r>
        <w:rPr>
          <w:rFonts w:ascii="Times New Roman" w:hAnsi="Times New Roman"/>
        </w:rPr>
        <w:t xml:space="preserve">baronial </w:t>
      </w:r>
      <w:r w:rsidR="009671DD">
        <w:rPr>
          <w:rFonts w:ascii="Times New Roman" w:hAnsi="Times New Roman"/>
        </w:rPr>
        <w:t xml:space="preserve">protests </w:t>
      </w:r>
      <w:r>
        <w:rPr>
          <w:rFonts w:ascii="Times New Roman" w:hAnsi="Times New Roman"/>
        </w:rPr>
        <w:t>into a broader discussion of right.</w:t>
      </w:r>
      <w:r>
        <w:rPr>
          <w:rStyle w:val="FootnoteReference"/>
          <w:rFonts w:ascii="Times New Roman" w:hAnsi="Times New Roman"/>
        </w:rPr>
        <w:footnoteReference w:id="135"/>
      </w:r>
    </w:p>
    <w:p w14:paraId="7F136091" w14:textId="366A4077" w:rsidR="00087F9E" w:rsidRDefault="00A27FF6" w:rsidP="00A27FF6">
      <w:pPr>
        <w:widowControl w:val="0"/>
        <w:autoSpaceDE w:val="0"/>
        <w:autoSpaceDN w:val="0"/>
        <w:adjustRightInd w:val="0"/>
        <w:spacing w:after="240"/>
        <w:rPr>
          <w:rFonts w:ascii="Times New Roman" w:hAnsi="Times New Roman"/>
        </w:rPr>
      </w:pPr>
      <w:r>
        <w:rPr>
          <w:rFonts w:ascii="Times New Roman" w:hAnsi="Times New Roman"/>
        </w:rPr>
        <w:t xml:space="preserve">Above all, there emerged a greater diversity in approaches to English law.  As early as 1964, Richardson and Sayles had proclaimed the death of Stubbs's </w:t>
      </w:r>
      <w:r w:rsidRPr="00E00686">
        <w:rPr>
          <w:rFonts w:ascii="Times New Roman" w:hAnsi="Times New Roman"/>
          <w:i/>
        </w:rPr>
        <w:t>Constitutional History</w:t>
      </w:r>
      <w:r>
        <w:rPr>
          <w:rFonts w:ascii="Times New Roman" w:hAnsi="Times New Roman"/>
        </w:rPr>
        <w:t>, pilloried as 'an inadequate and misleading book'.  Yet apart from their name-calling and often infuriating topsy-turvydom (John's excommunication by the pope as a positive step, the Interdict an irrelevance), it was difficult to see what Richardson and Sayles offered save a crib for clever examination candidates: a revisionism that would paint mauve what Stubbs had previously painted purple.</w:t>
      </w:r>
      <w:r>
        <w:rPr>
          <w:rStyle w:val="FootnoteReference"/>
          <w:rFonts w:ascii="Times New Roman" w:hAnsi="Times New Roman"/>
        </w:rPr>
        <w:footnoteReference w:id="136"/>
      </w:r>
      <w:r>
        <w:rPr>
          <w:rFonts w:ascii="Times New Roman" w:hAnsi="Times New Roman"/>
        </w:rPr>
        <w:t xml:space="preserve">  More significant was the continued dialogue between those arguing for exceptionalism as the defining characteristic of English law (Doris Stenton, Paul Brand, George Garnett, and above all, and despite his continental expertise, Patrick Wormald), and those drawn to broader continental perspectives (Van Caenegem, Walter Ullmann, Charles and Anne Duggan, more recently Paul Hyams).  If those in the first group were inclined to fetishize Magna Carta, then those in the second were at risk of smoothing it into insignificance.</w:t>
      </w:r>
      <w:r>
        <w:rPr>
          <w:rStyle w:val="FootnoteReference"/>
          <w:rFonts w:ascii="Times New Roman" w:hAnsi="Times New Roman"/>
        </w:rPr>
        <w:footnoteReference w:id="137"/>
      </w:r>
      <w:r>
        <w:rPr>
          <w:rFonts w:ascii="Times New Roman" w:hAnsi="Times New Roman"/>
        </w:rPr>
        <w:t xml:space="preserve">  </w:t>
      </w:r>
      <w:r w:rsidR="00DB0D58">
        <w:rPr>
          <w:rFonts w:ascii="Times New Roman" w:hAnsi="Times New Roman"/>
        </w:rPr>
        <w:t xml:space="preserve">Moreover, and as John Hudson has pointed out, a common </w:t>
      </w:r>
      <w:r w:rsidR="009D33F1">
        <w:rPr>
          <w:rFonts w:ascii="Times New Roman" w:hAnsi="Times New Roman"/>
        </w:rPr>
        <w:t xml:space="preserve">category </w:t>
      </w:r>
      <w:r w:rsidR="00DB0D58">
        <w:rPr>
          <w:rFonts w:ascii="Times New Roman" w:hAnsi="Times New Roman"/>
        </w:rPr>
        <w:t>error</w:t>
      </w:r>
      <w:r w:rsidR="00036517">
        <w:rPr>
          <w:rFonts w:ascii="Times New Roman" w:hAnsi="Times New Roman"/>
        </w:rPr>
        <w:t xml:space="preserve"> </w:t>
      </w:r>
      <w:r w:rsidR="00DB0D58">
        <w:rPr>
          <w:rFonts w:ascii="Times New Roman" w:hAnsi="Times New Roman"/>
        </w:rPr>
        <w:t xml:space="preserve">has </w:t>
      </w:r>
      <w:r w:rsidR="00087F9E">
        <w:rPr>
          <w:rFonts w:ascii="Times New Roman" w:hAnsi="Times New Roman"/>
        </w:rPr>
        <w:t xml:space="preserve">tended to muddle </w:t>
      </w:r>
      <w:r w:rsidR="009D33F1">
        <w:rPr>
          <w:rFonts w:ascii="Times New Roman" w:hAnsi="Times New Roman"/>
        </w:rPr>
        <w:t>concepts</w:t>
      </w:r>
      <w:r w:rsidR="00087F9E">
        <w:rPr>
          <w:rFonts w:ascii="Times New Roman" w:hAnsi="Times New Roman"/>
        </w:rPr>
        <w:t xml:space="preserve"> that would have been better kept distinct</w:t>
      </w:r>
      <w:r w:rsidR="00036517">
        <w:rPr>
          <w:rFonts w:ascii="Times New Roman" w:hAnsi="Times New Roman"/>
        </w:rPr>
        <w:t>, leading to elision between the two distinct categories of (on the one hand) law, and (on the other) royal administration</w:t>
      </w:r>
      <w:r w:rsidR="00087F9E">
        <w:rPr>
          <w:rFonts w:ascii="Times New Roman" w:hAnsi="Times New Roman"/>
        </w:rPr>
        <w:t>.</w:t>
      </w:r>
      <w:r w:rsidR="00036517">
        <w:rPr>
          <w:rFonts w:ascii="Times New Roman" w:hAnsi="Times New Roman"/>
        </w:rPr>
        <w:t xml:space="preserve">  Hudson seeks a </w:t>
      </w:r>
      <w:r w:rsidR="00036517" w:rsidRPr="00036517">
        <w:rPr>
          <w:rFonts w:ascii="Times New Roman" w:hAnsi="Times New Roman"/>
          <w:i/>
        </w:rPr>
        <w:t>via media</w:t>
      </w:r>
      <w:r w:rsidR="00036517">
        <w:rPr>
          <w:rFonts w:ascii="Times New Roman" w:hAnsi="Times New Roman"/>
        </w:rPr>
        <w:t xml:space="preserve"> of his own,</w:t>
      </w:r>
      <w:r w:rsidR="00844AC3">
        <w:rPr>
          <w:rFonts w:ascii="Times New Roman" w:hAnsi="Times New Roman"/>
        </w:rPr>
        <w:t xml:space="preserve"> arguing that, for reasons obscure but meriting speculation, </w:t>
      </w:r>
      <w:r w:rsidR="00844AC3" w:rsidRPr="00844AC3">
        <w:rPr>
          <w:rFonts w:ascii="Times New Roman" w:hAnsi="Times New Roman"/>
          <w:i/>
        </w:rPr>
        <w:t>Ius commune</w:t>
      </w:r>
      <w:r w:rsidR="00844AC3">
        <w:rPr>
          <w:rFonts w:ascii="Times New Roman" w:hAnsi="Times New Roman"/>
        </w:rPr>
        <w:t xml:space="preserve"> </w:t>
      </w:r>
      <w:r w:rsidR="009D33F1">
        <w:rPr>
          <w:rFonts w:ascii="Times New Roman" w:hAnsi="Times New Roman"/>
        </w:rPr>
        <w:t>exerted</w:t>
      </w:r>
      <w:r w:rsidR="00844AC3">
        <w:rPr>
          <w:rFonts w:ascii="Times New Roman" w:hAnsi="Times New Roman"/>
        </w:rPr>
        <w:t xml:space="preserve"> only limited in </w:t>
      </w:r>
      <w:r w:rsidR="00036517">
        <w:rPr>
          <w:rFonts w:ascii="Times New Roman" w:hAnsi="Times New Roman"/>
        </w:rPr>
        <w:t>twelfth and thirteenth century England</w:t>
      </w:r>
      <w:r w:rsidR="00E73C0A">
        <w:rPr>
          <w:rFonts w:ascii="Times New Roman" w:hAnsi="Times New Roman"/>
        </w:rPr>
        <w:t>.  In</w:t>
      </w:r>
      <w:r w:rsidR="00844AC3">
        <w:rPr>
          <w:rFonts w:ascii="Times New Roman" w:hAnsi="Times New Roman"/>
        </w:rPr>
        <w:t xml:space="preserve"> this respect, </w:t>
      </w:r>
      <w:r w:rsidR="00E73C0A">
        <w:rPr>
          <w:rFonts w:ascii="Times New Roman" w:hAnsi="Times New Roman"/>
        </w:rPr>
        <w:t xml:space="preserve">he suggests, </w:t>
      </w:r>
      <w:r w:rsidR="00844AC3">
        <w:rPr>
          <w:rFonts w:ascii="Times New Roman" w:hAnsi="Times New Roman"/>
        </w:rPr>
        <w:t xml:space="preserve">the history of </w:t>
      </w:r>
      <w:r w:rsidR="00036517">
        <w:rPr>
          <w:rFonts w:ascii="Times New Roman" w:hAnsi="Times New Roman"/>
        </w:rPr>
        <w:t xml:space="preserve">English </w:t>
      </w:r>
      <w:r w:rsidR="00844AC3">
        <w:rPr>
          <w:rFonts w:ascii="Times New Roman" w:hAnsi="Times New Roman"/>
        </w:rPr>
        <w:t xml:space="preserve">law appears exceptional only if we mistakenly suppose that </w:t>
      </w:r>
      <w:r w:rsidR="00844AC3" w:rsidRPr="00844AC3">
        <w:rPr>
          <w:rFonts w:ascii="Times New Roman" w:hAnsi="Times New Roman"/>
          <w:i/>
        </w:rPr>
        <w:t>Ius commune</w:t>
      </w:r>
      <w:r w:rsidR="00844AC3">
        <w:rPr>
          <w:rFonts w:ascii="Times New Roman" w:hAnsi="Times New Roman"/>
        </w:rPr>
        <w:t xml:space="preserve"> was universally respected elsewhere in northern France or those other parts of Europe where</w:t>
      </w:r>
      <w:r w:rsidR="009D33F1">
        <w:rPr>
          <w:rFonts w:ascii="Times New Roman" w:hAnsi="Times New Roman"/>
        </w:rPr>
        <w:t>, in reality,</w:t>
      </w:r>
      <w:r w:rsidR="00844AC3">
        <w:rPr>
          <w:rFonts w:ascii="Times New Roman" w:hAnsi="Times New Roman"/>
        </w:rPr>
        <w:t xml:space="preserve"> local tradition prevailed.</w:t>
      </w:r>
      <w:r w:rsidR="00844AC3">
        <w:rPr>
          <w:rStyle w:val="FootnoteReference"/>
          <w:rFonts w:ascii="Times New Roman" w:hAnsi="Times New Roman"/>
        </w:rPr>
        <w:footnoteReference w:id="138"/>
      </w:r>
      <w:r w:rsidR="00844AC3">
        <w:rPr>
          <w:rFonts w:ascii="Times New Roman" w:hAnsi="Times New Roman"/>
        </w:rPr>
        <w:t xml:space="preserve">  </w:t>
      </w:r>
    </w:p>
    <w:p w14:paraId="3AA2D004" w14:textId="1C8E6D0B"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 xml:space="preserve">Into this debate </w:t>
      </w:r>
      <w:r w:rsidR="00036517">
        <w:rPr>
          <w:rFonts w:ascii="Times New Roman" w:hAnsi="Times New Roman"/>
        </w:rPr>
        <w:t xml:space="preserve">have been </w:t>
      </w:r>
      <w:r>
        <w:rPr>
          <w:rFonts w:ascii="Times New Roman" w:hAnsi="Times New Roman"/>
        </w:rPr>
        <w:t xml:space="preserve">fed the ideas of S.F.C. Milsom (like those of Jolliffe) often </w:t>
      </w:r>
      <w:r w:rsidR="00087F9E">
        <w:rPr>
          <w:rFonts w:ascii="Times New Roman" w:hAnsi="Times New Roman"/>
        </w:rPr>
        <w:t xml:space="preserve">(though no doubt wrongly) </w:t>
      </w:r>
      <w:r>
        <w:rPr>
          <w:rFonts w:ascii="Times New Roman" w:hAnsi="Times New Roman"/>
        </w:rPr>
        <w:t>approached via his commentators rather than along the thorny pathway of his own prose.</w:t>
      </w:r>
      <w:r>
        <w:rPr>
          <w:rStyle w:val="FootnoteReference"/>
          <w:rFonts w:ascii="Times New Roman" w:hAnsi="Times New Roman"/>
        </w:rPr>
        <w:footnoteReference w:id="139"/>
      </w:r>
      <w:r>
        <w:rPr>
          <w:rFonts w:ascii="Times New Roman" w:hAnsi="Times New Roman"/>
        </w:rPr>
        <w:t xml:space="preserve">  To Milsom</w:t>
      </w:r>
      <w:r w:rsidR="00AB08BA">
        <w:rPr>
          <w:rFonts w:ascii="Times New Roman" w:hAnsi="Times New Roman"/>
        </w:rPr>
        <w:t xml:space="preserve"> and his interpreters there remained</w:t>
      </w:r>
      <w:r>
        <w:rPr>
          <w:rFonts w:ascii="Times New Roman" w:hAnsi="Times New Roman"/>
        </w:rPr>
        <w:t xml:space="preserve"> a fundamental </w:t>
      </w:r>
      <w:r w:rsidR="00036517">
        <w:rPr>
          <w:rFonts w:ascii="Times New Roman" w:hAnsi="Times New Roman"/>
        </w:rPr>
        <w:t xml:space="preserve">disjunction </w:t>
      </w:r>
      <w:r>
        <w:rPr>
          <w:rFonts w:ascii="Times New Roman" w:hAnsi="Times New Roman"/>
        </w:rPr>
        <w:t xml:space="preserve">between the King as manipulator of the law, and justice as a universal concept diffused throughout society.  In its upper, more theoretical reaches, this </w:t>
      </w:r>
      <w:r w:rsidR="00AB08BA">
        <w:rPr>
          <w:rFonts w:ascii="Times New Roman" w:hAnsi="Times New Roman"/>
        </w:rPr>
        <w:t>offered</w:t>
      </w:r>
      <w:r>
        <w:rPr>
          <w:rFonts w:ascii="Times New Roman" w:hAnsi="Times New Roman"/>
        </w:rPr>
        <w:t xml:space="preserve"> an approach allied to that of Walter Ullmann, reading into English history a conflict between written or 'national' law and 'feudal' custom.</w:t>
      </w:r>
      <w:r>
        <w:rPr>
          <w:rStyle w:val="FootnoteReference"/>
          <w:rFonts w:ascii="Times New Roman" w:hAnsi="Times New Roman"/>
        </w:rPr>
        <w:footnoteReference w:id="140"/>
      </w:r>
      <w:r w:rsidR="00AB08BA">
        <w:rPr>
          <w:rFonts w:ascii="Times New Roman" w:hAnsi="Times New Roman"/>
        </w:rPr>
        <w:t xml:space="preserve">  This in turn interlocked</w:t>
      </w:r>
      <w:r>
        <w:rPr>
          <w:rFonts w:ascii="Times New Roman" w:hAnsi="Times New Roman"/>
        </w:rPr>
        <w:t xml:space="preserve"> with Ernst Kantorowicz's assertion that the Investiture Contest of the eleventh century had provoked a transformation of the image and ideology of kingship, from a 'Christ-centered' to a 'Law-centered' model.</w:t>
      </w:r>
      <w:r>
        <w:rPr>
          <w:rStyle w:val="FootnoteReference"/>
          <w:rFonts w:ascii="Times New Roman" w:hAnsi="Times New Roman"/>
        </w:rPr>
        <w:footnoteReference w:id="141"/>
      </w:r>
      <w:r>
        <w:rPr>
          <w:rFonts w:ascii="Times New Roman" w:hAnsi="Times New Roman"/>
        </w:rPr>
        <w:t xml:space="preserve">  At a more mundane level, Milsom's high-flown rhetoric over seisin and tenure carried echoes of a more pragmatic tradition, already apparent in the writing of F.M. Stenton and at its most functionalist in the work of C.A.F. Meekings.</w:t>
      </w:r>
      <w:r>
        <w:rPr>
          <w:rStyle w:val="FootnoteReference"/>
          <w:rFonts w:ascii="Times New Roman" w:hAnsi="Times New Roman"/>
        </w:rPr>
        <w:footnoteReference w:id="142"/>
      </w:r>
      <w:r>
        <w:rPr>
          <w:rFonts w:ascii="Times New Roman" w:hAnsi="Times New Roman"/>
        </w:rPr>
        <w:t xml:space="preserve"> In this interpretation, justice was the servant of the King, and the administration of the law to a large extent geared to the pursuit not just of jurisdiction </w:t>
      </w:r>
      <w:proofErr w:type="gramStart"/>
      <w:r>
        <w:rPr>
          <w:rFonts w:ascii="Times New Roman" w:hAnsi="Times New Roman"/>
        </w:rPr>
        <w:t>but</w:t>
      </w:r>
      <w:proofErr w:type="gramEnd"/>
      <w:r>
        <w:rPr>
          <w:rFonts w:ascii="Times New Roman" w:hAnsi="Times New Roman"/>
        </w:rPr>
        <w:t xml:space="preserve"> of revenue.  In pursuit of revenue, the King necessarily sought to exclude his baronial competitors from the profits of justice.  Here, in an unexpectedly Marxisant turn, the emergence of possessory assizes and the eyre, the improved efficiency of the King's courts, the Angevin 'leap forwards', even Magna Carta itself, became parts of a wider mechanism, driven by </w:t>
      </w:r>
      <w:r w:rsidR="00087F9E">
        <w:rPr>
          <w:rFonts w:ascii="Times New Roman" w:hAnsi="Times New Roman"/>
        </w:rPr>
        <w:t>fiscal</w:t>
      </w:r>
      <w:r>
        <w:rPr>
          <w:rFonts w:ascii="Times New Roman" w:hAnsi="Times New Roman"/>
        </w:rPr>
        <w:t xml:space="preserve"> rather than intellectual imperatives.  At its worst, as the congeries of abstraction and metaphor in the previous paragraph should demonstrate, this was a debate conducted between legal specialists in their own peculiar dialect, divorced from the broader audience and plainer language of Stubbs or Maitland.  At its best, it explained the legal context of Magna Carta, addressing the balance of power within society in ways that had not previously been attempted.</w:t>
      </w:r>
    </w:p>
    <w:p w14:paraId="131301DF" w14:textId="77777777"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In the wider background here, and with the exception of John Baldwin's re-evaluation of the scholastic contribution, the most heated topic for debate throughout the 1970s remained the supposed economic causes of the charter. This was a debate in part inspired by reactions to Marc Bloch and the rejection of systematized 'Feudalism' (with a Ganshofian capital letter): a debate in which Holt played a distinguished part, and whose purpose was at least in part to elide the distinction between 'feudalism' (derived from the knight's fee and service, as described by J.H. Round and F.M. Stenton) and the supposed transformation of this 'primitive' system, at some point after the 1270s, into 'Bastard Feudalism' (as described by K.B. McFarlane, based upon money fees and written contracts).</w:t>
      </w:r>
      <w:r>
        <w:rPr>
          <w:rStyle w:val="FootnoteReference"/>
          <w:rFonts w:ascii="Times New Roman" w:hAnsi="Times New Roman"/>
        </w:rPr>
        <w:footnoteReference w:id="143"/>
      </w:r>
      <w:r>
        <w:rPr>
          <w:rFonts w:ascii="Times New Roman" w:hAnsi="Times New Roman"/>
        </w:rPr>
        <w:t xml:space="preserve">  More immediately, the spur came from the OPEC hike in oil prices and the great inflation of the mid 1970s.  This in turn lent contemporary relevance to Paul Harvey's attempt, broadcast in </w:t>
      </w:r>
      <w:r w:rsidRPr="007A5C89">
        <w:rPr>
          <w:rFonts w:ascii="Times New Roman" w:hAnsi="Times New Roman"/>
          <w:i/>
        </w:rPr>
        <w:t>Past and Present</w:t>
      </w:r>
      <w:r>
        <w:rPr>
          <w:rFonts w:ascii="Times New Roman" w:hAnsi="Times New Roman"/>
        </w:rPr>
        <w:t xml:space="preserve"> in 1973, to suggest that the late twelfth and early thirteenth centuries had themselves been a period of rapid and catastrophic monetary inflation.  As a result, Harvey implied, not only did the King's fixed income fail to keep pace with inflation, but the barons parted company from the knights, and the greater aristocracy from the barons, as the 'haves' acquired more, and the 'have nots' declined into provincial stagnation.</w:t>
      </w:r>
      <w:r>
        <w:rPr>
          <w:rStyle w:val="FootnoteReference"/>
          <w:rFonts w:ascii="Times New Roman" w:hAnsi="Times New Roman"/>
        </w:rPr>
        <w:footnoteReference w:id="144"/>
      </w:r>
      <w:r>
        <w:rPr>
          <w:rFonts w:ascii="Times New Roman" w:hAnsi="Times New Roman"/>
        </w:rPr>
        <w:t xml:space="preserve">  </w:t>
      </w:r>
    </w:p>
    <w:p w14:paraId="5B3B93D6" w14:textId="21A0C76A"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 xml:space="preserve">The debate that this encouraged, both on John's finances, and on the impact of economic change upon society more generally, had to some extent been predicted by Doris Stenton's introductions to the annual volumes of the Pipe Roll Society, and by an article, published in </w:t>
      </w:r>
      <w:r w:rsidRPr="008E6FD4">
        <w:rPr>
          <w:rFonts w:ascii="Times New Roman" w:hAnsi="Times New Roman"/>
          <w:i/>
        </w:rPr>
        <w:t>EHR</w:t>
      </w:r>
      <w:r>
        <w:rPr>
          <w:rFonts w:ascii="Times New Roman" w:hAnsi="Times New Roman"/>
        </w:rPr>
        <w:t xml:space="preserve"> </w:t>
      </w:r>
      <w:r w:rsidR="00087F9E">
        <w:rPr>
          <w:rFonts w:ascii="Times New Roman" w:hAnsi="Times New Roman"/>
        </w:rPr>
        <w:t xml:space="preserve">in </w:t>
      </w:r>
      <w:r>
        <w:rPr>
          <w:rFonts w:ascii="Times New Roman" w:hAnsi="Times New Roman"/>
        </w:rPr>
        <w:t>1964.  Here a Holt pupil, Brian E. Harris, demonstrated that an attempt, launched in 1204, to return the royal demesne from farming to direct accounting for profits had to be abandoned, in the process heightening tensions between the King and the county communities.</w:t>
      </w:r>
      <w:r>
        <w:rPr>
          <w:rStyle w:val="FootnoteReference"/>
          <w:rFonts w:ascii="Times New Roman" w:hAnsi="Times New Roman"/>
        </w:rPr>
        <w:footnoteReference w:id="145"/>
      </w:r>
      <w:r>
        <w:rPr>
          <w:rFonts w:ascii="Times New Roman" w:hAnsi="Times New Roman"/>
        </w:rPr>
        <w:t xml:space="preserve">  Highlights of the debate following Harvey's revolution</w:t>
      </w:r>
      <w:r w:rsidR="00087F9E">
        <w:rPr>
          <w:rFonts w:ascii="Times New Roman" w:hAnsi="Times New Roman"/>
        </w:rPr>
        <w:t xml:space="preserve"> included David Carpenter's 1976</w:t>
      </w:r>
      <w:r>
        <w:rPr>
          <w:rFonts w:ascii="Times New Roman" w:hAnsi="Times New Roman"/>
        </w:rPr>
        <w:t xml:space="preserve"> article on 'The Decline of the Curial Sheriff', arguing that local government, under John a perquisite of great men, became under Henry III an increasingly irksome affair. The office of sheriff was shunned by the great but taken up by those less troubled by local protests, themselves the cause of tensions that, in the 1250s, exploded into renewed civil unrest.</w:t>
      </w:r>
      <w:r>
        <w:rPr>
          <w:rStyle w:val="FootnoteReference"/>
          <w:rFonts w:ascii="Times New Roman" w:hAnsi="Times New Roman"/>
        </w:rPr>
        <w:footnoteReference w:id="146"/>
      </w:r>
      <w:r>
        <w:rPr>
          <w:rFonts w:ascii="Times New Roman" w:hAnsi="Times New Roman"/>
        </w:rPr>
        <w:t xml:space="preserve">  Carpenter's subsequent investigation of the effects of economic pressures upon the knightly classes of Oxfordshire, continued by Carpenter's pupil Kathryn Faulkner, fed into </w:t>
      </w:r>
      <w:r w:rsidR="00AB08BA">
        <w:rPr>
          <w:rFonts w:ascii="Times New Roman" w:hAnsi="Times New Roman"/>
        </w:rPr>
        <w:t>an even</w:t>
      </w:r>
      <w:r>
        <w:rPr>
          <w:rFonts w:ascii="Times New Roman" w:hAnsi="Times New Roman"/>
        </w:rPr>
        <w:t xml:space="preserve"> wider debate over the fate of the thirteenth-century gentry, in many ways defying Holt's declaration of 1961 that the gentry's rise or fall added little to our understanding of Magna Carta or its background.</w:t>
      </w:r>
      <w:r>
        <w:rPr>
          <w:rStyle w:val="FootnoteReference"/>
          <w:rFonts w:ascii="Times New Roman" w:hAnsi="Times New Roman"/>
        </w:rPr>
        <w:footnoteReference w:id="147"/>
      </w:r>
      <w:r>
        <w:rPr>
          <w:rFonts w:ascii="Times New Roman" w:hAnsi="Times New Roman"/>
        </w:rPr>
        <w:t xml:space="preserve">  In the past thirty years, our image of the thirteenth-century gentry has been further enriched by the studies of Peter Coss and others, generally focused upon the period after 1250 but transforming the relatively mono-dimensional world of knights and barons in which Holt had placed his characters, into a far richer (and more richly conceptualized) interplay between 'haves' and 'have nots'.  Here, and by contrast to Holt's vision of society, the royal court was only one factor affecting (but not in general controlling) such diversity.</w:t>
      </w:r>
      <w:r>
        <w:rPr>
          <w:rStyle w:val="FootnoteReference"/>
          <w:rFonts w:ascii="Times New Roman" w:hAnsi="Times New Roman"/>
        </w:rPr>
        <w:footnoteReference w:id="148"/>
      </w:r>
      <w:r>
        <w:rPr>
          <w:rFonts w:ascii="Times New Roman" w:hAnsi="Times New Roman"/>
        </w:rPr>
        <w:t xml:space="preserve"> </w:t>
      </w:r>
    </w:p>
    <w:p w14:paraId="17A3720E" w14:textId="671943DE"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More recently, this debate has been widened and extended a long way backwards from Coss's starting point, not least as a result of the work of David Crouch, exploring the paradigm shift that is supposed, as early as the 1170s or 80s, to have transformed</w:t>
      </w:r>
      <w:r w:rsidRPr="000D09B7">
        <w:rPr>
          <w:rFonts w:ascii="Times New Roman" w:hAnsi="Times New Roman"/>
        </w:rPr>
        <w:t xml:space="preserve"> </w:t>
      </w:r>
      <w:r>
        <w:rPr>
          <w:rFonts w:ascii="Times New Roman" w:hAnsi="Times New Roman"/>
        </w:rPr>
        <w:t xml:space="preserve">the relatively homogeneous 'baronage' into </w:t>
      </w:r>
      <w:r w:rsidRPr="000D09B7">
        <w:rPr>
          <w:rFonts w:ascii="Times New Roman" w:hAnsi="Times New Roman"/>
        </w:rPr>
        <w:t>a</w:t>
      </w:r>
      <w:r>
        <w:rPr>
          <w:rFonts w:ascii="Times New Roman" w:hAnsi="Times New Roman"/>
        </w:rPr>
        <w:t xml:space="preserve"> hierarchy ranked from a </w:t>
      </w:r>
      <w:r w:rsidRPr="000D09B7">
        <w:rPr>
          <w:rFonts w:ascii="Times New Roman" w:hAnsi="Times New Roman"/>
        </w:rPr>
        <w:t>stagnating gentry</w:t>
      </w:r>
      <w:r>
        <w:rPr>
          <w:rFonts w:ascii="Times New Roman" w:hAnsi="Times New Roman"/>
        </w:rPr>
        <w:t xml:space="preserve"> via a</w:t>
      </w:r>
      <w:r w:rsidRPr="00FB42ED">
        <w:rPr>
          <w:rFonts w:ascii="Times New Roman" w:hAnsi="Times New Roman"/>
        </w:rPr>
        <w:t xml:space="preserve"> </w:t>
      </w:r>
      <w:r>
        <w:rPr>
          <w:rFonts w:ascii="Times New Roman" w:hAnsi="Times New Roman"/>
        </w:rPr>
        <w:t xml:space="preserve">middle rank of prosperous knights to a </w:t>
      </w:r>
      <w:r w:rsidRPr="000D09B7">
        <w:rPr>
          <w:rFonts w:ascii="Times New Roman" w:hAnsi="Times New Roman"/>
        </w:rPr>
        <w:t xml:space="preserve">rising </w:t>
      </w:r>
      <w:r w:rsidRPr="000D09B7">
        <w:rPr>
          <w:rFonts w:ascii="Times New Roman" w:eastAsia="ヒラギノ明朝 ProN W3" w:hAnsi="Times New Roman"/>
        </w:rPr>
        <w:t xml:space="preserve">but much narrower élite of </w:t>
      </w:r>
      <w:r>
        <w:rPr>
          <w:rFonts w:ascii="Times New Roman" w:eastAsia="ヒラギノ明朝 ProN W3" w:hAnsi="Times New Roman"/>
        </w:rPr>
        <w:t>the nobility at society's top end</w:t>
      </w:r>
      <w:r w:rsidRPr="000D09B7">
        <w:rPr>
          <w:rFonts w:ascii="Times New Roman" w:hAnsi="Times New Roman"/>
        </w:rPr>
        <w:t>.</w:t>
      </w:r>
      <w:r>
        <w:rPr>
          <w:rStyle w:val="FootnoteReference"/>
          <w:rFonts w:ascii="Times New Roman" w:hAnsi="Times New Roman"/>
        </w:rPr>
        <w:footnoteReference w:id="149"/>
      </w:r>
      <w:r>
        <w:rPr>
          <w:rFonts w:ascii="Times New Roman" w:hAnsi="Times New Roman"/>
        </w:rPr>
        <w:t xml:space="preserve">  At the same time, as Paul Hyams has argued, peasant society was transformed by legal procedures that drove a wedge between free and unfree tenures.  The villein was now polarized from the freeman.</w:t>
      </w:r>
      <w:r>
        <w:rPr>
          <w:rStyle w:val="FootnoteReference"/>
          <w:rFonts w:ascii="Times New Roman" w:hAnsi="Times New Roman"/>
        </w:rPr>
        <w:footnoteReference w:id="150"/>
      </w:r>
      <w:r>
        <w:rPr>
          <w:rFonts w:ascii="Times New Roman" w:hAnsi="Times New Roman"/>
        </w:rPr>
        <w:t xml:space="preserve">  Peasant intervention played little direct role in 1215.  By the 1260s, by contrast, and not least as a result of the freedoms that Magna Carta promised to extend from all lords to all subjects, the peasantry threatened to become a political force, at least in times of wider crisis.</w:t>
      </w:r>
      <w:r>
        <w:rPr>
          <w:rStyle w:val="FootnoteReference"/>
          <w:rFonts w:ascii="Times New Roman" w:hAnsi="Times New Roman"/>
        </w:rPr>
        <w:footnoteReference w:id="151"/>
      </w:r>
      <w:r w:rsidR="00087F9E">
        <w:rPr>
          <w:rFonts w:ascii="Times New Roman" w:hAnsi="Times New Roman"/>
        </w:rPr>
        <w:t xml:space="preserve">  Richard Britnell meanwhile tackled the more technical aspects of King John's grants of markets and fairs, themselves evidence not only of economic prosperity and the rise of towns, but of the policing of chartered liberties.</w:t>
      </w:r>
      <w:r w:rsidR="00087F9E">
        <w:rPr>
          <w:rStyle w:val="FootnoteReference"/>
          <w:rFonts w:ascii="Times New Roman" w:hAnsi="Times New Roman"/>
        </w:rPr>
        <w:footnoteReference w:id="152"/>
      </w:r>
      <w:r w:rsidR="00087F9E">
        <w:rPr>
          <w:rFonts w:ascii="Times New Roman" w:hAnsi="Times New Roman"/>
        </w:rPr>
        <w:t xml:space="preserve">  </w:t>
      </w:r>
    </w:p>
    <w:p w14:paraId="745B397B" w14:textId="56059991"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In all of this there remains an invitation</w:t>
      </w:r>
      <w:r w:rsidR="00087F9E">
        <w:rPr>
          <w:rFonts w:ascii="Times New Roman" w:hAnsi="Times New Roman"/>
        </w:rPr>
        <w:t xml:space="preserve"> to do for provincial society of</w:t>
      </w:r>
      <w:r>
        <w:rPr>
          <w:rFonts w:ascii="Times New Roman" w:hAnsi="Times New Roman"/>
        </w:rPr>
        <w:t xml:space="preserve"> the twelfth and early thirteenth centuries what Coss and Nigel Saul have done for the fourteenth, and many others for the fifteenth century.</w:t>
      </w:r>
      <w:r>
        <w:rPr>
          <w:rStyle w:val="FootnoteReference"/>
          <w:rFonts w:ascii="Times New Roman" w:hAnsi="Times New Roman"/>
        </w:rPr>
        <w:footnoteReference w:id="153"/>
      </w:r>
      <w:r>
        <w:rPr>
          <w:rFonts w:ascii="Times New Roman" w:hAnsi="Times New Roman"/>
        </w:rPr>
        <w:t xml:space="preserve">  At a tangent to such considerations, Stephen Church challenged J.O. Prestwich (Holt's former tutor) over the payments made to knights at John's court.  This was a debate fought out over the question of money fees versus awards of land, a spat over mess bills.</w:t>
      </w:r>
      <w:r>
        <w:rPr>
          <w:rStyle w:val="FootnoteReference"/>
          <w:rFonts w:ascii="Times New Roman" w:hAnsi="Times New Roman"/>
        </w:rPr>
        <w:footnoteReference w:id="154"/>
      </w:r>
      <w:r>
        <w:rPr>
          <w:rFonts w:ascii="Times New Roman" w:hAnsi="Times New Roman"/>
        </w:rPr>
        <w:t xml:space="preserve">  Even so, it was by no means divorced from wider questions to which Magna Carta has continued to contribute: over the drift from 'memory to written record' and from 'tenure to contract'.</w:t>
      </w:r>
      <w:r>
        <w:rPr>
          <w:rStyle w:val="FootnoteReference"/>
          <w:rFonts w:ascii="Times New Roman" w:hAnsi="Times New Roman"/>
        </w:rPr>
        <w:footnoteReference w:id="155"/>
      </w:r>
      <w:r>
        <w:rPr>
          <w:rFonts w:ascii="Times New Roman" w:hAnsi="Times New Roman"/>
        </w:rPr>
        <w:t xml:space="preserve">  More immediately it had implications for the military resources at the disposal of King and barons in 1215, determining the political calculations that led to Runnymede.</w:t>
      </w:r>
      <w:r>
        <w:rPr>
          <w:rStyle w:val="FootnoteReference"/>
          <w:rFonts w:ascii="Times New Roman" w:hAnsi="Times New Roman"/>
        </w:rPr>
        <w:footnoteReference w:id="156"/>
      </w:r>
      <w:r>
        <w:rPr>
          <w:rFonts w:ascii="Times New Roman" w:hAnsi="Times New Roman"/>
        </w:rPr>
        <w:t xml:space="preserve">  </w:t>
      </w:r>
    </w:p>
    <w:p w14:paraId="6AB91EF0" w14:textId="71368E99" w:rsidR="00A27FF6" w:rsidRDefault="00087F9E" w:rsidP="00A27FF6">
      <w:pPr>
        <w:widowControl w:val="0"/>
        <w:autoSpaceDE w:val="0"/>
        <w:autoSpaceDN w:val="0"/>
        <w:adjustRightInd w:val="0"/>
        <w:spacing w:after="240"/>
        <w:rPr>
          <w:rFonts w:ascii="Times New Roman" w:hAnsi="Times New Roman"/>
        </w:rPr>
      </w:pPr>
      <w:r>
        <w:rPr>
          <w:rFonts w:ascii="Times New Roman" w:hAnsi="Times New Roman"/>
        </w:rPr>
        <w:t xml:space="preserve">Dealing with ideas as well as ideology, </w:t>
      </w:r>
      <w:r w:rsidR="00A27FF6">
        <w:rPr>
          <w:rFonts w:ascii="Times New Roman" w:hAnsi="Times New Roman"/>
        </w:rPr>
        <w:t>David Carpenter has returned in less econometric mode, to dispute the public-spirited nature of Stephen Langton's contribution to Magna Carta, arguing, against Powicke and John Baldwin, that Langton was a hypocrite who urged the King to extend special privileges to the Church whilst himself grabbing a large part of the Mandeville inheritance for his own archbishopric.</w:t>
      </w:r>
      <w:r w:rsidR="00A27FF6">
        <w:rPr>
          <w:rStyle w:val="FootnoteReference"/>
          <w:rFonts w:ascii="Times New Roman" w:hAnsi="Times New Roman"/>
        </w:rPr>
        <w:footnoteReference w:id="157"/>
      </w:r>
      <w:r w:rsidR="00A27FF6">
        <w:rPr>
          <w:rFonts w:ascii="Times New Roman" w:hAnsi="Times New Roman"/>
        </w:rPr>
        <w:t xml:space="preserve">  Baldwin's own thoughts on Langton were set out in an article of 2008, itself informed by work co</w:t>
      </w:r>
      <w:r w:rsidR="009671DD">
        <w:rPr>
          <w:rFonts w:ascii="Times New Roman" w:hAnsi="Times New Roman"/>
        </w:rPr>
        <w:t>nducted since the 1970s by Phil</w:t>
      </w:r>
      <w:r w:rsidR="00A27FF6">
        <w:rPr>
          <w:rFonts w:ascii="Times New Roman" w:hAnsi="Times New Roman"/>
        </w:rPr>
        <w:t>ippe Buc</w:t>
      </w:r>
      <w:r w:rsidR="00841B19">
        <w:rPr>
          <w:rFonts w:ascii="Times New Roman" w:hAnsi="Times New Roman"/>
        </w:rPr>
        <w:t>, David D'Avray</w:t>
      </w:r>
      <w:r w:rsidR="00A27FF6">
        <w:rPr>
          <w:rFonts w:ascii="Times New Roman" w:hAnsi="Times New Roman"/>
        </w:rPr>
        <w:t xml:space="preserve"> and others.</w:t>
      </w:r>
      <w:r w:rsidR="00A27FF6">
        <w:rPr>
          <w:rStyle w:val="FootnoteReference"/>
          <w:rFonts w:ascii="Times New Roman" w:hAnsi="Times New Roman"/>
        </w:rPr>
        <w:footnoteReference w:id="158"/>
      </w:r>
      <w:r w:rsidR="00A27FF6">
        <w:rPr>
          <w:rFonts w:ascii="Times New Roman" w:hAnsi="Times New Roman"/>
        </w:rPr>
        <w:t xml:space="preserve">  In England, </w:t>
      </w:r>
      <w:proofErr w:type="gramStart"/>
      <w:r w:rsidR="00A27FF6">
        <w:rPr>
          <w:rFonts w:ascii="Times New Roman" w:hAnsi="Times New Roman"/>
        </w:rPr>
        <w:t>this schools-based approach to kingship had already been anticipated by Beryl Smalley</w:t>
      </w:r>
      <w:proofErr w:type="gramEnd"/>
      <w:r w:rsidR="00A27FF6">
        <w:rPr>
          <w:rFonts w:ascii="Times New Roman" w:hAnsi="Times New Roman"/>
        </w:rPr>
        <w:t>, not least in her work on the Becket dispute.</w:t>
      </w:r>
      <w:r w:rsidR="00A27FF6">
        <w:rPr>
          <w:rStyle w:val="FootnoteReference"/>
          <w:rFonts w:ascii="Times New Roman" w:hAnsi="Times New Roman"/>
        </w:rPr>
        <w:footnoteReference w:id="159"/>
      </w:r>
      <w:r w:rsidR="00A27FF6">
        <w:rPr>
          <w:rFonts w:ascii="Times New Roman" w:hAnsi="Times New Roman"/>
        </w:rPr>
        <w:t xml:space="preserve">  Its effect was to reintroduce ideology to an arena from which ideas had previously been squeezed out by </w:t>
      </w:r>
      <w:r w:rsidR="00A27FF6" w:rsidRPr="00C26F28">
        <w:rPr>
          <w:rFonts w:ascii="Times New Roman" w:hAnsi="Times New Roman"/>
          <w:i/>
        </w:rPr>
        <w:t>realpolitik</w:t>
      </w:r>
      <w:r w:rsidR="00A27FF6">
        <w:rPr>
          <w:rFonts w:ascii="Times New Roman" w:hAnsi="Times New Roman"/>
        </w:rPr>
        <w:t xml:space="preserve">.  In place of Holt or Jolliffe's Angevin kings, motivated by no higher ideals than 'intrigue and violence', historians were obliged to imagine both the king and his critics reacting to Biblical and classical models of good and bad kingship.  In this interpretation Moses and St Paul, Cicero and Suetonius, </w:t>
      </w:r>
      <w:r w:rsidR="00AB08BA">
        <w:rPr>
          <w:rFonts w:ascii="Times New Roman" w:hAnsi="Times New Roman"/>
        </w:rPr>
        <w:t>played</w:t>
      </w:r>
      <w:r w:rsidR="00A27FF6">
        <w:rPr>
          <w:rFonts w:ascii="Times New Roman" w:hAnsi="Times New Roman"/>
        </w:rPr>
        <w:t xml:space="preserve"> no small part in the </w:t>
      </w:r>
      <w:r w:rsidR="00AB08BA">
        <w:rPr>
          <w:rFonts w:ascii="Times New Roman" w:hAnsi="Times New Roman"/>
        </w:rPr>
        <w:t>image of</w:t>
      </w:r>
      <w:r w:rsidR="00A27FF6">
        <w:rPr>
          <w:rFonts w:ascii="Times New Roman" w:hAnsi="Times New Roman"/>
        </w:rPr>
        <w:t xml:space="preserve"> King John </w:t>
      </w:r>
      <w:r w:rsidR="00AB08BA">
        <w:rPr>
          <w:rFonts w:ascii="Times New Roman" w:hAnsi="Times New Roman"/>
        </w:rPr>
        <w:t>fashioned</w:t>
      </w:r>
      <w:r w:rsidR="00A27FF6">
        <w:rPr>
          <w:rFonts w:ascii="Times New Roman" w:hAnsi="Times New Roman"/>
        </w:rPr>
        <w:t xml:space="preserve"> by his contemporaries.</w:t>
      </w:r>
      <w:r w:rsidR="00A27FF6">
        <w:rPr>
          <w:rStyle w:val="FootnoteReference"/>
          <w:rFonts w:ascii="Times New Roman" w:hAnsi="Times New Roman"/>
        </w:rPr>
        <w:footnoteReference w:id="160"/>
      </w:r>
    </w:p>
    <w:p w14:paraId="5AE4D5BF" w14:textId="77777777"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Meanwhile, Harvey's basic assumptions about inflation and its effects had themselves come under attack from the economists.  By the late 1990s the arguments here (as with so many arguments in economic history) had effectively declined into stalemate.</w:t>
      </w:r>
      <w:r>
        <w:rPr>
          <w:rStyle w:val="FootnoteReference"/>
          <w:rFonts w:ascii="Times New Roman" w:hAnsi="Times New Roman"/>
        </w:rPr>
        <w:footnoteReference w:id="161"/>
      </w:r>
      <w:r>
        <w:rPr>
          <w:rFonts w:ascii="Times New Roman" w:hAnsi="Times New Roman"/>
        </w:rPr>
        <w:t xml:space="preserve">  This did not prevent first Holt, and subsequently Nick Barratt, from attempting to recalculate the revenues of King John, both from England and from Normandy, and on this basis to draw conclusions as to the underlying trajectory of John's fortunes based upon economic imperatives.</w:t>
      </w:r>
      <w:r>
        <w:rPr>
          <w:rStyle w:val="FootnoteReference"/>
          <w:rFonts w:ascii="Times New Roman" w:hAnsi="Times New Roman"/>
        </w:rPr>
        <w:footnoteReference w:id="162"/>
      </w:r>
      <w:r>
        <w:rPr>
          <w:rFonts w:ascii="Times New Roman" w:hAnsi="Times New Roman"/>
        </w:rPr>
        <w:t xml:space="preserve"> Tom Keefe has pointed the way to new approaches in the study of scutage and other feudal assessments under John.</w:t>
      </w:r>
      <w:r>
        <w:rPr>
          <w:rStyle w:val="FootnoteReference"/>
          <w:rFonts w:ascii="Times New Roman" w:hAnsi="Times New Roman"/>
        </w:rPr>
        <w:footnoteReference w:id="163"/>
      </w:r>
      <w:r>
        <w:rPr>
          <w:rFonts w:ascii="Times New Roman" w:hAnsi="Times New Roman"/>
        </w:rPr>
        <w:t xml:space="preserve">  More recently still, David Crook has suggested a particularly draconian exploitation by John of forest fines, only brought to an end in 1212 when the exposure of a plot against the King forced closure of the forest eyre.</w:t>
      </w:r>
      <w:r>
        <w:rPr>
          <w:rStyle w:val="FootnoteReference"/>
          <w:rFonts w:ascii="Times New Roman" w:hAnsi="Times New Roman"/>
        </w:rPr>
        <w:footnoteReference w:id="164"/>
      </w:r>
    </w:p>
    <w:p w14:paraId="17E8E432" w14:textId="77777777"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 xml:space="preserve">As this suggests, the resifting of the archives continues.  Documents are still being discovered that materially affect our understanding of Magna Carta.  Two important new finds here were published in </w:t>
      </w:r>
      <w:r w:rsidRPr="00AC446A">
        <w:rPr>
          <w:rFonts w:ascii="Times New Roman" w:hAnsi="Times New Roman"/>
          <w:i/>
        </w:rPr>
        <w:t>EHR</w:t>
      </w:r>
      <w:r>
        <w:rPr>
          <w:rFonts w:ascii="Times New Roman" w:hAnsi="Times New Roman"/>
        </w:rPr>
        <w:t xml:space="preserve"> by the Welsh historian, J. Beverley Smith: letters that elucidate the background to Magna Carta clauses 56-8 (on Welsh hostages), and a much improved text of the Treaty of Lambeth (the instrument by which the civil war started by the barons and King John in 1215 was brought to an end two years later).</w:t>
      </w:r>
      <w:r>
        <w:rPr>
          <w:rStyle w:val="FootnoteReference"/>
          <w:rFonts w:ascii="Times New Roman" w:hAnsi="Times New Roman"/>
        </w:rPr>
        <w:footnoteReference w:id="165"/>
      </w:r>
      <w:r>
        <w:rPr>
          <w:rFonts w:ascii="Times New Roman" w:hAnsi="Times New Roman"/>
        </w:rPr>
        <w:t xml:space="preserve">  David Carpenter has revisited the records to correct Holt, both on the date of Magna Carta (best still assigned to 15 June 1215) and on the implications of the charter for barons and their subjects, after 1225.</w:t>
      </w:r>
      <w:r>
        <w:rPr>
          <w:rStyle w:val="FootnoteReference"/>
          <w:rFonts w:ascii="Times New Roman" w:hAnsi="Times New Roman"/>
        </w:rPr>
        <w:footnoteReference w:id="166"/>
      </w:r>
      <w:r>
        <w:rPr>
          <w:rFonts w:ascii="Times New Roman" w:hAnsi="Times New Roman"/>
        </w:rPr>
        <w:t xml:space="preserve">  Ifor Rowlands, by reference to a letter surviving in Hereford Cathedral, argued that Magna Carta had been broadcast to the counties not by the sheriffs (themselves implicated in its provisions) but by the relatively neutral bishops.</w:t>
      </w:r>
      <w:r>
        <w:rPr>
          <w:rStyle w:val="FootnoteReference"/>
          <w:rFonts w:ascii="Times New Roman" w:hAnsi="Times New Roman"/>
        </w:rPr>
        <w:footnoteReference w:id="167"/>
      </w:r>
      <w:r>
        <w:rPr>
          <w:rFonts w:ascii="Times New Roman" w:hAnsi="Times New Roman"/>
        </w:rPr>
        <w:t xml:space="preserve">  Stephen Church, reassessing a document long known from its survival in Worcester Cathedral, threw light on John's final days, using his last will and testament.</w:t>
      </w:r>
      <w:r>
        <w:rPr>
          <w:rStyle w:val="FootnoteReference"/>
          <w:rFonts w:ascii="Times New Roman" w:hAnsi="Times New Roman"/>
        </w:rPr>
        <w:footnoteReference w:id="168"/>
      </w:r>
      <w:r>
        <w:rPr>
          <w:rFonts w:ascii="Times New Roman" w:hAnsi="Times New Roman"/>
        </w:rPr>
        <w:t xml:space="preserve">  </w:t>
      </w:r>
    </w:p>
    <w:p w14:paraId="5C87038A" w14:textId="77777777"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 xml:space="preserve">In this same tradition, by revisiting the reports of a great oath of fealty to the King and his eldest son, </w:t>
      </w:r>
      <w:proofErr w:type="gramStart"/>
      <w:r>
        <w:rPr>
          <w:rFonts w:ascii="Times New Roman" w:hAnsi="Times New Roman"/>
        </w:rPr>
        <w:t>said to have been enforced</w:t>
      </w:r>
      <w:proofErr w:type="gramEnd"/>
      <w:r>
        <w:rPr>
          <w:rFonts w:ascii="Times New Roman" w:hAnsi="Times New Roman"/>
        </w:rPr>
        <w:t xml:space="preserve"> by King John at Marlborough in 1209, John Maddicott supplies yet further insight into John's very particular combination of efficiency and paranoia.</w:t>
      </w:r>
      <w:r>
        <w:rPr>
          <w:rStyle w:val="FootnoteReference"/>
          <w:rFonts w:ascii="Times New Roman" w:hAnsi="Times New Roman"/>
        </w:rPr>
        <w:footnoteReference w:id="169"/>
      </w:r>
      <w:r>
        <w:rPr>
          <w:rFonts w:ascii="Times New Roman" w:hAnsi="Times New Roman"/>
        </w:rPr>
        <w:t xml:space="preserve"> Maddicott's most important work directly relating to Magna Carta has appeared in venues distinct from </w:t>
      </w:r>
      <w:r w:rsidRPr="00AC446A">
        <w:rPr>
          <w:rFonts w:ascii="Times New Roman" w:hAnsi="Times New Roman"/>
          <w:i/>
        </w:rPr>
        <w:t>EHR</w:t>
      </w:r>
      <w:r>
        <w:rPr>
          <w:rFonts w:ascii="Times New Roman" w:hAnsi="Times New Roman"/>
        </w:rPr>
        <w:t>, on the role of the county communities in defending the charter and seeking its extension far down the social scale, and on the connection between Magna Carta's demand for consent for taxation and the emergence of Parliament.</w:t>
      </w:r>
      <w:r>
        <w:rPr>
          <w:rStyle w:val="FootnoteReference"/>
          <w:rFonts w:ascii="Times New Roman" w:hAnsi="Times New Roman"/>
        </w:rPr>
        <w:footnoteReference w:id="170"/>
      </w:r>
    </w:p>
    <w:p w14:paraId="429FB9DF" w14:textId="12A01D3A"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After so long a survey, I am perhaps permitted to suggest avenues that still remain dark or inadequately explored.  There has been much work on the King and his courtiers.  There are excellent biographies of royalists such as William Marshal, and of at least some of John's bishops.</w:t>
      </w:r>
      <w:r>
        <w:rPr>
          <w:rStyle w:val="FootnoteReference"/>
          <w:rFonts w:ascii="Times New Roman" w:hAnsi="Times New Roman"/>
        </w:rPr>
        <w:footnoteReference w:id="171"/>
      </w:r>
      <w:r>
        <w:rPr>
          <w:rFonts w:ascii="Times New Roman" w:hAnsi="Times New Roman"/>
        </w:rPr>
        <w:t xml:space="preserve">  There may even, one day, be a full-scale biographical treatment of Stephen Langton, to replace that by Powicke.</w:t>
      </w:r>
      <w:r>
        <w:rPr>
          <w:rStyle w:val="FootnoteReference"/>
          <w:rFonts w:ascii="Times New Roman" w:hAnsi="Times New Roman"/>
        </w:rPr>
        <w:footnoteReference w:id="172"/>
      </w:r>
      <w:r>
        <w:rPr>
          <w:rFonts w:ascii="Times New Roman" w:hAnsi="Times New Roman"/>
        </w:rPr>
        <w:t xml:space="preserve">  The baronial side, by contrast, remains to a large extent mysterious.  Beyond brief notices in the </w:t>
      </w:r>
      <w:r w:rsidRPr="0077172E">
        <w:rPr>
          <w:rFonts w:ascii="Times New Roman" w:hAnsi="Times New Roman"/>
          <w:i/>
        </w:rPr>
        <w:t>Oxford Dictionary of National Biography</w:t>
      </w:r>
      <w:r>
        <w:rPr>
          <w:rFonts w:ascii="Times New Roman" w:hAnsi="Times New Roman"/>
        </w:rPr>
        <w:t xml:space="preserve">, and a couple of specific monographs, there are no comprehensive studies of such families as the Clares, the Bigods or the Mandevilles drawing upon the full range of charter evidence and directly linked to </w:t>
      </w:r>
      <w:r w:rsidR="00AD4E05">
        <w:rPr>
          <w:rFonts w:ascii="Times New Roman" w:hAnsi="Times New Roman"/>
        </w:rPr>
        <w:t xml:space="preserve">the </w:t>
      </w:r>
      <w:r>
        <w:rPr>
          <w:rFonts w:ascii="Times New Roman" w:hAnsi="Times New Roman"/>
        </w:rPr>
        <w:t>rebellion of 1215.</w:t>
      </w:r>
      <w:r>
        <w:rPr>
          <w:rStyle w:val="FootnoteReference"/>
          <w:rFonts w:ascii="Times New Roman" w:hAnsi="Times New Roman"/>
        </w:rPr>
        <w:footnoteReference w:id="173"/>
      </w:r>
      <w:r>
        <w:rPr>
          <w:rFonts w:ascii="Times New Roman" w:hAnsi="Times New Roman"/>
        </w:rPr>
        <w:t xml:space="preserve">  Below the level of the super-magnates, there is even less on the baronial leaders such as Robert </w:t>
      </w:r>
      <w:proofErr w:type="gramStart"/>
      <w:r>
        <w:rPr>
          <w:rFonts w:ascii="Times New Roman" w:hAnsi="Times New Roman"/>
        </w:rPr>
        <w:t>fitz</w:t>
      </w:r>
      <w:proofErr w:type="gramEnd"/>
      <w:r>
        <w:rPr>
          <w:rFonts w:ascii="Times New Roman" w:hAnsi="Times New Roman"/>
        </w:rPr>
        <w:t xml:space="preserve"> Walter, or the knights.</w:t>
      </w:r>
      <w:r>
        <w:rPr>
          <w:rStyle w:val="FootnoteReference"/>
          <w:rFonts w:ascii="Times New Roman" w:hAnsi="Times New Roman"/>
        </w:rPr>
        <w:footnoteReference w:id="174"/>
      </w:r>
      <w:r>
        <w:rPr>
          <w:rFonts w:ascii="Times New Roman" w:hAnsi="Times New Roman"/>
        </w:rPr>
        <w:t xml:space="preserve"> This despite the fact that there are county by county surveys of contrariants, and as Holt noticed as long ago as 1955, not only the chancery rolls for those returning to fealty, but a series of original letters repledging loyalty, still unpublished in The National Archives.</w:t>
      </w:r>
      <w:r>
        <w:rPr>
          <w:rStyle w:val="FootnoteReference"/>
          <w:rFonts w:ascii="Times New Roman" w:hAnsi="Times New Roman"/>
        </w:rPr>
        <w:footnoteReference w:id="175"/>
      </w:r>
      <w:r>
        <w:rPr>
          <w:rFonts w:ascii="Times New Roman" w:hAnsi="Times New Roman"/>
        </w:rPr>
        <w:t xml:space="preserve">  </w:t>
      </w:r>
    </w:p>
    <w:p w14:paraId="04AA79B4" w14:textId="115EF885" w:rsidR="00A27FF6" w:rsidRDefault="00A27FF6" w:rsidP="00A27FF6">
      <w:pPr>
        <w:widowControl w:val="0"/>
        <w:autoSpaceDE w:val="0"/>
        <w:autoSpaceDN w:val="0"/>
        <w:adjustRightInd w:val="0"/>
        <w:rPr>
          <w:rFonts w:ascii="Times New Roman" w:hAnsi="Times New Roman"/>
        </w:rPr>
      </w:pPr>
      <w:r>
        <w:rPr>
          <w:rFonts w:ascii="Times New Roman" w:hAnsi="Times New Roman"/>
        </w:rPr>
        <w:t>The lawyers and the legal historians, having acknowledged diversity</w:t>
      </w:r>
      <w:r w:rsidR="00841B19">
        <w:rPr>
          <w:rFonts w:ascii="Times New Roman" w:hAnsi="Times New Roman"/>
        </w:rPr>
        <w:t>,</w:t>
      </w:r>
      <w:r>
        <w:rPr>
          <w:rFonts w:ascii="Times New Roman" w:hAnsi="Times New Roman"/>
        </w:rPr>
        <w:t xml:space="preserve"> need now to celebrate rather than to</w:t>
      </w:r>
      <w:r w:rsidRPr="00432580">
        <w:rPr>
          <w:rFonts w:ascii="Times New Roman" w:hAnsi="Times New Roman"/>
        </w:rPr>
        <w:t xml:space="preserve"> </w:t>
      </w:r>
      <w:r>
        <w:rPr>
          <w:rFonts w:ascii="Times New Roman" w:hAnsi="Times New Roman"/>
        </w:rPr>
        <w:t xml:space="preserve">repudiate it.  </w:t>
      </w:r>
      <w:proofErr w:type="gramStart"/>
      <w:r>
        <w:rPr>
          <w:rFonts w:ascii="Times New Roman" w:hAnsi="Times New Roman"/>
        </w:rPr>
        <w:t>Some makers of the law were very clever</w:t>
      </w:r>
      <w:proofErr w:type="gramEnd"/>
      <w:r>
        <w:rPr>
          <w:rFonts w:ascii="Times New Roman" w:hAnsi="Times New Roman"/>
        </w:rPr>
        <w:t xml:space="preserve">, </w:t>
      </w:r>
      <w:proofErr w:type="gramStart"/>
      <w:r>
        <w:rPr>
          <w:rFonts w:ascii="Times New Roman" w:hAnsi="Times New Roman"/>
        </w:rPr>
        <w:t>others were not</w:t>
      </w:r>
      <w:proofErr w:type="gramEnd"/>
      <w:r>
        <w:rPr>
          <w:rFonts w:ascii="Times New Roman" w:hAnsi="Times New Roman"/>
        </w:rPr>
        <w:t>.  Some perfected their skills in Bologna.  Others never travelled further south than Portsmouth or Shoreham.  Some saw broad horizons, others saw only immediate need.  Even amongst the intellectuals, Stephen Langton's vision of justice was not that of Hubert Walter, nor King John's that of Philip Augustus.  For all that we know</w:t>
      </w:r>
      <w:proofErr w:type="gramStart"/>
      <w:r>
        <w:rPr>
          <w:rFonts w:ascii="Times New Roman" w:hAnsi="Times New Roman"/>
        </w:rPr>
        <w:t>,</w:t>
      </w:r>
      <w:proofErr w:type="gramEnd"/>
      <w:r>
        <w:rPr>
          <w:rFonts w:ascii="Times New Roman" w:hAnsi="Times New Roman"/>
        </w:rPr>
        <w:t xml:space="preserve"> Simon of Pattishall had a very different conception of the law from that held by James of Potterne (to name but two of the judicial experts cited by Doris Stenton in proof of King John's position as chairman of a highly talented supreme court).</w:t>
      </w:r>
      <w:r>
        <w:rPr>
          <w:rStyle w:val="FootnoteReference"/>
          <w:rFonts w:ascii="Times New Roman" w:hAnsi="Times New Roman"/>
        </w:rPr>
        <w:footnoteReference w:id="176"/>
      </w:r>
      <w:r>
        <w:rPr>
          <w:rFonts w:ascii="Times New Roman" w:hAnsi="Times New Roman"/>
        </w:rPr>
        <w:t xml:space="preserve">  There will probably never be a Grand Unification Theory of law.  But in the meantime, the Blackstonian Common Law, like Newtonian mechanics, has been shown to exhibit peculiarities undreamed of by its first investigators.  </w:t>
      </w:r>
    </w:p>
    <w:p w14:paraId="1B0BB221" w14:textId="77777777" w:rsidR="00A27FF6" w:rsidRDefault="00A27FF6" w:rsidP="00A27FF6">
      <w:pPr>
        <w:widowControl w:val="0"/>
        <w:autoSpaceDE w:val="0"/>
        <w:autoSpaceDN w:val="0"/>
        <w:adjustRightInd w:val="0"/>
        <w:spacing w:after="240"/>
        <w:rPr>
          <w:rFonts w:ascii="Times New Roman" w:hAnsi="Times New Roman"/>
        </w:rPr>
      </w:pPr>
    </w:p>
    <w:p w14:paraId="2ABD5742" w14:textId="77777777"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In the meantime, and despite lip service paid to the continental parallels to Magna Carta, there has been no proper comparative study of the charter's European siblings, and no comparative study of English public finance, save for a brief preliminary effort published in 1967.</w:t>
      </w:r>
      <w:r>
        <w:rPr>
          <w:rStyle w:val="FootnoteReference"/>
          <w:rFonts w:ascii="Times New Roman" w:hAnsi="Times New Roman"/>
        </w:rPr>
        <w:footnoteReference w:id="177"/>
      </w:r>
      <w:r>
        <w:rPr>
          <w:rFonts w:ascii="Times New Roman" w:hAnsi="Times New Roman"/>
        </w:rPr>
        <w:t xml:space="preserve"> The workings of the English royal Exchequer are well known.  Those of the chancery remain obscure, including, indeed, the processes and scribal professionalism that went to the making of Magna Carta itself.</w:t>
      </w:r>
      <w:r>
        <w:rPr>
          <w:rStyle w:val="FootnoteReference"/>
          <w:rFonts w:ascii="Times New Roman" w:hAnsi="Times New Roman"/>
        </w:rPr>
        <w:footnoteReference w:id="178"/>
      </w:r>
      <w:r>
        <w:rPr>
          <w:rFonts w:ascii="Times New Roman" w:hAnsi="Times New Roman"/>
        </w:rPr>
        <w:t xml:space="preserve">  More generally, diplomatists, and the historians of finance need to assimilate the implications of recent work on accountability and the twelfth- or thirteenth-century understanding of office and </w:t>
      </w:r>
      <w:r w:rsidRPr="008F7C0B">
        <w:rPr>
          <w:rFonts w:ascii="Times New Roman" w:hAnsi="Times New Roman"/>
          <w:i/>
        </w:rPr>
        <w:t>res publica</w:t>
      </w:r>
      <w:r>
        <w:rPr>
          <w:rFonts w:ascii="Times New Roman" w:hAnsi="Times New Roman"/>
        </w:rPr>
        <w:t>.</w:t>
      </w:r>
      <w:r>
        <w:rPr>
          <w:rStyle w:val="FootnoteReference"/>
          <w:rFonts w:ascii="Times New Roman" w:hAnsi="Times New Roman"/>
        </w:rPr>
        <w:footnoteReference w:id="179"/>
      </w:r>
      <w:r>
        <w:rPr>
          <w:rFonts w:ascii="Times New Roman" w:hAnsi="Times New Roman"/>
        </w:rPr>
        <w:t xml:space="preserve">  A crudely personal or psychological reading of relations between governed and government, like Blackstonian legal theory or determinist materialism, is no longer fit for purpose.</w:t>
      </w:r>
    </w:p>
    <w:p w14:paraId="3CC94C74" w14:textId="77777777"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In the not so distant future there will be a need to revisit Faith Thompson on the charter's fate, after 1300.  In the process, the early-modern reception of the charter will have to be viewed in the same broad European perspectives that are now expected for the twelfth or thirteenth centuries.</w:t>
      </w:r>
      <w:r>
        <w:rPr>
          <w:rStyle w:val="FootnoteReference"/>
          <w:rFonts w:ascii="Times New Roman" w:hAnsi="Times New Roman"/>
        </w:rPr>
        <w:footnoteReference w:id="180"/>
      </w:r>
      <w:r>
        <w:rPr>
          <w:rFonts w:ascii="Times New Roman" w:hAnsi="Times New Roman"/>
        </w:rPr>
        <w:t xml:space="preserve">  There are already efforts towards a new </w:t>
      </w:r>
      <w:proofErr w:type="gramStart"/>
      <w:r>
        <w:rPr>
          <w:rFonts w:ascii="Times New Roman" w:hAnsi="Times New Roman"/>
        </w:rPr>
        <w:t>clause by clause</w:t>
      </w:r>
      <w:proofErr w:type="gramEnd"/>
      <w:r>
        <w:rPr>
          <w:rFonts w:ascii="Times New Roman" w:hAnsi="Times New Roman"/>
        </w:rPr>
        <w:t xml:space="preserve"> commentary on the charter of 1215, but the charter of 1225, and its reception into English legal practice remains ripe for reassessment.</w:t>
      </w:r>
      <w:r>
        <w:rPr>
          <w:rStyle w:val="FootnoteReference"/>
          <w:rFonts w:ascii="Times New Roman" w:hAnsi="Times New Roman"/>
        </w:rPr>
        <w:footnoteReference w:id="181"/>
      </w:r>
      <w:r>
        <w:rPr>
          <w:rFonts w:ascii="Times New Roman" w:hAnsi="Times New Roman"/>
        </w:rPr>
        <w:t xml:space="preserve">  So does the continental reception of Magna Carta and English law, not only in the thirteenth </w:t>
      </w:r>
      <w:proofErr w:type="gramStart"/>
      <w:r>
        <w:rPr>
          <w:rFonts w:ascii="Times New Roman" w:hAnsi="Times New Roman"/>
        </w:rPr>
        <w:t>but</w:t>
      </w:r>
      <w:proofErr w:type="gramEnd"/>
      <w:r>
        <w:rPr>
          <w:rFonts w:ascii="Times New Roman" w:hAnsi="Times New Roman"/>
        </w:rPr>
        <w:t xml:space="preserve"> in all succeeding centuries.  So do the chronicles of Roger of Wendover, 'Walter of Coventry', Ralph of Coggeshall, Gervase of Canterbury and Roger of Howden, all of them essential to the story of King John and Magna Carta, all of them still read in editions by Stubbs and his contemporaries, predating even the foundation of </w:t>
      </w:r>
      <w:r w:rsidRPr="00A54EEF">
        <w:rPr>
          <w:rFonts w:ascii="Times New Roman" w:hAnsi="Times New Roman"/>
          <w:i/>
        </w:rPr>
        <w:t>EHR</w:t>
      </w:r>
      <w:r>
        <w:rPr>
          <w:rFonts w:ascii="Times New Roman" w:hAnsi="Times New Roman"/>
        </w:rPr>
        <w:t>.  2015 will supply new momentum for investigations here.  As with the aftermath of 1915, or 1965, it may not be for a decade or more before the impact of these new approaches is more widely felt.</w:t>
      </w:r>
    </w:p>
    <w:p w14:paraId="1186D0F1" w14:textId="3E76BEDE" w:rsidR="00A27FF6" w:rsidRDefault="00A27FF6" w:rsidP="00A27FF6">
      <w:pPr>
        <w:widowControl w:val="0"/>
        <w:autoSpaceDE w:val="0"/>
        <w:autoSpaceDN w:val="0"/>
        <w:adjustRightInd w:val="0"/>
        <w:spacing w:after="240"/>
        <w:rPr>
          <w:rFonts w:ascii="Times New Roman" w:hAnsi="Times New Roman"/>
        </w:rPr>
      </w:pPr>
      <w:r>
        <w:rPr>
          <w:rFonts w:ascii="Times New Roman" w:hAnsi="Times New Roman"/>
        </w:rPr>
        <w:t>Far from being unstudied, as Holt claimed in 2003, Magna Carta remains very much a topic of debate.  New discoveries, some of them truly remarkable, can be expected in 2015. Let us end, however, with the best of the modern successors to Stubbs, Powicke and Holt.  Only last year, Peter Coss greeted John Hudson's history of English law as a book fit to stand alongside that by Pollock and Maitland.  Appropriately enough, Hudson's book ends not with Magna Carta but with the charter's legacy and specifically with the need, from Magna Carta's first reissues, for procedural experiment to frustrate the ingenuity of the lawyers.</w:t>
      </w:r>
      <w:r>
        <w:rPr>
          <w:rStyle w:val="FootnoteReference"/>
          <w:rFonts w:ascii="Times New Roman" w:hAnsi="Times New Roman"/>
        </w:rPr>
        <w:footnoteReference w:id="182"/>
      </w:r>
      <w:r>
        <w:rPr>
          <w:rFonts w:ascii="Times New Roman" w:hAnsi="Times New Roman"/>
        </w:rPr>
        <w:t xml:space="preserve"> 2015 </w:t>
      </w:r>
      <w:proofErr w:type="gramStart"/>
      <w:r>
        <w:rPr>
          <w:rFonts w:ascii="Times New Roman" w:hAnsi="Times New Roman"/>
        </w:rPr>
        <w:t>itself</w:t>
      </w:r>
      <w:proofErr w:type="gramEnd"/>
      <w:r>
        <w:rPr>
          <w:rFonts w:ascii="Times New Roman" w:hAnsi="Times New Roman"/>
        </w:rPr>
        <w:t xml:space="preserve"> has already seen the publication of David Carpenter's new study of </w:t>
      </w:r>
      <w:r w:rsidRPr="00F67517">
        <w:rPr>
          <w:rFonts w:ascii="Times New Roman" w:hAnsi="Times New Roman"/>
          <w:i/>
        </w:rPr>
        <w:t>Magna Carta</w:t>
      </w:r>
      <w:r>
        <w:rPr>
          <w:rFonts w:ascii="Times New Roman" w:hAnsi="Times New Roman"/>
        </w:rPr>
        <w:t>, a monograph likely in time to rank alongside that by Holt</w:t>
      </w:r>
      <w:r w:rsidR="006B135E">
        <w:rPr>
          <w:rFonts w:ascii="Times New Roman" w:hAnsi="Times New Roman"/>
        </w:rPr>
        <w:t>.  At</w:t>
      </w:r>
      <w:r>
        <w:rPr>
          <w:rFonts w:ascii="Times New Roman" w:hAnsi="Times New Roman"/>
        </w:rPr>
        <w:t xml:space="preserve"> the age of fifty, </w:t>
      </w:r>
      <w:r w:rsidR="006B135E">
        <w:rPr>
          <w:rFonts w:ascii="Times New Roman" w:hAnsi="Times New Roman"/>
        </w:rPr>
        <w:t>Holt's book is itself about to be</w:t>
      </w:r>
      <w:r>
        <w:rPr>
          <w:rFonts w:ascii="Times New Roman" w:hAnsi="Times New Roman"/>
        </w:rPr>
        <w:t xml:space="preserve"> reissued in a third and updated edition.</w:t>
      </w:r>
      <w:r w:rsidR="006B135E">
        <w:rPr>
          <w:rStyle w:val="FootnoteReference"/>
          <w:rFonts w:ascii="Times New Roman" w:hAnsi="Times New Roman"/>
        </w:rPr>
        <w:footnoteReference w:id="183"/>
      </w:r>
      <w:r>
        <w:rPr>
          <w:rFonts w:ascii="Times New Roman" w:hAnsi="Times New Roman"/>
        </w:rPr>
        <w:t xml:space="preserve">  As ever, taking the long view of historical debate tends to remind us both how far we have come in some respects, and how little in others. </w:t>
      </w:r>
      <w:r w:rsidR="006E4A44">
        <w:rPr>
          <w:rFonts w:ascii="Times New Roman" w:hAnsi="Times New Roman"/>
        </w:rPr>
        <w:t xml:space="preserve">  </w:t>
      </w:r>
      <w:r>
        <w:rPr>
          <w:rFonts w:ascii="Times New Roman" w:hAnsi="Times New Roman"/>
        </w:rPr>
        <w:t xml:space="preserve">Magna Carta </w:t>
      </w:r>
      <w:r w:rsidR="006E4A44">
        <w:rPr>
          <w:rFonts w:ascii="Times New Roman" w:hAnsi="Times New Roman"/>
        </w:rPr>
        <w:t xml:space="preserve">itself now celebrates its 800th anniversary.  By comparison, </w:t>
      </w:r>
      <w:r w:rsidR="006E4A44" w:rsidRPr="006E4A44">
        <w:rPr>
          <w:rFonts w:ascii="Times New Roman" w:hAnsi="Times New Roman"/>
          <w:i/>
        </w:rPr>
        <w:t>EHR</w:t>
      </w:r>
      <w:r w:rsidR="006E4A44">
        <w:rPr>
          <w:rFonts w:ascii="Times New Roman" w:hAnsi="Times New Roman"/>
        </w:rPr>
        <w:t xml:space="preserve"> is a mere stripling of 130 years.  I have no doubt, however, that it will be to </w:t>
      </w:r>
      <w:r w:rsidR="006E4A44" w:rsidRPr="006E4A44">
        <w:rPr>
          <w:rFonts w:ascii="Times New Roman" w:hAnsi="Times New Roman"/>
          <w:i/>
        </w:rPr>
        <w:t>EHR</w:t>
      </w:r>
      <w:r w:rsidR="006E4A44">
        <w:rPr>
          <w:rFonts w:ascii="Times New Roman" w:hAnsi="Times New Roman"/>
        </w:rPr>
        <w:t xml:space="preserve"> that </w:t>
      </w:r>
      <w:r w:rsidR="00841B19">
        <w:rPr>
          <w:rFonts w:ascii="Times New Roman" w:hAnsi="Times New Roman"/>
        </w:rPr>
        <w:t>future generations</w:t>
      </w:r>
      <w:r w:rsidR="006E4A44">
        <w:rPr>
          <w:rFonts w:ascii="Times New Roman" w:hAnsi="Times New Roman"/>
        </w:rPr>
        <w:t xml:space="preserve"> will continue to look for the publication of the most significant new discoveries concerning Magna Carta as for much else that is newest and best in English historical scholarship</w:t>
      </w:r>
      <w:r>
        <w:rPr>
          <w:rFonts w:ascii="Times New Roman" w:hAnsi="Times New Roman"/>
        </w:rPr>
        <w:t>.</w:t>
      </w:r>
    </w:p>
    <w:p w14:paraId="7C0A5602" w14:textId="77777777" w:rsidR="00840053" w:rsidRDefault="00840053"/>
    <w:sectPr w:rsidR="00840053" w:rsidSect="00826B16">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8ED170" w14:textId="77777777" w:rsidR="00036517" w:rsidRDefault="00036517" w:rsidP="00A27FF6">
      <w:r>
        <w:separator/>
      </w:r>
    </w:p>
  </w:endnote>
  <w:endnote w:type="continuationSeparator" w:id="0">
    <w:p w14:paraId="0BA14345" w14:textId="77777777" w:rsidR="00036517" w:rsidRDefault="00036517" w:rsidP="00A27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Times-Roman">
    <w:altName w:val="Times"/>
    <w:panose1 w:val="00000000000000000000"/>
    <w:charset w:val="00"/>
    <w:family w:val="auto"/>
    <w:notTrueType/>
    <w:pitch w:val="default"/>
  </w:font>
  <w:font w:name="Geneva">
    <w:panose1 w:val="020B0503030404040204"/>
    <w:charset w:val="00"/>
    <w:family w:val="auto"/>
    <w:pitch w:val="variable"/>
    <w:sig w:usb0="00000007" w:usb1="00000000" w:usb2="00000000" w:usb3="00000000" w:csb0="00000093" w:csb1="00000000"/>
  </w:font>
  <w:font w:name="Arial Unicode MS">
    <w:panose1 w:val="020B0604020202020204"/>
    <w:charset w:val="00"/>
    <w:family w:val="auto"/>
    <w:pitch w:val="variable"/>
    <w:sig w:usb0="F7FFAFFF" w:usb1="E9DFFFFF" w:usb2="0000003F" w:usb3="00000000" w:csb0="003F01FF" w:csb1="00000000"/>
  </w:font>
  <w:font w:name="ヒラギノ明朝 ProN W3">
    <w:charset w:val="4E"/>
    <w:family w:val="auto"/>
    <w:pitch w:val="variable"/>
    <w:sig w:usb0="E00002FF" w:usb1="7AC7FFFF" w:usb2="00000012" w:usb3="00000000" w:csb0="0002000D"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928E3A" w14:textId="77777777" w:rsidR="00036517" w:rsidRDefault="00036517" w:rsidP="00A27FF6">
      <w:r>
        <w:separator/>
      </w:r>
    </w:p>
  </w:footnote>
  <w:footnote w:type="continuationSeparator" w:id="0">
    <w:p w14:paraId="46246ACD" w14:textId="77777777" w:rsidR="00036517" w:rsidRDefault="00036517" w:rsidP="00A27FF6">
      <w:r>
        <w:continuationSeparator/>
      </w:r>
    </w:p>
  </w:footnote>
  <w:footnote w:id="1">
    <w:p w14:paraId="4D53D5CE" w14:textId="030CFC20"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 Stubbs, </w:t>
      </w:r>
      <w:r w:rsidRPr="009D33F1">
        <w:rPr>
          <w:rFonts w:ascii="Times New Roman" w:hAnsi="Times New Roman"/>
          <w:i/>
          <w:sz w:val="20"/>
          <w:szCs w:val="20"/>
        </w:rPr>
        <w:t>The Constitutional History of England in its Origin and Development</w:t>
      </w:r>
      <w:r w:rsidRPr="009D33F1">
        <w:rPr>
          <w:rFonts w:ascii="Times New Roman" w:hAnsi="Times New Roman"/>
          <w:sz w:val="20"/>
          <w:szCs w:val="20"/>
        </w:rPr>
        <w:t xml:space="preserve">, vol. 1 (Oxford, 1874), 532.  For assistance with what follows, I am especially grateful to John Hudson and John Maddicott.  The problems of the online search tool were resolved, at least in part, with the help of Catherine Wright.  As this article goes to press, I learn of the death of John Baldwin, who read an early version and with whom, until a few weeks ago, I had the pleasure of debating </w:t>
      </w:r>
      <w:proofErr w:type="gramStart"/>
      <w:r w:rsidRPr="009D33F1">
        <w:rPr>
          <w:rFonts w:ascii="Times New Roman" w:hAnsi="Times New Roman"/>
          <w:sz w:val="20"/>
          <w:szCs w:val="20"/>
        </w:rPr>
        <w:t>various</w:t>
      </w:r>
      <w:proofErr w:type="gramEnd"/>
      <w:r w:rsidRPr="009D33F1">
        <w:rPr>
          <w:rFonts w:ascii="Times New Roman" w:hAnsi="Times New Roman"/>
          <w:sz w:val="20"/>
          <w:szCs w:val="20"/>
        </w:rPr>
        <w:t xml:space="preserve"> of the ideas expressed below.  This essay is dedicated in his memory.</w:t>
      </w:r>
    </w:p>
  </w:footnote>
  <w:footnote w:id="2">
    <w:p w14:paraId="243E209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Both the Bodleian and the British Library hold an 1873, privately printed </w:t>
      </w:r>
      <w:r w:rsidRPr="009D33F1">
        <w:rPr>
          <w:rFonts w:ascii="Times New Roman" w:eastAsia="Arial Unicode MS" w:hAnsi="Times New Roman"/>
          <w:i/>
          <w:color w:val="262623"/>
          <w:sz w:val="20"/>
          <w:szCs w:val="20"/>
        </w:rPr>
        <w:t>Translation of Such Documents as are Untranslated in Dr. Stubb's Select Charters</w:t>
      </w:r>
      <w:r w:rsidRPr="009D33F1">
        <w:rPr>
          <w:rFonts w:ascii="Times New Roman" w:eastAsia="Arial Unicode MS" w:hAnsi="Times New Roman"/>
          <w:color w:val="262623"/>
          <w:sz w:val="20"/>
          <w:szCs w:val="20"/>
        </w:rPr>
        <w:t xml:space="preserve"> (by A.T. Shrimpton).  The only copies of the 1870 edition that I have been able to trace survive in the libraries of Balliol and Queen's College Oxford (Balliol Stack 1080.c.072; Queen's Basement K.c.4 and 5), whence available as an electronic resource from the main Bodleian 'SOLO' catalogue.</w:t>
      </w:r>
    </w:p>
  </w:footnote>
  <w:footnote w:id="3">
    <w:p w14:paraId="7E74479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the teaching of diplomatic at Oxford, see R. Sharpe, ‘Learning to Read’, </w:t>
      </w:r>
      <w:r w:rsidRPr="009D33F1">
        <w:rPr>
          <w:rFonts w:ascii="Times New Roman" w:hAnsi="Times New Roman"/>
          <w:i/>
          <w:sz w:val="20"/>
          <w:szCs w:val="20"/>
        </w:rPr>
        <w:t>The Oxford Historian</w:t>
      </w:r>
      <w:r w:rsidRPr="009D33F1">
        <w:rPr>
          <w:rFonts w:ascii="Times New Roman" w:hAnsi="Times New Roman"/>
          <w:sz w:val="20"/>
          <w:szCs w:val="20"/>
        </w:rPr>
        <w:t xml:space="preserve">, v (2007), 10-13, and Poole’s own essay ‘The Teaching of Palaeography and Diplomatic’, </w:t>
      </w:r>
      <w:r w:rsidRPr="009D33F1">
        <w:rPr>
          <w:rFonts w:ascii="Times New Roman" w:hAnsi="Times New Roman"/>
          <w:i/>
          <w:sz w:val="20"/>
          <w:szCs w:val="20"/>
        </w:rPr>
        <w:t>Essays on the Teaching of History</w:t>
      </w:r>
      <w:r w:rsidRPr="009D33F1">
        <w:rPr>
          <w:rFonts w:ascii="Times New Roman" w:hAnsi="Times New Roman"/>
          <w:sz w:val="20"/>
          <w:szCs w:val="20"/>
        </w:rPr>
        <w:t xml:space="preserve">, ed. W.A.J. Archbold with an introduction by F.W. Maitland (Cambridge 1901), 11-30.  See also Poole's magisterial review of Alfred Giry's </w:t>
      </w:r>
      <w:r w:rsidRPr="009D33F1">
        <w:rPr>
          <w:rFonts w:ascii="Times New Roman" w:hAnsi="Times New Roman"/>
          <w:i/>
          <w:sz w:val="20"/>
          <w:szCs w:val="20"/>
        </w:rPr>
        <w:t>Manuel de Diplomatique</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xi (1896), </w:t>
      </w:r>
      <w:proofErr w:type="gramStart"/>
      <w:r w:rsidRPr="009D33F1">
        <w:rPr>
          <w:rFonts w:ascii="Times New Roman" w:hAnsi="Times New Roman"/>
          <w:sz w:val="20"/>
          <w:szCs w:val="20"/>
        </w:rPr>
        <w:t>336</w:t>
      </w:r>
      <w:proofErr w:type="gramEnd"/>
      <w:r w:rsidRPr="009D33F1">
        <w:rPr>
          <w:rFonts w:ascii="Times New Roman" w:hAnsi="Times New Roman"/>
          <w:sz w:val="20"/>
          <w:szCs w:val="20"/>
        </w:rPr>
        <w:t>-40.</w:t>
      </w:r>
    </w:p>
  </w:footnote>
  <w:footnote w:id="4">
    <w:p w14:paraId="4DEC7CA5"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The first mention seems to be by A.L. Smith, reviewing a recent book on the history of taxation, </w:t>
      </w:r>
      <w:r w:rsidRPr="009D33F1">
        <w:rPr>
          <w:rFonts w:ascii="Times New Roman" w:hAnsi="Times New Roman"/>
          <w:i/>
          <w:sz w:val="20"/>
          <w:szCs w:val="20"/>
        </w:rPr>
        <w:t>ante</w:t>
      </w:r>
      <w:r w:rsidRPr="009D33F1">
        <w:rPr>
          <w:rFonts w:ascii="Times New Roman" w:hAnsi="Times New Roman"/>
          <w:sz w:val="20"/>
          <w:szCs w:val="20"/>
        </w:rPr>
        <w:t xml:space="preserve">, i (1886), 564.  Thereafter, see T.F. Tout, reviewing Rudolf Gneist on the history of Parliament, </w:t>
      </w:r>
      <w:r w:rsidRPr="009D33F1">
        <w:rPr>
          <w:rFonts w:ascii="Times New Roman" w:hAnsi="Times New Roman"/>
          <w:i/>
          <w:sz w:val="20"/>
          <w:szCs w:val="20"/>
        </w:rPr>
        <w:t>ante</w:t>
      </w:r>
      <w:r w:rsidRPr="009D33F1">
        <w:rPr>
          <w:rFonts w:ascii="Times New Roman" w:hAnsi="Times New Roman"/>
          <w:sz w:val="20"/>
          <w:szCs w:val="20"/>
        </w:rPr>
        <w:t xml:space="preserve">, ii (1887), </w:t>
      </w:r>
      <w:proofErr w:type="gramStart"/>
      <w:r w:rsidRPr="009D33F1">
        <w:rPr>
          <w:rFonts w:ascii="Times New Roman" w:hAnsi="Times New Roman"/>
          <w:sz w:val="20"/>
          <w:szCs w:val="20"/>
        </w:rPr>
        <w:t>563</w:t>
      </w:r>
      <w:proofErr w:type="gramEnd"/>
      <w:r w:rsidRPr="009D33F1">
        <w:rPr>
          <w:rFonts w:ascii="Times New Roman" w:hAnsi="Times New Roman"/>
          <w:sz w:val="20"/>
          <w:szCs w:val="20"/>
        </w:rPr>
        <w:t>.</w:t>
      </w:r>
    </w:p>
  </w:footnote>
  <w:footnote w:id="5">
    <w:p w14:paraId="0476B6B6"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Round and the making of his </w:t>
      </w:r>
      <w:r w:rsidRPr="009D33F1">
        <w:rPr>
          <w:rFonts w:ascii="Times New Roman" w:hAnsi="Times New Roman"/>
          <w:i/>
          <w:sz w:val="20"/>
          <w:szCs w:val="20"/>
        </w:rPr>
        <w:t>Calendar</w:t>
      </w:r>
      <w:r w:rsidRPr="009D33F1">
        <w:rPr>
          <w:rFonts w:ascii="Times New Roman" w:hAnsi="Times New Roman"/>
          <w:sz w:val="20"/>
          <w:szCs w:val="20"/>
        </w:rPr>
        <w:t xml:space="preserve">, see E. King, 'John Horace Round and the "Calendar of Documents Preserved in France"', </w:t>
      </w:r>
      <w:r w:rsidRPr="009D33F1">
        <w:rPr>
          <w:rFonts w:ascii="Times New Roman" w:hAnsi="Times New Roman"/>
          <w:i/>
          <w:sz w:val="20"/>
          <w:szCs w:val="20"/>
        </w:rPr>
        <w:t>Anglo-Norman Studies</w:t>
      </w:r>
      <w:r w:rsidRPr="009D33F1">
        <w:rPr>
          <w:rFonts w:ascii="Times New Roman" w:hAnsi="Times New Roman"/>
          <w:sz w:val="20"/>
          <w:szCs w:val="20"/>
        </w:rPr>
        <w:t xml:space="preserve">, </w:t>
      </w:r>
      <w:proofErr w:type="gramStart"/>
      <w:r w:rsidRPr="009D33F1">
        <w:rPr>
          <w:rFonts w:ascii="Times New Roman" w:hAnsi="Times New Roman"/>
          <w:sz w:val="20"/>
          <w:szCs w:val="20"/>
        </w:rPr>
        <w:t>iv</w:t>
      </w:r>
      <w:proofErr w:type="gramEnd"/>
      <w:r w:rsidRPr="009D33F1">
        <w:rPr>
          <w:rFonts w:ascii="Times New Roman" w:hAnsi="Times New Roman"/>
          <w:sz w:val="20"/>
          <w:szCs w:val="20"/>
        </w:rPr>
        <w:t xml:space="preserve"> (1982), 93-103.</w:t>
      </w:r>
    </w:p>
  </w:footnote>
  <w:footnote w:id="6">
    <w:p w14:paraId="594C25C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J.H. Round, 'An Unknown Charter of Liberties', </w:t>
      </w:r>
      <w:r w:rsidRPr="009D33F1">
        <w:rPr>
          <w:rFonts w:ascii="Times New Roman" w:hAnsi="Times New Roman"/>
          <w:i/>
          <w:sz w:val="20"/>
          <w:szCs w:val="20"/>
        </w:rPr>
        <w:t>ante</w:t>
      </w:r>
      <w:r w:rsidRPr="009D33F1">
        <w:rPr>
          <w:rFonts w:ascii="Times New Roman" w:hAnsi="Times New Roman"/>
          <w:sz w:val="20"/>
          <w:szCs w:val="20"/>
        </w:rPr>
        <w:t>, viii (1893), 288-94.</w:t>
      </w:r>
    </w:p>
  </w:footnote>
  <w:footnote w:id="7">
    <w:p w14:paraId="59513B7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See here King, ‘John Horace Round’, 98-100; W.R. Powell, </w:t>
      </w:r>
      <w:r w:rsidRPr="009D33F1">
        <w:rPr>
          <w:rFonts w:ascii="Times New Roman" w:hAnsi="Times New Roman"/>
          <w:i/>
          <w:sz w:val="20"/>
          <w:szCs w:val="20"/>
        </w:rPr>
        <w:t>John Horace Round: Histotian and Gentleman of Essex</w:t>
      </w:r>
      <w:r w:rsidRPr="009D33F1">
        <w:rPr>
          <w:rFonts w:ascii="Times New Roman" w:hAnsi="Times New Roman"/>
          <w:sz w:val="20"/>
          <w:szCs w:val="20"/>
        </w:rPr>
        <w:t xml:space="preserve"> (Chelmsford 1901), 110-14 (noting Round’s withdrawal from the proposal for a joint edition with Hall of the Red Book of the Exchequer as early as 1890), 136-9, 183-4; C. Johnson, ‘Hubert Hall, 1857-1944’, </w:t>
      </w:r>
      <w:r w:rsidRPr="009D33F1">
        <w:rPr>
          <w:rFonts w:ascii="Times New Roman" w:hAnsi="Times New Roman"/>
          <w:i/>
          <w:sz w:val="20"/>
          <w:szCs w:val="20"/>
        </w:rPr>
        <w:t>Transactions of the Royal Historical Society</w:t>
      </w:r>
      <w:r w:rsidRPr="009D33F1">
        <w:rPr>
          <w:rFonts w:ascii="Times New Roman" w:hAnsi="Times New Roman"/>
          <w:sz w:val="20"/>
          <w:szCs w:val="20"/>
        </w:rPr>
        <w:t>, 4</w:t>
      </w:r>
      <w:r w:rsidRPr="009D33F1">
        <w:rPr>
          <w:rFonts w:ascii="Times New Roman" w:hAnsi="Times New Roman"/>
          <w:sz w:val="20"/>
          <w:szCs w:val="20"/>
          <w:vertAlign w:val="superscript"/>
        </w:rPr>
        <w:t>th</w:t>
      </w:r>
      <w:r w:rsidRPr="009D33F1">
        <w:rPr>
          <w:rFonts w:ascii="Times New Roman" w:hAnsi="Times New Roman"/>
          <w:sz w:val="20"/>
          <w:szCs w:val="20"/>
        </w:rPr>
        <w:t xml:space="preserve"> series xxviii (1946), 1-5, esp. p.3.</w:t>
      </w:r>
    </w:p>
  </w:footnote>
  <w:footnote w:id="8">
    <w:p w14:paraId="1C62788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r w:rsidRPr="009D33F1">
        <w:rPr>
          <w:rFonts w:ascii="Times New Roman" w:hAnsi="Times New Roman"/>
          <w:i/>
          <w:sz w:val="20"/>
          <w:szCs w:val="20"/>
        </w:rPr>
        <w:t>Layettes du Trésor des Chartes</w:t>
      </w:r>
      <w:r w:rsidRPr="009D33F1">
        <w:rPr>
          <w:rFonts w:ascii="Times New Roman" w:hAnsi="Times New Roman"/>
          <w:sz w:val="20"/>
          <w:szCs w:val="20"/>
        </w:rPr>
        <w:t>, ed. A. Teulet, H</w:t>
      </w:r>
      <w:proofErr w:type="gramStart"/>
      <w:r w:rsidRPr="009D33F1">
        <w:rPr>
          <w:rFonts w:ascii="Times New Roman" w:hAnsi="Times New Roman"/>
          <w:sz w:val="20"/>
          <w:szCs w:val="20"/>
        </w:rPr>
        <w:t>.-</w:t>
      </w:r>
      <w:proofErr w:type="gramEnd"/>
      <w:r w:rsidRPr="009D33F1">
        <w:rPr>
          <w:rFonts w:ascii="Times New Roman" w:hAnsi="Times New Roman"/>
          <w:sz w:val="20"/>
          <w:szCs w:val="20"/>
        </w:rPr>
        <w:t>F. Delaborde and E Berger, 5 vols. (Paris 1863-1909)</w:t>
      </w:r>
      <w:proofErr w:type="gramStart"/>
      <w:r w:rsidRPr="009D33F1">
        <w:rPr>
          <w:rFonts w:ascii="Times New Roman" w:hAnsi="Times New Roman"/>
          <w:sz w:val="20"/>
          <w:szCs w:val="20"/>
        </w:rPr>
        <w:t>, i, 34-5 no.34, 423 no.1153.</w:t>
      </w:r>
      <w:proofErr w:type="gramEnd"/>
    </w:p>
  </w:footnote>
  <w:footnote w:id="9">
    <w:p w14:paraId="08B7A7E5"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 Hall, 'An Unknown Charter of Liberties', </w:t>
      </w:r>
      <w:r w:rsidRPr="009D33F1">
        <w:rPr>
          <w:rFonts w:ascii="Times New Roman" w:hAnsi="Times New Roman"/>
          <w:i/>
          <w:sz w:val="20"/>
          <w:szCs w:val="20"/>
        </w:rPr>
        <w:t>ante</w:t>
      </w:r>
      <w:r w:rsidRPr="009D33F1">
        <w:rPr>
          <w:rFonts w:ascii="Times New Roman" w:hAnsi="Times New Roman"/>
          <w:sz w:val="20"/>
          <w:szCs w:val="20"/>
        </w:rPr>
        <w:t>, ix (1894), 326-35.</w:t>
      </w:r>
    </w:p>
  </w:footnote>
  <w:footnote w:id="10">
    <w:p w14:paraId="08B0BA89"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J.W. Prothero, 'Note on "An Unknown Charter of Liberties"', </w:t>
      </w:r>
      <w:r w:rsidRPr="009D33F1">
        <w:rPr>
          <w:rFonts w:ascii="Times New Roman" w:hAnsi="Times New Roman"/>
          <w:i/>
          <w:sz w:val="20"/>
          <w:szCs w:val="20"/>
        </w:rPr>
        <w:t>ante</w:t>
      </w:r>
      <w:r w:rsidRPr="009D33F1">
        <w:rPr>
          <w:rFonts w:ascii="Times New Roman" w:hAnsi="Times New Roman"/>
          <w:sz w:val="20"/>
          <w:szCs w:val="20"/>
        </w:rPr>
        <w:t xml:space="preserve">, ix (1894), 117-121 (suggesting a date in May 1215, rather than in 1213 as had been proposed by Round), and H.W.C. Davis, 'An Unknown Charter of Liberties', </w:t>
      </w:r>
      <w:r w:rsidRPr="009D33F1">
        <w:rPr>
          <w:rFonts w:ascii="Times New Roman" w:hAnsi="Times New Roman"/>
          <w:i/>
          <w:sz w:val="20"/>
          <w:szCs w:val="20"/>
        </w:rPr>
        <w:t>ante</w:t>
      </w:r>
      <w:r w:rsidRPr="009D33F1">
        <w:rPr>
          <w:rFonts w:ascii="Times New Roman" w:hAnsi="Times New Roman"/>
          <w:sz w:val="20"/>
          <w:szCs w:val="20"/>
        </w:rPr>
        <w:t xml:space="preserve">, xx (1905), 719-26 (suggesting a date in June rather than May 1215, after the Articles of the Barons but before Magna Carta).   For a recent discussion of the date, rejecting Hall and in general inclining towards Davis rather than towards Round, see J.C. Holt, </w:t>
      </w:r>
      <w:r w:rsidRPr="009D33F1">
        <w:rPr>
          <w:rFonts w:ascii="Times New Roman" w:hAnsi="Times New Roman"/>
          <w:i/>
          <w:sz w:val="20"/>
          <w:szCs w:val="20"/>
        </w:rPr>
        <w:t>Magna Carta</w:t>
      </w:r>
      <w:r w:rsidRPr="009D33F1">
        <w:rPr>
          <w:rFonts w:ascii="Times New Roman" w:hAnsi="Times New Roman"/>
          <w:sz w:val="20"/>
          <w:szCs w:val="20"/>
        </w:rPr>
        <w:t xml:space="preserve">, 2nd ed. (Cambridge 1992), 418-28.  For the circumstances in which the Unknown charter passed to France, in some ways rehearsing arguments first outlined by Hall, see J.W. Baldwin, 'Master Stephen Langton, Future Archbishop of Canterbury: The Paris Schools and Magna Carta', </w:t>
      </w:r>
      <w:r w:rsidRPr="009D33F1">
        <w:rPr>
          <w:rFonts w:ascii="Times New Roman" w:hAnsi="Times New Roman"/>
          <w:i/>
          <w:sz w:val="20"/>
          <w:szCs w:val="20"/>
        </w:rPr>
        <w:t>ante</w:t>
      </w:r>
      <w:r w:rsidRPr="009D33F1">
        <w:rPr>
          <w:rFonts w:ascii="Times New Roman" w:hAnsi="Times New Roman"/>
          <w:sz w:val="20"/>
          <w:szCs w:val="20"/>
        </w:rPr>
        <w:t xml:space="preserve">, cxxiii (2008), 811-46, esp. pp. 838-46.  In 1926, meanwhile, in pursuit of the 'original' text of Henry I's coronation charter of 1100, the German historian, Ludwig Riess, had advanced yet another solution, here reprising Round but with a new suggestion, that the 'Unknown Charter' represented a copy of negotiations between King and barons, sent to King John in France in 1214 and there intercepted by the French: L. Riess, 'Zur Vorgeschichte der Magna Charta', </w:t>
      </w:r>
      <w:r w:rsidRPr="009D33F1">
        <w:rPr>
          <w:rFonts w:ascii="Times New Roman" w:hAnsi="Times New Roman"/>
          <w:i/>
          <w:sz w:val="20"/>
          <w:szCs w:val="20"/>
        </w:rPr>
        <w:t>Historische Vierteljahrschrift</w:t>
      </w:r>
      <w:r w:rsidRPr="009D33F1">
        <w:rPr>
          <w:rFonts w:ascii="Times New Roman" w:hAnsi="Times New Roman"/>
          <w:sz w:val="20"/>
          <w:szCs w:val="20"/>
        </w:rPr>
        <w:t xml:space="preserve">, xiii (1910), 449-58, reprised as idem, 'The Reissue of Henry I's Coronation Charter', </w:t>
      </w:r>
      <w:r w:rsidRPr="009D33F1">
        <w:rPr>
          <w:rFonts w:ascii="Times New Roman" w:hAnsi="Times New Roman"/>
          <w:i/>
          <w:sz w:val="20"/>
          <w:szCs w:val="20"/>
        </w:rPr>
        <w:t>ante</w:t>
      </w:r>
      <w:r w:rsidRPr="009D33F1">
        <w:rPr>
          <w:rFonts w:ascii="Times New Roman" w:hAnsi="Times New Roman"/>
          <w:sz w:val="20"/>
          <w:szCs w:val="20"/>
        </w:rPr>
        <w:t>, xli (1926), 321-31, esp. pp.325-6.</w:t>
      </w:r>
    </w:p>
  </w:footnote>
  <w:footnote w:id="11">
    <w:p w14:paraId="7EF0D20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Above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 xml:space="preserve">, and see in particular J.H. Round, </w:t>
      </w:r>
      <w:r w:rsidRPr="009D33F1">
        <w:rPr>
          <w:rFonts w:ascii="Times New Roman" w:hAnsi="Times New Roman"/>
          <w:i/>
          <w:sz w:val="20"/>
          <w:szCs w:val="20"/>
        </w:rPr>
        <w:t>Studies on the Red Book of the Exchequer</w:t>
      </w:r>
      <w:r w:rsidRPr="009D33F1">
        <w:rPr>
          <w:rFonts w:ascii="Times New Roman" w:hAnsi="Times New Roman"/>
          <w:sz w:val="20"/>
          <w:szCs w:val="20"/>
        </w:rPr>
        <w:t xml:space="preserve"> (London 1898); H. Hall, </w:t>
      </w:r>
      <w:r w:rsidRPr="009D33F1">
        <w:rPr>
          <w:rFonts w:ascii="Times New Roman" w:hAnsi="Times New Roman"/>
          <w:i/>
          <w:sz w:val="20"/>
          <w:szCs w:val="20"/>
        </w:rPr>
        <w:t>The Red Book of the Exchequer: A Reply to Mr J.H. Round</w:t>
      </w:r>
      <w:r w:rsidRPr="009D33F1">
        <w:rPr>
          <w:rFonts w:ascii="Times New Roman" w:hAnsi="Times New Roman"/>
          <w:sz w:val="20"/>
          <w:szCs w:val="20"/>
        </w:rPr>
        <w:t xml:space="preserve"> (London 1898), accompanied by further exchanges in </w:t>
      </w:r>
      <w:r w:rsidRPr="009D33F1">
        <w:rPr>
          <w:rFonts w:ascii="Times New Roman" w:hAnsi="Times New Roman"/>
          <w:i/>
          <w:sz w:val="20"/>
          <w:szCs w:val="20"/>
        </w:rPr>
        <w:t>EHR</w:t>
      </w:r>
      <w:r w:rsidRPr="009D33F1">
        <w:rPr>
          <w:rFonts w:ascii="Times New Roman" w:hAnsi="Times New Roman"/>
          <w:sz w:val="20"/>
          <w:szCs w:val="20"/>
        </w:rPr>
        <w:t xml:space="preserve">, by Poole, </w:t>
      </w:r>
      <w:r w:rsidRPr="009D33F1">
        <w:rPr>
          <w:rFonts w:ascii="Times New Roman" w:hAnsi="Times New Roman"/>
          <w:i/>
          <w:sz w:val="20"/>
          <w:szCs w:val="20"/>
        </w:rPr>
        <w:t>ante</w:t>
      </w:r>
      <w:r w:rsidRPr="009D33F1">
        <w:rPr>
          <w:rFonts w:ascii="Times New Roman" w:hAnsi="Times New Roman"/>
          <w:sz w:val="20"/>
          <w:szCs w:val="20"/>
        </w:rPr>
        <w:t xml:space="preserve">, xiv (1899), 148-50, to which Hall replied in a privately printed pamphlet, </w:t>
      </w:r>
      <w:r w:rsidRPr="009D33F1">
        <w:rPr>
          <w:rFonts w:ascii="Times New Roman" w:hAnsi="Times New Roman"/>
          <w:i/>
          <w:sz w:val="20"/>
          <w:szCs w:val="20"/>
        </w:rPr>
        <w:t>The English Historical Review and the Red Book of the Exchequer</w:t>
      </w:r>
      <w:r w:rsidRPr="009D33F1">
        <w:rPr>
          <w:rFonts w:ascii="Times New Roman" w:hAnsi="Times New Roman"/>
          <w:sz w:val="20"/>
          <w:szCs w:val="20"/>
        </w:rPr>
        <w:t xml:space="preserve"> (London 1899).  Poole had definitively overturned the judicious but too kind review of Hall's </w:t>
      </w:r>
      <w:r w:rsidRPr="009D33F1">
        <w:rPr>
          <w:rFonts w:ascii="Times New Roman" w:hAnsi="Times New Roman"/>
          <w:i/>
          <w:sz w:val="20"/>
          <w:szCs w:val="20"/>
        </w:rPr>
        <w:t>Red Book</w:t>
      </w:r>
      <w:r w:rsidRPr="009D33F1">
        <w:rPr>
          <w:rFonts w:ascii="Times New Roman" w:hAnsi="Times New Roman"/>
          <w:sz w:val="20"/>
          <w:szCs w:val="20"/>
        </w:rPr>
        <w:t xml:space="preserve"> contributed by T.F. Tout, </w:t>
      </w:r>
      <w:r w:rsidRPr="009D33F1">
        <w:rPr>
          <w:rFonts w:ascii="Times New Roman" w:hAnsi="Times New Roman"/>
          <w:i/>
          <w:sz w:val="20"/>
          <w:szCs w:val="20"/>
        </w:rPr>
        <w:t>ante</w:t>
      </w:r>
      <w:r w:rsidRPr="009D33F1">
        <w:rPr>
          <w:rFonts w:ascii="Times New Roman" w:hAnsi="Times New Roman"/>
          <w:sz w:val="20"/>
          <w:szCs w:val="20"/>
        </w:rPr>
        <w:t xml:space="preserve">, xiii (1898), </w:t>
      </w:r>
      <w:proofErr w:type="gramStart"/>
      <w:r w:rsidRPr="009D33F1">
        <w:rPr>
          <w:rFonts w:ascii="Times New Roman" w:hAnsi="Times New Roman"/>
          <w:sz w:val="20"/>
          <w:szCs w:val="20"/>
        </w:rPr>
        <w:t>145</w:t>
      </w:r>
      <w:proofErr w:type="gramEnd"/>
      <w:r w:rsidRPr="009D33F1">
        <w:rPr>
          <w:rFonts w:ascii="Times New Roman" w:hAnsi="Times New Roman"/>
          <w:sz w:val="20"/>
          <w:szCs w:val="20"/>
        </w:rPr>
        <w:t xml:space="preserve">-50.  For Hall's side of the story, see M. Procter, 'The Red Book of the Exchequer: A Curious Affair Revisited', </w:t>
      </w:r>
      <w:r w:rsidRPr="009D33F1">
        <w:rPr>
          <w:rFonts w:ascii="Times New Roman" w:hAnsi="Times New Roman"/>
          <w:i/>
          <w:sz w:val="20"/>
          <w:szCs w:val="20"/>
        </w:rPr>
        <w:t>Historical Research</w:t>
      </w:r>
      <w:r w:rsidRPr="009D33F1">
        <w:rPr>
          <w:rFonts w:ascii="Times New Roman" w:hAnsi="Times New Roman"/>
          <w:sz w:val="20"/>
          <w:szCs w:val="20"/>
        </w:rPr>
        <w:t xml:space="preserve">, lxxxvii (2013), 510-32; idem, 'Hubert Hall (1857-1944): Archival Endeavour and the Promotion of Historical Enterprise', Unpublished PhD thesis (University of Liverpool 2012, consulted at &lt;https://www.mysciencework.com/publication/read/6565822/hubert-hall-1857-1944-archival-endeavour-and-the-promotion-of-historical-enterprise#page-3&gt;, pp.91-130, at pp.106-7 noting that Round had first been tempted into public attacks upon the reliability of the </w:t>
      </w:r>
      <w:r w:rsidRPr="009D33F1">
        <w:rPr>
          <w:rFonts w:ascii="Times New Roman" w:hAnsi="Times New Roman"/>
          <w:i/>
          <w:sz w:val="20"/>
          <w:szCs w:val="20"/>
        </w:rPr>
        <w:t>Red Book</w:t>
      </w:r>
      <w:r w:rsidRPr="009D33F1">
        <w:rPr>
          <w:rFonts w:ascii="Times New Roman" w:hAnsi="Times New Roman"/>
          <w:sz w:val="20"/>
          <w:szCs w:val="20"/>
        </w:rPr>
        <w:t xml:space="preserve">, though not as yet of Hall, in his articles on 'The Introduction of Knight Service into England', </w:t>
      </w:r>
      <w:r w:rsidRPr="009D33F1">
        <w:rPr>
          <w:rFonts w:ascii="Times New Roman" w:hAnsi="Times New Roman"/>
          <w:i/>
          <w:sz w:val="20"/>
          <w:szCs w:val="20"/>
        </w:rPr>
        <w:t>ante</w:t>
      </w:r>
      <w:r w:rsidRPr="009D33F1">
        <w:rPr>
          <w:rFonts w:ascii="Times New Roman" w:hAnsi="Times New Roman"/>
          <w:sz w:val="20"/>
          <w:szCs w:val="20"/>
        </w:rPr>
        <w:t>, vi (1891), 417-43, 625-45; vii (1892), 11-24.  Round's article on the 'Unknown Charter' (</w:t>
      </w:r>
      <w:r w:rsidRPr="009D33F1">
        <w:rPr>
          <w:rFonts w:ascii="Times New Roman" w:hAnsi="Times New Roman"/>
          <w:i/>
          <w:sz w:val="20"/>
          <w:szCs w:val="20"/>
        </w:rPr>
        <w:t>ante</w:t>
      </w:r>
      <w:r w:rsidRPr="009D33F1">
        <w:rPr>
          <w:rFonts w:ascii="Times New Roman" w:hAnsi="Times New Roman"/>
          <w:sz w:val="20"/>
          <w:szCs w:val="20"/>
        </w:rPr>
        <w:t>, viii (1893), 288) continued to pay tribute to Hall's assistance and expertise.</w:t>
      </w:r>
    </w:p>
  </w:footnote>
  <w:footnote w:id="12">
    <w:p w14:paraId="77B6B34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J.H. Round, 'Note on Magna Carta', </w:t>
      </w:r>
      <w:r w:rsidRPr="009D33F1">
        <w:rPr>
          <w:rFonts w:ascii="Times New Roman" w:hAnsi="Times New Roman"/>
          <w:i/>
          <w:sz w:val="20"/>
          <w:szCs w:val="20"/>
        </w:rPr>
        <w:t>ante</w:t>
      </w:r>
      <w:r w:rsidRPr="009D33F1">
        <w:rPr>
          <w:rFonts w:ascii="Times New Roman" w:hAnsi="Times New Roman"/>
          <w:sz w:val="20"/>
          <w:szCs w:val="20"/>
        </w:rPr>
        <w:t>, ix (1894), 541.</w:t>
      </w:r>
    </w:p>
  </w:footnote>
  <w:footnote w:id="13">
    <w:p w14:paraId="3708AF7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See here N. Vincent, </w:t>
      </w:r>
      <w:r w:rsidRPr="009D33F1">
        <w:rPr>
          <w:rFonts w:ascii="Times New Roman" w:hAnsi="Times New Roman"/>
          <w:i/>
          <w:sz w:val="20"/>
          <w:szCs w:val="20"/>
        </w:rPr>
        <w:t>Magna Carta: A Very Short Introduction</w:t>
      </w:r>
      <w:r w:rsidRPr="009D33F1">
        <w:rPr>
          <w:rFonts w:ascii="Times New Roman" w:hAnsi="Times New Roman"/>
          <w:sz w:val="20"/>
          <w:szCs w:val="20"/>
        </w:rPr>
        <w:t xml:space="preserve"> (Oxford 2012), 88-9, with a more extensive discussion of the relationship between the Norman Magna Carta and the Norman Très Ancien Coutumier forthcoming.</w:t>
      </w:r>
    </w:p>
  </w:footnote>
  <w:footnote w:id="14">
    <w:p w14:paraId="6341429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 Pollock and F.W. Maitland, </w:t>
      </w:r>
      <w:r w:rsidRPr="009D33F1">
        <w:rPr>
          <w:rFonts w:ascii="Times New Roman" w:hAnsi="Times New Roman"/>
          <w:i/>
          <w:sz w:val="20"/>
          <w:szCs w:val="20"/>
        </w:rPr>
        <w:t>The History of English Law Before the Time of Edward I</w:t>
      </w:r>
      <w:r w:rsidRPr="009D33F1">
        <w:rPr>
          <w:rFonts w:ascii="Times New Roman" w:hAnsi="Times New Roman"/>
          <w:sz w:val="20"/>
          <w:szCs w:val="20"/>
        </w:rPr>
        <w:t xml:space="preserve">, 2 vols (Cambridge 1895), reviwed by Edward Fry, </w:t>
      </w:r>
      <w:r w:rsidRPr="009D33F1">
        <w:rPr>
          <w:rFonts w:ascii="Times New Roman" w:hAnsi="Times New Roman"/>
          <w:i/>
          <w:sz w:val="20"/>
          <w:szCs w:val="20"/>
        </w:rPr>
        <w:t>ante</w:t>
      </w:r>
      <w:r w:rsidRPr="009D33F1">
        <w:rPr>
          <w:rFonts w:ascii="Times New Roman" w:hAnsi="Times New Roman"/>
          <w:sz w:val="20"/>
          <w:szCs w:val="20"/>
        </w:rPr>
        <w:t>, x (1895), 760-8.</w:t>
      </w:r>
    </w:p>
  </w:footnote>
  <w:footnote w:id="15">
    <w:p w14:paraId="59A5C366" w14:textId="7CFDCFD6"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 Tait, 'Studies in Magna Carta', </w:t>
      </w:r>
      <w:r w:rsidRPr="009D33F1">
        <w:rPr>
          <w:rFonts w:ascii="Times New Roman" w:hAnsi="Times New Roman"/>
          <w:i/>
          <w:sz w:val="20"/>
          <w:szCs w:val="20"/>
        </w:rPr>
        <w:t>ante</w:t>
      </w:r>
      <w:r w:rsidRPr="009D33F1">
        <w:rPr>
          <w:rFonts w:ascii="Times New Roman" w:hAnsi="Times New Roman"/>
          <w:sz w:val="20"/>
          <w:szCs w:val="20"/>
        </w:rPr>
        <w:t>, xxvii (1912), 720-8</w:t>
      </w:r>
      <w:r w:rsidR="00100950">
        <w:rPr>
          <w:rFonts w:ascii="Times New Roman" w:hAnsi="Times New Roman"/>
          <w:sz w:val="20"/>
          <w:szCs w:val="20"/>
        </w:rPr>
        <w:t xml:space="preserve">, citing Bracton fo.6, whence </w:t>
      </w:r>
      <w:r w:rsidR="00100950" w:rsidRPr="00100950">
        <w:rPr>
          <w:rFonts w:ascii="Times New Roman" w:hAnsi="Times New Roman"/>
          <w:i/>
          <w:sz w:val="20"/>
          <w:szCs w:val="20"/>
        </w:rPr>
        <w:t>Bracton on the Laws and Customs of England</w:t>
      </w:r>
      <w:r w:rsidR="00100950">
        <w:rPr>
          <w:rFonts w:ascii="Times New Roman" w:hAnsi="Times New Roman"/>
          <w:sz w:val="20"/>
          <w:szCs w:val="20"/>
        </w:rPr>
        <w:t>, ed. G.E. Woodbine, trans. S.E. Thorne, 4 vols (Cambridge Mass. 1968-77), ii, 34, 'quod salvum non possit eis esse waynagium suum'</w:t>
      </w:r>
      <w:r w:rsidRPr="009D33F1">
        <w:rPr>
          <w:rFonts w:ascii="Times New Roman" w:hAnsi="Times New Roman"/>
          <w:sz w:val="20"/>
          <w:szCs w:val="20"/>
        </w:rPr>
        <w:t>.</w:t>
      </w:r>
    </w:p>
  </w:footnote>
  <w:footnote w:id="16">
    <w:p w14:paraId="474600A3"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A.F. Pollard, 'Contenementum in Magna Carta', </w:t>
      </w:r>
      <w:r w:rsidRPr="009D33F1">
        <w:rPr>
          <w:rFonts w:ascii="Times New Roman" w:hAnsi="Times New Roman"/>
          <w:i/>
          <w:sz w:val="20"/>
          <w:szCs w:val="20"/>
        </w:rPr>
        <w:t>ante</w:t>
      </w:r>
      <w:r w:rsidRPr="009D33F1">
        <w:rPr>
          <w:rFonts w:ascii="Times New Roman" w:hAnsi="Times New Roman"/>
          <w:sz w:val="20"/>
          <w:szCs w:val="20"/>
        </w:rPr>
        <w:t>, xxviii (1913), 117-18.</w:t>
      </w:r>
    </w:p>
  </w:footnote>
  <w:footnote w:id="17">
    <w:p w14:paraId="63934C39"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J.C. Holt, </w:t>
      </w:r>
      <w:r w:rsidRPr="009D33F1">
        <w:rPr>
          <w:rFonts w:ascii="Times New Roman" w:hAnsi="Times New Roman"/>
          <w:i/>
          <w:sz w:val="20"/>
          <w:szCs w:val="20"/>
        </w:rPr>
        <w:t>Magna Carta</w:t>
      </w:r>
      <w:r w:rsidRPr="009D33F1">
        <w:rPr>
          <w:rFonts w:ascii="Times New Roman" w:hAnsi="Times New Roman"/>
          <w:sz w:val="20"/>
          <w:szCs w:val="20"/>
        </w:rPr>
        <w:t>, 457.</w:t>
      </w:r>
    </w:p>
  </w:footnote>
  <w:footnote w:id="18">
    <w:p w14:paraId="24E00CD6" w14:textId="67D8535B"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Holt, 'A Vernacular French Text of Magna Carta', </w:t>
      </w:r>
      <w:r w:rsidRPr="009D33F1">
        <w:rPr>
          <w:rFonts w:ascii="Times New Roman" w:hAnsi="Times New Roman"/>
          <w:i/>
          <w:sz w:val="20"/>
          <w:szCs w:val="20"/>
        </w:rPr>
        <w:t>ante</w:t>
      </w:r>
      <w:r w:rsidRPr="009D33F1">
        <w:rPr>
          <w:rFonts w:ascii="Times New Roman" w:hAnsi="Times New Roman"/>
          <w:sz w:val="20"/>
          <w:szCs w:val="20"/>
        </w:rPr>
        <w:t xml:space="preserve">, lxxxix (1974), 359, and for 'contementum', see now the </w:t>
      </w:r>
      <w:r w:rsidRPr="009D33F1">
        <w:rPr>
          <w:rFonts w:ascii="Times New Roman" w:hAnsi="Times New Roman"/>
          <w:i/>
          <w:sz w:val="20"/>
          <w:szCs w:val="20"/>
        </w:rPr>
        <w:t>Dictionary of Medieval Latin from British Sources</w:t>
      </w:r>
      <w:r w:rsidRPr="009D33F1">
        <w:rPr>
          <w:rFonts w:ascii="Times New Roman" w:hAnsi="Times New Roman"/>
          <w:sz w:val="20"/>
          <w:szCs w:val="20"/>
        </w:rPr>
        <w:t>, Fascicule II 'C' (Oxford 1981), 465, with a particularly useful quotation from Glanville.</w:t>
      </w:r>
    </w:p>
  </w:footnote>
  <w:footnote w:id="19">
    <w:p w14:paraId="4259375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H.J. Lawlor, 'An Unnoticed Charter of Henry III, 1217', </w:t>
      </w:r>
      <w:r w:rsidRPr="009D33F1">
        <w:rPr>
          <w:rFonts w:ascii="Times New Roman" w:hAnsi="Times New Roman"/>
          <w:i/>
          <w:sz w:val="20"/>
          <w:szCs w:val="20"/>
        </w:rPr>
        <w:t>ante</w:t>
      </w:r>
      <w:r w:rsidRPr="009D33F1">
        <w:rPr>
          <w:rFonts w:ascii="Times New Roman" w:hAnsi="Times New Roman"/>
          <w:sz w:val="20"/>
          <w:szCs w:val="20"/>
        </w:rPr>
        <w:t xml:space="preserve">, xxii (1907), 514-18, and cf. idem, 'A Calendar of the Liber Niger and Liber Albus of Christ Church, Dublin', </w:t>
      </w:r>
      <w:r w:rsidRPr="009D33F1">
        <w:rPr>
          <w:rFonts w:ascii="Times New Roman" w:hAnsi="Times New Roman"/>
          <w:i/>
          <w:sz w:val="20"/>
          <w:szCs w:val="20"/>
        </w:rPr>
        <w:t>Proceedings of the Royal Irish Academy</w:t>
      </w:r>
      <w:r w:rsidRPr="009D33F1">
        <w:rPr>
          <w:rFonts w:ascii="Times New Roman" w:hAnsi="Times New Roman"/>
          <w:sz w:val="20"/>
          <w:szCs w:val="20"/>
        </w:rPr>
        <w:t>, xxvii section C (1908-9), 50 no.58.  Lawlor himself was a Church of Ireland priest, Professor of Ecclesiastical History at Trinity Dublin, and from 1924 to 1933 Dean of St Patrick's Cathedral.</w:t>
      </w:r>
    </w:p>
  </w:footnote>
  <w:footnote w:id="20">
    <w:p w14:paraId="73AC2CD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D.A. Carpenter, </w:t>
      </w:r>
      <w:r w:rsidRPr="009D33F1">
        <w:rPr>
          <w:rFonts w:ascii="Times New Roman" w:hAnsi="Times New Roman"/>
          <w:i/>
          <w:sz w:val="20"/>
          <w:szCs w:val="20"/>
        </w:rPr>
        <w:t>The Minority of Henry III</w:t>
      </w:r>
      <w:r w:rsidRPr="009D33F1">
        <w:rPr>
          <w:rFonts w:ascii="Times New Roman" w:hAnsi="Times New Roman"/>
          <w:sz w:val="20"/>
          <w:szCs w:val="20"/>
        </w:rPr>
        <w:t xml:space="preserve"> (London 1990), 60n</w:t>
      </w:r>
      <w:proofErr w:type="gramStart"/>
      <w:r w:rsidRPr="009D33F1">
        <w:rPr>
          <w:rFonts w:ascii="Times New Roman" w:hAnsi="Times New Roman"/>
          <w:sz w:val="20"/>
          <w:szCs w:val="20"/>
        </w:rPr>
        <w:t>.;</w:t>
      </w:r>
      <w:proofErr w:type="gramEnd"/>
      <w:r w:rsidRPr="009D33F1">
        <w:rPr>
          <w:rFonts w:ascii="Times New Roman" w:hAnsi="Times New Roman"/>
          <w:sz w:val="20"/>
          <w:szCs w:val="20"/>
        </w:rPr>
        <w:t xml:space="preserve"> Holt, </w:t>
      </w:r>
      <w:r w:rsidRPr="009D33F1">
        <w:rPr>
          <w:rFonts w:ascii="Times New Roman" w:hAnsi="Times New Roman"/>
          <w:i/>
          <w:sz w:val="20"/>
          <w:szCs w:val="20"/>
        </w:rPr>
        <w:t>Magna Carta</w:t>
      </w:r>
      <w:r w:rsidRPr="009D33F1">
        <w:rPr>
          <w:rFonts w:ascii="Times New Roman" w:hAnsi="Times New Roman"/>
          <w:sz w:val="20"/>
          <w:szCs w:val="20"/>
        </w:rPr>
        <w:t>, 309n and n.</w:t>
      </w:r>
    </w:p>
  </w:footnote>
  <w:footnote w:id="21">
    <w:p w14:paraId="2F41FF9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Copies of the 1215 and 1217 charters are preserved in the Christ Church Dublin Black Book.  A copy of the 1216 Magna Carta with modifications directly tailored to an Irish audience found its way into the later Red Book of the Exchequer of Dublin, whence printed (before its destruction in 1922) in </w:t>
      </w:r>
      <w:r w:rsidRPr="009D33F1">
        <w:rPr>
          <w:rFonts w:ascii="Times New Roman" w:hAnsi="Times New Roman"/>
          <w:i/>
          <w:sz w:val="20"/>
          <w:szCs w:val="20"/>
        </w:rPr>
        <w:t>Statutes and Ordinances and Acts of Parliament of Ireland.  King John to Henry V</w:t>
      </w:r>
      <w:r w:rsidRPr="009D33F1">
        <w:rPr>
          <w:rFonts w:ascii="Times New Roman" w:hAnsi="Times New Roman"/>
          <w:sz w:val="20"/>
          <w:szCs w:val="20"/>
        </w:rPr>
        <w:t xml:space="preserve">, </w:t>
      </w:r>
      <w:proofErr w:type="gramStart"/>
      <w:r w:rsidRPr="009D33F1">
        <w:rPr>
          <w:rFonts w:ascii="Times New Roman" w:hAnsi="Times New Roman"/>
          <w:sz w:val="20"/>
          <w:szCs w:val="20"/>
        </w:rPr>
        <w:t>ed</w:t>
      </w:r>
      <w:proofErr w:type="gramEnd"/>
      <w:r w:rsidRPr="009D33F1">
        <w:rPr>
          <w:rFonts w:ascii="Times New Roman" w:hAnsi="Times New Roman"/>
          <w:sz w:val="20"/>
          <w:szCs w:val="20"/>
        </w:rPr>
        <w:t xml:space="preserve">, H.F. Berry (Dublin 1907), 5-19, with further copies from the lost Red Book, now Armagh, Robinson Libary mss. </w:t>
      </w:r>
      <w:proofErr w:type="gramStart"/>
      <w:r w:rsidRPr="009D33F1">
        <w:rPr>
          <w:rFonts w:ascii="Times New Roman" w:hAnsi="Times New Roman"/>
          <w:sz w:val="20"/>
          <w:szCs w:val="20"/>
        </w:rPr>
        <w:t>KH.II.1 p.32 (by Anthony Dopping, 1643-97), and KH.II.24 (by Sir James Ware, 1594-1666).</w:t>
      </w:r>
      <w:proofErr w:type="gramEnd"/>
      <w:r w:rsidRPr="009D33F1">
        <w:rPr>
          <w:rFonts w:ascii="Times New Roman" w:hAnsi="Times New Roman"/>
          <w:sz w:val="20"/>
          <w:szCs w:val="20"/>
        </w:rPr>
        <w:t xml:space="preserve">  In general, see R.D. Edwards, ‘Magna Carta Hiberniae’, </w:t>
      </w:r>
      <w:r w:rsidRPr="009D33F1">
        <w:rPr>
          <w:rFonts w:ascii="Times New Roman" w:hAnsi="Times New Roman"/>
          <w:i/>
          <w:sz w:val="20"/>
          <w:szCs w:val="20"/>
        </w:rPr>
        <w:t>Essays and Studies Presented to Professor Eoin MacNeil, D.LITT</w:t>
      </w:r>
      <w:proofErr w:type="gramStart"/>
      <w:r w:rsidRPr="009D33F1">
        <w:rPr>
          <w:rFonts w:ascii="Times New Roman" w:hAnsi="Times New Roman"/>
          <w:i/>
          <w:sz w:val="20"/>
          <w:szCs w:val="20"/>
        </w:rPr>
        <w:t>.,</w:t>
      </w:r>
      <w:proofErr w:type="gramEnd"/>
      <w:r w:rsidRPr="009D33F1">
        <w:rPr>
          <w:rFonts w:ascii="Times New Roman" w:hAnsi="Times New Roman"/>
          <w:i/>
          <w:sz w:val="20"/>
          <w:szCs w:val="20"/>
        </w:rPr>
        <w:t xml:space="preserve"> on the Occasion of his Seventieh Birthday</w:t>
      </w:r>
      <w:r w:rsidRPr="009D33F1">
        <w:rPr>
          <w:rFonts w:ascii="Times New Roman" w:hAnsi="Times New Roman"/>
          <w:sz w:val="20"/>
          <w:szCs w:val="20"/>
        </w:rPr>
        <w:t xml:space="preserve">, ed. J. Ryan (Dublin 1940), 307-18; H.G. Richardson, ‘Magna Carta Hiberniae’, </w:t>
      </w:r>
      <w:r w:rsidRPr="009D33F1">
        <w:rPr>
          <w:rFonts w:ascii="Times New Roman" w:hAnsi="Times New Roman"/>
          <w:i/>
          <w:sz w:val="20"/>
          <w:szCs w:val="20"/>
        </w:rPr>
        <w:t>Irish Historical Studies</w:t>
      </w:r>
      <w:r w:rsidRPr="009D33F1">
        <w:rPr>
          <w:rFonts w:ascii="Times New Roman" w:hAnsi="Times New Roman"/>
          <w:sz w:val="20"/>
          <w:szCs w:val="20"/>
        </w:rPr>
        <w:t xml:space="preserve">, iii (1942-3), 31-3; Holt, </w:t>
      </w:r>
      <w:r w:rsidRPr="009D33F1">
        <w:rPr>
          <w:rFonts w:ascii="Times New Roman" w:hAnsi="Times New Roman"/>
          <w:i/>
          <w:sz w:val="20"/>
          <w:szCs w:val="20"/>
        </w:rPr>
        <w:t>Magna Carta</w:t>
      </w:r>
      <w:r w:rsidRPr="009D33F1">
        <w:rPr>
          <w:rFonts w:ascii="Times New Roman" w:hAnsi="Times New Roman"/>
          <w:sz w:val="20"/>
          <w:szCs w:val="20"/>
        </w:rPr>
        <w:t>, 382, 397.</w:t>
      </w:r>
    </w:p>
  </w:footnote>
  <w:footnote w:id="22">
    <w:p w14:paraId="11F70D83"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R.L. Poole, 'The Publication of the Great Charters by the English Kings', </w:t>
      </w:r>
      <w:r w:rsidRPr="009D33F1">
        <w:rPr>
          <w:rFonts w:ascii="Times New Roman" w:hAnsi="Times New Roman"/>
          <w:i/>
          <w:sz w:val="20"/>
          <w:szCs w:val="20"/>
        </w:rPr>
        <w:t>ante</w:t>
      </w:r>
      <w:r w:rsidRPr="009D33F1">
        <w:rPr>
          <w:rFonts w:ascii="Times New Roman" w:hAnsi="Times New Roman"/>
          <w:sz w:val="20"/>
          <w:szCs w:val="20"/>
        </w:rPr>
        <w:t>, xxviii (1913), 444-53.</w:t>
      </w:r>
    </w:p>
  </w:footnote>
  <w:footnote w:id="23">
    <w:p w14:paraId="4DCE2345"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Ibid</w:t>
      </w:r>
      <w:proofErr w:type="gramStart"/>
      <w:r w:rsidRPr="009D33F1">
        <w:rPr>
          <w:rFonts w:ascii="Times New Roman" w:hAnsi="Times New Roman"/>
          <w:sz w:val="20"/>
          <w:szCs w:val="20"/>
        </w:rPr>
        <w:t>.,</w:t>
      </w:r>
      <w:proofErr w:type="gramEnd"/>
      <w:r w:rsidRPr="009D33F1">
        <w:rPr>
          <w:rFonts w:ascii="Times New Roman" w:hAnsi="Times New Roman"/>
          <w:sz w:val="20"/>
          <w:szCs w:val="20"/>
        </w:rPr>
        <w:t xml:space="preserve"> pp.448-9.</w:t>
      </w:r>
    </w:p>
  </w:footnote>
  <w:footnote w:id="24">
    <w:p w14:paraId="782BEF3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I.W. Rowlands, 'The Text and Distribution of the Writ for the Publication of Magna Carta, 1215', </w:t>
      </w:r>
      <w:r w:rsidRPr="009D33F1">
        <w:rPr>
          <w:rFonts w:ascii="Times New Roman" w:hAnsi="Times New Roman"/>
          <w:i/>
          <w:sz w:val="20"/>
          <w:szCs w:val="20"/>
        </w:rPr>
        <w:t>ante</w:t>
      </w:r>
      <w:r w:rsidRPr="009D33F1">
        <w:rPr>
          <w:rFonts w:ascii="Times New Roman" w:hAnsi="Times New Roman"/>
          <w:sz w:val="20"/>
          <w:szCs w:val="20"/>
        </w:rPr>
        <w:t>, cxxiv (2009), 1422-31.</w:t>
      </w:r>
    </w:p>
  </w:footnote>
  <w:footnote w:id="25">
    <w:p w14:paraId="4886344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Ibid</w:t>
      </w:r>
      <w:proofErr w:type="gramStart"/>
      <w:r w:rsidRPr="009D33F1">
        <w:rPr>
          <w:rFonts w:ascii="Times New Roman" w:hAnsi="Times New Roman"/>
          <w:sz w:val="20"/>
          <w:szCs w:val="20"/>
        </w:rPr>
        <w:t>.,</w:t>
      </w:r>
      <w:proofErr w:type="gramEnd"/>
      <w:r w:rsidRPr="009D33F1">
        <w:rPr>
          <w:rFonts w:ascii="Times New Roman" w:hAnsi="Times New Roman"/>
          <w:sz w:val="20"/>
          <w:szCs w:val="20"/>
        </w:rPr>
        <w:t xml:space="preserve"> 1427-8.</w:t>
      </w:r>
    </w:p>
  </w:footnote>
  <w:footnote w:id="26">
    <w:p w14:paraId="5F907350"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David Carpenter, </w:t>
      </w:r>
      <w:r w:rsidRPr="009D33F1">
        <w:rPr>
          <w:rFonts w:ascii="Times New Roman" w:hAnsi="Times New Roman"/>
          <w:i/>
          <w:sz w:val="20"/>
          <w:szCs w:val="20"/>
        </w:rPr>
        <w:t>Magna Carta</w:t>
      </w:r>
      <w:r w:rsidRPr="009D33F1">
        <w:rPr>
          <w:rFonts w:ascii="Times New Roman" w:hAnsi="Times New Roman"/>
          <w:sz w:val="20"/>
          <w:szCs w:val="20"/>
        </w:rPr>
        <w:t xml:space="preserve"> (London 2015), 15-16, 477-80, has recently demonstrated that the 'Dering' Magna Carta, now BL ms. Cotton Charter XIII.31b was acquired by Dering not from Dover Castle but from Canterbury Cathedral.</w:t>
      </w:r>
    </w:p>
  </w:footnote>
  <w:footnote w:id="27">
    <w:p w14:paraId="43A4B70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A.B. White, 'The Name Magna Carta', </w:t>
      </w:r>
      <w:r w:rsidRPr="009D33F1">
        <w:rPr>
          <w:rFonts w:ascii="Times New Roman" w:hAnsi="Times New Roman"/>
          <w:i/>
          <w:sz w:val="20"/>
          <w:szCs w:val="20"/>
        </w:rPr>
        <w:t>ante</w:t>
      </w:r>
      <w:r w:rsidRPr="009D33F1">
        <w:rPr>
          <w:rFonts w:ascii="Times New Roman" w:hAnsi="Times New Roman"/>
          <w:sz w:val="20"/>
          <w:szCs w:val="20"/>
        </w:rPr>
        <w:t xml:space="preserve">, xxx (1915), 472-5, citing </w:t>
      </w:r>
      <w:r w:rsidRPr="009D33F1">
        <w:rPr>
          <w:rFonts w:ascii="Times New Roman" w:hAnsi="Times New Roman"/>
          <w:i/>
          <w:sz w:val="20"/>
          <w:szCs w:val="20"/>
        </w:rPr>
        <w:t>Rotuli Litterarum Clausarum</w:t>
      </w:r>
      <w:r w:rsidRPr="009D33F1">
        <w:rPr>
          <w:rFonts w:ascii="Times New Roman" w:hAnsi="Times New Roman"/>
          <w:sz w:val="20"/>
          <w:szCs w:val="20"/>
        </w:rPr>
        <w:t xml:space="preserve">, ed. T.D. Hardy, 2 vols (London 1833-44), 377-377b.  </w:t>
      </w:r>
      <w:proofErr w:type="gramStart"/>
      <w:r w:rsidRPr="009D33F1">
        <w:rPr>
          <w:rFonts w:ascii="Times New Roman" w:hAnsi="Times New Roman"/>
          <w:sz w:val="20"/>
          <w:szCs w:val="20"/>
        </w:rPr>
        <w:t xml:space="preserve">White's </w:t>
      </w:r>
      <w:r w:rsidRPr="009D33F1">
        <w:rPr>
          <w:rFonts w:ascii="Times New Roman" w:hAnsi="Times New Roman"/>
          <w:i/>
          <w:sz w:val="20"/>
          <w:szCs w:val="20"/>
        </w:rPr>
        <w:t>The Making of the English Constitution, 449-1485</w:t>
      </w:r>
      <w:r w:rsidRPr="009D33F1">
        <w:rPr>
          <w:rFonts w:ascii="Times New Roman" w:hAnsi="Times New Roman"/>
          <w:sz w:val="20"/>
          <w:szCs w:val="20"/>
        </w:rPr>
        <w:t xml:space="preserve"> (New York 1908), had been reviewed with approval by H.W.C. Davis, </w:t>
      </w:r>
      <w:r w:rsidRPr="009D33F1">
        <w:rPr>
          <w:rFonts w:ascii="Times New Roman" w:hAnsi="Times New Roman"/>
          <w:i/>
          <w:sz w:val="20"/>
          <w:szCs w:val="20"/>
        </w:rPr>
        <w:t>ante</w:t>
      </w:r>
      <w:r w:rsidRPr="009D33F1">
        <w:rPr>
          <w:rFonts w:ascii="Times New Roman" w:hAnsi="Times New Roman"/>
          <w:sz w:val="20"/>
          <w:szCs w:val="20"/>
        </w:rPr>
        <w:t>, xxiv (1909), 607-8</w:t>
      </w:r>
      <w:proofErr w:type="gramEnd"/>
      <w:r w:rsidRPr="009D33F1">
        <w:rPr>
          <w:rFonts w:ascii="Times New Roman" w:hAnsi="Times New Roman"/>
          <w:sz w:val="20"/>
          <w:szCs w:val="20"/>
        </w:rPr>
        <w:t>.</w:t>
      </w:r>
    </w:p>
  </w:footnote>
  <w:footnote w:id="28">
    <w:p w14:paraId="210D6D45"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A.B. White, 'Note on the Name Magna Carta', </w:t>
      </w:r>
      <w:r w:rsidRPr="009D33F1">
        <w:rPr>
          <w:rFonts w:ascii="Times New Roman" w:hAnsi="Times New Roman"/>
          <w:i/>
          <w:sz w:val="20"/>
          <w:szCs w:val="20"/>
        </w:rPr>
        <w:t>ante</w:t>
      </w:r>
      <w:r w:rsidRPr="009D33F1">
        <w:rPr>
          <w:rFonts w:ascii="Times New Roman" w:hAnsi="Times New Roman"/>
          <w:sz w:val="20"/>
          <w:szCs w:val="20"/>
        </w:rPr>
        <w:t xml:space="preserve">, xxxii (1917), 554-5, citing </w:t>
      </w:r>
      <w:r w:rsidRPr="009D33F1">
        <w:rPr>
          <w:rFonts w:ascii="Times New Roman" w:hAnsi="Times New Roman"/>
          <w:i/>
          <w:sz w:val="20"/>
          <w:szCs w:val="20"/>
        </w:rPr>
        <w:t>Rotuli Litterarum Clausarum</w:t>
      </w:r>
      <w:r w:rsidRPr="009D33F1">
        <w:rPr>
          <w:rFonts w:ascii="Times New Roman" w:hAnsi="Times New Roman"/>
          <w:sz w:val="20"/>
          <w:szCs w:val="20"/>
        </w:rPr>
        <w:t>, ii, 73-73b.</w:t>
      </w:r>
    </w:p>
  </w:footnote>
  <w:footnote w:id="29">
    <w:p w14:paraId="1B25A39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a brief account of the original plans and their abandonment, see H.E. Malden, ‘Introduction’, Magna Carta Commemoration Essays, ed. H.E. Malden (London 1917), pp.xix-xx, and the list of the general committee of the ‘Magna Carta Celebration, 1915’ at pp.vii-ix, chaired by Lord Bryce with the Archbishop of Canterbury and Cardinal Gasquet heading the list of committee members.</w:t>
      </w:r>
    </w:p>
  </w:footnote>
  <w:footnote w:id="30">
    <w:p w14:paraId="0E02BD0B"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F.M. Powicke, 'Roger of Wendover and the Coggeshall Chronicle', </w:t>
      </w:r>
      <w:r w:rsidRPr="009D33F1">
        <w:rPr>
          <w:rFonts w:ascii="Times New Roman" w:hAnsi="Times New Roman"/>
          <w:i/>
          <w:sz w:val="20"/>
          <w:szCs w:val="20"/>
        </w:rPr>
        <w:t>ante</w:t>
      </w:r>
      <w:r w:rsidRPr="009D33F1">
        <w:rPr>
          <w:rFonts w:ascii="Times New Roman" w:hAnsi="Times New Roman"/>
          <w:sz w:val="20"/>
          <w:szCs w:val="20"/>
        </w:rPr>
        <w:t xml:space="preserve">, xxi (1906), 286-96, cited with approval, as recently as 1998, by David Carpenter, 'Abbot Ralph of Coggeshall's Account of the Last Years of King Richard and the First Years of King John', </w:t>
      </w:r>
      <w:r w:rsidRPr="009D33F1">
        <w:rPr>
          <w:rFonts w:ascii="Times New Roman" w:hAnsi="Times New Roman"/>
          <w:i/>
          <w:sz w:val="20"/>
          <w:szCs w:val="20"/>
        </w:rPr>
        <w:t>ante</w:t>
      </w:r>
      <w:r w:rsidRPr="009D33F1">
        <w:rPr>
          <w:rFonts w:ascii="Times New Roman" w:hAnsi="Times New Roman"/>
          <w:sz w:val="20"/>
          <w:szCs w:val="20"/>
        </w:rPr>
        <w:t xml:space="preserve">, cxiii (1998), 1210-30, esp. pp.1210-11 </w:t>
      </w:r>
    </w:p>
  </w:footnote>
  <w:footnote w:id="31">
    <w:p w14:paraId="1A1AFDE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F.M. Powicke, 'The Angevin Administration of Normandy', </w:t>
      </w:r>
      <w:r w:rsidRPr="009D33F1">
        <w:rPr>
          <w:rFonts w:ascii="Times New Roman" w:hAnsi="Times New Roman"/>
          <w:i/>
          <w:sz w:val="20"/>
          <w:szCs w:val="20"/>
        </w:rPr>
        <w:t>ante</w:t>
      </w:r>
      <w:r w:rsidRPr="009D33F1">
        <w:rPr>
          <w:rFonts w:ascii="Times New Roman" w:hAnsi="Times New Roman"/>
          <w:sz w:val="20"/>
          <w:szCs w:val="20"/>
        </w:rPr>
        <w:t>, xxi (1906), 625-49, xxii (1907), 15-42.</w:t>
      </w:r>
    </w:p>
  </w:footnote>
  <w:footnote w:id="32">
    <w:p w14:paraId="188B5585"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Powicke, 'King John and Arthur of Brittany', </w:t>
      </w:r>
      <w:r w:rsidRPr="009D33F1">
        <w:rPr>
          <w:rFonts w:ascii="Times New Roman" w:hAnsi="Times New Roman"/>
          <w:i/>
          <w:sz w:val="20"/>
          <w:szCs w:val="20"/>
        </w:rPr>
        <w:t>ante</w:t>
      </w:r>
      <w:r w:rsidRPr="009D33F1">
        <w:rPr>
          <w:rFonts w:ascii="Times New Roman" w:hAnsi="Times New Roman"/>
          <w:sz w:val="20"/>
          <w:szCs w:val="20"/>
        </w:rPr>
        <w:t xml:space="preserve">, xxiv (1909), 659-74, at least three times republished in revised form, as an appendix to Powicke, </w:t>
      </w:r>
      <w:r w:rsidRPr="009D33F1">
        <w:rPr>
          <w:rFonts w:ascii="Times New Roman" w:hAnsi="Times New Roman"/>
          <w:i/>
          <w:sz w:val="20"/>
          <w:szCs w:val="20"/>
        </w:rPr>
        <w:t>The Loss of Normandy</w:t>
      </w:r>
      <w:r w:rsidRPr="009D33F1">
        <w:rPr>
          <w:rFonts w:ascii="Times New Roman" w:hAnsi="Times New Roman"/>
          <w:sz w:val="20"/>
          <w:szCs w:val="20"/>
        </w:rPr>
        <w:t xml:space="preserve">, in both the 1913 and 1961 editions, and in a shorter version in Powicke’s collection of essays, </w:t>
      </w:r>
      <w:r w:rsidRPr="009D33F1">
        <w:rPr>
          <w:rFonts w:ascii="Times New Roman" w:hAnsi="Times New Roman"/>
          <w:i/>
          <w:sz w:val="20"/>
          <w:szCs w:val="20"/>
        </w:rPr>
        <w:t>Ways of Medieval Life and Thought</w:t>
      </w:r>
      <w:r w:rsidRPr="009D33F1">
        <w:rPr>
          <w:rFonts w:ascii="Times New Roman" w:hAnsi="Times New Roman"/>
          <w:sz w:val="20"/>
          <w:szCs w:val="20"/>
        </w:rPr>
        <w:t xml:space="preserve"> (London 1949), ch.2.</w:t>
      </w:r>
    </w:p>
  </w:footnote>
  <w:footnote w:id="33">
    <w:p w14:paraId="345C978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highlights here, see I.W. Rowlands, 'William de Braose and the Lordship of Brecon', </w:t>
      </w:r>
      <w:r w:rsidRPr="009D33F1">
        <w:rPr>
          <w:rFonts w:ascii="Times New Roman" w:hAnsi="Times New Roman"/>
          <w:i/>
          <w:sz w:val="20"/>
          <w:szCs w:val="20"/>
        </w:rPr>
        <w:t>Bulletin of the Board of Celtic Studies</w:t>
      </w:r>
      <w:r w:rsidRPr="009D33F1">
        <w:rPr>
          <w:rFonts w:ascii="Times New Roman" w:hAnsi="Times New Roman"/>
          <w:sz w:val="20"/>
          <w:szCs w:val="20"/>
        </w:rPr>
        <w:t xml:space="preserve">, xxx (1982-3), 122-33; B. Holden, 'King John, the Braoses and the Celtic Fringe, 1207-16', </w:t>
      </w:r>
      <w:r w:rsidRPr="009D33F1">
        <w:rPr>
          <w:rFonts w:ascii="Times New Roman" w:hAnsi="Times New Roman"/>
          <w:i/>
          <w:sz w:val="20"/>
          <w:szCs w:val="20"/>
        </w:rPr>
        <w:t>Albion</w:t>
      </w:r>
      <w:r w:rsidRPr="009D33F1">
        <w:rPr>
          <w:rFonts w:ascii="Times New Roman" w:hAnsi="Times New Roman"/>
          <w:sz w:val="20"/>
          <w:szCs w:val="20"/>
        </w:rPr>
        <w:t>, xxxiii (2001), 1-23; D. Crouch, 'The Complaint of King John against William de Briouze (</w:t>
      </w:r>
      <w:r w:rsidRPr="009D33F1">
        <w:rPr>
          <w:rFonts w:ascii="Times New Roman" w:hAnsi="Times New Roman"/>
          <w:i/>
          <w:sz w:val="20"/>
          <w:szCs w:val="20"/>
        </w:rPr>
        <w:t>c</w:t>
      </w:r>
      <w:r w:rsidRPr="009D33F1">
        <w:rPr>
          <w:rFonts w:ascii="Times New Roman" w:hAnsi="Times New Roman"/>
          <w:sz w:val="20"/>
          <w:szCs w:val="20"/>
        </w:rPr>
        <w:t xml:space="preserve">. September 1210): The Black Book of the Exchequer Text', </w:t>
      </w:r>
      <w:r w:rsidRPr="009D33F1">
        <w:rPr>
          <w:rFonts w:ascii="Times New Roman" w:hAnsi="Times New Roman"/>
          <w:i/>
          <w:sz w:val="20"/>
          <w:szCs w:val="20"/>
        </w:rPr>
        <w:t>Magna Carta and the England of King John</w:t>
      </w:r>
      <w:r w:rsidRPr="009D33F1">
        <w:rPr>
          <w:rFonts w:ascii="Times New Roman" w:hAnsi="Times New Roman"/>
          <w:sz w:val="20"/>
          <w:szCs w:val="20"/>
        </w:rPr>
        <w:t xml:space="preserve">, ed. J.S. Loengard (Woodbridge 2010), 168-79, and most recently C. Veach, 'King John and Royal Control in Ireland: Why William de Briouze had to be Destroyed', </w:t>
      </w:r>
      <w:r w:rsidRPr="009D33F1">
        <w:rPr>
          <w:rFonts w:ascii="Times New Roman" w:hAnsi="Times New Roman"/>
          <w:i/>
          <w:sz w:val="20"/>
          <w:szCs w:val="20"/>
        </w:rPr>
        <w:t>ante</w:t>
      </w:r>
      <w:r w:rsidRPr="009D33F1">
        <w:rPr>
          <w:rFonts w:ascii="Times New Roman" w:hAnsi="Times New Roman"/>
          <w:sz w:val="20"/>
          <w:szCs w:val="20"/>
        </w:rPr>
        <w:t>, cxxix (2014), 1051-78, downplaying the significance of Arthur's disappearance as a motive for William de Braose's disgrace (pp.1072-3) and suggesting that the real motive for John's 1210 campaign in Ireland was not the pursuit of Braose but the resistance of the Lacy and the Marshal factions to a reassertion of royal control in Ireland.</w:t>
      </w:r>
    </w:p>
  </w:footnote>
  <w:footnote w:id="34">
    <w:p w14:paraId="5F2EB398"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M. Bateson, 'A London Municipal Collection of the Reign of John', </w:t>
      </w:r>
      <w:r w:rsidRPr="009D33F1">
        <w:rPr>
          <w:rFonts w:ascii="Times New Roman" w:hAnsi="Times New Roman"/>
          <w:i/>
          <w:sz w:val="20"/>
          <w:szCs w:val="20"/>
        </w:rPr>
        <w:t>ante</w:t>
      </w:r>
      <w:r w:rsidRPr="009D33F1">
        <w:rPr>
          <w:rFonts w:ascii="Times New Roman" w:hAnsi="Times New Roman"/>
          <w:sz w:val="20"/>
          <w:szCs w:val="20"/>
        </w:rPr>
        <w:t xml:space="preserve">, xvii (1902), 480-511, 707-30, from London, BL ms. Additional 14252.  For Bateson herself, see the obituary notice by Reginald Lane Poole, </w:t>
      </w:r>
      <w:r w:rsidRPr="009D33F1">
        <w:rPr>
          <w:rFonts w:ascii="Times New Roman" w:hAnsi="Times New Roman"/>
          <w:i/>
          <w:sz w:val="20"/>
          <w:szCs w:val="20"/>
        </w:rPr>
        <w:t>ante</w:t>
      </w:r>
      <w:r w:rsidRPr="009D33F1">
        <w:rPr>
          <w:rFonts w:ascii="Times New Roman" w:hAnsi="Times New Roman"/>
          <w:sz w:val="20"/>
          <w:szCs w:val="20"/>
        </w:rPr>
        <w:t xml:space="preserve">, xxii (1907), </w:t>
      </w:r>
      <w:proofErr w:type="gramStart"/>
      <w:r w:rsidRPr="009D33F1">
        <w:rPr>
          <w:rFonts w:ascii="Times New Roman" w:hAnsi="Times New Roman"/>
          <w:sz w:val="20"/>
          <w:szCs w:val="20"/>
        </w:rPr>
        <w:t>64</w:t>
      </w:r>
      <w:proofErr w:type="gramEnd"/>
      <w:r w:rsidRPr="009D33F1">
        <w:rPr>
          <w:rFonts w:ascii="Times New Roman" w:hAnsi="Times New Roman"/>
          <w:sz w:val="20"/>
          <w:szCs w:val="20"/>
        </w:rPr>
        <w:t>-8.</w:t>
      </w:r>
    </w:p>
  </w:footnote>
  <w:footnote w:id="35">
    <w:p w14:paraId="1DACB0F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 Liebermann, 'A Contemporary Manuscript of the "Leges Anglorum Londoniis collectae"', </w:t>
      </w:r>
      <w:r w:rsidRPr="009D33F1">
        <w:rPr>
          <w:rFonts w:ascii="Times New Roman" w:hAnsi="Times New Roman"/>
          <w:i/>
          <w:sz w:val="20"/>
          <w:szCs w:val="20"/>
        </w:rPr>
        <w:t>ante</w:t>
      </w:r>
      <w:r w:rsidRPr="009D33F1">
        <w:rPr>
          <w:rFonts w:ascii="Times New Roman" w:hAnsi="Times New Roman"/>
          <w:sz w:val="20"/>
          <w:szCs w:val="20"/>
        </w:rPr>
        <w:t>, xxviii (1913), 732-45, from Manchester, John Rylands Library ms. Latin 174.</w:t>
      </w:r>
    </w:p>
  </w:footnote>
  <w:footnote w:id="36">
    <w:p w14:paraId="050E29B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 Ballard, 'The English Boroughs in the Reign of John', </w:t>
      </w:r>
      <w:r w:rsidRPr="009D33F1">
        <w:rPr>
          <w:rFonts w:ascii="Times New Roman" w:hAnsi="Times New Roman"/>
          <w:i/>
          <w:sz w:val="20"/>
          <w:szCs w:val="20"/>
        </w:rPr>
        <w:t>ante</w:t>
      </w:r>
      <w:r w:rsidRPr="009D33F1">
        <w:rPr>
          <w:rFonts w:ascii="Times New Roman" w:hAnsi="Times New Roman"/>
          <w:sz w:val="20"/>
          <w:szCs w:val="20"/>
        </w:rPr>
        <w:t>, xiv (1899), 93-104.</w:t>
      </w:r>
    </w:p>
  </w:footnote>
  <w:footnote w:id="37">
    <w:p w14:paraId="0B63CCA5"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J.H. Round, 'King John and Robert Fitzwalter', </w:t>
      </w:r>
      <w:r w:rsidRPr="009D33F1">
        <w:rPr>
          <w:rFonts w:ascii="Times New Roman" w:hAnsi="Times New Roman"/>
          <w:i/>
          <w:sz w:val="20"/>
          <w:szCs w:val="20"/>
        </w:rPr>
        <w:t>ante</w:t>
      </w:r>
      <w:r w:rsidRPr="009D33F1">
        <w:rPr>
          <w:rFonts w:ascii="Times New Roman" w:hAnsi="Times New Roman"/>
          <w:sz w:val="20"/>
          <w:szCs w:val="20"/>
        </w:rPr>
        <w:t xml:space="preserve">, xix (1904), 707-11, continuing work first published by Round in his </w:t>
      </w:r>
      <w:r w:rsidRPr="009D33F1">
        <w:rPr>
          <w:rFonts w:ascii="Times New Roman" w:hAnsi="Times New Roman"/>
          <w:i/>
          <w:sz w:val="20"/>
          <w:szCs w:val="20"/>
        </w:rPr>
        <w:t>Feudal England</w:t>
      </w:r>
      <w:r w:rsidRPr="009D33F1">
        <w:rPr>
          <w:rFonts w:ascii="Times New Roman" w:hAnsi="Times New Roman"/>
          <w:sz w:val="20"/>
          <w:szCs w:val="20"/>
        </w:rPr>
        <w:t xml:space="preserve"> (London 1895), 475, 575, and idem, 'The Fitzwalter Pedigree', </w:t>
      </w:r>
      <w:r w:rsidRPr="009D33F1">
        <w:rPr>
          <w:rFonts w:ascii="Times New Roman" w:hAnsi="Times New Roman"/>
          <w:i/>
          <w:sz w:val="20"/>
          <w:szCs w:val="20"/>
        </w:rPr>
        <w:t>Transactions of the Essex Archaeological Society</w:t>
      </w:r>
      <w:r w:rsidRPr="009D33F1">
        <w:rPr>
          <w:rFonts w:ascii="Times New Roman" w:hAnsi="Times New Roman"/>
          <w:sz w:val="20"/>
          <w:szCs w:val="20"/>
        </w:rPr>
        <w:t xml:space="preserve">, n.s. vii (1900), 329-30.  For subsequent work on the rebels, see in particular J.C. Holt, </w:t>
      </w:r>
      <w:r w:rsidRPr="009D33F1">
        <w:rPr>
          <w:rFonts w:ascii="Times New Roman" w:hAnsi="Times New Roman"/>
          <w:i/>
          <w:sz w:val="20"/>
          <w:szCs w:val="20"/>
        </w:rPr>
        <w:t>The Northerners</w:t>
      </w:r>
      <w:r w:rsidRPr="009D33F1">
        <w:rPr>
          <w:rFonts w:ascii="Times New Roman" w:hAnsi="Times New Roman"/>
          <w:sz w:val="20"/>
          <w:szCs w:val="20"/>
        </w:rPr>
        <w:t xml:space="preserve"> (1st ed. Oxford 1961, 2nd revised ed. with a significant new introduction, Oxford 1992).  For Robert fitz Walter, see most recently the online article by D.J. Power, 'Cross-Channel Communication and the End of the "Anglo-Norman Realm"', </w:t>
      </w:r>
      <w:r w:rsidRPr="009D33F1">
        <w:rPr>
          <w:rFonts w:ascii="Times New Roman" w:hAnsi="Times New Roman"/>
          <w:i/>
          <w:sz w:val="20"/>
          <w:szCs w:val="20"/>
        </w:rPr>
        <w:t>Tabularia: Etudes</w:t>
      </w:r>
      <w:r w:rsidRPr="009D33F1">
        <w:rPr>
          <w:rFonts w:ascii="Times New Roman" w:hAnsi="Times New Roman"/>
          <w:sz w:val="20"/>
          <w:szCs w:val="20"/>
        </w:rPr>
        <w:t>, xi (2011), available at &lt;&lt;http://www.unicaen.fr/mrsh/craham/revue/tabularia/print.php</w:t>
      </w:r>
      <w:proofErr w:type="gramStart"/>
      <w:r w:rsidRPr="009D33F1">
        <w:rPr>
          <w:rFonts w:ascii="Times New Roman" w:hAnsi="Times New Roman"/>
          <w:sz w:val="20"/>
          <w:szCs w:val="20"/>
        </w:rPr>
        <w:t>?dossier</w:t>
      </w:r>
      <w:proofErr w:type="gramEnd"/>
      <w:r w:rsidRPr="009D33F1">
        <w:rPr>
          <w:rFonts w:ascii="Times New Roman" w:hAnsi="Times New Roman"/>
          <w:sz w:val="20"/>
          <w:szCs w:val="20"/>
        </w:rPr>
        <w:t>=dossier10&amp;file=01power.xml&gt;&gt;.</w:t>
      </w:r>
    </w:p>
  </w:footnote>
  <w:footnote w:id="38">
    <w:p w14:paraId="0EAE840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H.W.C. Davis, </w:t>
      </w:r>
      <w:r w:rsidRPr="009D33F1">
        <w:rPr>
          <w:rFonts w:ascii="Times New Roman" w:hAnsi="Times New Roman"/>
          <w:i/>
          <w:sz w:val="20"/>
          <w:szCs w:val="20"/>
        </w:rPr>
        <w:t>ante</w:t>
      </w:r>
      <w:r w:rsidRPr="009D33F1">
        <w:rPr>
          <w:rFonts w:ascii="Times New Roman" w:hAnsi="Times New Roman"/>
          <w:sz w:val="20"/>
          <w:szCs w:val="20"/>
        </w:rPr>
        <w:t>, xxiii (1908), 337-9; xxviii (1913), 770-2.</w:t>
      </w:r>
      <w:proofErr w:type="gramEnd"/>
    </w:p>
  </w:footnote>
  <w:footnote w:id="39">
    <w:p w14:paraId="580BA8D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Reviews (by 'C' and 'A.B.S.'), </w:t>
      </w:r>
      <w:r w:rsidRPr="009D33F1">
        <w:rPr>
          <w:rFonts w:ascii="Times New Roman" w:hAnsi="Times New Roman"/>
          <w:i/>
          <w:sz w:val="20"/>
          <w:szCs w:val="20"/>
        </w:rPr>
        <w:t>ante</w:t>
      </w:r>
      <w:r w:rsidRPr="009D33F1">
        <w:rPr>
          <w:rFonts w:ascii="Times New Roman" w:hAnsi="Times New Roman"/>
          <w:sz w:val="20"/>
          <w:szCs w:val="20"/>
        </w:rPr>
        <w:t>, xxx (1915), 176; xlv (1930), 677.</w:t>
      </w:r>
      <w:proofErr w:type="gramEnd"/>
    </w:p>
  </w:footnote>
  <w:footnote w:id="40">
    <w:p w14:paraId="5259A8C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A.E. Levett, 'The Summons to a Great Council, 1213', </w:t>
      </w:r>
      <w:r w:rsidRPr="009D33F1">
        <w:rPr>
          <w:rFonts w:ascii="Times New Roman" w:hAnsi="Times New Roman"/>
          <w:i/>
          <w:sz w:val="20"/>
          <w:szCs w:val="20"/>
        </w:rPr>
        <w:t>ante</w:t>
      </w:r>
      <w:r w:rsidRPr="009D33F1">
        <w:rPr>
          <w:rFonts w:ascii="Times New Roman" w:hAnsi="Times New Roman"/>
          <w:sz w:val="20"/>
          <w:szCs w:val="20"/>
        </w:rPr>
        <w:t xml:space="preserve">, xxxi (1916), 85-90, attracitng an immediate, and almost entirely wrong-headed refutation from E. Jenks, 'The Alleged Oxford Council of 1213', </w:t>
      </w:r>
      <w:r w:rsidRPr="009D33F1">
        <w:rPr>
          <w:rFonts w:ascii="Times New Roman" w:hAnsi="Times New Roman"/>
          <w:i/>
          <w:sz w:val="20"/>
          <w:szCs w:val="20"/>
        </w:rPr>
        <w:t>American Historical Review</w:t>
      </w:r>
      <w:r w:rsidRPr="009D33F1">
        <w:rPr>
          <w:rFonts w:ascii="Times New Roman" w:hAnsi="Times New Roman"/>
          <w:sz w:val="20"/>
          <w:szCs w:val="20"/>
        </w:rPr>
        <w:t xml:space="preserve">, xxii (1916), 87-90, and cf. the equally wrong-headed debate between H.W.C. Davis and G.J. Turner, over 'The St Albans Council of 1213', </w:t>
      </w:r>
      <w:r w:rsidRPr="009D33F1">
        <w:rPr>
          <w:rFonts w:ascii="Times New Roman" w:hAnsi="Times New Roman"/>
          <w:i/>
          <w:sz w:val="20"/>
          <w:szCs w:val="20"/>
        </w:rPr>
        <w:t>ante</w:t>
      </w:r>
      <w:r w:rsidRPr="009D33F1">
        <w:rPr>
          <w:rFonts w:ascii="Times New Roman" w:hAnsi="Times New Roman"/>
          <w:sz w:val="20"/>
          <w:szCs w:val="20"/>
        </w:rPr>
        <w:t xml:space="preserve">, xx (1905), 289-90; xxi (1906), 297-9; </w:t>
      </w:r>
      <w:r w:rsidRPr="009D33F1">
        <w:rPr>
          <w:rFonts w:ascii="Times New Roman" w:hAnsi="Times New Roman"/>
          <w:i/>
          <w:sz w:val="20"/>
          <w:szCs w:val="20"/>
        </w:rPr>
        <w:t>American Historical Review</w:t>
      </w:r>
      <w:r w:rsidRPr="009D33F1">
        <w:rPr>
          <w:rFonts w:ascii="Times New Roman" w:hAnsi="Times New Roman"/>
          <w:sz w:val="20"/>
          <w:szCs w:val="20"/>
        </w:rPr>
        <w:t xml:space="preserve">, xvii (1906), 12, whence A.B. White, 'The First Concentration of Juries, July 21, 1213', </w:t>
      </w:r>
      <w:r w:rsidRPr="009D33F1">
        <w:rPr>
          <w:rFonts w:ascii="Times New Roman" w:hAnsi="Times New Roman"/>
          <w:i/>
          <w:sz w:val="20"/>
          <w:szCs w:val="20"/>
        </w:rPr>
        <w:t>American Historical Review</w:t>
      </w:r>
      <w:r w:rsidRPr="009D33F1">
        <w:rPr>
          <w:rFonts w:ascii="Times New Roman" w:hAnsi="Times New Roman"/>
          <w:sz w:val="20"/>
          <w:szCs w:val="20"/>
        </w:rPr>
        <w:t>, xi (1911), 12-16.</w:t>
      </w:r>
    </w:p>
  </w:footnote>
  <w:footnote w:id="41">
    <w:p w14:paraId="54ABF41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E.L.G. Stones, 'The Text of the Writ "Quod Omnes Tangit" in Stubbs's Select Charters', </w:t>
      </w:r>
      <w:r w:rsidRPr="009D33F1">
        <w:rPr>
          <w:rFonts w:ascii="Times New Roman" w:hAnsi="Times New Roman"/>
          <w:i/>
          <w:sz w:val="20"/>
          <w:szCs w:val="20"/>
        </w:rPr>
        <w:t>ante</w:t>
      </w:r>
      <w:r w:rsidRPr="009D33F1">
        <w:rPr>
          <w:rFonts w:ascii="Times New Roman" w:hAnsi="Times New Roman"/>
          <w:sz w:val="20"/>
          <w:szCs w:val="20"/>
        </w:rPr>
        <w:t>, lxxxiii (1968), 759-60.</w:t>
      </w:r>
    </w:p>
  </w:footnote>
  <w:footnote w:id="42">
    <w:p w14:paraId="63BFF97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F.W. Maitland, 'William Stubbs, Bishop of Oxford', </w:t>
      </w:r>
      <w:r w:rsidRPr="009D33F1">
        <w:rPr>
          <w:rFonts w:ascii="Times New Roman" w:hAnsi="Times New Roman"/>
          <w:i/>
          <w:sz w:val="20"/>
          <w:szCs w:val="20"/>
        </w:rPr>
        <w:t>ante</w:t>
      </w:r>
      <w:r w:rsidRPr="009D33F1">
        <w:rPr>
          <w:rFonts w:ascii="Times New Roman" w:hAnsi="Times New Roman"/>
          <w:sz w:val="20"/>
          <w:szCs w:val="20"/>
        </w:rPr>
        <w:t xml:space="preserve">, xvi (1901), 417-26, at pp.423-4 noting Stubbs' dependence upon earlier German guides, but pointing out that these guides had been abandoned in the 1870s.  </w:t>
      </w:r>
      <w:proofErr w:type="gramStart"/>
      <w:r w:rsidRPr="009D33F1">
        <w:rPr>
          <w:rFonts w:ascii="Times New Roman" w:hAnsi="Times New Roman"/>
          <w:sz w:val="20"/>
          <w:szCs w:val="20"/>
        </w:rPr>
        <w:t>Thereafter ,</w:t>
      </w:r>
      <w:proofErr w:type="gramEnd"/>
      <w:r w:rsidRPr="009D33F1">
        <w:rPr>
          <w:rFonts w:ascii="Times New Roman" w:hAnsi="Times New Roman"/>
          <w:sz w:val="20"/>
          <w:szCs w:val="20"/>
        </w:rPr>
        <w:t xml:space="preserve"> according to Maitland, Stubbs' </w:t>
      </w:r>
      <w:r w:rsidRPr="009D33F1">
        <w:rPr>
          <w:rFonts w:ascii="Times New Roman" w:hAnsi="Times New Roman"/>
          <w:i/>
          <w:sz w:val="20"/>
          <w:szCs w:val="20"/>
        </w:rPr>
        <w:t>Charters</w:t>
      </w:r>
      <w:r w:rsidRPr="009D33F1">
        <w:rPr>
          <w:rFonts w:ascii="Times New Roman" w:hAnsi="Times New Roman"/>
          <w:sz w:val="20"/>
          <w:szCs w:val="20"/>
        </w:rPr>
        <w:t xml:space="preserve"> had sounded a distinctly, but to Maitland obscurely 'conservative' note.  For a characteristically generous review by H.W.C. Davis of Maitland's own </w:t>
      </w:r>
      <w:r w:rsidRPr="009D33F1">
        <w:rPr>
          <w:rFonts w:ascii="Times New Roman" w:hAnsi="Times New Roman"/>
          <w:i/>
          <w:sz w:val="20"/>
          <w:szCs w:val="20"/>
        </w:rPr>
        <w:t>Constitutional History of England</w:t>
      </w:r>
      <w:r w:rsidRPr="009D33F1">
        <w:rPr>
          <w:rFonts w:ascii="Times New Roman" w:hAnsi="Times New Roman"/>
          <w:sz w:val="20"/>
          <w:szCs w:val="20"/>
        </w:rPr>
        <w:t xml:space="preserve">, published two years after Maitland's death, see </w:t>
      </w:r>
      <w:r w:rsidRPr="009D33F1">
        <w:rPr>
          <w:rFonts w:ascii="Times New Roman" w:hAnsi="Times New Roman"/>
          <w:i/>
          <w:sz w:val="20"/>
          <w:szCs w:val="20"/>
        </w:rPr>
        <w:t>ante</w:t>
      </w:r>
      <w:r w:rsidRPr="009D33F1">
        <w:rPr>
          <w:rFonts w:ascii="Times New Roman" w:hAnsi="Times New Roman"/>
          <w:sz w:val="20"/>
          <w:szCs w:val="20"/>
        </w:rPr>
        <w:t xml:space="preserve">, xxiv (1909), </w:t>
      </w:r>
      <w:proofErr w:type="gramStart"/>
      <w:r w:rsidRPr="009D33F1">
        <w:rPr>
          <w:rFonts w:ascii="Times New Roman" w:hAnsi="Times New Roman"/>
          <w:sz w:val="20"/>
          <w:szCs w:val="20"/>
        </w:rPr>
        <w:t>341</w:t>
      </w:r>
      <w:proofErr w:type="gramEnd"/>
      <w:r w:rsidRPr="009D33F1">
        <w:rPr>
          <w:rFonts w:ascii="Times New Roman" w:hAnsi="Times New Roman"/>
          <w:sz w:val="20"/>
          <w:szCs w:val="20"/>
        </w:rPr>
        <w:t>-4.</w:t>
      </w:r>
    </w:p>
  </w:footnote>
  <w:footnote w:id="43">
    <w:p w14:paraId="56D2EFC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McKechnie, </w:t>
      </w:r>
      <w:r w:rsidRPr="009D33F1">
        <w:rPr>
          <w:rFonts w:ascii="Times New Roman" w:hAnsi="Times New Roman"/>
          <w:i/>
          <w:sz w:val="20"/>
          <w:szCs w:val="20"/>
        </w:rPr>
        <w:t>Scottish Historical Review</w:t>
      </w:r>
      <w:r w:rsidRPr="009D33F1">
        <w:rPr>
          <w:rFonts w:ascii="Times New Roman" w:hAnsi="Times New Roman"/>
          <w:sz w:val="20"/>
          <w:szCs w:val="20"/>
        </w:rPr>
        <w:t>, xi (1914), 418-19</w:t>
      </w:r>
    </w:p>
  </w:footnote>
  <w:footnote w:id="44">
    <w:p w14:paraId="7546589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Little, </w:t>
      </w:r>
      <w:r w:rsidRPr="009D33F1">
        <w:rPr>
          <w:rFonts w:ascii="Times New Roman" w:hAnsi="Times New Roman"/>
          <w:i/>
          <w:sz w:val="20"/>
          <w:szCs w:val="20"/>
        </w:rPr>
        <w:t>ante</w:t>
      </w:r>
      <w:r w:rsidRPr="009D33F1">
        <w:rPr>
          <w:rFonts w:ascii="Times New Roman" w:hAnsi="Times New Roman"/>
          <w:sz w:val="20"/>
          <w:szCs w:val="20"/>
        </w:rPr>
        <w:t>, xviii (1903), 349-50.</w:t>
      </w:r>
      <w:proofErr w:type="gramEnd"/>
    </w:p>
  </w:footnote>
  <w:footnote w:id="45">
    <w:p w14:paraId="26C0D5B9"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Above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w:t>
      </w:r>
    </w:p>
  </w:footnote>
  <w:footnote w:id="46">
    <w:p w14:paraId="4ED3D746"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Round, </w:t>
      </w:r>
      <w:r w:rsidRPr="009D33F1">
        <w:rPr>
          <w:rFonts w:ascii="Times New Roman" w:hAnsi="Times New Roman"/>
          <w:i/>
          <w:sz w:val="20"/>
          <w:szCs w:val="20"/>
        </w:rPr>
        <w:t>ante</w:t>
      </w:r>
      <w:r w:rsidRPr="009D33F1">
        <w:rPr>
          <w:rFonts w:ascii="Times New Roman" w:hAnsi="Times New Roman"/>
          <w:sz w:val="20"/>
          <w:szCs w:val="20"/>
        </w:rPr>
        <w:t>, xxviii (1913), 768-70.</w:t>
      </w:r>
      <w:proofErr w:type="gramEnd"/>
    </w:p>
  </w:footnote>
  <w:footnote w:id="47">
    <w:p w14:paraId="2FF673B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T.K. Moore, 'The Loss of Normandy and the Invention of "Terre Normannorum", 1204', </w:t>
      </w:r>
      <w:r w:rsidRPr="009D33F1">
        <w:rPr>
          <w:rFonts w:ascii="Times New Roman" w:hAnsi="Times New Roman"/>
          <w:i/>
          <w:sz w:val="20"/>
          <w:szCs w:val="20"/>
        </w:rPr>
        <w:t>ante</w:t>
      </w:r>
      <w:r w:rsidRPr="009D33F1">
        <w:rPr>
          <w:rFonts w:ascii="Times New Roman" w:hAnsi="Times New Roman"/>
          <w:sz w:val="20"/>
          <w:szCs w:val="20"/>
        </w:rPr>
        <w:t>, cxxv (2010), 1071-1109.</w:t>
      </w:r>
    </w:p>
  </w:footnote>
  <w:footnote w:id="48">
    <w:p w14:paraId="1CC13049"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H.W.C. Davies, </w:t>
      </w:r>
      <w:r w:rsidRPr="009D33F1">
        <w:rPr>
          <w:rFonts w:ascii="Times New Roman" w:hAnsi="Times New Roman"/>
          <w:i/>
          <w:sz w:val="20"/>
          <w:szCs w:val="20"/>
        </w:rPr>
        <w:t>ante</w:t>
      </w:r>
      <w:r w:rsidRPr="009D33F1">
        <w:rPr>
          <w:rFonts w:ascii="Times New Roman" w:hAnsi="Times New Roman"/>
          <w:sz w:val="20"/>
          <w:szCs w:val="20"/>
        </w:rPr>
        <w:t>, xxi (1906), 150-2.</w:t>
      </w:r>
    </w:p>
  </w:footnote>
  <w:footnote w:id="49">
    <w:p w14:paraId="3A6611F9"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 Tait, </w:t>
      </w:r>
      <w:r w:rsidRPr="009D33F1">
        <w:rPr>
          <w:rFonts w:ascii="Times New Roman" w:hAnsi="Times New Roman"/>
          <w:i/>
          <w:sz w:val="20"/>
          <w:szCs w:val="20"/>
        </w:rPr>
        <w:t>ante</w:t>
      </w:r>
      <w:r w:rsidRPr="009D33F1">
        <w:rPr>
          <w:rFonts w:ascii="Times New Roman" w:hAnsi="Times New Roman"/>
          <w:sz w:val="20"/>
          <w:szCs w:val="20"/>
        </w:rPr>
        <w:t>, xxxiii (1918), 261-6, esp. pp.261-2.</w:t>
      </w:r>
    </w:p>
  </w:footnote>
  <w:footnote w:id="50">
    <w:p w14:paraId="78CC52C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Holt, </w:t>
      </w:r>
      <w:r w:rsidRPr="009D33F1">
        <w:rPr>
          <w:rFonts w:ascii="Times New Roman" w:hAnsi="Times New Roman"/>
          <w:i/>
          <w:sz w:val="20"/>
          <w:szCs w:val="20"/>
        </w:rPr>
        <w:t>Magna Carta</w:t>
      </w:r>
      <w:r w:rsidRPr="009D33F1">
        <w:rPr>
          <w:rFonts w:ascii="Times New Roman" w:hAnsi="Times New Roman"/>
          <w:sz w:val="20"/>
          <w:szCs w:val="20"/>
        </w:rPr>
        <w:t>, 327-8, 461, esp. p.328n</w:t>
      </w:r>
      <w:proofErr w:type="gramStart"/>
      <w:r w:rsidRPr="009D33F1">
        <w:rPr>
          <w:rFonts w:ascii="Times New Roman" w:hAnsi="Times New Roman"/>
          <w:sz w:val="20"/>
          <w:szCs w:val="20"/>
        </w:rPr>
        <w:t>.,</w:t>
      </w:r>
      <w:proofErr w:type="gramEnd"/>
      <w:r w:rsidRPr="009D33F1">
        <w:rPr>
          <w:rFonts w:ascii="Times New Roman" w:hAnsi="Times New Roman"/>
          <w:sz w:val="20"/>
          <w:szCs w:val="20"/>
        </w:rPr>
        <w:t xml:space="preserve"> as noted by George Garnett (</w:t>
      </w:r>
      <w:r w:rsidRPr="009D33F1">
        <w:rPr>
          <w:rFonts w:ascii="Times New Roman" w:hAnsi="Times New Roman"/>
          <w:i/>
          <w:sz w:val="20"/>
          <w:szCs w:val="20"/>
        </w:rPr>
        <w:t>ante</w:t>
      </w:r>
      <w:r w:rsidRPr="009D33F1">
        <w:rPr>
          <w:rFonts w:ascii="Times New Roman" w:hAnsi="Times New Roman"/>
          <w:sz w:val="20"/>
          <w:szCs w:val="20"/>
        </w:rPr>
        <w:t xml:space="preserve">, cxxix (2014), 427.  Holt here is reacting against the excessively proscriptive reading of clause 39 in a conjunctive sense by Walter Ullmann, </w:t>
      </w:r>
      <w:r w:rsidRPr="009D33F1">
        <w:rPr>
          <w:rFonts w:ascii="Times New Roman" w:hAnsi="Times New Roman"/>
          <w:i/>
          <w:sz w:val="20"/>
          <w:szCs w:val="20"/>
        </w:rPr>
        <w:t>Principles of Government and Politics in the Middle Ages</w:t>
      </w:r>
      <w:r w:rsidRPr="009D33F1">
        <w:rPr>
          <w:rFonts w:ascii="Times New Roman" w:hAnsi="Times New Roman"/>
          <w:sz w:val="20"/>
          <w:szCs w:val="20"/>
        </w:rPr>
        <w:t xml:space="preserve"> (Cambridge 1961), 165.</w:t>
      </w:r>
    </w:p>
  </w:footnote>
  <w:footnote w:id="51">
    <w:p w14:paraId="77C4F8B9" w14:textId="6F277F43" w:rsidR="00036517" w:rsidRPr="009D33F1" w:rsidRDefault="00036517">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r w:rsidRPr="009D33F1">
        <w:rPr>
          <w:rFonts w:ascii="Times New Roman" w:hAnsi="Times New Roman"/>
          <w:i/>
          <w:sz w:val="20"/>
          <w:szCs w:val="20"/>
        </w:rPr>
        <w:t>The Chartulary or Register of the Abbey of St Werburgh Chester</w:t>
      </w:r>
      <w:r w:rsidRPr="009D33F1">
        <w:rPr>
          <w:rFonts w:ascii="Times New Roman" w:hAnsi="Times New Roman"/>
          <w:sz w:val="20"/>
          <w:szCs w:val="20"/>
        </w:rPr>
        <w:t xml:space="preserve">, ed. J. Tait, 2 vols, Chetham Society n.s. lxxix, lxxxii (1920-3), i, 101-9 no.60, noticed in the review by C.G. Crump, </w:t>
      </w:r>
      <w:r w:rsidRPr="009D33F1">
        <w:rPr>
          <w:rFonts w:ascii="Times New Roman" w:hAnsi="Times New Roman"/>
          <w:i/>
          <w:sz w:val="20"/>
          <w:szCs w:val="20"/>
        </w:rPr>
        <w:t>ante</w:t>
      </w:r>
      <w:r w:rsidRPr="009D33F1">
        <w:rPr>
          <w:rFonts w:ascii="Times New Roman" w:hAnsi="Times New Roman"/>
          <w:sz w:val="20"/>
          <w:szCs w:val="20"/>
        </w:rPr>
        <w:t xml:space="preserve">, xxxix (1924), 119, and for a recent reappraisal, see see G. White, </w:t>
      </w:r>
      <w:r w:rsidRPr="009D33F1">
        <w:rPr>
          <w:rFonts w:ascii="Times New Roman" w:hAnsi="Times New Roman"/>
          <w:i/>
          <w:sz w:val="20"/>
          <w:szCs w:val="20"/>
        </w:rPr>
        <w:t>The Magna Carta of Cheshire</w:t>
      </w:r>
      <w:r w:rsidRPr="009D33F1">
        <w:rPr>
          <w:rFonts w:ascii="Times New Roman" w:hAnsi="Times New Roman"/>
          <w:sz w:val="20"/>
          <w:szCs w:val="20"/>
        </w:rPr>
        <w:t>, Cheshire Local History Association (Chester 2015).</w:t>
      </w:r>
    </w:p>
  </w:footnote>
  <w:footnote w:id="52">
    <w:p w14:paraId="5191580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H.G. Richardson, 'Letters of the Legate Guala', </w:t>
      </w:r>
      <w:r w:rsidRPr="009D33F1">
        <w:rPr>
          <w:rFonts w:ascii="Times New Roman" w:hAnsi="Times New Roman"/>
          <w:i/>
          <w:sz w:val="20"/>
          <w:szCs w:val="20"/>
        </w:rPr>
        <w:t>ante</w:t>
      </w:r>
      <w:r w:rsidRPr="009D33F1">
        <w:rPr>
          <w:rFonts w:ascii="Times New Roman" w:hAnsi="Times New Roman"/>
          <w:sz w:val="20"/>
          <w:szCs w:val="20"/>
        </w:rPr>
        <w:t xml:space="preserve">, xlviii (1933), 250-9, leading eventually to </w:t>
      </w:r>
      <w:r w:rsidRPr="009D33F1">
        <w:rPr>
          <w:rFonts w:ascii="Times New Roman" w:hAnsi="Times New Roman"/>
          <w:i/>
          <w:sz w:val="20"/>
          <w:szCs w:val="20"/>
        </w:rPr>
        <w:t>The Letters and Charters of Cardinal Guala Bicchieri, Papal Legate in England 1216-1218</w:t>
      </w:r>
      <w:r w:rsidRPr="009D33F1">
        <w:rPr>
          <w:rFonts w:ascii="Times New Roman" w:hAnsi="Times New Roman"/>
          <w:sz w:val="20"/>
          <w:szCs w:val="20"/>
        </w:rPr>
        <w:t xml:space="preserve">, ed. N. Vincent, Canterbury and York Society liii (Woodbridge 1996), reviewed by Marjorie Chibnall, </w:t>
      </w:r>
      <w:r w:rsidRPr="009D33F1">
        <w:rPr>
          <w:rFonts w:ascii="Times New Roman" w:hAnsi="Times New Roman"/>
          <w:i/>
          <w:sz w:val="20"/>
          <w:szCs w:val="20"/>
        </w:rPr>
        <w:t>ante</w:t>
      </w:r>
      <w:r w:rsidRPr="009D33F1">
        <w:rPr>
          <w:rFonts w:ascii="Times New Roman" w:hAnsi="Times New Roman"/>
          <w:sz w:val="20"/>
          <w:szCs w:val="20"/>
        </w:rPr>
        <w:t xml:space="preserve">, cxiv (1999), 687-8.  As first fruits of Cheney and Powicke's endeavours to re-edit Wilkins' </w:t>
      </w:r>
      <w:r w:rsidRPr="009D33F1">
        <w:rPr>
          <w:rFonts w:ascii="Times New Roman" w:hAnsi="Times New Roman"/>
          <w:i/>
          <w:sz w:val="20"/>
          <w:szCs w:val="20"/>
        </w:rPr>
        <w:t>Concilia</w:t>
      </w:r>
      <w:r w:rsidRPr="009D33F1">
        <w:rPr>
          <w:rFonts w:ascii="Times New Roman" w:hAnsi="Times New Roman"/>
          <w:sz w:val="20"/>
          <w:szCs w:val="20"/>
        </w:rPr>
        <w:t xml:space="preserve">, first agreed in 1930, see C.R. Cheney, 'Legislation of the Medieval English Church', </w:t>
      </w:r>
      <w:r w:rsidRPr="009D33F1">
        <w:rPr>
          <w:rFonts w:ascii="Times New Roman" w:hAnsi="Times New Roman"/>
          <w:i/>
          <w:sz w:val="20"/>
          <w:szCs w:val="20"/>
        </w:rPr>
        <w:t>ante</w:t>
      </w:r>
      <w:r w:rsidRPr="009D33F1">
        <w:rPr>
          <w:rFonts w:ascii="Times New Roman" w:hAnsi="Times New Roman"/>
          <w:sz w:val="20"/>
          <w:szCs w:val="20"/>
        </w:rPr>
        <w:t xml:space="preserve">, l (1935), 193-224, 385-417, brought to triumphant completion, thirty years later, in </w:t>
      </w:r>
      <w:r w:rsidRPr="009D33F1">
        <w:rPr>
          <w:rFonts w:ascii="Times New Roman" w:hAnsi="Times New Roman"/>
          <w:i/>
          <w:sz w:val="20"/>
          <w:szCs w:val="20"/>
        </w:rPr>
        <w:t>Councils and Synods with Other Documents Relating to the English Church: II (A.D. 1205-1313)</w:t>
      </w:r>
      <w:r w:rsidRPr="009D33F1">
        <w:rPr>
          <w:rFonts w:ascii="Times New Roman" w:hAnsi="Times New Roman"/>
          <w:sz w:val="20"/>
          <w:szCs w:val="20"/>
        </w:rPr>
        <w:t xml:space="preserve">, ed. F.M. Powicke and C.R. Cheney, 2 vols (Oxford 1964), reviewed by R.H.C. Davis (son of H.W.C.), </w:t>
      </w:r>
      <w:r w:rsidRPr="009D33F1">
        <w:rPr>
          <w:rFonts w:ascii="Times New Roman" w:hAnsi="Times New Roman"/>
          <w:i/>
          <w:sz w:val="20"/>
          <w:szCs w:val="20"/>
        </w:rPr>
        <w:t>ante</w:t>
      </w:r>
      <w:r w:rsidRPr="009D33F1">
        <w:rPr>
          <w:rFonts w:ascii="Times New Roman" w:hAnsi="Times New Roman"/>
          <w:sz w:val="20"/>
          <w:szCs w:val="20"/>
        </w:rPr>
        <w:t xml:space="preserve">, lxxxi (1966), 347-9.  Davis judged this to be 'an editorial achievement which can challenge comparison with the work of any country in the world', offering remarks (at pp.348-9) on the haphazard nature of the publication of thirteenth-century legislation that remain highly germane to the modern study of the text of Magna Carta.  Cf. also C.R. Cheney, ‘The Papal Legate and the English Monasteries in 1206’, </w:t>
      </w:r>
      <w:r w:rsidRPr="009D33F1">
        <w:rPr>
          <w:rFonts w:ascii="Times New Roman" w:hAnsi="Times New Roman"/>
          <w:i/>
          <w:sz w:val="20"/>
          <w:szCs w:val="20"/>
        </w:rPr>
        <w:t>ante</w:t>
      </w:r>
      <w:r w:rsidRPr="009D33F1">
        <w:rPr>
          <w:rFonts w:ascii="Times New Roman" w:hAnsi="Times New Roman"/>
          <w:sz w:val="20"/>
          <w:szCs w:val="20"/>
        </w:rPr>
        <w:t>, xlvi (1931), 443-52.</w:t>
      </w:r>
    </w:p>
  </w:footnote>
  <w:footnote w:id="53">
    <w:p w14:paraId="4FEB624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C.R. Cheney, ‘King John and the Papal Interdict’, </w:t>
      </w:r>
      <w:r w:rsidRPr="009D33F1">
        <w:rPr>
          <w:rFonts w:ascii="Times New Roman" w:hAnsi="Times New Roman"/>
          <w:i/>
          <w:sz w:val="20"/>
          <w:szCs w:val="20"/>
        </w:rPr>
        <w:t>Bulletin of the John Rylands Library</w:t>
      </w:r>
      <w:r w:rsidRPr="009D33F1">
        <w:rPr>
          <w:rFonts w:ascii="Times New Roman" w:hAnsi="Times New Roman"/>
          <w:sz w:val="20"/>
          <w:szCs w:val="20"/>
        </w:rPr>
        <w:t xml:space="preserve">, xxxi (1948), 295-317; idem, ‘The Eve of Magna Carta’, </w:t>
      </w:r>
      <w:r w:rsidRPr="009D33F1">
        <w:rPr>
          <w:rFonts w:ascii="Times New Roman" w:hAnsi="Times New Roman"/>
          <w:i/>
          <w:sz w:val="20"/>
          <w:szCs w:val="20"/>
        </w:rPr>
        <w:t>Ibid</w:t>
      </w:r>
      <w:proofErr w:type="gramStart"/>
      <w:r w:rsidRPr="009D33F1">
        <w:rPr>
          <w:rFonts w:ascii="Times New Roman" w:hAnsi="Times New Roman"/>
          <w:i/>
          <w:sz w:val="20"/>
          <w:szCs w:val="20"/>
        </w:rPr>
        <w:t>.</w:t>
      </w:r>
      <w:r w:rsidRPr="009D33F1">
        <w:rPr>
          <w:rFonts w:ascii="Times New Roman" w:hAnsi="Times New Roman"/>
          <w:sz w:val="20"/>
          <w:szCs w:val="20"/>
        </w:rPr>
        <w:t>,</w:t>
      </w:r>
      <w:proofErr w:type="gramEnd"/>
      <w:r w:rsidRPr="009D33F1">
        <w:rPr>
          <w:rFonts w:ascii="Times New Roman" w:hAnsi="Times New Roman"/>
          <w:sz w:val="20"/>
          <w:szCs w:val="20"/>
        </w:rPr>
        <w:t xml:space="preserve"> xxxviii (1956), 311-41; idem, ‘The Twenty Five Barons of Magna Carta’, </w:t>
      </w:r>
      <w:r w:rsidRPr="009D33F1">
        <w:rPr>
          <w:rFonts w:ascii="Times New Roman" w:hAnsi="Times New Roman"/>
          <w:i/>
          <w:sz w:val="20"/>
          <w:szCs w:val="20"/>
        </w:rPr>
        <w:t>Ibid.</w:t>
      </w:r>
      <w:r w:rsidRPr="009D33F1">
        <w:rPr>
          <w:rFonts w:ascii="Times New Roman" w:hAnsi="Times New Roman"/>
          <w:sz w:val="20"/>
          <w:szCs w:val="20"/>
        </w:rPr>
        <w:t xml:space="preserve">, l (1968), 280-307; H.G. Richardson, ‘The Morrow of the Great Charter’, </w:t>
      </w:r>
      <w:r w:rsidRPr="009D33F1">
        <w:rPr>
          <w:rFonts w:ascii="Times New Roman" w:hAnsi="Times New Roman"/>
          <w:i/>
          <w:sz w:val="20"/>
          <w:szCs w:val="20"/>
        </w:rPr>
        <w:t>Ibid.</w:t>
      </w:r>
      <w:r w:rsidRPr="009D33F1">
        <w:rPr>
          <w:rFonts w:ascii="Times New Roman" w:hAnsi="Times New Roman"/>
          <w:sz w:val="20"/>
          <w:szCs w:val="20"/>
        </w:rPr>
        <w:t>, xxviii (1944), 422-43; xxix (1945), 184-200.</w:t>
      </w:r>
    </w:p>
  </w:footnote>
  <w:footnote w:id="54">
    <w:p w14:paraId="142543A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M.D. Knowles, 'The Canterbury Election of 1205-6', </w:t>
      </w:r>
      <w:r w:rsidRPr="009D33F1">
        <w:rPr>
          <w:rFonts w:ascii="Times New Roman" w:hAnsi="Times New Roman"/>
          <w:i/>
          <w:sz w:val="20"/>
          <w:szCs w:val="20"/>
        </w:rPr>
        <w:t>ante</w:t>
      </w:r>
      <w:r w:rsidRPr="009D33F1">
        <w:rPr>
          <w:rFonts w:ascii="Times New Roman" w:hAnsi="Times New Roman"/>
          <w:sz w:val="20"/>
          <w:szCs w:val="20"/>
        </w:rPr>
        <w:t>, liii (1938), 211-20.</w:t>
      </w:r>
      <w:proofErr w:type="gramEnd"/>
    </w:p>
  </w:footnote>
  <w:footnote w:id="55">
    <w:p w14:paraId="74A1816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H.M. Cam, </w:t>
      </w:r>
      <w:r w:rsidRPr="009D33F1">
        <w:rPr>
          <w:rFonts w:ascii="Times New Roman" w:hAnsi="Times New Roman"/>
          <w:i/>
          <w:sz w:val="20"/>
          <w:szCs w:val="20"/>
        </w:rPr>
        <w:t>ante</w:t>
      </w:r>
      <w:r w:rsidRPr="009D33F1">
        <w:rPr>
          <w:rFonts w:ascii="Times New Roman" w:hAnsi="Times New Roman"/>
          <w:sz w:val="20"/>
          <w:szCs w:val="20"/>
        </w:rPr>
        <w:t>, liv (1939), 483-9.</w:t>
      </w:r>
    </w:p>
  </w:footnote>
  <w:footnote w:id="56">
    <w:p w14:paraId="72ED886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H.M. Cam, ‘The Decline and Fall of English Feudalism’, </w:t>
      </w:r>
      <w:r w:rsidRPr="009D33F1">
        <w:rPr>
          <w:rFonts w:ascii="Times New Roman" w:hAnsi="Times New Roman"/>
          <w:i/>
          <w:sz w:val="20"/>
          <w:szCs w:val="20"/>
        </w:rPr>
        <w:t>History</w:t>
      </w:r>
      <w:r w:rsidRPr="009D33F1">
        <w:rPr>
          <w:rFonts w:ascii="Times New Roman" w:hAnsi="Times New Roman"/>
          <w:sz w:val="20"/>
          <w:szCs w:val="20"/>
        </w:rPr>
        <w:t>, xxv (1940), 216-33, followed in the same issue (pp.255-6) by D.C. Douglas' review of Bloch.</w:t>
      </w:r>
      <w:proofErr w:type="gramEnd"/>
      <w:r w:rsidRPr="009D33F1">
        <w:rPr>
          <w:rFonts w:ascii="Times New Roman" w:hAnsi="Times New Roman"/>
          <w:sz w:val="20"/>
          <w:szCs w:val="20"/>
        </w:rPr>
        <w:t xml:space="preserve">  For Powicke's review, gently chastising Bloch for misunderstandings of English particularism, yet rather optimistically claiming that Bloch 'is never at the mercy of system', </w:t>
      </w:r>
      <w:r w:rsidRPr="009D33F1">
        <w:rPr>
          <w:rFonts w:ascii="Times New Roman" w:hAnsi="Times New Roman"/>
          <w:i/>
          <w:sz w:val="20"/>
          <w:szCs w:val="20"/>
        </w:rPr>
        <w:t>ante</w:t>
      </w:r>
      <w:r w:rsidRPr="009D33F1">
        <w:rPr>
          <w:rFonts w:ascii="Times New Roman" w:hAnsi="Times New Roman"/>
          <w:sz w:val="20"/>
          <w:szCs w:val="20"/>
        </w:rPr>
        <w:t>, lv (1940), 449-51.</w:t>
      </w:r>
    </w:p>
  </w:footnote>
  <w:footnote w:id="57">
    <w:p w14:paraId="1D95F424" w14:textId="77777777" w:rsidR="00036517" w:rsidRPr="009D33F1" w:rsidRDefault="00036517" w:rsidP="00A27FF6">
      <w:pPr>
        <w:rPr>
          <w:rFonts w:ascii="Times New Roman" w:hAnsi="Times New Roman"/>
          <w:sz w:val="20"/>
          <w:szCs w:val="20"/>
          <w:u w:val="single"/>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Riess, </w:t>
      </w:r>
      <w:r w:rsidRPr="009D33F1">
        <w:rPr>
          <w:rFonts w:ascii="Times New Roman" w:hAnsi="Times New Roman"/>
          <w:i/>
          <w:sz w:val="20"/>
          <w:szCs w:val="20"/>
        </w:rPr>
        <w:t>ante</w:t>
      </w:r>
      <w:r w:rsidRPr="009D33F1">
        <w:rPr>
          <w:rFonts w:ascii="Times New Roman" w:hAnsi="Times New Roman"/>
          <w:sz w:val="20"/>
          <w:szCs w:val="20"/>
        </w:rPr>
        <w:t xml:space="preserve">, xli (1926), 321-31, and cf. above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 xml:space="preserve">.  For the equally significant Spanish contribution, before 1918, see N. Vincent, ‘English Liberties, Magna Carta (1215) and the Spanish Connection’, </w:t>
      </w:r>
      <w:r w:rsidRPr="009D33F1">
        <w:rPr>
          <w:rFonts w:ascii="Times New Roman" w:hAnsi="Times New Roman"/>
          <w:i/>
          <w:sz w:val="20"/>
          <w:szCs w:val="20"/>
        </w:rPr>
        <w:t>1212-1214: El trienio que hizo a Europa, Acta de la XXXVII Semana de Estidios Medievales de Estella 19 al 23 de julio de 2010</w:t>
      </w:r>
      <w:r w:rsidRPr="009D33F1">
        <w:rPr>
          <w:rFonts w:ascii="Times New Roman" w:hAnsi="Times New Roman"/>
          <w:sz w:val="20"/>
          <w:szCs w:val="20"/>
        </w:rPr>
        <w:t xml:space="preserve"> (Pamplona 2011), 243-61.</w:t>
      </w:r>
    </w:p>
  </w:footnote>
  <w:footnote w:id="58">
    <w:p w14:paraId="1CC3C925"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It was Powicke, for example, who in 1925 first reviewed Haskins and Lynn Thorndike's work on medieval science (</w:t>
      </w:r>
      <w:r w:rsidRPr="009D33F1">
        <w:rPr>
          <w:rFonts w:ascii="Times New Roman" w:hAnsi="Times New Roman"/>
          <w:i/>
          <w:sz w:val="20"/>
          <w:szCs w:val="20"/>
        </w:rPr>
        <w:t>ante</w:t>
      </w:r>
      <w:r w:rsidRPr="009D33F1">
        <w:rPr>
          <w:rFonts w:ascii="Times New Roman" w:hAnsi="Times New Roman"/>
          <w:sz w:val="20"/>
          <w:szCs w:val="20"/>
        </w:rPr>
        <w:t>, xl (1925), 111-13, 421-3).  In 1929, he reviewed Levillain's edition of the acts of the ninth-century Pepin I and II of Aquitaine (</w:t>
      </w:r>
      <w:r w:rsidRPr="009D33F1">
        <w:rPr>
          <w:rFonts w:ascii="Times New Roman" w:hAnsi="Times New Roman"/>
          <w:i/>
          <w:sz w:val="20"/>
          <w:szCs w:val="20"/>
        </w:rPr>
        <w:t>ante</w:t>
      </w:r>
      <w:r w:rsidRPr="009D33F1">
        <w:rPr>
          <w:rFonts w:ascii="Times New Roman" w:hAnsi="Times New Roman"/>
          <w:sz w:val="20"/>
          <w:szCs w:val="20"/>
        </w:rPr>
        <w:t xml:space="preserve">, xliv (1929), 643-4), in 1933 and 1937 volumes 7 and 8 of the </w:t>
      </w:r>
      <w:r w:rsidRPr="009D33F1">
        <w:rPr>
          <w:rFonts w:ascii="Times New Roman" w:hAnsi="Times New Roman"/>
          <w:i/>
          <w:sz w:val="20"/>
          <w:szCs w:val="20"/>
        </w:rPr>
        <w:t>Cambridge Medieval History</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xlviii (1933), 465-8; lii (1937), 690-2), and in 1934 an eclectic catalogue of excerpts from the Vatican Library (</w:t>
      </w:r>
      <w:r w:rsidRPr="009D33F1">
        <w:rPr>
          <w:rFonts w:ascii="Times New Roman" w:hAnsi="Times New Roman"/>
          <w:i/>
          <w:sz w:val="20"/>
          <w:szCs w:val="20"/>
        </w:rPr>
        <w:t>ante</w:t>
      </w:r>
      <w:r w:rsidRPr="009D33F1">
        <w:rPr>
          <w:rFonts w:ascii="Times New Roman" w:hAnsi="Times New Roman"/>
          <w:sz w:val="20"/>
          <w:szCs w:val="20"/>
        </w:rPr>
        <w:t>, xlix (1934), 727-30).</w:t>
      </w:r>
    </w:p>
  </w:footnote>
  <w:footnote w:id="59">
    <w:p w14:paraId="1E084F89" w14:textId="7E14A1A1"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Powicke's German reviews, by no means universally admiring of German methods, </w:t>
      </w:r>
      <w:r w:rsidRPr="009D33F1">
        <w:rPr>
          <w:rFonts w:ascii="Times New Roman" w:hAnsi="Times New Roman"/>
          <w:i/>
          <w:sz w:val="20"/>
          <w:szCs w:val="20"/>
        </w:rPr>
        <w:t>ante</w:t>
      </w:r>
      <w:r w:rsidRPr="009D33F1">
        <w:rPr>
          <w:rFonts w:ascii="Times New Roman" w:hAnsi="Times New Roman"/>
          <w:sz w:val="20"/>
          <w:szCs w:val="20"/>
        </w:rPr>
        <w:t xml:space="preserve">, xxv (1910), 761-2; xxvi (1911), 543-5, 571-2; xxix (1914), 554-5.  In 1936, he reviewed the massive study by Heinrich Mitteis (by then in Austria, a refugee from Nazi Germany) of </w:t>
      </w:r>
      <w:r w:rsidRPr="009D33F1">
        <w:rPr>
          <w:rFonts w:ascii="Times New Roman" w:hAnsi="Times New Roman"/>
          <w:i/>
          <w:sz w:val="20"/>
          <w:szCs w:val="20"/>
        </w:rPr>
        <w:t>Lehnrecht und Staatsgewalt</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li (1936), 127-9, at p.129 defending the view that Magna Carta, although fought for within a 'feudal' context, 'transcended narrow feudal interests').  In 1938, he reviewed Percy Schramm's work on coronations (</w:t>
      </w:r>
      <w:r w:rsidRPr="009D33F1">
        <w:rPr>
          <w:rFonts w:ascii="Times New Roman" w:hAnsi="Times New Roman"/>
          <w:i/>
          <w:sz w:val="20"/>
          <w:szCs w:val="20"/>
        </w:rPr>
        <w:t>ante</w:t>
      </w:r>
      <w:r w:rsidRPr="009D33F1">
        <w:rPr>
          <w:rFonts w:ascii="Times New Roman" w:hAnsi="Times New Roman"/>
          <w:sz w:val="20"/>
          <w:szCs w:val="20"/>
        </w:rPr>
        <w:t>, liii (1938), 287-9), and in the following year a collection of essays by Karl Brandl (</w:t>
      </w:r>
      <w:r w:rsidRPr="009D33F1">
        <w:rPr>
          <w:rFonts w:ascii="Times New Roman" w:hAnsi="Times New Roman"/>
          <w:i/>
          <w:sz w:val="20"/>
          <w:szCs w:val="20"/>
        </w:rPr>
        <w:t>ante</w:t>
      </w:r>
      <w:r w:rsidRPr="009D33F1">
        <w:rPr>
          <w:rFonts w:ascii="Times New Roman" w:hAnsi="Times New Roman"/>
          <w:sz w:val="20"/>
          <w:szCs w:val="20"/>
        </w:rPr>
        <w:t>, liv (1939), 500-1).</w:t>
      </w:r>
    </w:p>
  </w:footnote>
  <w:footnote w:id="60">
    <w:p w14:paraId="3FDFEBF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As cited by Sharpe, 'Learning to </w:t>
      </w:r>
      <w:proofErr w:type="gramStart"/>
      <w:r w:rsidRPr="009D33F1">
        <w:rPr>
          <w:rFonts w:ascii="Times New Roman" w:hAnsi="Times New Roman"/>
          <w:sz w:val="20"/>
          <w:szCs w:val="20"/>
        </w:rPr>
        <w:t>Read</w:t>
      </w:r>
      <w:proofErr w:type="gramEnd"/>
      <w:r w:rsidRPr="009D33F1">
        <w:rPr>
          <w:rFonts w:ascii="Times New Roman" w:hAnsi="Times New Roman"/>
          <w:sz w:val="20"/>
          <w:szCs w:val="20"/>
        </w:rPr>
        <w:t>', 10.</w:t>
      </w:r>
    </w:p>
  </w:footnote>
  <w:footnote w:id="61">
    <w:p w14:paraId="0C6D7C7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M.T. Clanchy, 'Inventing Thirteenth-Century England: Stubbs, Tout, Powicke - Now What?</w:t>
      </w:r>
      <w:proofErr w:type="gramStart"/>
      <w:r w:rsidRPr="009D33F1">
        <w:rPr>
          <w:rFonts w:ascii="Times New Roman" w:hAnsi="Times New Roman"/>
          <w:sz w:val="20"/>
          <w:szCs w:val="20"/>
        </w:rPr>
        <w:t>',</w:t>
      </w:r>
      <w:proofErr w:type="gramEnd"/>
      <w:r w:rsidRPr="009D33F1">
        <w:rPr>
          <w:rFonts w:ascii="Times New Roman" w:hAnsi="Times New Roman"/>
          <w:sz w:val="20"/>
          <w:szCs w:val="20"/>
        </w:rPr>
        <w:t xml:space="preserve"> </w:t>
      </w:r>
      <w:r w:rsidRPr="009D33F1">
        <w:rPr>
          <w:rFonts w:ascii="Times New Roman" w:hAnsi="Times New Roman"/>
          <w:i/>
          <w:sz w:val="20"/>
          <w:szCs w:val="20"/>
        </w:rPr>
        <w:t>Thirteenth Century England V</w:t>
      </w:r>
      <w:r w:rsidRPr="009D33F1">
        <w:rPr>
          <w:rFonts w:ascii="Times New Roman" w:hAnsi="Times New Roman"/>
          <w:sz w:val="20"/>
          <w:szCs w:val="20"/>
        </w:rPr>
        <w:t xml:space="preserve">, ed. P.R. Coss and S.D. Lloyd (Woodbridge 1995), 1-20, esp. pp.4-5, by far the best assessment of Powicke, and a great deal more sensitive than the depressingly two-dimensional portrait by N.F. Cantor, </w:t>
      </w:r>
      <w:r w:rsidRPr="009D33F1">
        <w:rPr>
          <w:rFonts w:ascii="Times New Roman" w:hAnsi="Times New Roman"/>
          <w:i/>
          <w:sz w:val="20"/>
          <w:szCs w:val="20"/>
        </w:rPr>
        <w:t>Inventing the Middle Ages</w:t>
      </w:r>
      <w:r w:rsidRPr="009D33F1">
        <w:rPr>
          <w:rFonts w:ascii="Times New Roman" w:hAnsi="Times New Roman"/>
          <w:sz w:val="20"/>
          <w:szCs w:val="20"/>
        </w:rPr>
        <w:t xml:space="preserve"> (London 1992).  I owe to the late Sir James Holt reminiscences of a post-1945 Powicke very far from the embittered husk portrayed by Cantor.</w:t>
      </w:r>
    </w:p>
  </w:footnote>
  <w:footnote w:id="62">
    <w:p w14:paraId="5F4BB69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Beginning with his masterly review of the </w:t>
      </w:r>
      <w:r w:rsidRPr="009D33F1">
        <w:rPr>
          <w:rFonts w:ascii="Times New Roman" w:hAnsi="Times New Roman"/>
          <w:i/>
          <w:sz w:val="20"/>
          <w:szCs w:val="20"/>
        </w:rPr>
        <w:t>Book of Fees</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xxxvii (1922), 570-3; xlvii (1932), 494-8), continuing thereafter with reviews of the </w:t>
      </w:r>
      <w:r w:rsidRPr="009D33F1">
        <w:rPr>
          <w:rFonts w:ascii="Times New Roman" w:hAnsi="Times New Roman"/>
          <w:i/>
          <w:sz w:val="20"/>
          <w:szCs w:val="20"/>
        </w:rPr>
        <w:t>Close Rolls 1247-51</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xxxviii (1923), 433-5), </w:t>
      </w:r>
      <w:r w:rsidRPr="009D33F1">
        <w:rPr>
          <w:rFonts w:ascii="Times New Roman" w:hAnsi="Times New Roman"/>
          <w:i/>
          <w:sz w:val="20"/>
          <w:szCs w:val="20"/>
        </w:rPr>
        <w:t>Chancery Warrants 1244-1326</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xliii (1928), 101-3), </w:t>
      </w:r>
      <w:r w:rsidRPr="009D33F1">
        <w:rPr>
          <w:rFonts w:ascii="Times New Roman" w:hAnsi="Times New Roman"/>
          <w:i/>
          <w:sz w:val="20"/>
          <w:szCs w:val="20"/>
        </w:rPr>
        <w:t>Close Rolls 1256-9</w:t>
      </w:r>
      <w:r w:rsidRPr="009D33F1">
        <w:rPr>
          <w:rFonts w:ascii="Times New Roman" w:hAnsi="Times New Roman"/>
          <w:sz w:val="20"/>
          <w:szCs w:val="20"/>
        </w:rPr>
        <w:t xml:space="preserve"> (ante, xlviii (1933), 650-2), </w:t>
      </w:r>
      <w:r w:rsidRPr="009D33F1">
        <w:rPr>
          <w:rFonts w:ascii="Times New Roman" w:hAnsi="Times New Roman"/>
          <w:i/>
          <w:sz w:val="20"/>
          <w:szCs w:val="20"/>
        </w:rPr>
        <w:t>Close Rolls 1259-61</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l (1935), 710-12), </w:t>
      </w:r>
      <w:r w:rsidRPr="009D33F1">
        <w:rPr>
          <w:rFonts w:ascii="Times New Roman" w:hAnsi="Times New Roman"/>
          <w:i/>
          <w:sz w:val="20"/>
          <w:szCs w:val="20"/>
        </w:rPr>
        <w:t>Close Rolls 1261-4</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lii (1937), 701-2), and </w:t>
      </w:r>
      <w:r w:rsidRPr="009D33F1">
        <w:rPr>
          <w:rFonts w:ascii="Times New Roman" w:hAnsi="Times New Roman"/>
          <w:i/>
          <w:sz w:val="20"/>
          <w:szCs w:val="20"/>
        </w:rPr>
        <w:t>Close Rolls 1264-72</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lv (1940), 654-6).  See also his review, virtually a short essay, on Mitchell's </w:t>
      </w:r>
      <w:r w:rsidRPr="009D33F1">
        <w:rPr>
          <w:rFonts w:ascii="Times New Roman" w:hAnsi="Times New Roman"/>
          <w:i/>
          <w:sz w:val="20"/>
          <w:szCs w:val="20"/>
        </w:rPr>
        <w:t>Studies in Taxation</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xxx (1915), 530-5).</w:t>
      </w:r>
    </w:p>
  </w:footnote>
  <w:footnote w:id="63">
    <w:p w14:paraId="76A9B4B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Powicke, </w:t>
      </w:r>
      <w:r w:rsidRPr="009D33F1">
        <w:rPr>
          <w:rFonts w:ascii="Times New Roman" w:hAnsi="Times New Roman"/>
          <w:i/>
          <w:sz w:val="20"/>
          <w:szCs w:val="20"/>
        </w:rPr>
        <w:t>ante</w:t>
      </w:r>
      <w:r w:rsidRPr="009D33F1">
        <w:rPr>
          <w:rFonts w:ascii="Times New Roman" w:hAnsi="Times New Roman"/>
          <w:sz w:val="20"/>
          <w:szCs w:val="20"/>
        </w:rPr>
        <w:t xml:space="preserve">, xxxix (1924), 264-72; xli (1926), 281-6; xlii (1927), 604-6; xlv (1930), 298-300; xlvii (1932), 661-5; xlix (1934), 111-13; lii (1937), 698-701, and cf. his reviews of Doris Stenton's edition of the </w:t>
      </w:r>
      <w:r w:rsidRPr="009D33F1">
        <w:rPr>
          <w:rFonts w:ascii="Times New Roman" w:hAnsi="Times New Roman"/>
          <w:i/>
          <w:sz w:val="20"/>
          <w:szCs w:val="20"/>
        </w:rPr>
        <w:t>Earliest Northamptonshire Assize Rolls</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xlvi (1931), 287-8) and of the eyre rolls for Lincolnshire, Worcestershire and Yorkshire (</w:t>
      </w:r>
      <w:r w:rsidRPr="009D33F1">
        <w:rPr>
          <w:rFonts w:ascii="Times New Roman" w:hAnsi="Times New Roman"/>
          <w:i/>
          <w:sz w:val="20"/>
          <w:szCs w:val="20"/>
        </w:rPr>
        <w:t>ante</w:t>
      </w:r>
      <w:r w:rsidRPr="009D33F1">
        <w:rPr>
          <w:rFonts w:ascii="Times New Roman" w:hAnsi="Times New Roman"/>
          <w:sz w:val="20"/>
          <w:szCs w:val="20"/>
        </w:rPr>
        <w:t xml:space="preserve">, l (1935), 519-21; liii (1938), 296-7).  His reading of the rolls for 1213-15 subsequently formed the basis of Powicke's 'Observations concernant le franc tenant anglais au XIIIe siècle', </w:t>
      </w:r>
      <w:r w:rsidRPr="009D33F1">
        <w:rPr>
          <w:rFonts w:ascii="Times New Roman" w:hAnsi="Times New Roman"/>
          <w:i/>
          <w:sz w:val="20"/>
          <w:szCs w:val="20"/>
        </w:rPr>
        <w:t xml:space="preserve">La Tenure, </w:t>
      </w:r>
      <w:r w:rsidRPr="009D33F1">
        <w:rPr>
          <w:rFonts w:ascii="Times New Roman" w:hAnsi="Times New Roman"/>
          <w:sz w:val="20"/>
          <w:szCs w:val="20"/>
        </w:rPr>
        <w:t xml:space="preserve">Recueils de la Société Jean Bodin iii (Brussels 1938), 211-29, reviewed by W.S. Holdsworth, </w:t>
      </w:r>
      <w:r w:rsidRPr="009D33F1">
        <w:rPr>
          <w:rFonts w:ascii="Times New Roman" w:hAnsi="Times New Roman"/>
          <w:i/>
          <w:sz w:val="20"/>
          <w:szCs w:val="20"/>
        </w:rPr>
        <w:t>ante</w:t>
      </w:r>
      <w:r w:rsidRPr="009D33F1">
        <w:rPr>
          <w:rFonts w:ascii="Times New Roman" w:hAnsi="Times New Roman"/>
          <w:sz w:val="20"/>
          <w:szCs w:val="20"/>
        </w:rPr>
        <w:t xml:space="preserve">, liv (1939), 482-3, simultaneously published in English as 'Observations on the English Freeholder in the Thirteenth Century', </w:t>
      </w:r>
      <w:r w:rsidRPr="009D33F1">
        <w:rPr>
          <w:rFonts w:ascii="Times New Roman" w:hAnsi="Times New Roman"/>
          <w:i/>
          <w:sz w:val="20"/>
          <w:szCs w:val="20"/>
        </w:rPr>
        <w:t>Wirtschaft und Kultur: Festschrift zum 70. Geburtstag von Alfons Dopsch</w:t>
      </w:r>
      <w:r w:rsidRPr="009D33F1">
        <w:rPr>
          <w:rFonts w:ascii="Times New Roman" w:hAnsi="Times New Roman"/>
          <w:sz w:val="20"/>
          <w:szCs w:val="20"/>
        </w:rPr>
        <w:t>, ed. G.P. Bognetti, H.M. Cam and A. Dumanovsky (Baden/Leipzig 1938), 382-93.</w:t>
      </w:r>
    </w:p>
  </w:footnote>
  <w:footnote w:id="64">
    <w:p w14:paraId="6787EC0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Powicke, </w:t>
      </w:r>
      <w:r w:rsidRPr="009D33F1">
        <w:rPr>
          <w:rFonts w:ascii="Times New Roman" w:hAnsi="Times New Roman"/>
          <w:i/>
          <w:sz w:val="20"/>
          <w:szCs w:val="20"/>
        </w:rPr>
        <w:t>ante</w:t>
      </w:r>
      <w:r w:rsidRPr="009D33F1">
        <w:rPr>
          <w:rFonts w:ascii="Times New Roman" w:hAnsi="Times New Roman"/>
          <w:sz w:val="20"/>
          <w:szCs w:val="20"/>
        </w:rPr>
        <w:t xml:space="preserve">, xxxix (1924), 267, citing </w:t>
      </w:r>
      <w:r w:rsidRPr="009D33F1">
        <w:rPr>
          <w:rFonts w:ascii="Times New Roman" w:hAnsi="Times New Roman"/>
          <w:i/>
          <w:sz w:val="20"/>
          <w:szCs w:val="20"/>
        </w:rPr>
        <w:t>Curia Regis Rolls</w:t>
      </w:r>
      <w:r w:rsidRPr="009D33F1">
        <w:rPr>
          <w:rFonts w:ascii="Times New Roman" w:hAnsi="Times New Roman"/>
          <w:sz w:val="20"/>
          <w:szCs w:val="20"/>
        </w:rPr>
        <w:t xml:space="preserve">, i (1923), 278-9; Powicke, </w:t>
      </w:r>
      <w:proofErr w:type="gramStart"/>
      <w:r w:rsidRPr="009D33F1">
        <w:rPr>
          <w:rFonts w:ascii="Times New Roman" w:hAnsi="Times New Roman"/>
          <w:i/>
          <w:sz w:val="20"/>
          <w:szCs w:val="20"/>
        </w:rPr>
        <w:t>ante</w:t>
      </w:r>
      <w:r w:rsidRPr="009D33F1">
        <w:rPr>
          <w:rFonts w:ascii="Times New Roman" w:hAnsi="Times New Roman"/>
          <w:sz w:val="20"/>
          <w:szCs w:val="20"/>
        </w:rPr>
        <w:t xml:space="preserve"> ,</w:t>
      </w:r>
      <w:proofErr w:type="gramEnd"/>
      <w:r w:rsidRPr="009D33F1">
        <w:rPr>
          <w:rFonts w:ascii="Times New Roman" w:hAnsi="Times New Roman"/>
          <w:sz w:val="20"/>
          <w:szCs w:val="20"/>
        </w:rPr>
        <w:t xml:space="preserve"> xlii (1927), 606, citing </w:t>
      </w:r>
      <w:r w:rsidRPr="009D33F1">
        <w:rPr>
          <w:rFonts w:ascii="Times New Roman" w:hAnsi="Times New Roman"/>
          <w:i/>
          <w:sz w:val="20"/>
          <w:szCs w:val="20"/>
        </w:rPr>
        <w:t>Curia Regis Rolls</w:t>
      </w:r>
      <w:r w:rsidRPr="009D33F1">
        <w:rPr>
          <w:rFonts w:ascii="Times New Roman" w:hAnsi="Times New Roman"/>
          <w:sz w:val="20"/>
          <w:szCs w:val="20"/>
        </w:rPr>
        <w:t>, iii (1926), 63 (‘suspirium et fletus’), 221 (‘dolor vel suspirium’).</w:t>
      </w:r>
    </w:p>
  </w:footnote>
  <w:footnote w:id="65">
    <w:p w14:paraId="6477F235" w14:textId="2BCF5BE1"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Powicke, </w:t>
      </w:r>
      <w:r w:rsidRPr="009D33F1">
        <w:rPr>
          <w:rFonts w:ascii="Times New Roman" w:hAnsi="Times New Roman"/>
          <w:i/>
          <w:sz w:val="20"/>
          <w:szCs w:val="20"/>
        </w:rPr>
        <w:t>ante</w:t>
      </w:r>
      <w:r w:rsidRPr="009D33F1">
        <w:rPr>
          <w:rFonts w:ascii="Times New Roman" w:hAnsi="Times New Roman"/>
          <w:sz w:val="20"/>
          <w:szCs w:val="20"/>
        </w:rPr>
        <w:t xml:space="preserve">, xlvii (1932), 664, citing </w:t>
      </w:r>
      <w:r w:rsidRPr="009D33F1">
        <w:rPr>
          <w:rFonts w:ascii="Times New Roman" w:hAnsi="Times New Roman"/>
          <w:i/>
          <w:sz w:val="20"/>
          <w:szCs w:val="20"/>
        </w:rPr>
        <w:t>Curia Regis Rolls</w:t>
      </w:r>
      <w:r w:rsidRPr="009D33F1">
        <w:rPr>
          <w:rFonts w:ascii="Times New Roman" w:hAnsi="Times New Roman"/>
          <w:sz w:val="20"/>
          <w:szCs w:val="20"/>
        </w:rPr>
        <w:t xml:space="preserve">, v (1931), 75-6, and cf. Powicke, </w:t>
      </w:r>
      <w:r w:rsidRPr="009D33F1">
        <w:rPr>
          <w:rFonts w:ascii="Times New Roman" w:hAnsi="Times New Roman"/>
          <w:i/>
          <w:sz w:val="20"/>
          <w:szCs w:val="20"/>
        </w:rPr>
        <w:t>ante</w:t>
      </w:r>
      <w:r w:rsidRPr="009D33F1">
        <w:rPr>
          <w:rFonts w:ascii="Times New Roman" w:hAnsi="Times New Roman"/>
          <w:sz w:val="20"/>
          <w:szCs w:val="20"/>
        </w:rPr>
        <w:t xml:space="preserve">, xxxix (1924), 267-8, citing </w:t>
      </w:r>
      <w:r w:rsidRPr="009D33F1">
        <w:rPr>
          <w:rFonts w:ascii="Times New Roman" w:hAnsi="Times New Roman"/>
          <w:i/>
          <w:sz w:val="20"/>
          <w:szCs w:val="20"/>
        </w:rPr>
        <w:t>Curia Regis Rolls</w:t>
      </w:r>
      <w:r w:rsidRPr="009D33F1">
        <w:rPr>
          <w:rFonts w:ascii="Times New Roman" w:hAnsi="Times New Roman"/>
          <w:sz w:val="20"/>
          <w:szCs w:val="20"/>
        </w:rPr>
        <w:t>, i, 208, 227, 245.</w:t>
      </w:r>
    </w:p>
  </w:footnote>
  <w:footnote w:id="66">
    <w:p w14:paraId="6893D7A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Powicke, </w:t>
      </w:r>
      <w:r w:rsidRPr="009D33F1">
        <w:rPr>
          <w:rFonts w:ascii="Times New Roman" w:hAnsi="Times New Roman"/>
          <w:i/>
          <w:sz w:val="20"/>
          <w:szCs w:val="20"/>
        </w:rPr>
        <w:t>ante</w:t>
      </w:r>
      <w:r w:rsidRPr="009D33F1">
        <w:rPr>
          <w:rFonts w:ascii="Times New Roman" w:hAnsi="Times New Roman"/>
          <w:sz w:val="20"/>
          <w:szCs w:val="20"/>
        </w:rPr>
        <w:t>, xxxix (1924), 596.</w:t>
      </w:r>
      <w:proofErr w:type="gramEnd"/>
    </w:p>
  </w:footnote>
  <w:footnote w:id="67">
    <w:p w14:paraId="0AC44FC6"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R.W. Southern, ‘Sir Maurice Powicke (1879-1963)’, </w:t>
      </w:r>
      <w:r w:rsidRPr="009D33F1">
        <w:rPr>
          <w:rFonts w:ascii="Times New Roman" w:hAnsi="Times New Roman"/>
          <w:i/>
          <w:sz w:val="20"/>
          <w:szCs w:val="20"/>
        </w:rPr>
        <w:t>Proceedings of the British Academy</w:t>
      </w:r>
      <w:r w:rsidRPr="009D33F1">
        <w:rPr>
          <w:rFonts w:ascii="Times New Roman" w:hAnsi="Times New Roman"/>
          <w:sz w:val="20"/>
          <w:szCs w:val="20"/>
        </w:rPr>
        <w:t>, l (1964), 275.</w:t>
      </w:r>
    </w:p>
  </w:footnote>
  <w:footnote w:id="68">
    <w:p w14:paraId="2835245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See, for example, </w:t>
      </w:r>
      <w:r w:rsidRPr="009D33F1">
        <w:rPr>
          <w:rFonts w:ascii="Times New Roman" w:hAnsi="Times New Roman"/>
          <w:bCs/>
          <w:sz w:val="20"/>
          <w:szCs w:val="20"/>
        </w:rPr>
        <w:t>J.</w:t>
      </w:r>
      <w:r w:rsidRPr="009D33F1">
        <w:rPr>
          <w:rFonts w:ascii="Times New Roman" w:hAnsi="Times New Roman"/>
          <w:sz w:val="20"/>
          <w:szCs w:val="20"/>
        </w:rPr>
        <w:t xml:space="preserve"> </w:t>
      </w:r>
      <w:r w:rsidRPr="009D33F1">
        <w:rPr>
          <w:rFonts w:ascii="Times New Roman" w:hAnsi="Times New Roman"/>
          <w:bCs/>
          <w:sz w:val="20"/>
          <w:szCs w:val="20"/>
        </w:rPr>
        <w:t xml:space="preserve">Tait, 'The Firma Burgi and the Commune in England, 1066-1191', </w:t>
      </w:r>
      <w:r w:rsidRPr="009D33F1">
        <w:rPr>
          <w:rFonts w:ascii="Times New Roman" w:hAnsi="Times New Roman"/>
          <w:bCs/>
          <w:i/>
          <w:sz w:val="20"/>
          <w:szCs w:val="20"/>
        </w:rPr>
        <w:t>ante</w:t>
      </w:r>
      <w:r w:rsidRPr="009D33F1">
        <w:rPr>
          <w:rFonts w:ascii="Times New Roman" w:hAnsi="Times New Roman"/>
          <w:bCs/>
          <w:sz w:val="20"/>
          <w:szCs w:val="20"/>
        </w:rPr>
        <w:t xml:space="preserve">, xlii (1927), 321-60; idem, 'The Origin of Town Councils in England', </w:t>
      </w:r>
      <w:r w:rsidRPr="009D33F1">
        <w:rPr>
          <w:rFonts w:ascii="Times New Roman" w:hAnsi="Times New Roman"/>
          <w:bCs/>
          <w:i/>
          <w:sz w:val="20"/>
          <w:szCs w:val="20"/>
        </w:rPr>
        <w:t>ante</w:t>
      </w:r>
      <w:r w:rsidRPr="009D33F1">
        <w:rPr>
          <w:rFonts w:ascii="Times New Roman" w:hAnsi="Times New Roman"/>
          <w:bCs/>
          <w:sz w:val="20"/>
          <w:szCs w:val="20"/>
        </w:rPr>
        <w:t xml:space="preserve">, xliv (1929), 177-202, 399; idem, 'The Borough Community in England', </w:t>
      </w:r>
      <w:r w:rsidRPr="009D33F1">
        <w:rPr>
          <w:rFonts w:ascii="Times New Roman" w:hAnsi="Times New Roman"/>
          <w:i/>
          <w:sz w:val="20"/>
          <w:szCs w:val="20"/>
        </w:rPr>
        <w:t>ante</w:t>
      </w:r>
      <w:r w:rsidRPr="009D33F1">
        <w:rPr>
          <w:rFonts w:ascii="Times New Roman" w:hAnsi="Times New Roman"/>
          <w:sz w:val="20"/>
          <w:szCs w:val="20"/>
        </w:rPr>
        <w:t xml:space="preserve">, xlv (1930), 529-551; idem, 'The Common Council of the Borough', ante, xlvi (1931), 1-29.  Tait's own significant work on the so-called Magna Carta of Cheshire, included in volume 1 of Tait's edition of </w:t>
      </w:r>
      <w:r w:rsidRPr="009D33F1">
        <w:rPr>
          <w:rFonts w:ascii="Times New Roman" w:hAnsi="Times New Roman"/>
          <w:i/>
          <w:sz w:val="20"/>
          <w:szCs w:val="20"/>
        </w:rPr>
        <w:t>The Chartulary or Register of the Abbey of St Werburgh, Chester</w:t>
      </w:r>
      <w:r w:rsidRPr="009D33F1">
        <w:rPr>
          <w:rFonts w:ascii="Times New Roman" w:hAnsi="Times New Roman"/>
          <w:sz w:val="20"/>
          <w:szCs w:val="20"/>
        </w:rPr>
        <w:t xml:space="preserve"> (1920-3) had been noticed only briefly and in passing in the review by C.G. Crump, </w:t>
      </w:r>
      <w:r w:rsidRPr="009D33F1">
        <w:rPr>
          <w:rFonts w:ascii="Times New Roman" w:hAnsi="Times New Roman"/>
          <w:i/>
          <w:sz w:val="20"/>
          <w:szCs w:val="20"/>
        </w:rPr>
        <w:t>ante</w:t>
      </w:r>
      <w:r w:rsidRPr="009D33F1">
        <w:rPr>
          <w:rFonts w:ascii="Times New Roman" w:hAnsi="Times New Roman"/>
          <w:sz w:val="20"/>
          <w:szCs w:val="20"/>
        </w:rPr>
        <w:t>, xxxix (1924), 119.</w:t>
      </w:r>
    </w:p>
  </w:footnote>
  <w:footnote w:id="69">
    <w:p w14:paraId="19BEF28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Powicke, </w:t>
      </w:r>
      <w:r w:rsidRPr="009D33F1">
        <w:rPr>
          <w:rFonts w:ascii="Times New Roman" w:hAnsi="Times New Roman"/>
          <w:i/>
          <w:sz w:val="20"/>
          <w:szCs w:val="20"/>
        </w:rPr>
        <w:t>ante</w:t>
      </w:r>
      <w:r w:rsidRPr="009D33F1">
        <w:rPr>
          <w:rFonts w:ascii="Times New Roman" w:hAnsi="Times New Roman"/>
          <w:sz w:val="20"/>
          <w:szCs w:val="20"/>
        </w:rPr>
        <w:t>, xliii (1928), 284.</w:t>
      </w:r>
      <w:proofErr w:type="gramEnd"/>
    </w:p>
  </w:footnote>
  <w:footnote w:id="70">
    <w:p w14:paraId="4D6BA466"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L. Leclère, ‘La Grande Charte de 1215, est-elle une illusion?</w:t>
      </w:r>
      <w:proofErr w:type="gramStart"/>
      <w:r w:rsidRPr="009D33F1">
        <w:rPr>
          <w:rFonts w:ascii="Times New Roman" w:hAnsi="Times New Roman"/>
          <w:sz w:val="20"/>
          <w:szCs w:val="20"/>
        </w:rPr>
        <w:t>’,</w:t>
      </w:r>
      <w:proofErr w:type="gramEnd"/>
      <w:r w:rsidRPr="009D33F1">
        <w:rPr>
          <w:rFonts w:ascii="Times New Roman" w:hAnsi="Times New Roman"/>
          <w:sz w:val="20"/>
          <w:szCs w:val="20"/>
        </w:rPr>
        <w:t xml:space="preserve"> </w:t>
      </w:r>
      <w:r w:rsidRPr="009D33F1">
        <w:rPr>
          <w:rFonts w:ascii="Times New Roman" w:hAnsi="Times New Roman"/>
          <w:i/>
          <w:sz w:val="20"/>
          <w:szCs w:val="20"/>
        </w:rPr>
        <w:t>Mélanges offerts à Henri Pirenne</w:t>
      </w:r>
      <w:r w:rsidRPr="009D33F1">
        <w:rPr>
          <w:rFonts w:ascii="Times New Roman" w:hAnsi="Times New Roman"/>
          <w:sz w:val="20"/>
          <w:szCs w:val="20"/>
        </w:rPr>
        <w:t>, 2 vols (Brussels 1926), i, 279-90.</w:t>
      </w:r>
    </w:p>
  </w:footnote>
  <w:footnote w:id="71">
    <w:p w14:paraId="358EB818" w14:textId="77777777" w:rsidR="00036517" w:rsidRPr="009D33F1" w:rsidRDefault="00036517" w:rsidP="00A27FF6">
      <w:pPr>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M. Pattison, </w:t>
      </w:r>
      <w:r w:rsidRPr="009D33F1">
        <w:rPr>
          <w:rFonts w:ascii="Times New Roman" w:hAnsi="Times New Roman"/>
          <w:i/>
          <w:sz w:val="20"/>
          <w:szCs w:val="20"/>
        </w:rPr>
        <w:t>The Life of Stephen Langton</w:t>
      </w:r>
      <w:r w:rsidRPr="009D33F1">
        <w:rPr>
          <w:rFonts w:ascii="Times New Roman" w:hAnsi="Times New Roman"/>
          <w:sz w:val="20"/>
          <w:szCs w:val="20"/>
        </w:rPr>
        <w:t xml:space="preserve"> (London 1845, published anonymously, as part of Newman's series of Lives of the English Saints, reprinted in 1901 as Pattison's work); Walter Farquhar Hook, </w:t>
      </w:r>
      <w:r w:rsidRPr="009D33F1">
        <w:rPr>
          <w:rFonts w:ascii="Times New Roman" w:hAnsi="Times New Roman"/>
          <w:i/>
          <w:sz w:val="20"/>
          <w:szCs w:val="20"/>
        </w:rPr>
        <w:t>Lives of the Archbishops of Canterbury: Volume II.  Anglo-Norman Period</w:t>
      </w:r>
      <w:r w:rsidRPr="009D33F1">
        <w:rPr>
          <w:rFonts w:ascii="Times New Roman" w:hAnsi="Times New Roman"/>
          <w:sz w:val="20"/>
          <w:szCs w:val="20"/>
        </w:rPr>
        <w:t xml:space="preserve"> (London, 1862), 657-761; C.E. Maurice, </w:t>
      </w:r>
      <w:r w:rsidRPr="009D33F1">
        <w:rPr>
          <w:rFonts w:ascii="Times New Roman" w:hAnsi="Times New Roman"/>
          <w:i/>
          <w:sz w:val="20"/>
          <w:szCs w:val="20"/>
        </w:rPr>
        <w:t>Stephen Langton</w:t>
      </w:r>
      <w:r w:rsidRPr="009D33F1">
        <w:rPr>
          <w:rFonts w:ascii="Times New Roman" w:hAnsi="Times New Roman"/>
          <w:sz w:val="20"/>
          <w:szCs w:val="20"/>
        </w:rPr>
        <w:t xml:space="preserve"> (London 1872), and for the Victorian image of Langton more generally, see now N. Vincent, 'Stephen Langton, Archbishop of Canterbury', </w:t>
      </w:r>
      <w:r w:rsidRPr="009D33F1">
        <w:rPr>
          <w:rFonts w:ascii="Times New Roman" w:hAnsi="Times New Roman"/>
          <w:i/>
          <w:sz w:val="20"/>
          <w:szCs w:val="20"/>
        </w:rPr>
        <w:t>Etienne Langton: prédicateur, bibliste, théologien</w:t>
      </w:r>
      <w:r w:rsidRPr="009D33F1">
        <w:rPr>
          <w:rFonts w:ascii="Times New Roman" w:hAnsi="Times New Roman"/>
          <w:sz w:val="20"/>
          <w:szCs w:val="20"/>
        </w:rPr>
        <w:t>, ed. L.-J. Bataillon, N. Beriou, G. Dahan and R. Quinto (Turnhout 2010), 51-123.</w:t>
      </w:r>
    </w:p>
  </w:footnote>
  <w:footnote w:id="72">
    <w:p w14:paraId="3F393ECB"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Stubbs, </w:t>
      </w:r>
      <w:r w:rsidRPr="009D33F1">
        <w:rPr>
          <w:rFonts w:ascii="Times New Roman" w:hAnsi="Times New Roman"/>
          <w:i/>
          <w:sz w:val="20"/>
          <w:szCs w:val="20"/>
        </w:rPr>
        <w:t>Constitutional History</w:t>
      </w:r>
      <w:r w:rsidRPr="009D33F1">
        <w:rPr>
          <w:rFonts w:ascii="Times New Roman" w:hAnsi="Times New Roman"/>
          <w:sz w:val="20"/>
          <w:szCs w:val="20"/>
        </w:rPr>
        <w:t>, i (1874), 531.</w:t>
      </w:r>
      <w:proofErr w:type="gramEnd"/>
    </w:p>
  </w:footnote>
  <w:footnote w:id="73">
    <w:p w14:paraId="122AD5E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F.M. Powicke, 'The Bull "Miramur plurimum" and a Letter to Archbishop Stephen Langton, 5 September 1215', </w:t>
      </w:r>
      <w:r w:rsidRPr="009D33F1">
        <w:rPr>
          <w:rFonts w:ascii="Times New Roman" w:hAnsi="Times New Roman"/>
          <w:i/>
          <w:sz w:val="20"/>
          <w:szCs w:val="20"/>
        </w:rPr>
        <w:t>ante</w:t>
      </w:r>
      <w:r w:rsidRPr="009D33F1">
        <w:rPr>
          <w:rFonts w:ascii="Times New Roman" w:hAnsi="Times New Roman"/>
          <w:sz w:val="20"/>
          <w:szCs w:val="20"/>
        </w:rPr>
        <w:t xml:space="preserve">, xliv (1929), 87-93, the text of the letters themselves (now Canterbury Cathedral Archives Chartae Antiquae M247) now re-edited in </w:t>
      </w:r>
      <w:r w:rsidRPr="009D33F1">
        <w:rPr>
          <w:rFonts w:ascii="Times New Roman" w:hAnsi="Times New Roman"/>
          <w:i/>
          <w:sz w:val="20"/>
          <w:szCs w:val="20"/>
        </w:rPr>
        <w:t>English Episcopal Acta IX: Winchester 1205-1238</w:t>
      </w:r>
      <w:r w:rsidRPr="009D33F1">
        <w:rPr>
          <w:rFonts w:ascii="Times New Roman" w:hAnsi="Times New Roman"/>
          <w:sz w:val="20"/>
          <w:szCs w:val="20"/>
        </w:rPr>
        <w:t>, ed. N. Vincent (Oxford 1994), 82-6 no.100.</w:t>
      </w:r>
    </w:p>
  </w:footnote>
  <w:footnote w:id="74">
    <w:p w14:paraId="105DB95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F.M. Powicke, 'Article 13 of the Articles of the Barons (1215)', </w:t>
      </w:r>
      <w:r w:rsidRPr="009D33F1">
        <w:rPr>
          <w:rFonts w:ascii="Times New Roman" w:hAnsi="Times New Roman"/>
          <w:i/>
          <w:sz w:val="20"/>
          <w:szCs w:val="20"/>
        </w:rPr>
        <w:t>ante</w:t>
      </w:r>
      <w:r w:rsidRPr="009D33F1">
        <w:rPr>
          <w:rFonts w:ascii="Times New Roman" w:hAnsi="Times New Roman"/>
          <w:sz w:val="20"/>
          <w:szCs w:val="20"/>
        </w:rPr>
        <w:t>, xxxv (1920), 401-2.</w:t>
      </w:r>
    </w:p>
  </w:footnote>
  <w:footnote w:id="75">
    <w:p w14:paraId="769B388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C.G. Crump, </w:t>
      </w:r>
      <w:r w:rsidRPr="009D33F1">
        <w:rPr>
          <w:rFonts w:ascii="Times New Roman" w:hAnsi="Times New Roman"/>
          <w:i/>
          <w:sz w:val="20"/>
          <w:szCs w:val="20"/>
        </w:rPr>
        <w:t>ante</w:t>
      </w:r>
      <w:r w:rsidRPr="009D33F1">
        <w:rPr>
          <w:rFonts w:ascii="Times New Roman" w:hAnsi="Times New Roman"/>
          <w:sz w:val="20"/>
          <w:szCs w:val="20"/>
        </w:rPr>
        <w:t>, xliii (1928), 619-21.</w:t>
      </w:r>
    </w:p>
  </w:footnote>
  <w:footnote w:id="76">
    <w:p w14:paraId="3BD5A183"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F.M. Powicke, 'Bibliographical Note on Recent Work Upon Stephen Langton', </w:t>
      </w:r>
      <w:r w:rsidRPr="009D33F1">
        <w:rPr>
          <w:rFonts w:ascii="Times New Roman" w:hAnsi="Times New Roman"/>
          <w:i/>
          <w:sz w:val="20"/>
          <w:szCs w:val="20"/>
        </w:rPr>
        <w:t>ante</w:t>
      </w:r>
      <w:r w:rsidRPr="009D33F1">
        <w:rPr>
          <w:rFonts w:ascii="Times New Roman" w:hAnsi="Times New Roman"/>
          <w:sz w:val="20"/>
          <w:szCs w:val="20"/>
        </w:rPr>
        <w:t xml:space="preserve">, xlviii (1933), 554-7; K. Major, 'The "Familia" of Archbishop Stephen Langton', </w:t>
      </w:r>
      <w:r w:rsidRPr="009D33F1">
        <w:rPr>
          <w:rFonts w:ascii="Times New Roman" w:hAnsi="Times New Roman"/>
          <w:i/>
          <w:sz w:val="20"/>
          <w:szCs w:val="20"/>
        </w:rPr>
        <w:t>ante</w:t>
      </w:r>
      <w:r w:rsidRPr="009D33F1">
        <w:rPr>
          <w:rFonts w:ascii="Times New Roman" w:hAnsi="Times New Roman"/>
          <w:sz w:val="20"/>
          <w:szCs w:val="20"/>
        </w:rPr>
        <w:t xml:space="preserve">, xlviii (1933), 529-53, and cf. </w:t>
      </w:r>
      <w:r w:rsidRPr="009D33F1">
        <w:rPr>
          <w:rFonts w:ascii="Times New Roman" w:hAnsi="Times New Roman"/>
          <w:i/>
          <w:sz w:val="20"/>
          <w:szCs w:val="20"/>
        </w:rPr>
        <w:t>Acta Stephani Langton Cantuariensis archiepiscopi A.D. 1207-1228</w:t>
      </w:r>
      <w:r w:rsidRPr="009D33F1">
        <w:rPr>
          <w:rFonts w:ascii="Times New Roman" w:hAnsi="Times New Roman"/>
          <w:sz w:val="20"/>
          <w:szCs w:val="20"/>
        </w:rPr>
        <w:t xml:space="preserve">, ed. K. Major, Canterbury and York Society l (1950), an edition that itself seems to have gone unreviewed in </w:t>
      </w:r>
      <w:r w:rsidRPr="009D33F1">
        <w:rPr>
          <w:rFonts w:ascii="Times New Roman" w:hAnsi="Times New Roman"/>
          <w:i/>
          <w:sz w:val="20"/>
          <w:szCs w:val="20"/>
        </w:rPr>
        <w:t>EHR</w:t>
      </w:r>
      <w:r w:rsidRPr="009D33F1">
        <w:rPr>
          <w:rFonts w:ascii="Times New Roman" w:hAnsi="Times New Roman"/>
          <w:sz w:val="20"/>
          <w:szCs w:val="20"/>
        </w:rPr>
        <w:t>.</w:t>
      </w:r>
    </w:p>
  </w:footnote>
  <w:footnote w:id="77">
    <w:p w14:paraId="0DA1F73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Vincent, 'Langton', as above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w:t>
      </w:r>
    </w:p>
  </w:footnote>
  <w:footnote w:id="78">
    <w:p w14:paraId="199667B4"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J.C. Fox, ‘The Originals of the Great Charter’, </w:t>
      </w:r>
      <w:r w:rsidRPr="009D33F1">
        <w:rPr>
          <w:rFonts w:ascii="Times New Roman" w:hAnsi="Times New Roman"/>
          <w:i/>
          <w:sz w:val="20"/>
          <w:szCs w:val="20"/>
        </w:rPr>
        <w:t>ante</w:t>
      </w:r>
      <w:r w:rsidRPr="009D33F1">
        <w:rPr>
          <w:rFonts w:ascii="Times New Roman" w:hAnsi="Times New Roman"/>
          <w:sz w:val="20"/>
          <w:szCs w:val="20"/>
        </w:rPr>
        <w:t xml:space="preserve">, xxxix (1924), 321-36, and cf. A.J. Collins, ‘The Documents of the Great Charter of 1215’, </w:t>
      </w:r>
      <w:r w:rsidRPr="009D33F1">
        <w:rPr>
          <w:rFonts w:ascii="Times New Roman" w:hAnsi="Times New Roman"/>
          <w:i/>
          <w:sz w:val="20"/>
          <w:szCs w:val="20"/>
        </w:rPr>
        <w:t>Proceedings of the British Academy</w:t>
      </w:r>
      <w:r w:rsidRPr="009D33F1">
        <w:rPr>
          <w:rFonts w:ascii="Times New Roman" w:hAnsi="Times New Roman"/>
          <w:sz w:val="20"/>
          <w:szCs w:val="20"/>
        </w:rPr>
        <w:t xml:space="preserve">, xxxiv (1948), 233-79.  For subsequent work here, see my census of all surviving Magna Carta manuscripts, published as the catalogue to the 2007 sale of a 1297 Magna Carta: </w:t>
      </w:r>
      <w:r w:rsidRPr="009D33F1">
        <w:rPr>
          <w:rFonts w:ascii="Times New Roman" w:hAnsi="Times New Roman"/>
          <w:i/>
          <w:sz w:val="20"/>
          <w:szCs w:val="20"/>
        </w:rPr>
        <w:t>The Magna Carta</w:t>
      </w:r>
      <w:r w:rsidRPr="009D33F1">
        <w:rPr>
          <w:rFonts w:ascii="Times New Roman" w:hAnsi="Times New Roman"/>
          <w:sz w:val="20"/>
          <w:szCs w:val="20"/>
        </w:rPr>
        <w:t xml:space="preserve">, Sotheby's Sale Catalogue (New York 18 December 2007), shortly to be republished in revised form for the Bodleian Library as N. Vincent, </w:t>
      </w:r>
      <w:r w:rsidRPr="009D33F1">
        <w:rPr>
          <w:rFonts w:ascii="Times New Roman" w:hAnsi="Times New Roman"/>
          <w:i/>
          <w:sz w:val="20"/>
          <w:szCs w:val="20"/>
        </w:rPr>
        <w:t>Magna Carta: Making and Legacy</w:t>
      </w:r>
      <w:r w:rsidRPr="009D33F1">
        <w:rPr>
          <w:rFonts w:ascii="Times New Roman" w:hAnsi="Times New Roman"/>
          <w:sz w:val="20"/>
          <w:szCs w:val="20"/>
        </w:rPr>
        <w:t xml:space="preserve"> (Oxford 2015).  For one of the more contentious of the originals of the 1215 charter, see also C.E. Wright, 'Sir Edward Dering: A Seventeenth Century Antiquary and his "Saxon" Charters', </w:t>
      </w:r>
      <w:r w:rsidRPr="009D33F1">
        <w:rPr>
          <w:rFonts w:ascii="Times New Roman" w:hAnsi="Times New Roman"/>
          <w:i/>
          <w:sz w:val="20"/>
          <w:szCs w:val="20"/>
        </w:rPr>
        <w:t>The Early Cultures of North-West Europe</w:t>
      </w:r>
      <w:r w:rsidRPr="009D33F1">
        <w:rPr>
          <w:rFonts w:ascii="Times New Roman" w:hAnsi="Times New Roman"/>
          <w:sz w:val="20"/>
          <w:szCs w:val="20"/>
        </w:rPr>
        <w:t>, ed. C. Fox and B. Dickins (Cambridge 1950), 375-6, still erroneously associating BL Cotton Charter xiii.31a with the archives of Dover Castle.</w:t>
      </w:r>
    </w:p>
  </w:footnote>
  <w:footnote w:id="79">
    <w:p w14:paraId="3A1532F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J.C. Fox, 'Marie de France', </w:t>
      </w:r>
      <w:r w:rsidRPr="009D33F1">
        <w:rPr>
          <w:rFonts w:ascii="Times New Roman" w:hAnsi="Times New Roman"/>
          <w:i/>
          <w:sz w:val="20"/>
          <w:szCs w:val="20"/>
        </w:rPr>
        <w:t>ante</w:t>
      </w:r>
      <w:r w:rsidRPr="009D33F1">
        <w:rPr>
          <w:rFonts w:ascii="Times New Roman" w:hAnsi="Times New Roman"/>
          <w:sz w:val="20"/>
          <w:szCs w:val="20"/>
        </w:rPr>
        <w:t xml:space="preserve">, xxv (1910), 303-6; idem, 'Mary, Abbess of Shaftesbury', </w:t>
      </w:r>
      <w:r w:rsidRPr="009D33F1">
        <w:rPr>
          <w:rFonts w:ascii="Times New Roman" w:hAnsi="Times New Roman"/>
          <w:i/>
          <w:sz w:val="20"/>
          <w:szCs w:val="20"/>
        </w:rPr>
        <w:t>ante</w:t>
      </w:r>
      <w:r w:rsidRPr="009D33F1">
        <w:rPr>
          <w:rFonts w:ascii="Times New Roman" w:hAnsi="Times New Roman"/>
          <w:sz w:val="20"/>
          <w:szCs w:val="20"/>
        </w:rPr>
        <w:t xml:space="preserve">, xxvi (1911), 317-26, and see most recently, below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 xml:space="preserve">; </w:t>
      </w:r>
      <w:r w:rsidRPr="009D33F1">
        <w:rPr>
          <w:rFonts w:ascii="Times New Roman" w:hAnsi="Times New Roman"/>
          <w:i/>
          <w:sz w:val="20"/>
          <w:szCs w:val="20"/>
        </w:rPr>
        <w:t>A Companion to Marie de France</w:t>
      </w:r>
      <w:r w:rsidRPr="009D33F1">
        <w:rPr>
          <w:rFonts w:ascii="Times New Roman" w:hAnsi="Times New Roman"/>
          <w:sz w:val="20"/>
          <w:szCs w:val="20"/>
        </w:rPr>
        <w:t xml:space="preserve">, ed. L.E. Whalen (Leiden 2011) and </w:t>
      </w:r>
      <w:r w:rsidRPr="009D33F1">
        <w:rPr>
          <w:rFonts w:ascii="Times New Roman" w:hAnsi="Times New Roman"/>
          <w:i/>
          <w:sz w:val="20"/>
          <w:szCs w:val="20"/>
        </w:rPr>
        <w:t>Marie de France: A Critical Companion</w:t>
      </w:r>
      <w:r w:rsidRPr="009D33F1">
        <w:rPr>
          <w:rFonts w:ascii="Times New Roman" w:hAnsi="Times New Roman"/>
          <w:sz w:val="20"/>
          <w:szCs w:val="20"/>
        </w:rPr>
        <w:t>, ed. S. Kinoshita and P. McCracken (Woodbridge 2012).</w:t>
      </w:r>
    </w:p>
  </w:footnote>
  <w:footnote w:id="80">
    <w:p w14:paraId="5A52028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 Thomson, </w:t>
      </w:r>
      <w:r w:rsidRPr="009D33F1">
        <w:rPr>
          <w:rFonts w:ascii="Times New Roman" w:hAnsi="Times New Roman"/>
          <w:i/>
          <w:sz w:val="20"/>
          <w:szCs w:val="20"/>
        </w:rPr>
        <w:t>Historical Essay on the Magna Charta of King John</w:t>
      </w:r>
      <w:r w:rsidRPr="009D33F1">
        <w:rPr>
          <w:rFonts w:ascii="Times New Roman" w:hAnsi="Times New Roman"/>
          <w:sz w:val="20"/>
          <w:szCs w:val="20"/>
        </w:rPr>
        <w:t xml:space="preserve"> (London 1829), 274, 425.</w:t>
      </w:r>
    </w:p>
  </w:footnote>
  <w:footnote w:id="81">
    <w:p w14:paraId="1736EC9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R.L. Poole, 'The Publication of Great Charters by the English Kings', </w:t>
      </w:r>
      <w:r w:rsidRPr="009D33F1">
        <w:rPr>
          <w:rFonts w:ascii="Times New Roman" w:hAnsi="Times New Roman"/>
          <w:i/>
          <w:sz w:val="20"/>
          <w:szCs w:val="20"/>
        </w:rPr>
        <w:t>ante</w:t>
      </w:r>
      <w:r w:rsidRPr="009D33F1">
        <w:rPr>
          <w:rFonts w:ascii="Times New Roman" w:hAnsi="Times New Roman"/>
          <w:sz w:val="20"/>
          <w:szCs w:val="20"/>
        </w:rPr>
        <w:t>, xxviii (1913), 449.</w:t>
      </w:r>
    </w:p>
  </w:footnote>
  <w:footnote w:id="82">
    <w:p w14:paraId="311F8C5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Fox, 'The Originals', 334.</w:t>
      </w:r>
      <w:proofErr w:type="gramEnd"/>
    </w:p>
  </w:footnote>
  <w:footnote w:id="83">
    <w:p w14:paraId="2257A885"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Collins, 'The Documents', 271-3.</w:t>
      </w:r>
      <w:proofErr w:type="gramEnd"/>
    </w:p>
  </w:footnote>
  <w:footnote w:id="84">
    <w:p w14:paraId="17E8B1A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w:t>
      </w:r>
      <w:proofErr w:type="gramStart"/>
      <w:r w:rsidRPr="009D33F1">
        <w:rPr>
          <w:rFonts w:ascii="Times New Roman" w:hAnsi="Times New Roman"/>
          <w:sz w:val="20"/>
          <w:szCs w:val="20"/>
        </w:rPr>
        <w:t>various</w:t>
      </w:r>
      <w:proofErr w:type="gramEnd"/>
      <w:r w:rsidRPr="009D33F1">
        <w:rPr>
          <w:rFonts w:ascii="Times New Roman" w:hAnsi="Times New Roman"/>
          <w:sz w:val="20"/>
          <w:szCs w:val="20"/>
        </w:rPr>
        <w:t xml:space="preserve"> of the charter's war-time and immediately post-war adventures, see </w:t>
      </w:r>
      <w:r w:rsidRPr="009D33F1">
        <w:rPr>
          <w:rFonts w:ascii="Times New Roman" w:hAnsi="Times New Roman"/>
          <w:i/>
          <w:sz w:val="20"/>
          <w:szCs w:val="20"/>
        </w:rPr>
        <w:t>The Magna Carta</w:t>
      </w:r>
      <w:r w:rsidRPr="009D33F1">
        <w:rPr>
          <w:rFonts w:ascii="Times New Roman" w:hAnsi="Times New Roman"/>
          <w:sz w:val="20"/>
          <w:szCs w:val="20"/>
        </w:rPr>
        <w:t xml:space="preserve"> (Sotheby's, 18 December 2007), 86-97.</w:t>
      </w:r>
    </w:p>
  </w:footnote>
  <w:footnote w:id="85">
    <w:p w14:paraId="54F474D6"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Reviewed by H.M. Cam, </w:t>
      </w:r>
      <w:r w:rsidRPr="009D33F1">
        <w:rPr>
          <w:rFonts w:ascii="Times New Roman" w:hAnsi="Times New Roman"/>
          <w:i/>
          <w:sz w:val="20"/>
          <w:szCs w:val="20"/>
        </w:rPr>
        <w:t>ante</w:t>
      </w:r>
      <w:r w:rsidRPr="009D33F1">
        <w:rPr>
          <w:rFonts w:ascii="Times New Roman" w:hAnsi="Times New Roman"/>
          <w:sz w:val="20"/>
          <w:szCs w:val="20"/>
        </w:rPr>
        <w:t xml:space="preserve">, lxvi (1951), </w:t>
      </w:r>
      <w:proofErr w:type="gramStart"/>
      <w:r w:rsidRPr="009D33F1">
        <w:rPr>
          <w:rFonts w:ascii="Times New Roman" w:hAnsi="Times New Roman"/>
          <w:sz w:val="20"/>
          <w:szCs w:val="20"/>
        </w:rPr>
        <w:t>101</w:t>
      </w:r>
      <w:proofErr w:type="gramEnd"/>
      <w:r w:rsidRPr="009D33F1">
        <w:rPr>
          <w:rFonts w:ascii="Times New Roman" w:hAnsi="Times New Roman"/>
          <w:sz w:val="20"/>
          <w:szCs w:val="20"/>
        </w:rPr>
        <w:t>-3.</w:t>
      </w:r>
    </w:p>
  </w:footnote>
  <w:footnote w:id="86">
    <w:p w14:paraId="41332AC8"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Jacob, </w:t>
      </w:r>
      <w:r w:rsidRPr="009D33F1">
        <w:rPr>
          <w:rFonts w:ascii="Times New Roman" w:hAnsi="Times New Roman"/>
          <w:i/>
          <w:sz w:val="20"/>
          <w:szCs w:val="20"/>
        </w:rPr>
        <w:t>ante</w:t>
      </w:r>
      <w:r w:rsidRPr="009D33F1">
        <w:rPr>
          <w:rFonts w:ascii="Times New Roman" w:hAnsi="Times New Roman"/>
          <w:sz w:val="20"/>
          <w:szCs w:val="20"/>
        </w:rPr>
        <w:t xml:space="preserve">, </w:t>
      </w:r>
      <w:proofErr w:type="gramStart"/>
      <w:r w:rsidRPr="009D33F1">
        <w:rPr>
          <w:rFonts w:ascii="Times New Roman" w:hAnsi="Times New Roman"/>
          <w:sz w:val="20"/>
          <w:szCs w:val="20"/>
        </w:rPr>
        <w:t>xl</w:t>
      </w:r>
      <w:proofErr w:type="gramEnd"/>
      <w:r w:rsidRPr="009D33F1">
        <w:rPr>
          <w:rFonts w:ascii="Times New Roman" w:hAnsi="Times New Roman"/>
          <w:sz w:val="20"/>
          <w:szCs w:val="20"/>
        </w:rPr>
        <w:t xml:space="preserve"> (1925), 597-9.</w:t>
      </w:r>
    </w:p>
  </w:footnote>
  <w:footnote w:id="87">
    <w:p w14:paraId="62FD09DB"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Chrimes, </w:t>
      </w:r>
      <w:r w:rsidRPr="009D33F1">
        <w:rPr>
          <w:rFonts w:ascii="Times New Roman" w:hAnsi="Times New Roman"/>
          <w:i/>
          <w:sz w:val="20"/>
          <w:szCs w:val="20"/>
        </w:rPr>
        <w:t>ante</w:t>
      </w:r>
      <w:r w:rsidRPr="009D33F1">
        <w:rPr>
          <w:rFonts w:ascii="Times New Roman" w:hAnsi="Times New Roman"/>
          <w:sz w:val="20"/>
          <w:szCs w:val="20"/>
        </w:rPr>
        <w:t>, lxv (1950), 253-6.</w:t>
      </w:r>
      <w:proofErr w:type="gramEnd"/>
    </w:p>
  </w:footnote>
  <w:footnote w:id="88">
    <w:p w14:paraId="206FF02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Reviewed by J.R. Jones, </w:t>
      </w:r>
      <w:r w:rsidRPr="009D33F1">
        <w:rPr>
          <w:rFonts w:ascii="Times New Roman" w:hAnsi="Times New Roman"/>
          <w:i/>
          <w:sz w:val="20"/>
          <w:szCs w:val="20"/>
        </w:rPr>
        <w:t>ante</w:t>
      </w:r>
      <w:r w:rsidRPr="009D33F1">
        <w:rPr>
          <w:rFonts w:ascii="Times New Roman" w:hAnsi="Times New Roman"/>
          <w:sz w:val="20"/>
          <w:szCs w:val="20"/>
        </w:rPr>
        <w:t xml:space="preserve">, lxxxviii (1973), </w:t>
      </w:r>
      <w:proofErr w:type="gramStart"/>
      <w:r w:rsidRPr="009D33F1">
        <w:rPr>
          <w:rFonts w:ascii="Times New Roman" w:hAnsi="Times New Roman"/>
          <w:sz w:val="20"/>
          <w:szCs w:val="20"/>
        </w:rPr>
        <w:t>635</w:t>
      </w:r>
      <w:proofErr w:type="gramEnd"/>
      <w:r w:rsidRPr="009D33F1">
        <w:rPr>
          <w:rFonts w:ascii="Times New Roman" w:hAnsi="Times New Roman"/>
          <w:sz w:val="20"/>
          <w:szCs w:val="20"/>
        </w:rPr>
        <w:t>.</w:t>
      </w:r>
    </w:p>
  </w:footnote>
  <w:footnote w:id="89">
    <w:p w14:paraId="015DAB1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A.E. Dick Howard, </w:t>
      </w:r>
      <w:r w:rsidRPr="009D33F1">
        <w:rPr>
          <w:rFonts w:ascii="Times New Roman" w:hAnsi="Times New Roman"/>
          <w:i/>
          <w:sz w:val="20"/>
          <w:szCs w:val="20"/>
        </w:rPr>
        <w:t>The Road from Runnymede: Magna Carta and Constitutionalism in America</w:t>
      </w:r>
      <w:r w:rsidRPr="009D33F1">
        <w:rPr>
          <w:rFonts w:ascii="Times New Roman" w:hAnsi="Times New Roman"/>
          <w:sz w:val="20"/>
          <w:szCs w:val="20"/>
        </w:rPr>
        <w:t xml:space="preserve"> (Charlottesville 1968), apparently not previously noticed in </w:t>
      </w:r>
      <w:r w:rsidRPr="009D33F1">
        <w:rPr>
          <w:rFonts w:ascii="Times New Roman" w:hAnsi="Times New Roman"/>
          <w:i/>
          <w:sz w:val="20"/>
          <w:szCs w:val="20"/>
        </w:rPr>
        <w:t>EHR</w:t>
      </w:r>
      <w:r w:rsidRPr="009D33F1">
        <w:rPr>
          <w:rFonts w:ascii="Times New Roman" w:hAnsi="Times New Roman"/>
          <w:sz w:val="20"/>
          <w:szCs w:val="20"/>
        </w:rPr>
        <w:t>.</w:t>
      </w:r>
    </w:p>
  </w:footnote>
  <w:footnote w:id="90">
    <w:p w14:paraId="017A5D4B"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Douglas, </w:t>
      </w:r>
      <w:r w:rsidRPr="009D33F1">
        <w:rPr>
          <w:rFonts w:ascii="Times New Roman" w:hAnsi="Times New Roman"/>
          <w:i/>
          <w:sz w:val="20"/>
          <w:szCs w:val="20"/>
        </w:rPr>
        <w:t>ante</w:t>
      </w:r>
      <w:r w:rsidRPr="009D33F1">
        <w:rPr>
          <w:rFonts w:ascii="Times New Roman" w:hAnsi="Times New Roman"/>
          <w:sz w:val="20"/>
          <w:szCs w:val="20"/>
        </w:rPr>
        <w:t xml:space="preserve">, lxxiii (1958), 352-3, with a further review of the new edition (1987), by C.W. Brooks, </w:t>
      </w:r>
      <w:r w:rsidRPr="009D33F1">
        <w:rPr>
          <w:rFonts w:ascii="Times New Roman" w:hAnsi="Times New Roman"/>
          <w:i/>
          <w:sz w:val="20"/>
          <w:szCs w:val="20"/>
        </w:rPr>
        <w:t>ante</w:t>
      </w:r>
      <w:r w:rsidRPr="009D33F1">
        <w:rPr>
          <w:rFonts w:ascii="Times New Roman" w:hAnsi="Times New Roman"/>
          <w:sz w:val="20"/>
          <w:szCs w:val="20"/>
        </w:rPr>
        <w:t xml:space="preserve">, </w:t>
      </w:r>
      <w:proofErr w:type="gramStart"/>
      <w:r w:rsidRPr="009D33F1">
        <w:rPr>
          <w:rFonts w:ascii="Times New Roman" w:hAnsi="Times New Roman"/>
          <w:sz w:val="20"/>
          <w:szCs w:val="20"/>
        </w:rPr>
        <w:t>cv</w:t>
      </w:r>
      <w:proofErr w:type="gramEnd"/>
      <w:r w:rsidRPr="009D33F1">
        <w:rPr>
          <w:rFonts w:ascii="Times New Roman" w:hAnsi="Times New Roman"/>
          <w:sz w:val="20"/>
          <w:szCs w:val="20"/>
        </w:rPr>
        <w:t xml:space="preserve"> (1990), 733-5.  Cf. C. Comstock Weston, 'English Constitutional Doctrines from the Fifteenth Century to the Seventeenth', </w:t>
      </w:r>
      <w:r w:rsidRPr="009D33F1">
        <w:rPr>
          <w:rFonts w:ascii="Times New Roman" w:hAnsi="Times New Roman"/>
          <w:i/>
          <w:sz w:val="20"/>
          <w:szCs w:val="20"/>
        </w:rPr>
        <w:t>ante</w:t>
      </w:r>
      <w:r w:rsidRPr="009D33F1">
        <w:rPr>
          <w:rFonts w:ascii="Times New Roman" w:hAnsi="Times New Roman"/>
          <w:sz w:val="20"/>
          <w:szCs w:val="20"/>
        </w:rPr>
        <w:t>, lxxv (1960), 410-43.</w:t>
      </w:r>
    </w:p>
  </w:footnote>
  <w:footnote w:id="91">
    <w:p w14:paraId="4E59ACF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recent exceptions, see J.W. McKenna, 'The Myth of Parliamentary Sovereignty in Late-Medieval England', </w:t>
      </w:r>
      <w:r w:rsidRPr="009D33F1">
        <w:rPr>
          <w:rFonts w:ascii="Times New Roman" w:hAnsi="Times New Roman"/>
          <w:i/>
          <w:sz w:val="20"/>
          <w:szCs w:val="20"/>
        </w:rPr>
        <w:t>ante</w:t>
      </w:r>
      <w:r w:rsidRPr="009D33F1">
        <w:rPr>
          <w:rFonts w:ascii="Times New Roman" w:hAnsi="Times New Roman"/>
          <w:sz w:val="20"/>
          <w:szCs w:val="20"/>
        </w:rPr>
        <w:t xml:space="preserve">, xciv (1979), 481-506; J. Greenberg, 'The Confessor's Laws and the Radical Face of the Ancient Constitution', </w:t>
      </w:r>
      <w:r w:rsidRPr="009D33F1">
        <w:rPr>
          <w:rFonts w:ascii="Times New Roman" w:hAnsi="Times New Roman"/>
          <w:i/>
          <w:sz w:val="20"/>
          <w:szCs w:val="20"/>
        </w:rPr>
        <w:t>ante</w:t>
      </w:r>
      <w:r w:rsidRPr="009D33F1">
        <w:rPr>
          <w:rFonts w:ascii="Times New Roman" w:hAnsi="Times New Roman"/>
          <w:sz w:val="20"/>
          <w:szCs w:val="20"/>
        </w:rPr>
        <w:t xml:space="preserve">, civ (1989), 611-37; G. Burgess, 'The Divine Right of Kings Reconsidered', </w:t>
      </w:r>
      <w:r w:rsidRPr="009D33F1">
        <w:rPr>
          <w:rFonts w:ascii="Times New Roman" w:hAnsi="Times New Roman"/>
          <w:i/>
          <w:sz w:val="20"/>
          <w:szCs w:val="20"/>
        </w:rPr>
        <w:t>ante</w:t>
      </w:r>
      <w:r w:rsidRPr="009D33F1">
        <w:rPr>
          <w:rFonts w:ascii="Times New Roman" w:hAnsi="Times New Roman"/>
          <w:sz w:val="20"/>
          <w:szCs w:val="20"/>
        </w:rPr>
        <w:t xml:space="preserve">, cvii (1992), 837-61; J. Rose, 'Robert Brady's Intellectual History and Royalist Antipopery in Restoration England', </w:t>
      </w:r>
      <w:r w:rsidRPr="009D33F1">
        <w:rPr>
          <w:rFonts w:ascii="Times New Roman" w:hAnsi="Times New Roman"/>
          <w:i/>
          <w:sz w:val="20"/>
          <w:szCs w:val="20"/>
        </w:rPr>
        <w:t>ante</w:t>
      </w:r>
      <w:r w:rsidRPr="009D33F1">
        <w:rPr>
          <w:rFonts w:ascii="Times New Roman" w:hAnsi="Times New Roman"/>
          <w:sz w:val="20"/>
          <w:szCs w:val="20"/>
        </w:rPr>
        <w:t>, cxxii (2007), 1287-1317.</w:t>
      </w:r>
    </w:p>
  </w:footnote>
  <w:footnote w:id="92">
    <w:p w14:paraId="614E215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r w:rsidRPr="009D33F1">
        <w:rPr>
          <w:rFonts w:ascii="Times New Roman" w:eastAsia="Times New Roman" w:hAnsi="Times New Roman"/>
          <w:sz w:val="20"/>
          <w:szCs w:val="20"/>
        </w:rPr>
        <w:t xml:space="preserve">J.G. Edwards, ‘”Confirmatio Cartarum” and Baronial Grievances in 1297’, </w:t>
      </w:r>
      <w:r w:rsidRPr="009D33F1">
        <w:rPr>
          <w:rFonts w:ascii="Times New Roman" w:eastAsia="Times New Roman" w:hAnsi="Times New Roman"/>
          <w:i/>
          <w:sz w:val="20"/>
          <w:szCs w:val="20"/>
        </w:rPr>
        <w:t>English Historical Review</w:t>
      </w:r>
      <w:r w:rsidRPr="009D33F1">
        <w:rPr>
          <w:rFonts w:ascii="Times New Roman" w:eastAsia="Times New Roman" w:hAnsi="Times New Roman"/>
          <w:sz w:val="20"/>
          <w:szCs w:val="20"/>
        </w:rPr>
        <w:t xml:space="preserve">, lviii (1943), 147-71, 273-300; </w:t>
      </w:r>
      <w:r w:rsidRPr="009D33F1">
        <w:rPr>
          <w:rFonts w:ascii="Times New Roman" w:hAnsi="Times New Roman"/>
          <w:sz w:val="20"/>
          <w:szCs w:val="20"/>
        </w:rPr>
        <w:t xml:space="preserve">H. Rothwell, 'The Confirmation of the Charters, 1297', </w:t>
      </w:r>
      <w:r w:rsidRPr="009D33F1">
        <w:rPr>
          <w:rFonts w:ascii="Times New Roman" w:hAnsi="Times New Roman"/>
          <w:i/>
          <w:sz w:val="20"/>
          <w:szCs w:val="20"/>
        </w:rPr>
        <w:t>ante</w:t>
      </w:r>
      <w:r w:rsidRPr="009D33F1">
        <w:rPr>
          <w:rFonts w:ascii="Times New Roman" w:hAnsi="Times New Roman"/>
          <w:sz w:val="20"/>
          <w:szCs w:val="20"/>
        </w:rPr>
        <w:t xml:space="preserve">, lx (1945), 16-35, 177-91, 300-15, and see idem, </w:t>
      </w:r>
      <w:r w:rsidRPr="009D33F1">
        <w:rPr>
          <w:rFonts w:ascii="Times New Roman" w:eastAsia="Times New Roman" w:hAnsi="Times New Roman"/>
          <w:sz w:val="20"/>
          <w:szCs w:val="20"/>
        </w:rPr>
        <w:t xml:space="preserve">‘Edward I and the Struggle for the Charters, 1297-1305’, </w:t>
      </w:r>
      <w:r w:rsidRPr="009D33F1">
        <w:rPr>
          <w:rFonts w:ascii="Times New Roman" w:eastAsia="Times New Roman" w:hAnsi="Times New Roman"/>
          <w:i/>
          <w:sz w:val="20"/>
          <w:szCs w:val="20"/>
        </w:rPr>
        <w:t>Studies in Medieval History Presented to Frederick Maurice Powicke</w:t>
      </w:r>
      <w:r w:rsidRPr="009D33F1">
        <w:rPr>
          <w:rFonts w:ascii="Times New Roman" w:eastAsia="Times New Roman" w:hAnsi="Times New Roman"/>
          <w:sz w:val="20"/>
          <w:szCs w:val="20"/>
        </w:rPr>
        <w:t>, ed. R.W. Hunt and others (Oxford 1948), 319-32.</w:t>
      </w:r>
    </w:p>
  </w:footnote>
  <w:footnote w:id="93">
    <w:p w14:paraId="0D62C7E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As recalled by Warren, 'Painter's "King John" - Forty Years On', </w:t>
      </w:r>
      <w:r w:rsidRPr="009D33F1">
        <w:rPr>
          <w:rFonts w:ascii="Times New Roman" w:hAnsi="Times New Roman"/>
          <w:i/>
          <w:sz w:val="20"/>
          <w:szCs w:val="20"/>
        </w:rPr>
        <w:t>Haskins Society Journal</w:t>
      </w:r>
      <w:r w:rsidRPr="009D33F1">
        <w:rPr>
          <w:rFonts w:ascii="Times New Roman" w:hAnsi="Times New Roman"/>
          <w:sz w:val="20"/>
          <w:szCs w:val="20"/>
        </w:rPr>
        <w:t>, i (1989), 1.</w:t>
      </w:r>
      <w:proofErr w:type="gramEnd"/>
    </w:p>
  </w:footnote>
  <w:footnote w:id="94">
    <w:p w14:paraId="219B979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C.R. Cheney, </w:t>
      </w:r>
      <w:r w:rsidRPr="009D33F1">
        <w:rPr>
          <w:rFonts w:ascii="Times New Roman" w:hAnsi="Times New Roman"/>
          <w:i/>
          <w:sz w:val="20"/>
          <w:szCs w:val="20"/>
        </w:rPr>
        <w:t>ante</w:t>
      </w:r>
      <w:r w:rsidRPr="009D33F1">
        <w:rPr>
          <w:rFonts w:ascii="Times New Roman" w:hAnsi="Times New Roman"/>
          <w:sz w:val="20"/>
          <w:szCs w:val="20"/>
        </w:rPr>
        <w:t>, lxvi (1951), 263-6.</w:t>
      </w:r>
    </w:p>
  </w:footnote>
  <w:footnote w:id="95">
    <w:p w14:paraId="6913A8A3"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It is intriguing to note that even W.L. Warren, in his anniversary appreciation ('Painter's "King John"', 1-9) found himself drawn into unflattering modern comparisons, noting the parallels between Painter on John and Henry Kissinger on the Nixon administration.  Nixonian comparisons persist in R.V. Turner, </w:t>
      </w:r>
      <w:r w:rsidRPr="009D33F1">
        <w:rPr>
          <w:rFonts w:ascii="Times New Roman" w:hAnsi="Times New Roman"/>
          <w:i/>
          <w:sz w:val="20"/>
          <w:szCs w:val="20"/>
        </w:rPr>
        <w:t>King John</w:t>
      </w:r>
      <w:r w:rsidRPr="009D33F1">
        <w:rPr>
          <w:rFonts w:ascii="Times New Roman" w:hAnsi="Times New Roman"/>
          <w:sz w:val="20"/>
          <w:szCs w:val="20"/>
        </w:rPr>
        <w:t xml:space="preserve"> (London 1994).</w:t>
      </w:r>
    </w:p>
  </w:footnote>
  <w:footnote w:id="96">
    <w:p w14:paraId="3239702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Cheney, </w:t>
      </w:r>
      <w:r w:rsidRPr="009D33F1">
        <w:rPr>
          <w:rFonts w:ascii="Times New Roman" w:hAnsi="Times New Roman"/>
          <w:i/>
          <w:sz w:val="20"/>
          <w:szCs w:val="20"/>
        </w:rPr>
        <w:t>ante</w:t>
      </w:r>
      <w:r w:rsidRPr="009D33F1">
        <w:rPr>
          <w:rFonts w:ascii="Times New Roman" w:hAnsi="Times New Roman"/>
          <w:sz w:val="20"/>
          <w:szCs w:val="20"/>
        </w:rPr>
        <w:t xml:space="preserve">, lxvi (1951), 264, citing J.E.A. Jolliffe, </w:t>
      </w:r>
      <w:r w:rsidRPr="009D33F1">
        <w:rPr>
          <w:rFonts w:ascii="Times New Roman" w:hAnsi="Times New Roman"/>
          <w:i/>
          <w:sz w:val="20"/>
          <w:szCs w:val="20"/>
        </w:rPr>
        <w:t>Constitutional History</w:t>
      </w:r>
      <w:r w:rsidRPr="009D33F1">
        <w:rPr>
          <w:rFonts w:ascii="Times New Roman" w:hAnsi="Times New Roman"/>
          <w:sz w:val="20"/>
          <w:szCs w:val="20"/>
        </w:rPr>
        <w:t>, 258.</w:t>
      </w:r>
      <w:proofErr w:type="gramEnd"/>
    </w:p>
  </w:footnote>
  <w:footnote w:id="97">
    <w:p w14:paraId="60912498"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A.L. Poole, </w:t>
      </w:r>
      <w:r w:rsidRPr="009D33F1">
        <w:rPr>
          <w:rFonts w:ascii="Times New Roman" w:hAnsi="Times New Roman"/>
          <w:i/>
          <w:sz w:val="20"/>
          <w:szCs w:val="20"/>
        </w:rPr>
        <w:t>ante</w:t>
      </w:r>
      <w:r w:rsidRPr="009D33F1">
        <w:rPr>
          <w:rFonts w:ascii="Times New Roman" w:hAnsi="Times New Roman"/>
          <w:sz w:val="20"/>
          <w:szCs w:val="20"/>
        </w:rPr>
        <w:t xml:space="preserve">, lxi (1946), 260-1, describing Richardson's theory as 'almost grotesque', with further criticism of Richardson for ignoring an article of Poole's (on the English 'Welfs'), in </w:t>
      </w:r>
      <w:r w:rsidRPr="009D33F1">
        <w:rPr>
          <w:rFonts w:ascii="Times New Roman" w:hAnsi="Times New Roman"/>
          <w:i/>
          <w:sz w:val="20"/>
          <w:szCs w:val="20"/>
        </w:rPr>
        <w:t>Deutsches Archiv</w:t>
      </w:r>
      <w:r w:rsidRPr="009D33F1">
        <w:rPr>
          <w:rFonts w:ascii="Times New Roman" w:hAnsi="Times New Roman"/>
          <w:sz w:val="20"/>
          <w:szCs w:val="20"/>
        </w:rPr>
        <w:t>, ii (1938), 133-9.</w:t>
      </w:r>
    </w:p>
  </w:footnote>
  <w:footnote w:id="98">
    <w:p w14:paraId="3B35C88A" w14:textId="77777777" w:rsidR="00036517" w:rsidRPr="009D33F1" w:rsidRDefault="00036517" w:rsidP="00A27FF6">
      <w:pPr>
        <w:widowControl w:val="0"/>
        <w:numPr>
          <w:ilvl w:val="0"/>
          <w:numId w:val="1"/>
        </w:numPr>
        <w:tabs>
          <w:tab w:val="left" w:pos="220"/>
          <w:tab w:val="left" w:pos="567"/>
          <w:tab w:val="left" w:pos="720"/>
        </w:tabs>
        <w:autoSpaceDE w:val="0"/>
        <w:autoSpaceDN w:val="0"/>
        <w:adjustRightInd w:val="0"/>
        <w:ind w:left="0" w:firstLine="0"/>
        <w:rPr>
          <w:rFonts w:ascii="Times New Roman" w:hAnsi="Times New Roman"/>
          <w:bCs/>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H.G. Richardson, '</w:t>
      </w:r>
      <w:r w:rsidRPr="009D33F1">
        <w:rPr>
          <w:rFonts w:ascii="Times New Roman" w:hAnsi="Times New Roman"/>
          <w:bCs/>
          <w:sz w:val="20"/>
          <w:szCs w:val="20"/>
        </w:rPr>
        <w:t xml:space="preserve">The Marriage and Coronation of Isabelle of Angoulême', </w:t>
      </w:r>
      <w:r w:rsidRPr="009D33F1">
        <w:rPr>
          <w:rFonts w:ascii="Times New Roman" w:hAnsi="Times New Roman"/>
          <w:i/>
          <w:sz w:val="20"/>
          <w:szCs w:val="20"/>
        </w:rPr>
        <w:t>ante</w:t>
      </w:r>
      <w:r w:rsidRPr="009D33F1">
        <w:rPr>
          <w:rFonts w:ascii="Times New Roman" w:hAnsi="Times New Roman"/>
          <w:sz w:val="20"/>
          <w:szCs w:val="20"/>
        </w:rPr>
        <w:t>, lxi (1946), 289-314; F.A. Cazel and S. Painter, '</w:t>
      </w:r>
      <w:r w:rsidRPr="009D33F1">
        <w:rPr>
          <w:rFonts w:ascii="Times New Roman" w:hAnsi="Times New Roman"/>
          <w:bCs/>
          <w:sz w:val="20"/>
          <w:szCs w:val="20"/>
        </w:rPr>
        <w:t xml:space="preserve">The Marriage of Isabelle of Angoulême, </w:t>
      </w:r>
      <w:r w:rsidRPr="009D33F1">
        <w:rPr>
          <w:rFonts w:ascii="Times New Roman" w:hAnsi="Times New Roman"/>
          <w:bCs/>
          <w:i/>
          <w:sz w:val="20"/>
          <w:szCs w:val="20"/>
        </w:rPr>
        <w:t>ante</w:t>
      </w:r>
      <w:r w:rsidRPr="009D33F1">
        <w:rPr>
          <w:rFonts w:ascii="Times New Roman" w:hAnsi="Times New Roman"/>
          <w:bCs/>
          <w:sz w:val="20"/>
          <w:szCs w:val="20"/>
        </w:rPr>
        <w:t>, lxiii</w:t>
      </w:r>
      <w:r w:rsidRPr="009D33F1">
        <w:rPr>
          <w:rFonts w:ascii="Times New Roman" w:hAnsi="Times New Roman"/>
          <w:sz w:val="20"/>
          <w:szCs w:val="20"/>
        </w:rPr>
        <w:t xml:space="preserve"> (1948), 83-89; Richardson, '</w:t>
      </w:r>
      <w:r w:rsidRPr="009D33F1">
        <w:rPr>
          <w:rFonts w:ascii="Times New Roman" w:hAnsi="Times New Roman"/>
          <w:bCs/>
          <w:sz w:val="20"/>
          <w:szCs w:val="20"/>
        </w:rPr>
        <w:t>King John and Isabelle of Angoulême'</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lxv (1950), 360-371; Cazel and Painter, 'The Marriage of Isabelle of Angoulême', </w:t>
      </w:r>
      <w:r w:rsidRPr="009D33F1">
        <w:rPr>
          <w:rFonts w:ascii="Times New Roman" w:hAnsi="Times New Roman"/>
          <w:i/>
          <w:sz w:val="20"/>
          <w:szCs w:val="20"/>
        </w:rPr>
        <w:t>ante</w:t>
      </w:r>
      <w:r w:rsidRPr="009D33F1">
        <w:rPr>
          <w:rFonts w:ascii="Times New Roman" w:hAnsi="Times New Roman"/>
          <w:sz w:val="20"/>
          <w:szCs w:val="20"/>
        </w:rPr>
        <w:t>, lxvii (1952), 233-5.</w:t>
      </w:r>
    </w:p>
  </w:footnote>
  <w:footnote w:id="99">
    <w:p w14:paraId="195B3080" w14:textId="77777777" w:rsidR="00036517" w:rsidRPr="009D33F1" w:rsidRDefault="00036517" w:rsidP="00A27FF6">
      <w:pPr>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See here D. Carpenter, in </w:t>
      </w:r>
      <w:r w:rsidRPr="009D33F1">
        <w:rPr>
          <w:rFonts w:ascii="Times New Roman" w:hAnsi="Times New Roman"/>
          <w:i/>
          <w:sz w:val="20"/>
          <w:szCs w:val="20"/>
        </w:rPr>
        <w:t>Records, Administration and Academic Society in the Anglo-Norman Realm</w:t>
      </w:r>
      <w:r w:rsidRPr="009D33F1">
        <w:rPr>
          <w:rFonts w:ascii="Times New Roman" w:hAnsi="Times New Roman"/>
          <w:sz w:val="20"/>
          <w:szCs w:val="20"/>
        </w:rPr>
        <w:t xml:space="preserve">, ed. N. Vincent (Woodbridge 2009), 2 n.8, and for the particular points over which Richardson and Painter contended, N. Vincent, 'Isabella of Angoulême: John's Jezebel', </w:t>
      </w:r>
      <w:r w:rsidRPr="009D33F1">
        <w:rPr>
          <w:rFonts w:ascii="Times New Roman" w:hAnsi="Times New Roman"/>
          <w:i/>
          <w:sz w:val="20"/>
          <w:szCs w:val="20"/>
        </w:rPr>
        <w:t>King John: New Interpretations</w:t>
      </w:r>
      <w:r w:rsidRPr="009D33F1">
        <w:rPr>
          <w:rFonts w:ascii="Times New Roman" w:hAnsi="Times New Roman"/>
          <w:sz w:val="20"/>
          <w:szCs w:val="20"/>
        </w:rPr>
        <w:t xml:space="preserve">, ed. S.D. Church (Woodbridge 1999), 165-70, and more recently, D. D'Avray, 'Authentication of Marital Status: A Thirteenth-Century English Royal Annulment Process and Late Medieval Cases from the Papal Penitentiary', </w:t>
      </w:r>
      <w:r w:rsidRPr="009D33F1">
        <w:rPr>
          <w:rFonts w:ascii="Times New Roman" w:hAnsi="Times New Roman"/>
          <w:i/>
          <w:sz w:val="20"/>
          <w:szCs w:val="20"/>
        </w:rPr>
        <w:t>ante</w:t>
      </w:r>
      <w:r w:rsidRPr="009D33F1">
        <w:rPr>
          <w:rFonts w:ascii="Times New Roman" w:hAnsi="Times New Roman"/>
          <w:sz w:val="20"/>
          <w:szCs w:val="20"/>
        </w:rPr>
        <w:t>, cxx (2005), 987-1013.</w:t>
      </w:r>
    </w:p>
  </w:footnote>
  <w:footnote w:id="100">
    <w:p w14:paraId="5A605439"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J.E.A. Jolliffe, 'The "Camera Regis" under Henry II', </w:t>
      </w:r>
      <w:r w:rsidRPr="009D33F1">
        <w:rPr>
          <w:rFonts w:ascii="Times New Roman" w:hAnsi="Times New Roman"/>
          <w:i/>
          <w:sz w:val="20"/>
          <w:szCs w:val="20"/>
        </w:rPr>
        <w:t>ante</w:t>
      </w:r>
      <w:r w:rsidRPr="009D33F1">
        <w:rPr>
          <w:rFonts w:ascii="Times New Roman" w:hAnsi="Times New Roman"/>
          <w:sz w:val="20"/>
          <w:szCs w:val="20"/>
        </w:rPr>
        <w:t xml:space="preserve">, lxviii (1953), 1-21, 337-62, following from Jolliffe, 'The Chamber and the Castle Treasures under King John', </w:t>
      </w:r>
      <w:r w:rsidRPr="009D33F1">
        <w:rPr>
          <w:rFonts w:ascii="Times New Roman" w:hAnsi="Times New Roman"/>
          <w:i/>
          <w:sz w:val="20"/>
          <w:szCs w:val="20"/>
        </w:rPr>
        <w:t>Studies in Medieval History Presented to F.M. Powicke</w:t>
      </w:r>
      <w:r w:rsidRPr="009D33F1">
        <w:rPr>
          <w:rFonts w:ascii="Times New Roman" w:hAnsi="Times New Roman"/>
          <w:sz w:val="20"/>
          <w:szCs w:val="20"/>
        </w:rPr>
        <w:t>, ed. Hunt and others (1948), 117-42.</w:t>
      </w:r>
    </w:p>
  </w:footnote>
  <w:footnote w:id="101">
    <w:p w14:paraId="3C8BF19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J.E.A. Jolliffe, </w:t>
      </w:r>
      <w:r w:rsidRPr="009D33F1">
        <w:rPr>
          <w:rFonts w:ascii="Times New Roman" w:hAnsi="Times New Roman"/>
          <w:i/>
          <w:sz w:val="20"/>
          <w:szCs w:val="20"/>
        </w:rPr>
        <w:t>Angevin Kingship</w:t>
      </w:r>
      <w:r w:rsidRPr="009D33F1">
        <w:rPr>
          <w:rFonts w:ascii="Times New Roman" w:hAnsi="Times New Roman"/>
          <w:sz w:val="20"/>
          <w:szCs w:val="20"/>
        </w:rPr>
        <w:t xml:space="preserve"> (Oxford 1955), 13.</w:t>
      </w:r>
    </w:p>
  </w:footnote>
  <w:footnote w:id="102">
    <w:p w14:paraId="5FC0E4E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H.G. Richardson, 'The Chamber under Henry II', </w:t>
      </w:r>
      <w:r w:rsidRPr="009D33F1">
        <w:rPr>
          <w:rFonts w:ascii="Times New Roman" w:hAnsi="Times New Roman"/>
          <w:i/>
          <w:sz w:val="20"/>
          <w:szCs w:val="20"/>
        </w:rPr>
        <w:t>ante</w:t>
      </w:r>
      <w:r w:rsidRPr="009D33F1">
        <w:rPr>
          <w:rFonts w:ascii="Times New Roman" w:hAnsi="Times New Roman"/>
          <w:sz w:val="20"/>
          <w:szCs w:val="20"/>
        </w:rPr>
        <w:t>, lxix (1954), 596-611.</w:t>
      </w:r>
    </w:p>
  </w:footnote>
  <w:footnote w:id="103">
    <w:p w14:paraId="06198B9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Richardson, </w:t>
      </w:r>
      <w:r w:rsidRPr="009D33F1">
        <w:rPr>
          <w:rFonts w:ascii="Times New Roman" w:hAnsi="Times New Roman"/>
          <w:i/>
          <w:sz w:val="20"/>
          <w:szCs w:val="20"/>
        </w:rPr>
        <w:t>ante</w:t>
      </w:r>
      <w:r w:rsidRPr="009D33F1">
        <w:rPr>
          <w:rFonts w:ascii="Times New Roman" w:hAnsi="Times New Roman"/>
          <w:sz w:val="20"/>
          <w:szCs w:val="20"/>
        </w:rPr>
        <w:t>, lxxi (1956), 447-53.</w:t>
      </w:r>
      <w:proofErr w:type="gramEnd"/>
    </w:p>
  </w:footnote>
  <w:footnote w:id="104">
    <w:p w14:paraId="1D0C0ED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J.C. Holt, 'English History, 1066-1272', </w:t>
      </w:r>
      <w:r w:rsidRPr="009D33F1">
        <w:rPr>
          <w:rFonts w:ascii="Times New Roman" w:hAnsi="Times New Roman"/>
          <w:i/>
          <w:sz w:val="20"/>
          <w:szCs w:val="20"/>
        </w:rPr>
        <w:t>A Century of British Medieval Studies</w:t>
      </w:r>
      <w:r w:rsidRPr="009D33F1">
        <w:rPr>
          <w:rFonts w:ascii="Times New Roman" w:hAnsi="Times New Roman"/>
          <w:sz w:val="20"/>
          <w:szCs w:val="20"/>
        </w:rPr>
        <w:t>, ed. A. Deyermond (Oxford 2007), 41.</w:t>
      </w:r>
      <w:proofErr w:type="gramEnd"/>
    </w:p>
  </w:footnote>
  <w:footnote w:id="105">
    <w:p w14:paraId="72A348A4"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Ibid</w:t>
      </w:r>
      <w:proofErr w:type="gramStart"/>
      <w:r w:rsidRPr="009D33F1">
        <w:rPr>
          <w:rFonts w:ascii="Times New Roman" w:hAnsi="Times New Roman"/>
          <w:sz w:val="20"/>
          <w:szCs w:val="20"/>
        </w:rPr>
        <w:t>.,</w:t>
      </w:r>
      <w:proofErr w:type="gramEnd"/>
      <w:r w:rsidRPr="009D33F1">
        <w:rPr>
          <w:rFonts w:ascii="Times New Roman" w:hAnsi="Times New Roman"/>
          <w:sz w:val="20"/>
          <w:szCs w:val="20"/>
        </w:rPr>
        <w:t xml:space="preserve"> 41, where Holt writes of his own achievements in the third (and never immodest) person.</w:t>
      </w:r>
    </w:p>
  </w:footnote>
  <w:footnote w:id="106">
    <w:p w14:paraId="4961ECD1" w14:textId="4E425D5B" w:rsidR="00036517" w:rsidRPr="009D33F1" w:rsidRDefault="00036517">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Reviewed by G.D.G. Hall, </w:t>
      </w:r>
      <w:r w:rsidRPr="009D33F1">
        <w:rPr>
          <w:rFonts w:ascii="Times New Roman" w:hAnsi="Times New Roman"/>
          <w:i/>
          <w:sz w:val="20"/>
          <w:szCs w:val="20"/>
        </w:rPr>
        <w:t>ante</w:t>
      </w:r>
      <w:r w:rsidRPr="009D33F1">
        <w:rPr>
          <w:rFonts w:ascii="Times New Roman" w:hAnsi="Times New Roman"/>
          <w:sz w:val="20"/>
          <w:szCs w:val="20"/>
        </w:rPr>
        <w:t>, lxxiii (1958), 481-4; lxxiv (1959), 107-10; lxxvii (1962), 103-6; lxxix (1964), 155-6, albeit without Powicke's eye for historical as well as technical legal detail.</w:t>
      </w:r>
    </w:p>
  </w:footnote>
  <w:footnote w:id="107">
    <w:p w14:paraId="7D26AE4A" w14:textId="3B31CD7D"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Doris Stenton's editions of the Pipe Rolls of Richard I's reign were reviewed by James F. Willard, </w:t>
      </w:r>
      <w:r w:rsidRPr="009D33F1">
        <w:rPr>
          <w:rFonts w:ascii="Times New Roman" w:hAnsi="Times New Roman"/>
          <w:i/>
          <w:sz w:val="20"/>
          <w:szCs w:val="20"/>
        </w:rPr>
        <w:t>ante</w:t>
      </w:r>
      <w:r w:rsidRPr="009D33F1">
        <w:rPr>
          <w:rFonts w:ascii="Times New Roman" w:hAnsi="Times New Roman"/>
          <w:sz w:val="20"/>
          <w:szCs w:val="20"/>
        </w:rPr>
        <w:t xml:space="preserve">, xli (1926), 591-3; xlii (1927), 419-21; xliii (1928), 617-19; xlv (1930), 297-8; xlvi (1931), 119-20; l (1935), 131-3.  With the exception of a brief notice of the Pipe Roll 8 John (by </w:t>
      </w:r>
      <w:proofErr w:type="gramStart"/>
      <w:r w:rsidRPr="009D33F1">
        <w:rPr>
          <w:rFonts w:ascii="Times New Roman" w:hAnsi="Times New Roman"/>
          <w:sz w:val="20"/>
          <w:szCs w:val="20"/>
        </w:rPr>
        <w:t>'J.',</w:t>
      </w:r>
      <w:proofErr w:type="gramEnd"/>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lviii (1943), 495), the John rolls for the years 6-11 John, were reviewed (usefully) by A.L. Poole, continued thereafter with rather sharper notices by the young Trevor Aston, of the Pipe Rolls 12-14 John and the Memoranda Roll 10 John: Poole, </w:t>
      </w:r>
      <w:r w:rsidRPr="009D33F1">
        <w:rPr>
          <w:rFonts w:ascii="Times New Roman" w:hAnsi="Times New Roman"/>
          <w:i/>
          <w:sz w:val="20"/>
          <w:szCs w:val="20"/>
        </w:rPr>
        <w:t>ante</w:t>
      </w:r>
      <w:r w:rsidRPr="009D33F1">
        <w:rPr>
          <w:rFonts w:ascii="Times New Roman" w:hAnsi="Times New Roman"/>
          <w:sz w:val="20"/>
          <w:szCs w:val="20"/>
        </w:rPr>
        <w:t xml:space="preserve">, lvii (1942), 270-1; lvii (1942), 394; lxiii (1948), 131 (praising the punctual production of annual volumes, with interesting notes on Sunday markets reinstated in 1207); lxiv (1949), 393; lxv (1951), 285-6 (noting that the disordered nature of the rolls during the Interdict suggests 'official neglect'); Aston, </w:t>
      </w:r>
      <w:r w:rsidRPr="009D33F1">
        <w:rPr>
          <w:rFonts w:ascii="Times New Roman" w:hAnsi="Times New Roman"/>
          <w:i/>
          <w:sz w:val="20"/>
          <w:szCs w:val="20"/>
        </w:rPr>
        <w:t>ante</w:t>
      </w:r>
      <w:r w:rsidRPr="009D33F1">
        <w:rPr>
          <w:rFonts w:ascii="Times New Roman" w:hAnsi="Times New Roman"/>
          <w:sz w:val="20"/>
          <w:szCs w:val="20"/>
        </w:rPr>
        <w:t xml:space="preserve">, lxviii (1953), 130-1 (pursuing the attack against Jolliffe and his ideas of chamber autonomy); lxx (1955), 145-6 (playing down any interdepartmental rivalry between chamber and Exchequer, again with Jolliffe as chief target); lxxiii (1958), 140-1; lxxv (1960), 148-9.  See also the review of Doris Stenton's editions of eyre rolls, reviewed by C.G. Crump, </w:t>
      </w:r>
      <w:r w:rsidRPr="009D33F1">
        <w:rPr>
          <w:rFonts w:ascii="Times New Roman" w:hAnsi="Times New Roman"/>
          <w:i/>
          <w:sz w:val="20"/>
          <w:szCs w:val="20"/>
        </w:rPr>
        <w:t>ante</w:t>
      </w:r>
      <w:r w:rsidRPr="009D33F1">
        <w:rPr>
          <w:rFonts w:ascii="Times New Roman" w:hAnsi="Times New Roman"/>
          <w:sz w:val="20"/>
          <w:szCs w:val="20"/>
        </w:rPr>
        <w:t xml:space="preserve">, xliii (1928), 97-9, and Powicke, </w:t>
      </w:r>
      <w:r w:rsidRPr="009D33F1">
        <w:rPr>
          <w:rFonts w:ascii="Times New Roman" w:hAnsi="Times New Roman"/>
          <w:i/>
          <w:sz w:val="20"/>
          <w:szCs w:val="20"/>
        </w:rPr>
        <w:t>ante</w:t>
      </w:r>
      <w:r w:rsidRPr="009D33F1">
        <w:rPr>
          <w:rFonts w:ascii="Times New Roman" w:hAnsi="Times New Roman"/>
          <w:sz w:val="20"/>
          <w:szCs w:val="20"/>
        </w:rPr>
        <w:t>, xlvi (1931), 287-8; l (1935), 519-21; liii (1938), 296-7.</w:t>
      </w:r>
    </w:p>
  </w:footnote>
  <w:footnote w:id="108">
    <w:p w14:paraId="20BAA56B" w14:textId="21D4764A" w:rsidR="00036517" w:rsidRPr="009D33F1" w:rsidRDefault="00036517">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r w:rsidRPr="009D33F1">
        <w:rPr>
          <w:rFonts w:ascii="Times New Roman" w:hAnsi="Times New Roman"/>
          <w:i/>
          <w:sz w:val="20"/>
          <w:szCs w:val="20"/>
        </w:rPr>
        <w:t>Pleas Before the King or His Justices</w:t>
      </w:r>
      <w:r w:rsidRPr="009D33F1">
        <w:rPr>
          <w:rFonts w:ascii="Times New Roman" w:hAnsi="Times New Roman"/>
          <w:sz w:val="20"/>
          <w:szCs w:val="20"/>
        </w:rPr>
        <w:t xml:space="preserve">, ed. D.M.Stenton, 4 vols, Selden Society lxvii-viii, lxxxiii-iv (1952-67), the first volume reviewed by A.L. Poole, </w:t>
      </w:r>
      <w:r w:rsidRPr="009D33F1">
        <w:rPr>
          <w:rFonts w:ascii="Times New Roman" w:hAnsi="Times New Roman"/>
          <w:i/>
          <w:sz w:val="20"/>
          <w:szCs w:val="20"/>
        </w:rPr>
        <w:t>ante</w:t>
      </w:r>
      <w:r w:rsidRPr="009D33F1">
        <w:rPr>
          <w:rFonts w:ascii="Times New Roman" w:hAnsi="Times New Roman"/>
          <w:sz w:val="20"/>
          <w:szCs w:val="20"/>
        </w:rPr>
        <w:t>, lxx (1955), 278-81, at p.280 once again noting the King's 'morbid love of watching duels'.</w:t>
      </w:r>
    </w:p>
  </w:footnote>
  <w:footnote w:id="109">
    <w:p w14:paraId="4FF950A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D.M. Stenton, </w:t>
      </w:r>
      <w:r w:rsidRPr="009D33F1">
        <w:rPr>
          <w:rFonts w:ascii="Times New Roman" w:hAnsi="Times New Roman"/>
          <w:i/>
          <w:sz w:val="20"/>
          <w:szCs w:val="20"/>
        </w:rPr>
        <w:t>English Justice Between the Norman Conquest and the Great Charter, 1066-1215</w:t>
      </w:r>
      <w:r w:rsidRPr="009D33F1">
        <w:rPr>
          <w:rFonts w:ascii="Times New Roman" w:hAnsi="Times New Roman"/>
          <w:sz w:val="20"/>
          <w:szCs w:val="20"/>
        </w:rPr>
        <w:t xml:space="preserve">, reviewed G.D.G. Hall, </w:t>
      </w:r>
      <w:r w:rsidRPr="009D33F1">
        <w:rPr>
          <w:rFonts w:ascii="Times New Roman" w:hAnsi="Times New Roman"/>
          <w:i/>
          <w:sz w:val="20"/>
          <w:szCs w:val="20"/>
        </w:rPr>
        <w:t>ante</w:t>
      </w:r>
      <w:r w:rsidRPr="009D33F1">
        <w:rPr>
          <w:rFonts w:ascii="Times New Roman" w:hAnsi="Times New Roman"/>
          <w:sz w:val="20"/>
          <w:szCs w:val="20"/>
        </w:rPr>
        <w:t xml:space="preserve">, lxxxi (1966), </w:t>
      </w:r>
      <w:proofErr w:type="gramStart"/>
      <w:r w:rsidRPr="009D33F1">
        <w:rPr>
          <w:rFonts w:ascii="Times New Roman" w:hAnsi="Times New Roman"/>
          <w:sz w:val="20"/>
          <w:szCs w:val="20"/>
        </w:rPr>
        <w:t>370</w:t>
      </w:r>
      <w:proofErr w:type="gramEnd"/>
      <w:r w:rsidRPr="009D33F1">
        <w:rPr>
          <w:rFonts w:ascii="Times New Roman" w:hAnsi="Times New Roman"/>
          <w:sz w:val="20"/>
          <w:szCs w:val="20"/>
        </w:rPr>
        <w:t xml:space="preserve">-1.  Stenton's views on John had already been aired in her essay, 'King John and the Courts of Justice', </w:t>
      </w:r>
      <w:r w:rsidRPr="009D33F1">
        <w:rPr>
          <w:rFonts w:ascii="Times New Roman" w:hAnsi="Times New Roman"/>
          <w:i/>
          <w:sz w:val="20"/>
          <w:szCs w:val="20"/>
        </w:rPr>
        <w:t>Proceedings of the British Academy</w:t>
      </w:r>
      <w:r w:rsidRPr="009D33F1">
        <w:rPr>
          <w:rFonts w:ascii="Times New Roman" w:hAnsi="Times New Roman"/>
          <w:sz w:val="20"/>
          <w:szCs w:val="20"/>
        </w:rPr>
        <w:t>, xliv (1958), 103-28.</w:t>
      </w:r>
    </w:p>
  </w:footnote>
  <w:footnote w:id="110">
    <w:p w14:paraId="2A991088"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Van Caenegem, </w:t>
      </w:r>
      <w:r w:rsidRPr="009D33F1">
        <w:rPr>
          <w:rFonts w:ascii="Times New Roman" w:hAnsi="Times New Roman"/>
          <w:i/>
          <w:sz w:val="20"/>
          <w:szCs w:val="20"/>
        </w:rPr>
        <w:t>Royal Writs in England from the Conquest to Glanvill</w:t>
      </w:r>
      <w:r w:rsidRPr="009D33F1">
        <w:rPr>
          <w:rFonts w:ascii="Times New Roman" w:hAnsi="Times New Roman"/>
          <w:sz w:val="20"/>
          <w:szCs w:val="20"/>
        </w:rPr>
        <w:t xml:space="preserve"> (1959), reviewed by G.D.G. Hall, </w:t>
      </w:r>
      <w:r w:rsidRPr="009D33F1">
        <w:rPr>
          <w:rFonts w:ascii="Times New Roman" w:hAnsi="Times New Roman"/>
          <w:i/>
          <w:sz w:val="20"/>
          <w:szCs w:val="20"/>
        </w:rPr>
        <w:t>ante</w:t>
      </w:r>
      <w:r w:rsidRPr="009D33F1">
        <w:rPr>
          <w:rFonts w:ascii="Times New Roman" w:hAnsi="Times New Roman"/>
          <w:sz w:val="20"/>
          <w:szCs w:val="20"/>
        </w:rPr>
        <w:t>, lxxvi (1961), 315-19, in continuation of Van Caenegem's work on Flanders (</w:t>
      </w:r>
      <w:r w:rsidRPr="009D33F1">
        <w:rPr>
          <w:rFonts w:ascii="Times New Roman" w:hAnsi="Times New Roman"/>
          <w:i/>
          <w:sz w:val="20"/>
          <w:szCs w:val="20"/>
        </w:rPr>
        <w:t>Geschiedenis van het stafrecht in Vlaanderen van de XIe tot de XIVe eeuw</w:t>
      </w:r>
      <w:r w:rsidRPr="009D33F1">
        <w:rPr>
          <w:rFonts w:ascii="Times New Roman" w:hAnsi="Times New Roman"/>
          <w:sz w:val="20"/>
          <w:szCs w:val="20"/>
        </w:rPr>
        <w:t xml:space="preserve">, 1954), revisited both in Van Caenegem's survey of English law, </w:t>
      </w:r>
      <w:r w:rsidRPr="009D33F1">
        <w:rPr>
          <w:rFonts w:ascii="Times New Roman" w:hAnsi="Times New Roman"/>
          <w:i/>
          <w:sz w:val="20"/>
          <w:szCs w:val="20"/>
        </w:rPr>
        <w:t>The Birth of the English Common Law</w:t>
      </w:r>
      <w:r w:rsidRPr="009D33F1">
        <w:rPr>
          <w:rFonts w:ascii="Times New Roman" w:hAnsi="Times New Roman"/>
          <w:sz w:val="20"/>
          <w:szCs w:val="20"/>
        </w:rPr>
        <w:t xml:space="preserve"> (Cambridge 1973, 2nd ed. 1988), reviewed by D.E.C. Yale, </w:t>
      </w:r>
      <w:r w:rsidRPr="009D33F1">
        <w:rPr>
          <w:rFonts w:ascii="Times New Roman" w:hAnsi="Times New Roman"/>
          <w:i/>
          <w:sz w:val="20"/>
          <w:szCs w:val="20"/>
        </w:rPr>
        <w:t>ante</w:t>
      </w:r>
      <w:r w:rsidRPr="009D33F1">
        <w:rPr>
          <w:rFonts w:ascii="Times New Roman" w:hAnsi="Times New Roman"/>
          <w:sz w:val="20"/>
          <w:szCs w:val="20"/>
        </w:rPr>
        <w:t xml:space="preserve">, xc (1975), 166-7, and in various of his essay collections, as in </w:t>
      </w:r>
      <w:r w:rsidRPr="009D33F1">
        <w:rPr>
          <w:rFonts w:ascii="Times New Roman" w:hAnsi="Times New Roman"/>
          <w:i/>
          <w:sz w:val="20"/>
          <w:szCs w:val="20"/>
        </w:rPr>
        <w:t>Legal History: A European Perspective</w:t>
      </w:r>
      <w:r w:rsidRPr="009D33F1">
        <w:rPr>
          <w:rFonts w:ascii="Times New Roman" w:hAnsi="Times New Roman"/>
          <w:sz w:val="20"/>
          <w:szCs w:val="20"/>
        </w:rPr>
        <w:t xml:space="preserve"> (London 1991).</w:t>
      </w:r>
    </w:p>
  </w:footnote>
  <w:footnote w:id="111">
    <w:p w14:paraId="4D1C0BC5" w14:textId="77777777" w:rsidR="00036517" w:rsidRPr="009D33F1" w:rsidRDefault="00036517" w:rsidP="00A27FF6">
      <w:pPr>
        <w:widowControl w:val="0"/>
        <w:autoSpaceDE w:val="0"/>
        <w:autoSpaceDN w:val="0"/>
        <w:adjustRightInd w:val="0"/>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brief reviews of </w:t>
      </w:r>
      <w:r w:rsidRPr="009D33F1">
        <w:rPr>
          <w:rFonts w:ascii="Times New Roman" w:hAnsi="Times New Roman"/>
          <w:i/>
          <w:sz w:val="20"/>
          <w:szCs w:val="20"/>
        </w:rPr>
        <w:t>Early Yorkshire Charters</w:t>
      </w:r>
      <w:r w:rsidRPr="009D33F1">
        <w:rPr>
          <w:rFonts w:ascii="Times New Roman" w:hAnsi="Times New Roman"/>
          <w:sz w:val="20"/>
          <w:szCs w:val="20"/>
        </w:rPr>
        <w:t xml:space="preserve">, from 1915 onwards by H.H.E. Craster, continued into the 1960s by Peter Sawyer, see </w:t>
      </w:r>
      <w:r w:rsidRPr="009D33F1">
        <w:rPr>
          <w:rFonts w:ascii="Times New Roman" w:hAnsi="Times New Roman"/>
          <w:i/>
          <w:sz w:val="20"/>
          <w:szCs w:val="20"/>
        </w:rPr>
        <w:t>ante</w:t>
      </w:r>
      <w:r w:rsidRPr="009D33F1">
        <w:rPr>
          <w:rFonts w:ascii="Times New Roman" w:hAnsi="Times New Roman"/>
          <w:sz w:val="20"/>
          <w:szCs w:val="20"/>
        </w:rPr>
        <w:t>, xxx (1915), 364-6; xxxi (1916), 306-7; xxxiv (1919), 425-7; li (1936), 693-5; liii (1938), 124-5; lv (1940), 458-9; lviii (1943), 497; lxv (1950), 401-2, 538; lxviii (1953), 631-2; lxxii (1957), 152-3; lxxx (1965), 815-16; lxxxii (1967), 823.</w:t>
      </w:r>
    </w:p>
  </w:footnote>
  <w:footnote w:id="112">
    <w:p w14:paraId="47FC60A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One of them in the </w:t>
      </w:r>
      <w:r w:rsidRPr="009D33F1">
        <w:rPr>
          <w:rFonts w:ascii="Times New Roman" w:hAnsi="Times New Roman"/>
          <w:i/>
          <w:sz w:val="20"/>
          <w:szCs w:val="20"/>
        </w:rPr>
        <w:t>EHR</w:t>
      </w:r>
      <w:r w:rsidRPr="009D33F1">
        <w:rPr>
          <w:rFonts w:ascii="Times New Roman" w:hAnsi="Times New Roman"/>
          <w:sz w:val="20"/>
          <w:szCs w:val="20"/>
        </w:rPr>
        <w:t xml:space="preserve"> for 1974, below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 xml:space="preserve">, the others under the direct influence of Doris Stenton, as 'Willoughby Deeds', in Stenton's Festschrift, </w:t>
      </w:r>
      <w:r w:rsidRPr="009D33F1">
        <w:rPr>
          <w:rFonts w:ascii="Times New Roman" w:hAnsi="Times New Roman"/>
          <w:i/>
          <w:sz w:val="20"/>
          <w:szCs w:val="20"/>
        </w:rPr>
        <w:t>A Medieval Miscellany for Doris Mary Stenton</w:t>
      </w:r>
      <w:r w:rsidRPr="009D33F1">
        <w:rPr>
          <w:rFonts w:ascii="Times New Roman" w:hAnsi="Times New Roman"/>
          <w:sz w:val="20"/>
          <w:szCs w:val="20"/>
        </w:rPr>
        <w:t xml:space="preserve">, ed. P.M. Barnes and C.F. Slade, Pipe Roll Society n.s. xxxvi (1962), 167-87, and as Holt's assemblage of Praestita, Summons and Scutage Rolls, appended to R.A. Brown's edition of the </w:t>
      </w:r>
      <w:r w:rsidRPr="009D33F1">
        <w:rPr>
          <w:rFonts w:ascii="Times New Roman" w:hAnsi="Times New Roman"/>
          <w:i/>
          <w:sz w:val="20"/>
          <w:szCs w:val="20"/>
        </w:rPr>
        <w:t>Pipe Roll 17 John</w:t>
      </w:r>
      <w:r w:rsidRPr="009D33F1">
        <w:rPr>
          <w:rFonts w:ascii="Times New Roman" w:hAnsi="Times New Roman"/>
          <w:sz w:val="20"/>
          <w:szCs w:val="20"/>
        </w:rPr>
        <w:t>, Pipe Roll Society  n.s. xxxvii (1964), 69-108.</w:t>
      </w:r>
    </w:p>
  </w:footnote>
  <w:footnote w:id="113">
    <w:p w14:paraId="3814C993"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W.A. Pantin, 'Frederick Maurice Powicke', </w:t>
      </w:r>
      <w:r w:rsidRPr="009D33F1">
        <w:rPr>
          <w:rFonts w:ascii="Times New Roman" w:hAnsi="Times New Roman"/>
          <w:i/>
          <w:sz w:val="20"/>
          <w:szCs w:val="20"/>
        </w:rPr>
        <w:t>ante</w:t>
      </w:r>
      <w:r w:rsidRPr="009D33F1">
        <w:rPr>
          <w:rFonts w:ascii="Times New Roman" w:hAnsi="Times New Roman"/>
          <w:sz w:val="20"/>
          <w:szCs w:val="20"/>
        </w:rPr>
        <w:t xml:space="preserve">, lxxx (1965), 1-9, and from the same year cf. C. Bullock-Davies, </w:t>
      </w:r>
      <w:r w:rsidRPr="009D33F1">
        <w:rPr>
          <w:rFonts w:ascii="Times New Roman" w:hAnsi="Times New Roman"/>
          <w:bCs/>
          <w:sz w:val="20"/>
          <w:szCs w:val="20"/>
        </w:rPr>
        <w:t>'Marie, Abbes of Shaftesbury, and her Brothers', Ibid</w:t>
      </w:r>
      <w:proofErr w:type="gramStart"/>
      <w:r w:rsidRPr="009D33F1">
        <w:rPr>
          <w:rFonts w:ascii="Times New Roman" w:hAnsi="Times New Roman"/>
          <w:bCs/>
          <w:sz w:val="20"/>
          <w:szCs w:val="20"/>
        </w:rPr>
        <w:t>.,</w:t>
      </w:r>
      <w:proofErr w:type="gramEnd"/>
      <w:r w:rsidRPr="009D33F1">
        <w:rPr>
          <w:rFonts w:ascii="Times New Roman" w:hAnsi="Times New Roman"/>
          <w:bCs/>
          <w:sz w:val="20"/>
          <w:szCs w:val="20"/>
        </w:rPr>
        <w:t xml:space="preserve"> 314-22, to some extent supporting the theories of Sir John Fox (above n.XYZ) on the identity of 'Marie de France'.</w:t>
      </w:r>
    </w:p>
  </w:footnote>
  <w:footnote w:id="114">
    <w:p w14:paraId="1085DD4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On which, see below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w:t>
      </w:r>
    </w:p>
  </w:footnote>
  <w:footnote w:id="115">
    <w:p w14:paraId="7A85B9B6"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On the aliens, see now N. Vincent, </w:t>
      </w:r>
      <w:r w:rsidRPr="009D33F1">
        <w:rPr>
          <w:rFonts w:ascii="Times New Roman" w:hAnsi="Times New Roman"/>
          <w:i/>
          <w:sz w:val="20"/>
          <w:szCs w:val="20"/>
        </w:rPr>
        <w:t>Peter des Roches: An Alien in English Politics 1205-1238</w:t>
      </w:r>
      <w:r w:rsidRPr="009D33F1">
        <w:rPr>
          <w:rFonts w:ascii="Times New Roman" w:hAnsi="Times New Roman"/>
          <w:sz w:val="20"/>
          <w:szCs w:val="20"/>
        </w:rPr>
        <w:t xml:space="preserve"> (1996), reviewed by H. Ridgeway, </w:t>
      </w:r>
      <w:r w:rsidRPr="009D33F1">
        <w:rPr>
          <w:rFonts w:ascii="Times New Roman" w:hAnsi="Times New Roman"/>
          <w:i/>
          <w:sz w:val="20"/>
          <w:szCs w:val="20"/>
        </w:rPr>
        <w:t>ante</w:t>
      </w:r>
      <w:r w:rsidRPr="009D33F1">
        <w:rPr>
          <w:rFonts w:ascii="Times New Roman" w:hAnsi="Times New Roman"/>
          <w:sz w:val="20"/>
          <w:szCs w:val="20"/>
        </w:rPr>
        <w:t>, cxii (1997), 415-17.</w:t>
      </w:r>
    </w:p>
  </w:footnote>
  <w:footnote w:id="116">
    <w:p w14:paraId="773276A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Davis, </w:t>
      </w:r>
      <w:r w:rsidRPr="009D33F1">
        <w:rPr>
          <w:rFonts w:ascii="Times New Roman" w:hAnsi="Times New Roman"/>
          <w:i/>
          <w:sz w:val="20"/>
          <w:szCs w:val="20"/>
        </w:rPr>
        <w:t>ante</w:t>
      </w:r>
      <w:r w:rsidRPr="009D33F1">
        <w:rPr>
          <w:rFonts w:ascii="Times New Roman" w:hAnsi="Times New Roman"/>
          <w:sz w:val="20"/>
          <w:szCs w:val="20"/>
        </w:rPr>
        <w:t>, lxxviii (1963), 733-5.</w:t>
      </w:r>
      <w:proofErr w:type="gramEnd"/>
    </w:p>
  </w:footnote>
  <w:footnote w:id="117">
    <w:p w14:paraId="65FF928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Smalley, </w:t>
      </w:r>
      <w:r w:rsidRPr="009D33F1">
        <w:rPr>
          <w:rFonts w:ascii="Times New Roman" w:hAnsi="Times New Roman"/>
          <w:i/>
          <w:sz w:val="20"/>
          <w:szCs w:val="20"/>
        </w:rPr>
        <w:t>ante</w:t>
      </w:r>
      <w:r w:rsidRPr="009D33F1">
        <w:rPr>
          <w:rFonts w:ascii="Times New Roman" w:hAnsi="Times New Roman"/>
          <w:sz w:val="20"/>
          <w:szCs w:val="20"/>
        </w:rPr>
        <w:t xml:space="preserve">, lxxxvi (1971), 794-6, specifically noting how the scholastic debates described by Baldwin 'make a bridge, however, shaky', with the world of Holt's </w:t>
      </w:r>
      <w:r w:rsidRPr="009D33F1">
        <w:rPr>
          <w:rFonts w:ascii="Times New Roman" w:hAnsi="Times New Roman"/>
          <w:i/>
          <w:sz w:val="20"/>
          <w:szCs w:val="20"/>
        </w:rPr>
        <w:t>Magna Carta</w:t>
      </w:r>
      <w:r w:rsidRPr="009D33F1">
        <w:rPr>
          <w:rFonts w:ascii="Times New Roman" w:hAnsi="Times New Roman"/>
          <w:sz w:val="20"/>
          <w:szCs w:val="20"/>
        </w:rPr>
        <w:t>.</w:t>
      </w:r>
    </w:p>
  </w:footnote>
  <w:footnote w:id="118">
    <w:p w14:paraId="5B81AA48" w14:textId="5EC791AD" w:rsidR="00036517" w:rsidRPr="009D33F1" w:rsidRDefault="00036517">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A point drawn to my attention by John Hudson.</w:t>
      </w:r>
      <w:proofErr w:type="gramEnd"/>
    </w:p>
  </w:footnote>
  <w:footnote w:id="119">
    <w:p w14:paraId="18A624F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Prestwich, </w:t>
      </w:r>
      <w:r w:rsidRPr="009D33F1">
        <w:rPr>
          <w:rFonts w:ascii="Times New Roman" w:hAnsi="Times New Roman"/>
          <w:i/>
          <w:sz w:val="20"/>
          <w:szCs w:val="20"/>
        </w:rPr>
        <w:t>ante</w:t>
      </w:r>
      <w:r w:rsidRPr="009D33F1">
        <w:rPr>
          <w:rFonts w:ascii="Times New Roman" w:hAnsi="Times New Roman"/>
          <w:sz w:val="20"/>
          <w:szCs w:val="20"/>
        </w:rPr>
        <w:t>, cx (1995), 696-7</w:t>
      </w:r>
    </w:p>
  </w:footnote>
  <w:footnote w:id="120">
    <w:p w14:paraId="38E59164"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Holt, </w:t>
      </w:r>
      <w:r w:rsidRPr="009D33F1">
        <w:rPr>
          <w:rFonts w:ascii="Times New Roman" w:hAnsi="Times New Roman"/>
          <w:i/>
          <w:sz w:val="20"/>
          <w:szCs w:val="20"/>
        </w:rPr>
        <w:t>ante</w:t>
      </w:r>
      <w:r w:rsidRPr="009D33F1">
        <w:rPr>
          <w:rFonts w:ascii="Times New Roman" w:hAnsi="Times New Roman"/>
          <w:sz w:val="20"/>
          <w:szCs w:val="20"/>
        </w:rPr>
        <w:t>, cxviii (2003), 988-9.</w:t>
      </w:r>
      <w:proofErr w:type="gramEnd"/>
    </w:p>
  </w:footnote>
  <w:footnote w:id="121">
    <w:p w14:paraId="5A078BD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Holt, </w:t>
      </w:r>
      <w:r w:rsidRPr="009D33F1">
        <w:rPr>
          <w:rFonts w:ascii="Times New Roman" w:hAnsi="Times New Roman"/>
          <w:i/>
          <w:sz w:val="20"/>
          <w:szCs w:val="20"/>
        </w:rPr>
        <w:t>ante</w:t>
      </w:r>
      <w:r w:rsidRPr="009D33F1">
        <w:rPr>
          <w:rFonts w:ascii="Times New Roman" w:hAnsi="Times New Roman"/>
          <w:sz w:val="20"/>
          <w:szCs w:val="20"/>
        </w:rPr>
        <w:t>, lxxxvii (1972), 394-5, 'a most valuable and sensible contribution'.</w:t>
      </w:r>
      <w:proofErr w:type="gramEnd"/>
    </w:p>
  </w:footnote>
  <w:footnote w:id="122">
    <w:p w14:paraId="6E8D4B4A" w14:textId="2D81B18B"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Holt, 'The Prehistory of Parliament', </w:t>
      </w:r>
      <w:r w:rsidRPr="009D33F1">
        <w:rPr>
          <w:rFonts w:ascii="Times New Roman" w:hAnsi="Times New Roman"/>
          <w:i/>
          <w:sz w:val="20"/>
          <w:szCs w:val="20"/>
        </w:rPr>
        <w:t>The English Parliament in the Middle Ages</w:t>
      </w:r>
      <w:r w:rsidRPr="009D33F1">
        <w:rPr>
          <w:rFonts w:ascii="Times New Roman" w:hAnsi="Times New Roman"/>
          <w:sz w:val="20"/>
          <w:szCs w:val="20"/>
        </w:rPr>
        <w:t>, ed. R.G. Davies and J.H. Denton (Manchester 1981), 1-28.</w:t>
      </w:r>
    </w:p>
  </w:footnote>
  <w:footnote w:id="123">
    <w:p w14:paraId="3D8E43F4"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Holt, 'A Vernacular French Text of Magna Carta', </w:t>
      </w:r>
      <w:r w:rsidRPr="009D33F1">
        <w:rPr>
          <w:rFonts w:ascii="Times New Roman" w:hAnsi="Times New Roman"/>
          <w:i/>
          <w:sz w:val="20"/>
          <w:szCs w:val="20"/>
        </w:rPr>
        <w:t>ante</w:t>
      </w:r>
      <w:r w:rsidRPr="009D33F1">
        <w:rPr>
          <w:rFonts w:ascii="Times New Roman" w:hAnsi="Times New Roman"/>
          <w:sz w:val="20"/>
          <w:szCs w:val="20"/>
        </w:rPr>
        <w:t>, lxxxix (1974), 346-56.</w:t>
      </w:r>
    </w:p>
  </w:footnote>
  <w:footnote w:id="124">
    <w:p w14:paraId="15D1BB0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As noticed by N. Vincent, </w:t>
      </w:r>
      <w:r w:rsidRPr="009D33F1">
        <w:rPr>
          <w:rFonts w:ascii="Times New Roman" w:hAnsi="Times New Roman"/>
          <w:i/>
          <w:sz w:val="20"/>
          <w:szCs w:val="20"/>
        </w:rPr>
        <w:t>Norman Charters from English Sources: Antiquaries, Archives and the Rediscovery of the Anglo-Norman Past</w:t>
      </w:r>
      <w:r w:rsidRPr="009D33F1">
        <w:rPr>
          <w:rFonts w:ascii="Times New Roman" w:hAnsi="Times New Roman"/>
          <w:sz w:val="20"/>
          <w:szCs w:val="20"/>
        </w:rPr>
        <w:t>, Pipe Roll Society n.s. lix (2013), 54.</w:t>
      </w:r>
    </w:p>
  </w:footnote>
  <w:footnote w:id="125">
    <w:p w14:paraId="2A01287B"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Southern, </w:t>
      </w:r>
      <w:r w:rsidRPr="009D33F1">
        <w:rPr>
          <w:rFonts w:ascii="Times New Roman" w:hAnsi="Times New Roman"/>
          <w:i/>
          <w:sz w:val="20"/>
          <w:szCs w:val="20"/>
        </w:rPr>
        <w:t>ante</w:t>
      </w:r>
      <w:r w:rsidRPr="009D33F1">
        <w:rPr>
          <w:rFonts w:ascii="Times New Roman" w:hAnsi="Times New Roman"/>
          <w:sz w:val="20"/>
          <w:szCs w:val="20"/>
        </w:rPr>
        <w:t xml:space="preserve">, lxxxvi (1971), 796-9, appropriately enough, following on immediately after Smalley's review of Baldwin's </w:t>
      </w:r>
      <w:r w:rsidRPr="009D33F1">
        <w:rPr>
          <w:rFonts w:ascii="Times New Roman" w:hAnsi="Times New Roman"/>
          <w:i/>
          <w:sz w:val="20"/>
          <w:szCs w:val="20"/>
        </w:rPr>
        <w:t>Masters, Princes and Merchants</w:t>
      </w:r>
      <w:r w:rsidRPr="009D33F1">
        <w:rPr>
          <w:rFonts w:ascii="Times New Roman" w:hAnsi="Times New Roman"/>
          <w:sz w:val="20"/>
          <w:szCs w:val="20"/>
        </w:rPr>
        <w:t>.</w:t>
      </w:r>
      <w:proofErr w:type="gramEnd"/>
    </w:p>
  </w:footnote>
  <w:footnote w:id="126">
    <w:p w14:paraId="097AB2DB"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Lawrence, </w:t>
      </w:r>
      <w:r w:rsidRPr="009D33F1">
        <w:rPr>
          <w:rFonts w:ascii="Times New Roman" w:hAnsi="Times New Roman"/>
          <w:i/>
          <w:sz w:val="20"/>
          <w:szCs w:val="20"/>
        </w:rPr>
        <w:t>ante</w:t>
      </w:r>
      <w:r w:rsidRPr="009D33F1">
        <w:rPr>
          <w:rFonts w:ascii="Times New Roman" w:hAnsi="Times New Roman"/>
          <w:sz w:val="20"/>
          <w:szCs w:val="20"/>
        </w:rPr>
        <w:t>, xciii (1978), 383-6.</w:t>
      </w:r>
      <w:proofErr w:type="gramEnd"/>
    </w:p>
  </w:footnote>
  <w:footnote w:id="127">
    <w:p w14:paraId="432C299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Stenton, </w:t>
      </w:r>
      <w:r w:rsidRPr="009D33F1">
        <w:rPr>
          <w:rFonts w:ascii="Times New Roman" w:hAnsi="Times New Roman"/>
          <w:i/>
          <w:sz w:val="20"/>
          <w:szCs w:val="20"/>
        </w:rPr>
        <w:t>ante</w:t>
      </w:r>
      <w:r w:rsidRPr="009D33F1">
        <w:rPr>
          <w:rFonts w:ascii="Times New Roman" w:hAnsi="Times New Roman"/>
          <w:sz w:val="20"/>
          <w:szCs w:val="20"/>
        </w:rPr>
        <w:t>, lxxvii (1962), 750-1.</w:t>
      </w:r>
      <w:proofErr w:type="gramEnd"/>
    </w:p>
  </w:footnote>
  <w:footnote w:id="128">
    <w:p w14:paraId="10436763"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Reviewed by M. Prestwich, </w:t>
      </w:r>
      <w:r w:rsidRPr="009D33F1">
        <w:rPr>
          <w:rFonts w:ascii="Times New Roman" w:hAnsi="Times New Roman"/>
          <w:i/>
          <w:sz w:val="20"/>
          <w:szCs w:val="20"/>
        </w:rPr>
        <w:t>ante</w:t>
      </w:r>
      <w:r w:rsidRPr="009D33F1">
        <w:rPr>
          <w:rFonts w:ascii="Times New Roman" w:hAnsi="Times New Roman"/>
          <w:sz w:val="20"/>
          <w:szCs w:val="20"/>
        </w:rPr>
        <w:t xml:space="preserve">, cxi (1996), 1247, and D. Crouch, </w:t>
      </w:r>
      <w:r w:rsidRPr="009D33F1">
        <w:rPr>
          <w:rFonts w:ascii="Times New Roman" w:hAnsi="Times New Roman"/>
          <w:i/>
          <w:sz w:val="20"/>
          <w:szCs w:val="20"/>
        </w:rPr>
        <w:t>ante</w:t>
      </w:r>
      <w:r w:rsidRPr="009D33F1">
        <w:rPr>
          <w:rFonts w:ascii="Times New Roman" w:hAnsi="Times New Roman"/>
          <w:sz w:val="20"/>
          <w:szCs w:val="20"/>
        </w:rPr>
        <w:t>, cxv (2000), 429-30.</w:t>
      </w:r>
    </w:p>
  </w:footnote>
  <w:footnote w:id="129">
    <w:p w14:paraId="04E1EDED" w14:textId="77777777" w:rsidR="00036517" w:rsidRPr="009D33F1" w:rsidRDefault="00036517" w:rsidP="00A27FF6">
      <w:pPr>
        <w:widowControl w:val="0"/>
        <w:tabs>
          <w:tab w:val="left" w:pos="426"/>
        </w:tabs>
        <w:autoSpaceDE w:val="0"/>
        <w:autoSpaceDN w:val="0"/>
        <w:adjustRightInd w:val="0"/>
        <w:rPr>
          <w:rFonts w:ascii="Times New Roman" w:hAnsi="Times New Roman"/>
          <w:bCs/>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Holt, </w:t>
      </w:r>
      <w:r w:rsidRPr="009D33F1">
        <w:rPr>
          <w:rFonts w:ascii="Times New Roman" w:hAnsi="Times New Roman"/>
          <w:i/>
          <w:sz w:val="20"/>
          <w:szCs w:val="20"/>
        </w:rPr>
        <w:t>King John</w:t>
      </w:r>
      <w:r w:rsidRPr="009D33F1">
        <w:rPr>
          <w:rFonts w:ascii="Times New Roman" w:hAnsi="Times New Roman"/>
          <w:sz w:val="20"/>
          <w:szCs w:val="20"/>
        </w:rPr>
        <w:t xml:space="preserve"> (London 1963), reprinted in Holt, </w:t>
      </w:r>
      <w:r w:rsidRPr="009D33F1">
        <w:rPr>
          <w:rFonts w:ascii="Times New Roman" w:hAnsi="Times New Roman"/>
          <w:i/>
          <w:sz w:val="20"/>
          <w:szCs w:val="20"/>
        </w:rPr>
        <w:t>Magna Carta and Medieval Government</w:t>
      </w:r>
      <w:r w:rsidRPr="009D33F1">
        <w:rPr>
          <w:rFonts w:ascii="Times New Roman" w:hAnsi="Times New Roman"/>
          <w:sz w:val="20"/>
          <w:szCs w:val="20"/>
        </w:rPr>
        <w:t xml:space="preserve"> (London 1985), 85-109. </w:t>
      </w:r>
    </w:p>
  </w:footnote>
  <w:footnote w:id="130">
    <w:p w14:paraId="6A714FF9"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John Gillingham, 'Historians Without Hindsight: Coggeshall, Diceto and Howden on the Early Years of John’s Reign’, in </w:t>
      </w:r>
      <w:r w:rsidRPr="009D33F1">
        <w:rPr>
          <w:rFonts w:ascii="Times New Roman" w:hAnsi="Times New Roman"/>
          <w:i/>
          <w:sz w:val="20"/>
          <w:szCs w:val="20"/>
        </w:rPr>
        <w:t>King John: New Interpretations</w:t>
      </w:r>
      <w:r w:rsidRPr="009D33F1">
        <w:rPr>
          <w:rFonts w:ascii="Times New Roman" w:hAnsi="Times New Roman"/>
          <w:sz w:val="20"/>
          <w:szCs w:val="20"/>
        </w:rPr>
        <w:t>, ed. S. Church (Woodbridge 1999), 1-26, and the response by David Carpenter, '</w:t>
      </w:r>
      <w:r w:rsidRPr="009D33F1">
        <w:rPr>
          <w:rFonts w:ascii="Times New Roman" w:hAnsi="Times New Roman"/>
          <w:bCs/>
          <w:sz w:val="20"/>
          <w:szCs w:val="20"/>
        </w:rPr>
        <w:t xml:space="preserve">Abbot Ralph of Coggeshall's Account of the Last Years of King Richard and the First Years of King John', </w:t>
      </w:r>
      <w:r w:rsidRPr="009D33F1">
        <w:rPr>
          <w:rFonts w:ascii="Times New Roman" w:hAnsi="Times New Roman"/>
          <w:bCs/>
          <w:i/>
          <w:sz w:val="20"/>
          <w:szCs w:val="20"/>
        </w:rPr>
        <w:t>ante</w:t>
      </w:r>
      <w:r w:rsidRPr="009D33F1">
        <w:rPr>
          <w:rFonts w:ascii="Times New Roman" w:hAnsi="Times New Roman"/>
          <w:bCs/>
          <w:sz w:val="20"/>
          <w:szCs w:val="20"/>
        </w:rPr>
        <w:t xml:space="preserve">, cxiii </w:t>
      </w:r>
      <w:r w:rsidRPr="009D33F1">
        <w:rPr>
          <w:rFonts w:ascii="Times New Roman" w:hAnsi="Times New Roman"/>
          <w:sz w:val="20"/>
          <w:szCs w:val="20"/>
        </w:rPr>
        <w:t>(1998), 1210-1230.</w:t>
      </w:r>
    </w:p>
  </w:footnote>
  <w:footnote w:id="131">
    <w:p w14:paraId="1815EA1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Power, reviewed by J. Dunbabin, </w:t>
      </w:r>
      <w:r w:rsidRPr="009D33F1">
        <w:rPr>
          <w:rFonts w:ascii="Times New Roman" w:hAnsi="Times New Roman"/>
          <w:i/>
          <w:sz w:val="20"/>
          <w:szCs w:val="20"/>
        </w:rPr>
        <w:t>ante</w:t>
      </w:r>
      <w:r w:rsidRPr="009D33F1">
        <w:rPr>
          <w:rFonts w:ascii="Times New Roman" w:hAnsi="Times New Roman"/>
          <w:sz w:val="20"/>
          <w:szCs w:val="20"/>
        </w:rPr>
        <w:t xml:space="preserve">, cxx (2005), 1370-2, </w:t>
      </w:r>
    </w:p>
  </w:footnote>
  <w:footnote w:id="132">
    <w:p w14:paraId="1BC3082B"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J.C. Holt, 'The End of the Anglo-Norman Realm', </w:t>
      </w:r>
      <w:r w:rsidRPr="009D33F1">
        <w:rPr>
          <w:rFonts w:ascii="Times New Roman" w:hAnsi="Times New Roman"/>
          <w:i/>
          <w:sz w:val="20"/>
          <w:szCs w:val="20"/>
        </w:rPr>
        <w:t>Proceedings of the British Academy</w:t>
      </w:r>
      <w:r w:rsidRPr="009D33F1">
        <w:rPr>
          <w:rFonts w:ascii="Times New Roman" w:hAnsi="Times New Roman"/>
          <w:sz w:val="20"/>
          <w:szCs w:val="20"/>
        </w:rPr>
        <w:t xml:space="preserve">, lxi (1975), 3-45, and more recently J. Peltzer, 'The Slow Death of the Angevin Empire', </w:t>
      </w:r>
      <w:r w:rsidRPr="009D33F1">
        <w:rPr>
          <w:rFonts w:ascii="Times New Roman" w:hAnsi="Times New Roman"/>
          <w:i/>
          <w:sz w:val="20"/>
          <w:szCs w:val="20"/>
        </w:rPr>
        <w:t>Historical Research</w:t>
      </w:r>
      <w:r w:rsidRPr="009D33F1">
        <w:rPr>
          <w:rFonts w:ascii="Times New Roman" w:hAnsi="Times New Roman"/>
          <w:sz w:val="20"/>
          <w:szCs w:val="20"/>
        </w:rPr>
        <w:t xml:space="preserve">, lxxxvii (2007), 553-84; D. Power, 'The Treaty of Paris (1259) and the Aristocracy of England and Normandy', </w:t>
      </w:r>
      <w:r w:rsidRPr="009D33F1">
        <w:rPr>
          <w:rFonts w:ascii="Times New Roman" w:hAnsi="Times New Roman"/>
          <w:i/>
          <w:sz w:val="20"/>
          <w:szCs w:val="20"/>
        </w:rPr>
        <w:t>Thirteenth Century England XIII</w:t>
      </w:r>
      <w:r w:rsidRPr="009D33F1">
        <w:rPr>
          <w:rFonts w:ascii="Times New Roman" w:hAnsi="Times New Roman"/>
          <w:sz w:val="20"/>
          <w:szCs w:val="20"/>
        </w:rPr>
        <w:t>, ed. J. Burton, F. Lachaud and P. Schofield (Woodbridge 2011), 141-58.</w:t>
      </w:r>
    </w:p>
  </w:footnote>
  <w:footnote w:id="133">
    <w:p w14:paraId="241D24DA" w14:textId="27D1D2E4"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M.T. Clanchy, 'Magna Carta, Clause Thirty-Four', </w:t>
      </w:r>
      <w:r w:rsidRPr="009D33F1">
        <w:rPr>
          <w:rFonts w:ascii="Times New Roman" w:hAnsi="Times New Roman"/>
          <w:i/>
          <w:sz w:val="20"/>
          <w:szCs w:val="20"/>
        </w:rPr>
        <w:t>ante</w:t>
      </w:r>
      <w:r w:rsidRPr="009D33F1">
        <w:rPr>
          <w:rFonts w:ascii="Times New Roman" w:hAnsi="Times New Roman"/>
          <w:sz w:val="20"/>
          <w:szCs w:val="20"/>
        </w:rPr>
        <w:t>, lxxix (1964), 542-7, contending directly against t</w:t>
      </w:r>
      <w:r>
        <w:rPr>
          <w:rFonts w:ascii="Times New Roman" w:hAnsi="Times New Roman"/>
          <w:sz w:val="20"/>
          <w:szCs w:val="20"/>
        </w:rPr>
        <w:t>he article by N.D. Hurnard, 'Magna Carta Clause 34</w:t>
      </w:r>
      <w:r w:rsidRPr="009D33F1">
        <w:rPr>
          <w:rFonts w:ascii="Times New Roman" w:hAnsi="Times New Roman"/>
          <w:sz w:val="20"/>
          <w:szCs w:val="20"/>
        </w:rPr>
        <w:t xml:space="preserve">', published in the Powicke festschrift, </w:t>
      </w:r>
      <w:r w:rsidRPr="009D33F1">
        <w:rPr>
          <w:rFonts w:ascii="Times New Roman" w:hAnsi="Times New Roman"/>
          <w:i/>
          <w:sz w:val="20"/>
          <w:szCs w:val="20"/>
        </w:rPr>
        <w:t>Studies in Medieval History</w:t>
      </w:r>
      <w:r w:rsidRPr="009D33F1">
        <w:rPr>
          <w:rFonts w:ascii="Times New Roman" w:hAnsi="Times New Roman"/>
          <w:sz w:val="20"/>
          <w:szCs w:val="20"/>
        </w:rPr>
        <w:t xml:space="preserve"> (1948), 157-79.</w:t>
      </w:r>
    </w:p>
  </w:footnote>
  <w:footnote w:id="134">
    <w:p w14:paraId="0D1B80C3"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To cite merely a handful of examples, see Alan Harding, review of Brand, </w:t>
      </w:r>
      <w:r w:rsidRPr="009D33F1">
        <w:rPr>
          <w:rFonts w:ascii="Times New Roman" w:hAnsi="Times New Roman"/>
          <w:i/>
          <w:sz w:val="20"/>
          <w:szCs w:val="20"/>
        </w:rPr>
        <w:t>The Origins of the English Legal Profession</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cviii (1993), 674-5; F. Donald Logan, review of Helmholz, </w:t>
      </w:r>
      <w:r w:rsidRPr="009D33F1">
        <w:rPr>
          <w:rFonts w:ascii="Times New Roman" w:hAnsi="Times New Roman"/>
          <w:i/>
          <w:sz w:val="20"/>
          <w:szCs w:val="20"/>
        </w:rPr>
        <w:t>The "Ius Commune"</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cxviii (2003), 138-9; Helmholz, review of Sam Worby, </w:t>
      </w:r>
      <w:r w:rsidRPr="009D33F1">
        <w:rPr>
          <w:rFonts w:ascii="Times New Roman" w:hAnsi="Times New Roman"/>
          <w:i/>
          <w:sz w:val="20"/>
          <w:szCs w:val="20"/>
        </w:rPr>
        <w:t>Law and Kinship in Thirteenth-Century England</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cxxvii (2012), 144-5; Judith Green, review of Garnett, </w:t>
      </w:r>
      <w:r w:rsidRPr="009D33F1">
        <w:rPr>
          <w:rFonts w:ascii="Times New Roman" w:hAnsi="Times New Roman"/>
          <w:i/>
          <w:sz w:val="20"/>
          <w:szCs w:val="20"/>
        </w:rPr>
        <w:t>Conquered England</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cxxiii (2008), 1284-7; J.M. Kaye, review of Hudson, </w:t>
      </w:r>
      <w:r w:rsidRPr="009D33F1">
        <w:rPr>
          <w:rFonts w:ascii="Times New Roman" w:hAnsi="Times New Roman"/>
          <w:i/>
          <w:sz w:val="20"/>
          <w:szCs w:val="20"/>
        </w:rPr>
        <w:t>The Formation of the English Common Law</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xml:space="preserve">, cxiii (1998), 698-9; Vincent Moss, review of Turner, </w:t>
      </w:r>
      <w:r w:rsidRPr="009D33F1">
        <w:rPr>
          <w:rFonts w:ascii="Times New Roman" w:hAnsi="Times New Roman"/>
          <w:i/>
          <w:sz w:val="20"/>
          <w:szCs w:val="20"/>
        </w:rPr>
        <w:t>Magna Carta Through the Ages</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cxix (2004), 1031-3, and for Turner cf. infra nn.XYZ.</w:t>
      </w:r>
    </w:p>
  </w:footnote>
  <w:footnote w:id="135">
    <w:p w14:paraId="732769D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recent work here, see P. Hyams, 'The Common Law and the French Connection', </w:t>
      </w:r>
      <w:r w:rsidRPr="009D33F1">
        <w:rPr>
          <w:rFonts w:ascii="Times New Roman" w:hAnsi="Times New Roman"/>
          <w:i/>
          <w:sz w:val="20"/>
          <w:szCs w:val="20"/>
        </w:rPr>
        <w:t>Anglo-Norman Studies</w:t>
      </w:r>
      <w:r w:rsidRPr="009D33F1">
        <w:rPr>
          <w:rFonts w:ascii="Times New Roman" w:hAnsi="Times New Roman"/>
          <w:sz w:val="20"/>
          <w:szCs w:val="20"/>
        </w:rPr>
        <w:t xml:space="preserve">, iv (1981), 79-90, 196-202; A. Duggan, 'Roman, Canon and Common Law in Twelfth-Century England: The Council of Northampton (1164) Re-examined', </w:t>
      </w:r>
      <w:r w:rsidRPr="009D33F1">
        <w:rPr>
          <w:rFonts w:ascii="Times New Roman" w:hAnsi="Times New Roman"/>
          <w:i/>
          <w:sz w:val="20"/>
          <w:szCs w:val="20"/>
        </w:rPr>
        <w:t>Historical Research</w:t>
      </w:r>
      <w:r w:rsidRPr="009D33F1">
        <w:rPr>
          <w:rFonts w:ascii="Times New Roman" w:hAnsi="Times New Roman"/>
          <w:sz w:val="20"/>
          <w:szCs w:val="20"/>
        </w:rPr>
        <w:t xml:space="preserve">, lxxxiii (2010), 379-408, and the contributions by James Brundage and John Hudson to the collection of essays </w:t>
      </w:r>
      <w:r w:rsidRPr="009D33F1">
        <w:rPr>
          <w:rFonts w:ascii="Times New Roman" w:hAnsi="Times New Roman"/>
          <w:i/>
          <w:sz w:val="20"/>
          <w:szCs w:val="20"/>
        </w:rPr>
        <w:t>Magna Carta and the England of King John</w:t>
      </w:r>
      <w:r w:rsidRPr="009D33F1">
        <w:rPr>
          <w:rFonts w:ascii="Times New Roman" w:hAnsi="Times New Roman"/>
          <w:sz w:val="20"/>
          <w:szCs w:val="20"/>
        </w:rPr>
        <w:t xml:space="preserve">, ed. J.S. Loengard, reviewed by Stephen Church, </w:t>
      </w:r>
      <w:r w:rsidRPr="009D33F1">
        <w:rPr>
          <w:rFonts w:ascii="Times New Roman" w:hAnsi="Times New Roman"/>
          <w:i/>
          <w:sz w:val="20"/>
          <w:szCs w:val="20"/>
        </w:rPr>
        <w:t>ante</w:t>
      </w:r>
      <w:r w:rsidRPr="009D33F1">
        <w:rPr>
          <w:rFonts w:ascii="Times New Roman" w:hAnsi="Times New Roman"/>
          <w:sz w:val="20"/>
          <w:szCs w:val="20"/>
        </w:rPr>
        <w:t xml:space="preserve">, cxxvi (2011), 1508-9.  See also the re-assessment of the 'Leges Edwardi Confessoris', a text key to the understanding of English law before Magna Carta, not least amongst the Londoners of John's reign, for which see Bruce O'Brien, </w:t>
      </w:r>
      <w:r w:rsidRPr="009D33F1">
        <w:rPr>
          <w:rFonts w:ascii="Times New Roman" w:hAnsi="Times New Roman"/>
          <w:i/>
          <w:sz w:val="20"/>
          <w:szCs w:val="20"/>
        </w:rPr>
        <w:t>God's Peace and King's Peace</w:t>
      </w:r>
      <w:r w:rsidRPr="009D33F1">
        <w:rPr>
          <w:rFonts w:ascii="Times New Roman" w:hAnsi="Times New Roman"/>
          <w:sz w:val="20"/>
          <w:szCs w:val="20"/>
        </w:rPr>
        <w:t xml:space="preserve">, reviewed by Pauline Stafford, </w:t>
      </w:r>
      <w:r w:rsidRPr="009D33F1">
        <w:rPr>
          <w:rFonts w:ascii="Times New Roman" w:hAnsi="Times New Roman"/>
          <w:i/>
          <w:sz w:val="20"/>
          <w:szCs w:val="20"/>
        </w:rPr>
        <w:t>ante</w:t>
      </w:r>
      <w:r w:rsidRPr="009D33F1">
        <w:rPr>
          <w:rFonts w:ascii="Times New Roman" w:hAnsi="Times New Roman"/>
          <w:sz w:val="20"/>
          <w:szCs w:val="20"/>
        </w:rPr>
        <w:t>, cxv (2000), 428-9.</w:t>
      </w:r>
    </w:p>
  </w:footnote>
  <w:footnote w:id="136">
    <w:p w14:paraId="4A14555D" w14:textId="085EC314"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Richardson and Sayles, </w:t>
      </w:r>
      <w:r w:rsidRPr="009D33F1">
        <w:rPr>
          <w:rFonts w:ascii="Times New Roman" w:hAnsi="Times New Roman"/>
          <w:i/>
          <w:sz w:val="20"/>
          <w:szCs w:val="20"/>
        </w:rPr>
        <w:t>The Governance of Medieval England: From the Conquest to Magna Carta</w:t>
      </w:r>
      <w:r w:rsidRPr="009D33F1">
        <w:rPr>
          <w:rFonts w:ascii="Times New Roman" w:hAnsi="Times New Roman"/>
          <w:sz w:val="20"/>
          <w:szCs w:val="20"/>
        </w:rPr>
        <w:t xml:space="preserve">, reviewed by John Le Patourel, </w:t>
      </w:r>
      <w:r w:rsidRPr="009D33F1">
        <w:rPr>
          <w:rFonts w:ascii="Times New Roman" w:hAnsi="Times New Roman"/>
          <w:i/>
          <w:sz w:val="20"/>
          <w:szCs w:val="20"/>
        </w:rPr>
        <w:t>ante</w:t>
      </w:r>
      <w:r w:rsidRPr="009D33F1">
        <w:rPr>
          <w:rFonts w:ascii="Times New Roman" w:hAnsi="Times New Roman"/>
          <w:sz w:val="20"/>
          <w:szCs w:val="20"/>
        </w:rPr>
        <w:t xml:space="preserve">, lxxx (1965), 115-20, and see also the aftershock, Richardson and Sayles, </w:t>
      </w:r>
      <w:r w:rsidRPr="009D33F1">
        <w:rPr>
          <w:rFonts w:ascii="Times New Roman" w:hAnsi="Times New Roman"/>
          <w:i/>
          <w:sz w:val="20"/>
          <w:szCs w:val="20"/>
        </w:rPr>
        <w:t>Law and Legislation from Aethelbehrt to Magna Carta</w:t>
      </w:r>
      <w:r w:rsidRPr="009D33F1">
        <w:rPr>
          <w:rFonts w:ascii="Times New Roman" w:hAnsi="Times New Roman"/>
          <w:sz w:val="20"/>
          <w:szCs w:val="20"/>
        </w:rPr>
        <w:t xml:space="preserve"> (1966), reviewed by G.D.G. Hall, </w:t>
      </w:r>
      <w:r w:rsidRPr="009D33F1">
        <w:rPr>
          <w:rFonts w:ascii="Times New Roman" w:hAnsi="Times New Roman"/>
          <w:i/>
          <w:sz w:val="20"/>
          <w:szCs w:val="20"/>
        </w:rPr>
        <w:t>ante</w:t>
      </w:r>
      <w:r w:rsidRPr="009D33F1">
        <w:rPr>
          <w:rFonts w:ascii="Times New Roman" w:hAnsi="Times New Roman"/>
          <w:sz w:val="20"/>
          <w:szCs w:val="20"/>
        </w:rPr>
        <w:t xml:space="preserve">, lxxxiii (1968), 783-4, with conclusion by Hall: 'The study of English legal history is still in its infancy and the child has been greatly strengthened by the attentions of Messrs. Richardson and Sayles. It would be a pity if their stern methods were taken as an assertion of prerogative wardship; there is room and need, surely, for many guardians'.  For immediate dissent from Richardson and Sayles on the Interdict, see C.R. Cheney, 'A Recent View of the General Interdict on England, 1208-1211', </w:t>
      </w:r>
      <w:r w:rsidRPr="009D33F1">
        <w:rPr>
          <w:rFonts w:ascii="Times New Roman" w:hAnsi="Times New Roman"/>
          <w:i/>
          <w:sz w:val="20"/>
          <w:szCs w:val="20"/>
        </w:rPr>
        <w:t>Studies in Church History III</w:t>
      </w:r>
      <w:r w:rsidRPr="009D33F1">
        <w:rPr>
          <w:rFonts w:ascii="Times New Roman" w:hAnsi="Times New Roman"/>
          <w:sz w:val="20"/>
          <w:szCs w:val="20"/>
        </w:rPr>
        <w:t xml:space="preserve">, ed. G.J. Cuming (Leiden 1966), 159-68, and most recently C. Harper-Bill, in </w:t>
      </w:r>
      <w:r w:rsidRPr="009D33F1">
        <w:rPr>
          <w:rFonts w:ascii="Times New Roman" w:hAnsi="Times New Roman"/>
          <w:i/>
          <w:sz w:val="20"/>
          <w:szCs w:val="20"/>
        </w:rPr>
        <w:t>King John: New Interpretations</w:t>
      </w:r>
      <w:r w:rsidRPr="009D33F1">
        <w:rPr>
          <w:rFonts w:ascii="Times New Roman" w:hAnsi="Times New Roman"/>
          <w:sz w:val="20"/>
          <w:szCs w:val="20"/>
        </w:rPr>
        <w:t xml:space="preserve">, ed. Church.  For the posthumous revenge of Bishop Stubbs, James Campbell, 'Stubbs and the English State', first delivered as the Stenton Lecture for 1989, reprinted in Campbell, </w:t>
      </w:r>
      <w:r w:rsidRPr="009D33F1">
        <w:rPr>
          <w:rFonts w:ascii="Times New Roman" w:hAnsi="Times New Roman"/>
          <w:i/>
          <w:sz w:val="20"/>
          <w:szCs w:val="20"/>
        </w:rPr>
        <w:t>The Anglo-Saxon State</w:t>
      </w:r>
      <w:r w:rsidRPr="009D33F1">
        <w:rPr>
          <w:rFonts w:ascii="Times New Roman" w:hAnsi="Times New Roman"/>
          <w:sz w:val="20"/>
          <w:szCs w:val="20"/>
        </w:rPr>
        <w:t xml:space="preserve"> (London 2000), 247-68.</w:t>
      </w:r>
    </w:p>
  </w:footnote>
  <w:footnote w:id="137">
    <w:p w14:paraId="091BBF29"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recent highlights here, see Wormald, </w:t>
      </w:r>
      <w:r w:rsidRPr="009D33F1">
        <w:rPr>
          <w:rFonts w:ascii="Times New Roman" w:hAnsi="Times New Roman"/>
          <w:i/>
          <w:sz w:val="20"/>
          <w:szCs w:val="20"/>
        </w:rPr>
        <w:t>The Making of English Law</w:t>
      </w:r>
      <w:r w:rsidRPr="009D33F1">
        <w:rPr>
          <w:rFonts w:ascii="Times New Roman" w:hAnsi="Times New Roman"/>
          <w:sz w:val="20"/>
          <w:szCs w:val="20"/>
        </w:rPr>
        <w:t xml:space="preserve">, and </w:t>
      </w:r>
      <w:r w:rsidRPr="009D33F1">
        <w:rPr>
          <w:rFonts w:ascii="Times New Roman" w:hAnsi="Times New Roman"/>
          <w:i/>
          <w:sz w:val="20"/>
          <w:szCs w:val="20"/>
        </w:rPr>
        <w:t>Legal Culture in the Early Medieval West</w:t>
      </w:r>
      <w:r w:rsidRPr="009D33F1">
        <w:rPr>
          <w:rFonts w:ascii="Times New Roman" w:hAnsi="Times New Roman"/>
          <w:sz w:val="20"/>
          <w:szCs w:val="20"/>
        </w:rPr>
        <w:t xml:space="preserve"> (both 1999), reviewed at length by J. Hudson, </w:t>
      </w:r>
      <w:r w:rsidRPr="009D33F1">
        <w:rPr>
          <w:rFonts w:ascii="Times New Roman" w:hAnsi="Times New Roman"/>
          <w:i/>
          <w:sz w:val="20"/>
          <w:szCs w:val="20"/>
        </w:rPr>
        <w:t>ante</w:t>
      </w:r>
      <w:r w:rsidRPr="009D33F1">
        <w:rPr>
          <w:rFonts w:ascii="Times New Roman" w:hAnsi="Times New Roman"/>
          <w:sz w:val="20"/>
          <w:szCs w:val="20"/>
        </w:rPr>
        <w:t xml:space="preserve">, cxv (2000), 905-7; Hyams, </w:t>
      </w:r>
      <w:r w:rsidRPr="009D33F1">
        <w:rPr>
          <w:rFonts w:ascii="Times New Roman" w:hAnsi="Times New Roman"/>
          <w:i/>
          <w:sz w:val="20"/>
          <w:szCs w:val="20"/>
        </w:rPr>
        <w:t>Rancor and Reconciliation in Medieval England</w:t>
      </w:r>
      <w:r w:rsidRPr="009D33F1">
        <w:rPr>
          <w:rFonts w:ascii="Times New Roman" w:hAnsi="Times New Roman"/>
          <w:sz w:val="20"/>
          <w:szCs w:val="20"/>
        </w:rPr>
        <w:t xml:space="preserve">, reviewed by B. O'Brien, </w:t>
      </w:r>
      <w:r w:rsidRPr="009D33F1">
        <w:rPr>
          <w:rFonts w:ascii="Times New Roman" w:hAnsi="Times New Roman"/>
          <w:i/>
          <w:sz w:val="20"/>
          <w:szCs w:val="20"/>
        </w:rPr>
        <w:t>ante</w:t>
      </w:r>
      <w:r w:rsidRPr="009D33F1">
        <w:rPr>
          <w:rFonts w:ascii="Times New Roman" w:hAnsi="Times New Roman"/>
          <w:sz w:val="20"/>
          <w:szCs w:val="20"/>
        </w:rPr>
        <w:t xml:space="preserve">, cxx (2005), 1365-8, and infra </w:t>
      </w:r>
      <w:proofErr w:type="gramStart"/>
      <w:r w:rsidRPr="009D33F1">
        <w:rPr>
          <w:rFonts w:ascii="Times New Roman" w:hAnsi="Times New Roman"/>
          <w:sz w:val="20"/>
          <w:szCs w:val="20"/>
        </w:rPr>
        <w:t>nn.XYZ</w:t>
      </w:r>
      <w:proofErr w:type="gramEnd"/>
      <w:r w:rsidRPr="009D33F1">
        <w:rPr>
          <w:rFonts w:ascii="Times New Roman" w:hAnsi="Times New Roman"/>
          <w:sz w:val="20"/>
          <w:szCs w:val="20"/>
        </w:rPr>
        <w:t>.</w:t>
      </w:r>
    </w:p>
  </w:footnote>
  <w:footnote w:id="138">
    <w:p w14:paraId="1CAD4FB4" w14:textId="69EC1678" w:rsidR="00036517" w:rsidRPr="009D33F1" w:rsidRDefault="00036517" w:rsidP="00844AC3">
      <w:pPr>
        <w:pStyle w:val="FootnoteText"/>
        <w:rPr>
          <w:rFonts w:ascii="Times New Roman" w:hAnsi="Times New Roman"/>
          <w:sz w:val="20"/>
          <w:szCs w:val="20"/>
        </w:rPr>
      </w:pPr>
      <w:r w:rsidRPr="009D33F1">
        <w:rPr>
          <w:rStyle w:val="FootnoteReference"/>
          <w:rFonts w:ascii="Times New Roman" w:hAnsi="Times New Roman"/>
          <w:sz w:val="20"/>
          <w:szCs w:val="20"/>
        </w:rPr>
        <w:footnoteRef/>
      </w:r>
      <w:r>
        <w:rPr>
          <w:rFonts w:ascii="Times New Roman" w:hAnsi="Times New Roman"/>
          <w:sz w:val="20"/>
          <w:szCs w:val="20"/>
        </w:rPr>
        <w:t xml:space="preserve"> For illuminating commentary here, see J. Hudson, '"The Making of English Law" and the Varieties of Legal History', </w:t>
      </w:r>
      <w:r w:rsidRPr="00036517">
        <w:rPr>
          <w:rFonts w:ascii="Times New Roman" w:hAnsi="Times New Roman"/>
          <w:i/>
          <w:sz w:val="20"/>
          <w:szCs w:val="20"/>
        </w:rPr>
        <w:t>Early Medieval Studies in Memory of Patrick Wormald</w:t>
      </w:r>
      <w:r>
        <w:rPr>
          <w:rFonts w:ascii="Times New Roman" w:hAnsi="Times New Roman"/>
          <w:sz w:val="20"/>
          <w:szCs w:val="20"/>
        </w:rPr>
        <w:t>, ed. S. Baxter, C. Karkov and others (Farnham 2009), 421-32.</w:t>
      </w:r>
    </w:p>
  </w:footnote>
  <w:footnote w:id="139">
    <w:p w14:paraId="08812A5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Milsom, </w:t>
      </w:r>
      <w:r w:rsidRPr="009D33F1">
        <w:rPr>
          <w:rFonts w:ascii="Times New Roman" w:hAnsi="Times New Roman"/>
          <w:i/>
          <w:sz w:val="20"/>
          <w:szCs w:val="20"/>
        </w:rPr>
        <w:t>The Legal Framework of English Feudalism</w:t>
      </w:r>
      <w:r w:rsidRPr="009D33F1">
        <w:rPr>
          <w:rFonts w:ascii="Times New Roman" w:hAnsi="Times New Roman"/>
          <w:sz w:val="20"/>
          <w:szCs w:val="20"/>
        </w:rPr>
        <w:t xml:space="preserve"> (1976), with sensitive reviews by P. Hyams, </w:t>
      </w:r>
      <w:r w:rsidRPr="009D33F1">
        <w:rPr>
          <w:rFonts w:ascii="Times New Roman" w:hAnsi="Times New Roman"/>
          <w:i/>
          <w:sz w:val="20"/>
          <w:szCs w:val="20"/>
        </w:rPr>
        <w:t>ante</w:t>
      </w:r>
      <w:r w:rsidRPr="009D33F1">
        <w:rPr>
          <w:rFonts w:ascii="Times New Roman" w:hAnsi="Times New Roman"/>
          <w:sz w:val="20"/>
          <w:szCs w:val="20"/>
        </w:rPr>
        <w:t xml:space="preserve">, xciii (1978), 856-61; R.C. Palmer, </w:t>
      </w:r>
      <w:r w:rsidRPr="009D33F1">
        <w:rPr>
          <w:rFonts w:ascii="Times New Roman" w:hAnsi="Times New Roman"/>
          <w:i/>
          <w:sz w:val="20"/>
          <w:szCs w:val="20"/>
        </w:rPr>
        <w:t>Michigan Law Review</w:t>
      </w:r>
      <w:r w:rsidRPr="009D33F1">
        <w:rPr>
          <w:rFonts w:ascii="Times New Roman" w:hAnsi="Times New Roman"/>
          <w:sz w:val="20"/>
          <w:szCs w:val="20"/>
        </w:rPr>
        <w:t xml:space="preserve">, lxxix (1980-1), 1130-64; S.D. White, </w:t>
      </w:r>
      <w:r w:rsidRPr="009D33F1">
        <w:rPr>
          <w:rFonts w:ascii="Times New Roman" w:hAnsi="Times New Roman"/>
          <w:i/>
          <w:sz w:val="20"/>
          <w:szCs w:val="20"/>
        </w:rPr>
        <w:t>The American Journal of Legal History</w:t>
      </w:r>
      <w:r w:rsidRPr="009D33F1">
        <w:rPr>
          <w:rFonts w:ascii="Times New Roman" w:hAnsi="Times New Roman"/>
          <w:sz w:val="20"/>
          <w:szCs w:val="20"/>
        </w:rPr>
        <w:t xml:space="preserve">, xxi (1977), 359-64, and P. Brand, 'The Origins of English Land Law: Milsom and After', in Brand, </w:t>
      </w:r>
      <w:r w:rsidRPr="009D33F1">
        <w:rPr>
          <w:rFonts w:ascii="Times New Roman" w:hAnsi="Times New Roman"/>
          <w:i/>
          <w:sz w:val="20"/>
          <w:szCs w:val="20"/>
        </w:rPr>
        <w:t>The Making of the Common Law</w:t>
      </w:r>
      <w:r w:rsidRPr="009D33F1">
        <w:rPr>
          <w:rFonts w:ascii="Times New Roman" w:hAnsi="Times New Roman"/>
          <w:sz w:val="20"/>
          <w:szCs w:val="20"/>
        </w:rPr>
        <w:t xml:space="preserve"> (London 1992), 203-27.</w:t>
      </w:r>
    </w:p>
  </w:footnote>
  <w:footnote w:id="140">
    <w:p w14:paraId="5E42FA8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As in Ullmann's dichotomy between 'ascending' (popular) and 'descending' (essential royal or papal) political theory: Ullmann, </w:t>
      </w:r>
      <w:r w:rsidRPr="009D33F1">
        <w:rPr>
          <w:rFonts w:ascii="Times New Roman" w:hAnsi="Times New Roman"/>
          <w:i/>
          <w:sz w:val="20"/>
          <w:szCs w:val="20"/>
        </w:rPr>
        <w:t>Principles of Government and Politics in the Middle Ages</w:t>
      </w:r>
      <w:r w:rsidRPr="009D33F1">
        <w:rPr>
          <w:rFonts w:ascii="Times New Roman" w:hAnsi="Times New Roman"/>
          <w:sz w:val="20"/>
          <w:szCs w:val="20"/>
        </w:rPr>
        <w:t xml:space="preserve"> (1961), reviewed by E.F. Jacob, </w:t>
      </w:r>
      <w:r w:rsidRPr="009D33F1">
        <w:rPr>
          <w:rFonts w:ascii="Times New Roman" w:hAnsi="Times New Roman"/>
          <w:i/>
          <w:sz w:val="20"/>
          <w:szCs w:val="20"/>
        </w:rPr>
        <w:t>ante</w:t>
      </w:r>
      <w:r w:rsidRPr="009D33F1">
        <w:rPr>
          <w:rFonts w:ascii="Times New Roman" w:hAnsi="Times New Roman"/>
          <w:sz w:val="20"/>
          <w:szCs w:val="20"/>
        </w:rPr>
        <w:t xml:space="preserve">, lxxviii (1963), 322-4.  For what a history of John's reign written by Ullmann might have looked like, see his essay on 'Arthur's Homage to King John', </w:t>
      </w:r>
      <w:r w:rsidRPr="009D33F1">
        <w:rPr>
          <w:rFonts w:ascii="Times New Roman" w:hAnsi="Times New Roman"/>
          <w:i/>
          <w:sz w:val="20"/>
          <w:szCs w:val="20"/>
        </w:rPr>
        <w:t>ante</w:t>
      </w:r>
      <w:r w:rsidRPr="009D33F1">
        <w:rPr>
          <w:rFonts w:ascii="Times New Roman" w:hAnsi="Times New Roman"/>
          <w:sz w:val="20"/>
          <w:szCs w:val="20"/>
        </w:rPr>
        <w:t xml:space="preserve">, xciv (1979), 356-64, and Ullmann's own interpretation of the 'lex terrae' of Magna Carta clause 39 as an aspect of a 'third great European system of law' (English Common Law), distinct from both Roman and canon law, in Ullmann, </w:t>
      </w:r>
      <w:r w:rsidRPr="009D33F1">
        <w:rPr>
          <w:rFonts w:ascii="Times New Roman" w:hAnsi="Times New Roman"/>
          <w:i/>
          <w:sz w:val="20"/>
          <w:szCs w:val="20"/>
        </w:rPr>
        <w:t>Principles of Government</w:t>
      </w:r>
      <w:r w:rsidRPr="009D33F1">
        <w:rPr>
          <w:rFonts w:ascii="Times New Roman" w:hAnsi="Times New Roman"/>
          <w:sz w:val="20"/>
          <w:szCs w:val="20"/>
        </w:rPr>
        <w:t>, 164-75, esp. p.167.</w:t>
      </w:r>
    </w:p>
  </w:footnote>
  <w:footnote w:id="141">
    <w:p w14:paraId="4A926848"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See in particular, E.H. Kantorowicz, </w:t>
      </w:r>
      <w:r w:rsidRPr="009D33F1">
        <w:rPr>
          <w:rFonts w:ascii="Times New Roman" w:hAnsi="Times New Roman"/>
          <w:i/>
          <w:sz w:val="20"/>
          <w:szCs w:val="20"/>
        </w:rPr>
        <w:t>The King's Two Bodies: A Study in Mediaeval Political Thought</w:t>
      </w:r>
      <w:r w:rsidRPr="009D33F1">
        <w:rPr>
          <w:rFonts w:ascii="Times New Roman" w:hAnsi="Times New Roman"/>
          <w:sz w:val="20"/>
          <w:szCs w:val="20"/>
        </w:rPr>
        <w:t xml:space="preserve"> (Princeton 1957), reviewed by H.S. Offler, </w:t>
      </w:r>
      <w:r w:rsidRPr="009D33F1">
        <w:rPr>
          <w:rFonts w:ascii="Times New Roman" w:hAnsi="Times New Roman"/>
          <w:i/>
          <w:sz w:val="20"/>
          <w:szCs w:val="20"/>
        </w:rPr>
        <w:t>ante</w:t>
      </w:r>
      <w:r w:rsidRPr="009D33F1">
        <w:rPr>
          <w:rFonts w:ascii="Times New Roman" w:hAnsi="Times New Roman"/>
          <w:sz w:val="20"/>
          <w:szCs w:val="20"/>
        </w:rPr>
        <w:t xml:space="preserve">, lxxv (1960), 295-8, and to greater effect by Beryl Smalley, in </w:t>
      </w:r>
      <w:r w:rsidRPr="009D33F1">
        <w:rPr>
          <w:rFonts w:ascii="Times New Roman" w:hAnsi="Times New Roman"/>
          <w:i/>
          <w:sz w:val="20"/>
          <w:szCs w:val="20"/>
        </w:rPr>
        <w:t>Past and Present</w:t>
      </w:r>
      <w:r w:rsidRPr="009D33F1">
        <w:rPr>
          <w:rFonts w:ascii="Times New Roman" w:hAnsi="Times New Roman"/>
          <w:sz w:val="20"/>
          <w:szCs w:val="20"/>
        </w:rPr>
        <w:t xml:space="preserve">, xx (1961), 30-35 (as 'a rich and muddled book ... a diet of jam without bread').  For subsequent contributions here, arguing either for or against the impact of the Investiture Contest upon contemporary opinion of the Plantagenet kings, see the contribution to debate by Geoffrey Koziol and Karl Leyser, assessed by N. Vincent, 'The Strange Case of the Missing Biographies: The Lives of the Plantagenet Kings of England 1154-1272', </w:t>
      </w:r>
      <w:r w:rsidRPr="009D33F1">
        <w:rPr>
          <w:rFonts w:ascii="Times New Roman" w:hAnsi="Times New Roman"/>
          <w:i/>
          <w:sz w:val="20"/>
          <w:szCs w:val="20"/>
        </w:rPr>
        <w:t>Writing Medieval Biography: Essays in Honour of Professor Frank Barlow</w:t>
      </w:r>
      <w:r w:rsidRPr="009D33F1">
        <w:rPr>
          <w:rFonts w:ascii="Times New Roman" w:hAnsi="Times New Roman"/>
          <w:sz w:val="20"/>
          <w:szCs w:val="20"/>
        </w:rPr>
        <w:t>, ed. D, Bates, J. Crick and S. Hamilton (Woodbridge 2006), 237-57.</w:t>
      </w:r>
    </w:p>
  </w:footnote>
  <w:footnote w:id="142">
    <w:p w14:paraId="6DB77E6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F.M. Stenton, </w:t>
      </w:r>
      <w:r w:rsidRPr="009D33F1">
        <w:rPr>
          <w:rFonts w:ascii="Times New Roman" w:hAnsi="Times New Roman"/>
          <w:i/>
          <w:sz w:val="20"/>
          <w:szCs w:val="20"/>
        </w:rPr>
        <w:t>The First Century of English Feudalism, 1066-1166</w:t>
      </w:r>
      <w:r w:rsidRPr="009D33F1">
        <w:rPr>
          <w:rFonts w:ascii="Times New Roman" w:hAnsi="Times New Roman"/>
          <w:sz w:val="20"/>
          <w:szCs w:val="20"/>
        </w:rPr>
        <w:t xml:space="preserve"> (Oxford 1932), reviewed by C. Johnson, </w:t>
      </w:r>
      <w:r w:rsidRPr="009D33F1">
        <w:rPr>
          <w:rFonts w:ascii="Times New Roman" w:hAnsi="Times New Roman"/>
          <w:i/>
          <w:sz w:val="20"/>
          <w:szCs w:val="20"/>
        </w:rPr>
        <w:t>ante</w:t>
      </w:r>
      <w:r w:rsidRPr="009D33F1">
        <w:rPr>
          <w:rFonts w:ascii="Times New Roman" w:hAnsi="Times New Roman"/>
          <w:sz w:val="20"/>
          <w:szCs w:val="20"/>
        </w:rPr>
        <w:t xml:space="preserve">, xlvii (1932), 657-9; C.A.F. Meekings, </w:t>
      </w:r>
      <w:r w:rsidRPr="009D33F1">
        <w:rPr>
          <w:rFonts w:ascii="Times New Roman" w:hAnsi="Times New Roman"/>
          <w:i/>
          <w:sz w:val="20"/>
          <w:szCs w:val="20"/>
        </w:rPr>
        <w:t>Studies in Thirteenth-Century Justice and Administration</w:t>
      </w:r>
      <w:r w:rsidRPr="009D33F1">
        <w:rPr>
          <w:rFonts w:ascii="Times New Roman" w:hAnsi="Times New Roman"/>
          <w:sz w:val="20"/>
          <w:szCs w:val="20"/>
        </w:rPr>
        <w:t xml:space="preserve"> (1984), reviewed by M.T. Clanchy, </w:t>
      </w:r>
      <w:r w:rsidRPr="009D33F1">
        <w:rPr>
          <w:rFonts w:ascii="Times New Roman" w:hAnsi="Times New Roman"/>
          <w:i/>
          <w:sz w:val="20"/>
          <w:szCs w:val="20"/>
        </w:rPr>
        <w:t>ante</w:t>
      </w:r>
      <w:r w:rsidRPr="009D33F1">
        <w:rPr>
          <w:rFonts w:ascii="Times New Roman" w:hAnsi="Times New Roman"/>
          <w:sz w:val="20"/>
          <w:szCs w:val="20"/>
        </w:rPr>
        <w:t xml:space="preserve">, c (1981), 372, and especially in Meekings' masterly introductions to his editions of the </w:t>
      </w:r>
      <w:r w:rsidRPr="009D33F1">
        <w:rPr>
          <w:rFonts w:ascii="Times New Roman" w:hAnsi="Times New Roman"/>
          <w:i/>
          <w:sz w:val="20"/>
          <w:szCs w:val="20"/>
        </w:rPr>
        <w:t>Crown Pleas of the Wiltshire Eyre, 1249</w:t>
      </w:r>
      <w:r w:rsidRPr="009D33F1">
        <w:rPr>
          <w:rFonts w:ascii="Times New Roman" w:hAnsi="Times New Roman"/>
          <w:sz w:val="20"/>
          <w:szCs w:val="20"/>
        </w:rPr>
        <w:t xml:space="preserve"> (1961), reviewed by G.D.G. Hall, </w:t>
      </w:r>
      <w:r w:rsidRPr="009D33F1">
        <w:rPr>
          <w:rFonts w:ascii="Times New Roman" w:hAnsi="Times New Roman"/>
          <w:i/>
          <w:sz w:val="20"/>
          <w:szCs w:val="20"/>
        </w:rPr>
        <w:t>ante</w:t>
      </w:r>
      <w:r w:rsidRPr="009D33F1">
        <w:rPr>
          <w:rFonts w:ascii="Times New Roman" w:hAnsi="Times New Roman"/>
          <w:sz w:val="20"/>
          <w:szCs w:val="20"/>
        </w:rPr>
        <w:t xml:space="preserve">, lxxviii (1963), 364-5, and </w:t>
      </w:r>
      <w:r w:rsidRPr="009D33F1">
        <w:rPr>
          <w:rFonts w:ascii="Times New Roman" w:hAnsi="Times New Roman"/>
          <w:i/>
          <w:sz w:val="20"/>
          <w:szCs w:val="20"/>
        </w:rPr>
        <w:t>The 1235 Surrey Eyre</w:t>
      </w:r>
      <w:r w:rsidRPr="009D33F1">
        <w:rPr>
          <w:rFonts w:ascii="Times New Roman" w:hAnsi="Times New Roman"/>
          <w:sz w:val="20"/>
          <w:szCs w:val="20"/>
        </w:rPr>
        <w:t xml:space="preserve"> (1979), reviewed by P.R. Hyams, </w:t>
      </w:r>
      <w:r w:rsidRPr="009D33F1">
        <w:rPr>
          <w:rFonts w:ascii="Times New Roman" w:hAnsi="Times New Roman"/>
          <w:i/>
          <w:sz w:val="20"/>
          <w:szCs w:val="20"/>
        </w:rPr>
        <w:t>ante</w:t>
      </w:r>
      <w:r w:rsidRPr="009D33F1">
        <w:rPr>
          <w:rFonts w:ascii="Times New Roman" w:hAnsi="Times New Roman"/>
          <w:sz w:val="20"/>
          <w:szCs w:val="20"/>
        </w:rPr>
        <w:t>, xcvi (1981), 898-900.</w:t>
      </w:r>
    </w:p>
  </w:footnote>
  <w:footnote w:id="143">
    <w:p w14:paraId="337A077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See the various essays published from the early 1970s onwards, increasingly in </w:t>
      </w:r>
      <w:r w:rsidRPr="009D33F1">
        <w:rPr>
          <w:rFonts w:ascii="Times New Roman" w:hAnsi="Times New Roman"/>
          <w:i/>
          <w:sz w:val="20"/>
          <w:szCs w:val="20"/>
        </w:rPr>
        <w:t>Past and Present</w:t>
      </w:r>
      <w:r w:rsidRPr="009D33F1">
        <w:rPr>
          <w:rFonts w:ascii="Times New Roman" w:hAnsi="Times New Roman"/>
          <w:sz w:val="20"/>
          <w:szCs w:val="20"/>
        </w:rPr>
        <w:t xml:space="preserve"> rather than </w:t>
      </w:r>
      <w:r w:rsidRPr="009D33F1">
        <w:rPr>
          <w:rFonts w:ascii="Times New Roman" w:hAnsi="Times New Roman"/>
          <w:i/>
          <w:sz w:val="20"/>
          <w:szCs w:val="20"/>
        </w:rPr>
        <w:t>EHR</w:t>
      </w:r>
      <w:r w:rsidRPr="009D33F1">
        <w:rPr>
          <w:rFonts w:ascii="Times New Roman" w:hAnsi="Times New Roman"/>
          <w:sz w:val="20"/>
          <w:szCs w:val="20"/>
        </w:rPr>
        <w:t xml:space="preserve">, collected in Holt, </w:t>
      </w:r>
      <w:r w:rsidRPr="009D33F1">
        <w:rPr>
          <w:rFonts w:ascii="Times New Roman" w:hAnsi="Times New Roman"/>
          <w:i/>
          <w:sz w:val="20"/>
          <w:szCs w:val="20"/>
        </w:rPr>
        <w:t>Colonial England, 1066-1215</w:t>
      </w:r>
      <w:r w:rsidRPr="009D33F1">
        <w:rPr>
          <w:rFonts w:ascii="Times New Roman" w:hAnsi="Times New Roman"/>
          <w:sz w:val="20"/>
          <w:szCs w:val="20"/>
        </w:rPr>
        <w:t xml:space="preserve"> (London 1997).  For highlights elsewhere, see D. Crouch, 'From Stenton to McFarlane: Models of Societies of the Twelfth and Thirteenth Centuries', </w:t>
      </w:r>
      <w:r w:rsidRPr="009D33F1">
        <w:rPr>
          <w:rFonts w:ascii="Times New Roman" w:hAnsi="Times New Roman"/>
          <w:i/>
          <w:sz w:val="20"/>
          <w:szCs w:val="20"/>
        </w:rPr>
        <w:t>Transactions of the Royal Historical Society</w:t>
      </w:r>
      <w:r w:rsidRPr="009D33F1">
        <w:rPr>
          <w:rFonts w:ascii="Times New Roman" w:hAnsi="Times New Roman"/>
          <w:sz w:val="20"/>
          <w:szCs w:val="20"/>
        </w:rPr>
        <w:t xml:space="preserve">, 6th series v (1995), 179-200; D. Carpenter, 'The Second Century of English Feudalism', </w:t>
      </w:r>
      <w:r w:rsidRPr="009D33F1">
        <w:rPr>
          <w:rFonts w:ascii="Times New Roman" w:hAnsi="Times New Roman"/>
          <w:i/>
          <w:sz w:val="20"/>
          <w:szCs w:val="20"/>
        </w:rPr>
        <w:t>Past and Present</w:t>
      </w:r>
      <w:r w:rsidRPr="009D33F1">
        <w:rPr>
          <w:rFonts w:ascii="Times New Roman" w:hAnsi="Times New Roman"/>
          <w:sz w:val="20"/>
          <w:szCs w:val="20"/>
        </w:rPr>
        <w:t xml:space="preserve">, clxviii (2000), 30-71; P. Coss, 'From Feudalism to Bastard Feudalism', </w:t>
      </w:r>
      <w:r w:rsidRPr="009D33F1">
        <w:rPr>
          <w:rFonts w:ascii="Times New Roman" w:hAnsi="Times New Roman"/>
          <w:i/>
          <w:sz w:val="20"/>
          <w:szCs w:val="20"/>
        </w:rPr>
        <w:t>Die Gegenwart des Feudalismus</w:t>
      </w:r>
      <w:r w:rsidRPr="009D33F1">
        <w:rPr>
          <w:rFonts w:ascii="Times New Roman" w:hAnsi="Times New Roman"/>
          <w:sz w:val="20"/>
          <w:szCs w:val="20"/>
        </w:rPr>
        <w:t>, ed. N. Fryde, P. Monnet and O.G. Oexle (Göttingen 2002), 79-108.</w:t>
      </w:r>
    </w:p>
  </w:footnote>
  <w:footnote w:id="144">
    <w:p w14:paraId="6B7E5C3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P.D.A. Harvey, ‘The English Inflation of 1180-1220’, </w:t>
      </w:r>
      <w:r w:rsidRPr="009D33F1">
        <w:rPr>
          <w:rFonts w:ascii="Times New Roman" w:hAnsi="Times New Roman"/>
          <w:i/>
          <w:sz w:val="20"/>
          <w:szCs w:val="20"/>
        </w:rPr>
        <w:t>Past and Present</w:t>
      </w:r>
      <w:r w:rsidRPr="009D33F1">
        <w:rPr>
          <w:rFonts w:ascii="Times New Roman" w:hAnsi="Times New Roman"/>
          <w:sz w:val="20"/>
          <w:szCs w:val="20"/>
        </w:rPr>
        <w:t xml:space="preserve">, lxi (1973), 3-30, and see also idem, 'The Pipe Rolls and the Adoption of Demesne Farming in England', </w:t>
      </w:r>
      <w:r w:rsidRPr="009D33F1">
        <w:rPr>
          <w:rFonts w:ascii="Times New Roman" w:hAnsi="Times New Roman"/>
          <w:i/>
          <w:sz w:val="20"/>
          <w:szCs w:val="20"/>
        </w:rPr>
        <w:t>Economic History Review</w:t>
      </w:r>
      <w:r w:rsidRPr="009D33F1">
        <w:rPr>
          <w:rFonts w:ascii="Times New Roman" w:hAnsi="Times New Roman"/>
          <w:sz w:val="20"/>
          <w:szCs w:val="20"/>
        </w:rPr>
        <w:t>, 2nd series xxvii (1974), 345-59.</w:t>
      </w:r>
    </w:p>
  </w:footnote>
  <w:footnote w:id="145">
    <w:p w14:paraId="69A3A175"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B.E. Harris, 'King John and the Sheriffs' Farms', </w:t>
      </w:r>
      <w:r w:rsidRPr="009D33F1">
        <w:rPr>
          <w:rFonts w:ascii="Times New Roman" w:hAnsi="Times New Roman"/>
          <w:i/>
          <w:sz w:val="20"/>
          <w:szCs w:val="20"/>
        </w:rPr>
        <w:t>ante</w:t>
      </w:r>
      <w:r w:rsidRPr="009D33F1">
        <w:rPr>
          <w:rFonts w:ascii="Times New Roman" w:hAnsi="Times New Roman"/>
          <w:sz w:val="20"/>
          <w:szCs w:val="20"/>
        </w:rPr>
        <w:t>, lxxix (1964), 532-42.</w:t>
      </w:r>
    </w:p>
  </w:footnote>
  <w:footnote w:id="146">
    <w:p w14:paraId="457607C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D.A. Carpenter, 'The Decline of the Curial Sheriff in England 1194-1258', </w:t>
      </w:r>
      <w:r w:rsidRPr="009D33F1">
        <w:rPr>
          <w:rFonts w:ascii="Times New Roman" w:hAnsi="Times New Roman"/>
          <w:i/>
          <w:sz w:val="20"/>
          <w:szCs w:val="20"/>
        </w:rPr>
        <w:t>ante</w:t>
      </w:r>
      <w:r w:rsidRPr="009D33F1">
        <w:rPr>
          <w:rFonts w:ascii="Times New Roman" w:hAnsi="Times New Roman"/>
          <w:sz w:val="20"/>
          <w:szCs w:val="20"/>
        </w:rPr>
        <w:t xml:space="preserve">, xci (1976), 1-32, and cf. thereafter R.R. Heiser, 'Richard I and His Appointments to English Shrievalties', </w:t>
      </w:r>
      <w:r w:rsidRPr="009D33F1">
        <w:rPr>
          <w:rFonts w:ascii="Times New Roman" w:hAnsi="Times New Roman"/>
          <w:i/>
          <w:sz w:val="20"/>
          <w:szCs w:val="20"/>
        </w:rPr>
        <w:t>ante</w:t>
      </w:r>
      <w:r w:rsidRPr="009D33F1">
        <w:rPr>
          <w:rFonts w:ascii="Times New Roman" w:hAnsi="Times New Roman"/>
          <w:sz w:val="20"/>
          <w:szCs w:val="20"/>
        </w:rPr>
        <w:t>, cxii (1997), 1-19.</w:t>
      </w:r>
    </w:p>
  </w:footnote>
  <w:footnote w:id="147">
    <w:p w14:paraId="5C163ECE" w14:textId="77777777" w:rsidR="00036517" w:rsidRPr="009D33F1" w:rsidRDefault="00036517" w:rsidP="00A27FF6">
      <w:pPr>
        <w:widowControl w:val="0"/>
        <w:autoSpaceDE w:val="0"/>
        <w:autoSpaceDN w:val="0"/>
        <w:adjustRightInd w:val="0"/>
        <w:rPr>
          <w:rFonts w:ascii="Times New Roman" w:hAnsi="Times New Roman"/>
          <w:bCs/>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Carpenter, '</w:t>
      </w:r>
      <w:r w:rsidRPr="009D33F1">
        <w:rPr>
          <w:rFonts w:ascii="Times New Roman" w:hAnsi="Times New Roman"/>
          <w:bCs/>
          <w:sz w:val="20"/>
          <w:szCs w:val="20"/>
        </w:rPr>
        <w:t xml:space="preserve">Was There a Crisis of the Knightly Class in the Thirteenth Century? The Oxfordshire Evidence', </w:t>
      </w:r>
      <w:r w:rsidRPr="009D33F1">
        <w:rPr>
          <w:rFonts w:ascii="Times New Roman" w:hAnsi="Times New Roman"/>
          <w:i/>
          <w:sz w:val="20"/>
          <w:szCs w:val="20"/>
        </w:rPr>
        <w:t>ante</w:t>
      </w:r>
      <w:r w:rsidRPr="009D33F1">
        <w:rPr>
          <w:rFonts w:ascii="Times New Roman" w:hAnsi="Times New Roman"/>
          <w:sz w:val="20"/>
          <w:szCs w:val="20"/>
        </w:rPr>
        <w:t xml:space="preserve">, xcv (1980), 721-52, reprinted with other pieces by Carpenter on related themes, in idem, </w:t>
      </w:r>
      <w:r w:rsidRPr="009D33F1">
        <w:rPr>
          <w:rFonts w:ascii="Times New Roman" w:hAnsi="Times New Roman"/>
          <w:i/>
          <w:sz w:val="20"/>
          <w:szCs w:val="20"/>
        </w:rPr>
        <w:t>The Reign of Henry III</w:t>
      </w:r>
      <w:r w:rsidRPr="009D33F1">
        <w:rPr>
          <w:rFonts w:ascii="Times New Roman" w:hAnsi="Times New Roman"/>
          <w:sz w:val="20"/>
          <w:szCs w:val="20"/>
        </w:rPr>
        <w:t xml:space="preserve"> (London 1996); K. Faulkner, </w:t>
      </w:r>
      <w:r w:rsidRPr="009D33F1">
        <w:rPr>
          <w:rFonts w:ascii="Times New Roman" w:hAnsi="Times New Roman"/>
          <w:bCs/>
          <w:sz w:val="20"/>
          <w:szCs w:val="20"/>
        </w:rPr>
        <w:t xml:space="preserve">'The Transformation of Knighthood in Early Thirteenth-Century England', </w:t>
      </w:r>
      <w:r w:rsidRPr="009D33F1">
        <w:rPr>
          <w:rFonts w:ascii="Times New Roman" w:hAnsi="Times New Roman"/>
          <w:bCs/>
          <w:i/>
          <w:sz w:val="20"/>
          <w:szCs w:val="20"/>
        </w:rPr>
        <w:t>ante</w:t>
      </w:r>
      <w:r w:rsidRPr="009D33F1">
        <w:rPr>
          <w:rFonts w:ascii="Times New Roman" w:hAnsi="Times New Roman"/>
          <w:bCs/>
          <w:sz w:val="20"/>
          <w:szCs w:val="20"/>
        </w:rPr>
        <w:t>, cxi</w:t>
      </w:r>
      <w:r w:rsidRPr="009D33F1">
        <w:rPr>
          <w:rFonts w:ascii="Times New Roman" w:hAnsi="Times New Roman"/>
          <w:sz w:val="20"/>
          <w:szCs w:val="20"/>
        </w:rPr>
        <w:t xml:space="preserve"> (1996), 1-23, and see also idem, 'The Knights in the Magna Carta Civil War', </w:t>
      </w:r>
      <w:r w:rsidRPr="009D33F1">
        <w:rPr>
          <w:rFonts w:ascii="Times New Roman" w:hAnsi="Times New Roman"/>
          <w:i/>
          <w:sz w:val="20"/>
          <w:szCs w:val="20"/>
        </w:rPr>
        <w:t>Thirteenth Century England VIII</w:t>
      </w:r>
      <w:r w:rsidRPr="009D33F1">
        <w:rPr>
          <w:rFonts w:ascii="Times New Roman" w:hAnsi="Times New Roman"/>
          <w:sz w:val="20"/>
          <w:szCs w:val="20"/>
        </w:rPr>
        <w:t>, ed. M. Prestwich, R.H. Britnell and R. Frame (Woodbridge 2001), 1-12.</w:t>
      </w:r>
    </w:p>
  </w:footnote>
  <w:footnote w:id="148">
    <w:p w14:paraId="5C743DE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Beginning with Coss, 'Sir Geoffrey de Langley and the Crisis of the Knightly Class in Thirteenth-Century England', </w:t>
      </w:r>
      <w:r w:rsidRPr="009D33F1">
        <w:rPr>
          <w:rFonts w:ascii="Times New Roman" w:hAnsi="Times New Roman"/>
          <w:i/>
          <w:sz w:val="20"/>
          <w:szCs w:val="20"/>
        </w:rPr>
        <w:t>Past and Present</w:t>
      </w:r>
      <w:r w:rsidRPr="009D33F1">
        <w:rPr>
          <w:rFonts w:ascii="Times New Roman" w:hAnsi="Times New Roman"/>
          <w:sz w:val="20"/>
          <w:szCs w:val="20"/>
        </w:rPr>
        <w:t xml:space="preserve">, lxviii (1975), 3-37, thereafter continued by Coss, </w:t>
      </w:r>
      <w:r w:rsidRPr="009D33F1">
        <w:rPr>
          <w:rFonts w:ascii="Times New Roman" w:hAnsi="Times New Roman"/>
          <w:i/>
          <w:sz w:val="20"/>
          <w:szCs w:val="20"/>
        </w:rPr>
        <w:t>The Origins of the English Gentry</w:t>
      </w:r>
      <w:r w:rsidRPr="009D33F1">
        <w:rPr>
          <w:rFonts w:ascii="Times New Roman" w:hAnsi="Times New Roman"/>
          <w:sz w:val="20"/>
          <w:szCs w:val="20"/>
        </w:rPr>
        <w:t xml:space="preserve"> (Cambridge 2001), reviewed by N. Saul, </w:t>
      </w:r>
      <w:r w:rsidRPr="009D33F1">
        <w:rPr>
          <w:rFonts w:ascii="Times New Roman" w:hAnsi="Times New Roman"/>
          <w:i/>
          <w:sz w:val="20"/>
          <w:szCs w:val="20"/>
        </w:rPr>
        <w:t>ante</w:t>
      </w:r>
      <w:r w:rsidRPr="009D33F1">
        <w:rPr>
          <w:rFonts w:ascii="Times New Roman" w:hAnsi="Times New Roman"/>
          <w:sz w:val="20"/>
          <w:szCs w:val="20"/>
        </w:rPr>
        <w:t xml:space="preserve">, cxix (2004), 498-9, and most recently, Coss, </w:t>
      </w:r>
      <w:r w:rsidRPr="009D33F1">
        <w:rPr>
          <w:rFonts w:ascii="Times New Roman" w:hAnsi="Times New Roman"/>
          <w:i/>
          <w:sz w:val="20"/>
          <w:szCs w:val="20"/>
        </w:rPr>
        <w:t>The Foundations of Gentry Life: The Multons of Frampton and their World, 1270-1370</w:t>
      </w:r>
      <w:r w:rsidRPr="009D33F1">
        <w:rPr>
          <w:rFonts w:ascii="Times New Roman" w:hAnsi="Times New Roman"/>
          <w:sz w:val="20"/>
          <w:szCs w:val="20"/>
        </w:rPr>
        <w:t xml:space="preserve"> (Oxford 2010), reviewed by P. Morgan, </w:t>
      </w:r>
      <w:r w:rsidRPr="009D33F1">
        <w:rPr>
          <w:rFonts w:ascii="Times New Roman" w:hAnsi="Times New Roman"/>
          <w:i/>
          <w:sz w:val="20"/>
          <w:szCs w:val="20"/>
        </w:rPr>
        <w:t>ante</w:t>
      </w:r>
      <w:r w:rsidRPr="009D33F1">
        <w:rPr>
          <w:rFonts w:ascii="Times New Roman" w:hAnsi="Times New Roman"/>
          <w:sz w:val="20"/>
          <w:szCs w:val="20"/>
        </w:rPr>
        <w:t>, cxxvii (2012), 148-50, and cf. J. E. Newman, '</w:t>
      </w:r>
      <w:r w:rsidRPr="009D33F1">
        <w:rPr>
          <w:rFonts w:ascii="Times New Roman" w:hAnsi="Times New Roman"/>
          <w:bCs/>
          <w:sz w:val="20"/>
          <w:szCs w:val="20"/>
        </w:rPr>
        <w:t xml:space="preserve">Greater and Lesser Landowners and Parochial Patronage: Yorkshire in the Thirteenth Century', </w:t>
      </w:r>
      <w:r w:rsidRPr="009D33F1">
        <w:rPr>
          <w:rFonts w:ascii="Times New Roman" w:hAnsi="Times New Roman"/>
          <w:bCs/>
          <w:i/>
          <w:sz w:val="20"/>
          <w:szCs w:val="20"/>
        </w:rPr>
        <w:t>ante</w:t>
      </w:r>
      <w:r w:rsidRPr="009D33F1">
        <w:rPr>
          <w:rFonts w:ascii="Times New Roman" w:hAnsi="Times New Roman"/>
          <w:bCs/>
          <w:sz w:val="20"/>
          <w:szCs w:val="20"/>
        </w:rPr>
        <w:t xml:space="preserve">, xcii (1977), </w:t>
      </w:r>
      <w:r w:rsidRPr="009D33F1">
        <w:rPr>
          <w:rFonts w:ascii="Times New Roman" w:hAnsi="Times New Roman"/>
          <w:sz w:val="20"/>
          <w:szCs w:val="20"/>
        </w:rPr>
        <w:t>280-308.</w:t>
      </w:r>
    </w:p>
  </w:footnote>
  <w:footnote w:id="149">
    <w:p w14:paraId="727885C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Crouch, </w:t>
      </w:r>
      <w:r w:rsidRPr="009D33F1">
        <w:rPr>
          <w:rFonts w:ascii="Times New Roman" w:hAnsi="Times New Roman"/>
          <w:i/>
          <w:sz w:val="20"/>
          <w:szCs w:val="20"/>
        </w:rPr>
        <w:t>The Birth of Nobility</w:t>
      </w:r>
      <w:r w:rsidRPr="009D33F1">
        <w:rPr>
          <w:rFonts w:ascii="Times New Roman" w:hAnsi="Times New Roman"/>
          <w:sz w:val="20"/>
          <w:szCs w:val="20"/>
        </w:rPr>
        <w:t xml:space="preserve">, reviewed by Judith Green, </w:t>
      </w:r>
      <w:r w:rsidRPr="009D33F1">
        <w:rPr>
          <w:rFonts w:ascii="Times New Roman" w:hAnsi="Times New Roman"/>
          <w:i/>
          <w:sz w:val="20"/>
          <w:szCs w:val="20"/>
        </w:rPr>
        <w:t>ante</w:t>
      </w:r>
      <w:r w:rsidRPr="009D33F1">
        <w:rPr>
          <w:rFonts w:ascii="Times New Roman" w:hAnsi="Times New Roman"/>
          <w:sz w:val="20"/>
          <w:szCs w:val="20"/>
        </w:rPr>
        <w:t xml:space="preserve">, cxxi (2006), 900-1; Crouch, </w:t>
      </w:r>
      <w:r w:rsidRPr="009D33F1">
        <w:rPr>
          <w:rFonts w:ascii="Times New Roman" w:hAnsi="Times New Roman"/>
          <w:i/>
          <w:sz w:val="20"/>
          <w:szCs w:val="20"/>
        </w:rPr>
        <w:t>The English Aristocracy, 1070-1272: A Social Transformation</w:t>
      </w:r>
      <w:r w:rsidRPr="009D33F1">
        <w:rPr>
          <w:rFonts w:ascii="Times New Roman" w:hAnsi="Times New Roman"/>
          <w:sz w:val="20"/>
          <w:szCs w:val="20"/>
        </w:rPr>
        <w:t xml:space="preserve">, reviewed by J.R. Maddicott, </w:t>
      </w:r>
      <w:r w:rsidRPr="009D33F1">
        <w:rPr>
          <w:rFonts w:ascii="Times New Roman" w:hAnsi="Times New Roman"/>
          <w:i/>
          <w:sz w:val="20"/>
          <w:szCs w:val="20"/>
        </w:rPr>
        <w:t>ante</w:t>
      </w:r>
      <w:r w:rsidRPr="009D33F1">
        <w:rPr>
          <w:rFonts w:ascii="Times New Roman" w:hAnsi="Times New Roman"/>
          <w:sz w:val="20"/>
          <w:szCs w:val="20"/>
        </w:rPr>
        <w:t xml:space="preserve">, cxxvii (2012), 1196-8, with review article by N. Vincent, </w:t>
      </w:r>
      <w:r w:rsidRPr="009D33F1">
        <w:rPr>
          <w:rFonts w:ascii="Times New Roman" w:hAnsi="Times New Roman"/>
          <w:i/>
          <w:sz w:val="20"/>
          <w:szCs w:val="20"/>
        </w:rPr>
        <w:t xml:space="preserve">Virtus, </w:t>
      </w:r>
      <w:r w:rsidRPr="009D33F1">
        <w:rPr>
          <w:rFonts w:ascii="Times New Roman" w:hAnsi="Times New Roman"/>
          <w:sz w:val="20"/>
          <w:szCs w:val="20"/>
        </w:rPr>
        <w:t>xix (2012), 189-94.</w:t>
      </w:r>
    </w:p>
  </w:footnote>
  <w:footnote w:id="150">
    <w:p w14:paraId="14B258C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Hyams, </w:t>
      </w:r>
      <w:r w:rsidRPr="009D33F1">
        <w:rPr>
          <w:rFonts w:ascii="Times New Roman" w:hAnsi="Times New Roman"/>
          <w:i/>
          <w:sz w:val="20"/>
          <w:szCs w:val="20"/>
        </w:rPr>
        <w:t>Kings, Lords, and Peasants in Medieval England</w:t>
      </w:r>
      <w:r w:rsidRPr="009D33F1">
        <w:rPr>
          <w:rFonts w:ascii="Times New Roman" w:hAnsi="Times New Roman"/>
          <w:sz w:val="20"/>
          <w:szCs w:val="20"/>
        </w:rPr>
        <w:t xml:space="preserve">, reviewed by Alan Harding, </w:t>
      </w:r>
      <w:r w:rsidRPr="009D33F1">
        <w:rPr>
          <w:rFonts w:ascii="Times New Roman" w:hAnsi="Times New Roman"/>
          <w:i/>
          <w:sz w:val="20"/>
          <w:szCs w:val="20"/>
        </w:rPr>
        <w:t>ante</w:t>
      </w:r>
      <w:r w:rsidRPr="009D33F1">
        <w:rPr>
          <w:rFonts w:ascii="Times New Roman" w:hAnsi="Times New Roman"/>
          <w:sz w:val="20"/>
          <w:szCs w:val="20"/>
        </w:rPr>
        <w:t>, xcvi (1981), 854-7.</w:t>
      </w:r>
    </w:p>
  </w:footnote>
  <w:footnote w:id="151">
    <w:p w14:paraId="19057B0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D. Carpenter, 'English Peasants in Politics 1258-1267', </w:t>
      </w:r>
      <w:r w:rsidRPr="009D33F1">
        <w:rPr>
          <w:rFonts w:ascii="Times New Roman" w:hAnsi="Times New Roman"/>
          <w:i/>
          <w:sz w:val="20"/>
          <w:szCs w:val="20"/>
        </w:rPr>
        <w:t>Past and Present</w:t>
      </w:r>
      <w:r w:rsidRPr="009D33F1">
        <w:rPr>
          <w:rFonts w:ascii="Times New Roman" w:hAnsi="Times New Roman"/>
          <w:sz w:val="20"/>
          <w:szCs w:val="20"/>
        </w:rPr>
        <w:t xml:space="preserve">, cxxxvi (1992), 3-42; J.R. Maddicott, </w:t>
      </w:r>
      <w:r w:rsidRPr="009D33F1">
        <w:rPr>
          <w:rFonts w:ascii="Times New Roman" w:hAnsi="Times New Roman"/>
          <w:i/>
          <w:sz w:val="20"/>
          <w:szCs w:val="20"/>
        </w:rPr>
        <w:t>The English Peasantry and the Demands of the crown 1294-1341</w:t>
      </w:r>
      <w:r w:rsidRPr="009D33F1">
        <w:rPr>
          <w:rFonts w:ascii="Times New Roman" w:hAnsi="Times New Roman"/>
          <w:sz w:val="20"/>
          <w:szCs w:val="20"/>
        </w:rPr>
        <w:t xml:space="preserve">, Past and Present Supplement i (1975); idem, 'Politics and People in Thirteenth-Century England', </w:t>
      </w:r>
      <w:r w:rsidRPr="009D33F1">
        <w:rPr>
          <w:rFonts w:ascii="Times New Roman" w:hAnsi="Times New Roman"/>
          <w:i/>
          <w:sz w:val="20"/>
          <w:szCs w:val="20"/>
        </w:rPr>
        <w:t>Thirteenth Century England XIV</w:t>
      </w:r>
      <w:r w:rsidRPr="009D33F1">
        <w:rPr>
          <w:rFonts w:ascii="Times New Roman" w:hAnsi="Times New Roman"/>
          <w:sz w:val="20"/>
          <w:szCs w:val="20"/>
        </w:rPr>
        <w:t>, ed. J. Burton, P. Schofield and B. Weiler (Woodbridge 2013), 1-14.</w:t>
      </w:r>
    </w:p>
  </w:footnote>
  <w:footnote w:id="152">
    <w:p w14:paraId="4F4D9601" w14:textId="77777777" w:rsidR="00036517" w:rsidRPr="009D33F1" w:rsidRDefault="00036517" w:rsidP="00087F9E">
      <w:pPr>
        <w:widowControl w:val="0"/>
        <w:numPr>
          <w:ilvl w:val="0"/>
          <w:numId w:val="1"/>
        </w:numPr>
        <w:tabs>
          <w:tab w:val="left" w:pos="220"/>
          <w:tab w:val="left" w:pos="720"/>
        </w:tabs>
        <w:autoSpaceDE w:val="0"/>
        <w:autoSpaceDN w:val="0"/>
        <w:adjustRightInd w:val="0"/>
        <w:ind w:hanging="720"/>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 H. Britnell, '</w:t>
      </w:r>
      <w:r w:rsidRPr="009D33F1">
        <w:rPr>
          <w:rFonts w:ascii="Times New Roman" w:hAnsi="Times New Roman"/>
          <w:bCs/>
          <w:sz w:val="20"/>
          <w:szCs w:val="20"/>
        </w:rPr>
        <w:t xml:space="preserve">King John's Early Grants of Markets and Fairs', </w:t>
      </w:r>
      <w:r w:rsidRPr="009D33F1">
        <w:rPr>
          <w:rFonts w:ascii="Times New Roman" w:hAnsi="Times New Roman"/>
          <w:i/>
          <w:sz w:val="20"/>
          <w:szCs w:val="20"/>
        </w:rPr>
        <w:t>ante</w:t>
      </w:r>
      <w:r w:rsidRPr="009D33F1">
        <w:rPr>
          <w:rFonts w:ascii="Times New Roman" w:hAnsi="Times New Roman"/>
          <w:sz w:val="20"/>
          <w:szCs w:val="20"/>
        </w:rPr>
        <w:t>, xciv (1979), 90-96.</w:t>
      </w:r>
    </w:p>
  </w:footnote>
  <w:footnote w:id="153">
    <w:p w14:paraId="024D8B1F" w14:textId="238DF651"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Thus far, preliminary exercises here have tended to focus upon an earlier period.  See the two studies of Yorkshire, by Paul Dalton, </w:t>
      </w:r>
      <w:r w:rsidRPr="009D33F1">
        <w:rPr>
          <w:rFonts w:ascii="Times New Roman" w:hAnsi="Times New Roman"/>
          <w:i/>
          <w:sz w:val="20"/>
          <w:szCs w:val="20"/>
        </w:rPr>
        <w:t>Conquest, Anarchy and Lordship.  Yorkshire, 1066-1154</w:t>
      </w:r>
      <w:r w:rsidRPr="009D33F1">
        <w:rPr>
          <w:rFonts w:ascii="Times New Roman" w:hAnsi="Times New Roman"/>
          <w:sz w:val="20"/>
          <w:szCs w:val="20"/>
        </w:rPr>
        <w:t xml:space="preserve"> (Cambridge 1994), reviewed by G. Garnett, </w:t>
      </w:r>
      <w:r w:rsidRPr="009D33F1">
        <w:rPr>
          <w:rFonts w:ascii="Times New Roman" w:hAnsi="Times New Roman"/>
          <w:i/>
          <w:sz w:val="20"/>
          <w:szCs w:val="20"/>
        </w:rPr>
        <w:t>ante</w:t>
      </w:r>
      <w:r w:rsidRPr="009D33F1">
        <w:rPr>
          <w:rFonts w:ascii="Times New Roman" w:hAnsi="Times New Roman"/>
          <w:sz w:val="20"/>
          <w:szCs w:val="20"/>
        </w:rPr>
        <w:t xml:space="preserve">, cxiii (1998), 411-12, and Huw Thomas, </w:t>
      </w:r>
      <w:r w:rsidRPr="009D33F1">
        <w:rPr>
          <w:rFonts w:ascii="Times New Roman" w:hAnsi="Times New Roman"/>
          <w:i/>
          <w:sz w:val="20"/>
          <w:szCs w:val="20"/>
        </w:rPr>
        <w:t>Vassals, Heiresses, Crusaders and Thugs: The Gentry of Angevin Yorkshire, 1154-1216</w:t>
      </w:r>
      <w:r w:rsidRPr="009D33F1">
        <w:rPr>
          <w:rFonts w:ascii="Times New Roman" w:hAnsi="Times New Roman"/>
          <w:sz w:val="20"/>
          <w:szCs w:val="20"/>
        </w:rPr>
        <w:t xml:space="preserve"> (Philadelphia 1993), reviewed by Coss, </w:t>
      </w:r>
      <w:r w:rsidRPr="009D33F1">
        <w:rPr>
          <w:rFonts w:ascii="Times New Roman" w:hAnsi="Times New Roman"/>
          <w:i/>
          <w:sz w:val="20"/>
          <w:szCs w:val="20"/>
        </w:rPr>
        <w:t>ante</w:t>
      </w:r>
      <w:r w:rsidRPr="009D33F1">
        <w:rPr>
          <w:rFonts w:ascii="Times New Roman" w:hAnsi="Times New Roman"/>
          <w:sz w:val="20"/>
          <w:szCs w:val="20"/>
        </w:rPr>
        <w:t>, cxi (1996), 419-20.</w:t>
      </w:r>
    </w:p>
  </w:footnote>
  <w:footnote w:id="154">
    <w:p w14:paraId="73DED3F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S.D. Church, 'The Rewards of Royal Service in the Household of King John: A Dissenting Opinion', </w:t>
      </w:r>
      <w:r w:rsidRPr="009D33F1">
        <w:rPr>
          <w:rFonts w:ascii="Times New Roman" w:hAnsi="Times New Roman"/>
          <w:i/>
          <w:sz w:val="20"/>
          <w:szCs w:val="20"/>
        </w:rPr>
        <w:t>ante</w:t>
      </w:r>
      <w:r w:rsidRPr="009D33F1">
        <w:rPr>
          <w:rFonts w:ascii="Times New Roman" w:hAnsi="Times New Roman"/>
          <w:sz w:val="20"/>
          <w:szCs w:val="20"/>
        </w:rPr>
        <w:t xml:space="preserve">, cx (1995), 277-302, directed against J.O. Prestwich, 'The Military Household of the Norman Kings', </w:t>
      </w:r>
      <w:r w:rsidRPr="009D33F1">
        <w:rPr>
          <w:rFonts w:ascii="Times New Roman" w:hAnsi="Times New Roman"/>
          <w:i/>
          <w:sz w:val="20"/>
          <w:szCs w:val="20"/>
        </w:rPr>
        <w:t>ante</w:t>
      </w:r>
      <w:r w:rsidRPr="009D33F1">
        <w:rPr>
          <w:rFonts w:ascii="Times New Roman" w:hAnsi="Times New Roman"/>
          <w:sz w:val="20"/>
          <w:szCs w:val="20"/>
        </w:rPr>
        <w:t xml:space="preserve">, xcvi (1981), 1-35, with a response from Prestwich published posthumously as part of his Ford Lectures, </w:t>
      </w:r>
      <w:r w:rsidRPr="009D33F1">
        <w:rPr>
          <w:rFonts w:ascii="Times New Roman" w:hAnsi="Times New Roman"/>
          <w:i/>
          <w:sz w:val="20"/>
          <w:szCs w:val="20"/>
        </w:rPr>
        <w:t>The Place of War in English History, 1066-1214</w:t>
      </w:r>
      <w:r w:rsidRPr="009D33F1">
        <w:rPr>
          <w:rFonts w:ascii="Times New Roman" w:hAnsi="Times New Roman"/>
          <w:sz w:val="20"/>
          <w:szCs w:val="20"/>
        </w:rPr>
        <w:t xml:space="preserve">, ed. M. Prestwich (Woodbridge 2004), reviewed by V. Moss, </w:t>
      </w:r>
      <w:r w:rsidRPr="009D33F1">
        <w:rPr>
          <w:rFonts w:ascii="Times New Roman" w:hAnsi="Times New Roman"/>
          <w:i/>
          <w:sz w:val="20"/>
          <w:szCs w:val="20"/>
        </w:rPr>
        <w:t>ante</w:t>
      </w:r>
      <w:r w:rsidRPr="009D33F1">
        <w:rPr>
          <w:rFonts w:ascii="Times New Roman" w:hAnsi="Times New Roman"/>
          <w:sz w:val="20"/>
          <w:szCs w:val="20"/>
        </w:rPr>
        <w:t>, cxxii (2007), 1371-3.</w:t>
      </w:r>
    </w:p>
  </w:footnote>
  <w:footnote w:id="155">
    <w:p w14:paraId="467785C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M. Clanchy, </w:t>
      </w:r>
      <w:r w:rsidRPr="009D33F1">
        <w:rPr>
          <w:rFonts w:ascii="Times New Roman" w:hAnsi="Times New Roman"/>
          <w:i/>
          <w:sz w:val="20"/>
          <w:szCs w:val="20"/>
        </w:rPr>
        <w:t>From Memory to Written Record</w:t>
      </w:r>
      <w:r w:rsidRPr="009D33F1">
        <w:rPr>
          <w:rFonts w:ascii="Times New Roman" w:hAnsi="Times New Roman"/>
          <w:sz w:val="20"/>
          <w:szCs w:val="20"/>
        </w:rPr>
        <w:t xml:space="preserve">, reviewed by D. Corner, </w:t>
      </w:r>
      <w:r w:rsidRPr="009D33F1">
        <w:rPr>
          <w:rFonts w:ascii="Times New Roman" w:hAnsi="Times New Roman"/>
          <w:i/>
          <w:sz w:val="20"/>
          <w:szCs w:val="20"/>
        </w:rPr>
        <w:t>ante</w:t>
      </w:r>
      <w:r w:rsidRPr="009D33F1">
        <w:rPr>
          <w:rFonts w:ascii="Times New Roman" w:hAnsi="Times New Roman"/>
          <w:sz w:val="20"/>
          <w:szCs w:val="20"/>
        </w:rPr>
        <w:t xml:space="preserve">, xcviii (1983), 134-6, and cf. the debate over Clanchy's thesis in </w:t>
      </w:r>
      <w:r w:rsidRPr="009D33F1">
        <w:rPr>
          <w:rFonts w:ascii="Times New Roman" w:hAnsi="Times New Roman"/>
          <w:i/>
          <w:sz w:val="20"/>
          <w:szCs w:val="20"/>
        </w:rPr>
        <w:t>Charters and the Use of the Written Word</w:t>
      </w:r>
      <w:r w:rsidRPr="009D33F1">
        <w:rPr>
          <w:rFonts w:ascii="Times New Roman" w:hAnsi="Times New Roman"/>
          <w:sz w:val="20"/>
          <w:szCs w:val="20"/>
        </w:rPr>
        <w:t xml:space="preserve">, ed. K. Heidecker, reviewed by D. Crouch, </w:t>
      </w:r>
      <w:r w:rsidRPr="009D33F1">
        <w:rPr>
          <w:rFonts w:ascii="Times New Roman" w:hAnsi="Times New Roman"/>
          <w:i/>
          <w:sz w:val="20"/>
          <w:szCs w:val="20"/>
        </w:rPr>
        <w:t>ante</w:t>
      </w:r>
      <w:r w:rsidRPr="009D33F1">
        <w:rPr>
          <w:rFonts w:ascii="Times New Roman" w:hAnsi="Times New Roman"/>
          <w:sz w:val="20"/>
          <w:szCs w:val="20"/>
        </w:rPr>
        <w:t xml:space="preserve">, cxvii (2002), </w:t>
      </w:r>
      <w:proofErr w:type="gramStart"/>
      <w:r w:rsidRPr="009D33F1">
        <w:rPr>
          <w:rFonts w:ascii="Times New Roman" w:hAnsi="Times New Roman"/>
          <w:sz w:val="20"/>
          <w:szCs w:val="20"/>
        </w:rPr>
        <w:t>453</w:t>
      </w:r>
      <w:proofErr w:type="gramEnd"/>
      <w:r w:rsidRPr="009D33F1">
        <w:rPr>
          <w:rFonts w:ascii="Times New Roman" w:hAnsi="Times New Roman"/>
          <w:sz w:val="20"/>
          <w:szCs w:val="20"/>
        </w:rPr>
        <w:t xml:space="preserve">.  For the emergence of contract, S.L. Waugh, 'Tenure to Contract: Lordship and Clientage in Thirteenth-Century England', </w:t>
      </w:r>
      <w:r w:rsidRPr="009D33F1">
        <w:rPr>
          <w:rFonts w:ascii="Times New Roman" w:hAnsi="Times New Roman"/>
          <w:i/>
          <w:sz w:val="20"/>
          <w:szCs w:val="20"/>
        </w:rPr>
        <w:t>ante</w:t>
      </w:r>
      <w:r w:rsidRPr="009D33F1">
        <w:rPr>
          <w:rFonts w:ascii="Times New Roman" w:hAnsi="Times New Roman"/>
          <w:sz w:val="20"/>
          <w:szCs w:val="20"/>
        </w:rPr>
        <w:t xml:space="preserve">, ci (1986), 811-39. </w:t>
      </w:r>
    </w:p>
  </w:footnote>
  <w:footnote w:id="156">
    <w:p w14:paraId="7254E1C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the question of military advantage in 1215, S.D. Church, 'The Knights of the Household of King John: A Question of Numbers', </w:t>
      </w:r>
      <w:r w:rsidRPr="009D33F1">
        <w:rPr>
          <w:rFonts w:ascii="Times New Roman" w:hAnsi="Times New Roman"/>
          <w:i/>
          <w:sz w:val="20"/>
          <w:szCs w:val="20"/>
        </w:rPr>
        <w:t>Thirteenth Century England IV</w:t>
      </w:r>
      <w:r w:rsidRPr="009D33F1">
        <w:rPr>
          <w:rFonts w:ascii="Times New Roman" w:hAnsi="Times New Roman"/>
          <w:sz w:val="20"/>
          <w:szCs w:val="20"/>
        </w:rPr>
        <w:t xml:space="preserve">, ed. P.R. Coss and S.D. Lloyd (Woodbridge 1992), 151-65; idem, </w:t>
      </w:r>
      <w:r w:rsidRPr="009D33F1">
        <w:rPr>
          <w:rFonts w:ascii="Times New Roman" w:hAnsi="Times New Roman"/>
          <w:i/>
          <w:sz w:val="20"/>
          <w:szCs w:val="20"/>
        </w:rPr>
        <w:t>The Household Knights of King John</w:t>
      </w:r>
      <w:r w:rsidRPr="009D33F1">
        <w:rPr>
          <w:rFonts w:ascii="Times New Roman" w:hAnsi="Times New Roman"/>
          <w:sz w:val="20"/>
          <w:szCs w:val="20"/>
        </w:rPr>
        <w:t xml:space="preserve">, reviewed very much </w:t>
      </w:r>
      <w:r w:rsidRPr="009D33F1">
        <w:rPr>
          <w:rFonts w:ascii="Times New Roman" w:hAnsi="Times New Roman"/>
          <w:i/>
          <w:sz w:val="20"/>
          <w:szCs w:val="20"/>
        </w:rPr>
        <w:t>de haut en bas</w:t>
      </w:r>
      <w:r w:rsidRPr="009D33F1">
        <w:rPr>
          <w:rFonts w:ascii="Times New Roman" w:hAnsi="Times New Roman"/>
          <w:sz w:val="20"/>
          <w:szCs w:val="20"/>
        </w:rPr>
        <w:t xml:space="preserve"> by Holt, </w:t>
      </w:r>
      <w:r w:rsidRPr="009D33F1">
        <w:rPr>
          <w:rFonts w:ascii="Times New Roman" w:hAnsi="Times New Roman"/>
          <w:i/>
          <w:sz w:val="20"/>
          <w:szCs w:val="20"/>
        </w:rPr>
        <w:t>ante</w:t>
      </w:r>
      <w:r w:rsidRPr="009D33F1">
        <w:rPr>
          <w:rFonts w:ascii="Times New Roman" w:hAnsi="Times New Roman"/>
          <w:sz w:val="20"/>
          <w:szCs w:val="20"/>
        </w:rPr>
        <w:t>, cxvi (2001), 183-4.</w:t>
      </w:r>
    </w:p>
  </w:footnote>
  <w:footnote w:id="157">
    <w:p w14:paraId="517CD106"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Carpenter, '</w:t>
      </w:r>
      <w:r w:rsidRPr="009D33F1">
        <w:rPr>
          <w:rFonts w:ascii="Times New Roman" w:hAnsi="Times New Roman"/>
          <w:bCs/>
          <w:sz w:val="20"/>
          <w:szCs w:val="20"/>
        </w:rPr>
        <w:t xml:space="preserve"> Archbishop Langton and Magna Carta: His Contribution, His Doubts and His Hypocrisy, </w:t>
      </w:r>
      <w:r w:rsidRPr="009D33F1">
        <w:rPr>
          <w:rFonts w:ascii="Times New Roman" w:hAnsi="Times New Roman"/>
          <w:bCs/>
          <w:i/>
          <w:sz w:val="20"/>
          <w:szCs w:val="20"/>
        </w:rPr>
        <w:t>ante</w:t>
      </w:r>
      <w:r w:rsidRPr="009D33F1">
        <w:rPr>
          <w:rFonts w:ascii="Times New Roman" w:hAnsi="Times New Roman"/>
          <w:bCs/>
          <w:sz w:val="20"/>
          <w:szCs w:val="20"/>
        </w:rPr>
        <w:t xml:space="preserve">, cxxvi (2011), </w:t>
      </w:r>
      <w:proofErr w:type="gramStart"/>
      <w:r w:rsidRPr="009D33F1">
        <w:rPr>
          <w:rFonts w:ascii="Times New Roman" w:hAnsi="Times New Roman"/>
          <w:sz w:val="20"/>
          <w:szCs w:val="20"/>
        </w:rPr>
        <w:t>1041</w:t>
      </w:r>
      <w:proofErr w:type="gramEnd"/>
      <w:r w:rsidRPr="009D33F1">
        <w:rPr>
          <w:rFonts w:ascii="Times New Roman" w:hAnsi="Times New Roman"/>
          <w:sz w:val="20"/>
          <w:szCs w:val="20"/>
        </w:rPr>
        <w:t>-65.</w:t>
      </w:r>
    </w:p>
  </w:footnote>
  <w:footnote w:id="158">
    <w:p w14:paraId="3C6BA7D9" w14:textId="690F7741"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J.W. Baldwin, 'Master Stephen Langton, Future Archbishop of Canterbury: The Paris Schools and Magna Carta', </w:t>
      </w:r>
      <w:r w:rsidRPr="009D33F1">
        <w:rPr>
          <w:rFonts w:ascii="Times New Roman" w:hAnsi="Times New Roman"/>
          <w:i/>
          <w:sz w:val="20"/>
          <w:szCs w:val="20"/>
        </w:rPr>
        <w:t>ante</w:t>
      </w:r>
      <w:r w:rsidRPr="009D33F1">
        <w:rPr>
          <w:rFonts w:ascii="Times New Roman" w:hAnsi="Times New Roman"/>
          <w:sz w:val="20"/>
          <w:szCs w:val="20"/>
        </w:rPr>
        <w:t xml:space="preserve">, cxxiii (2008), 811-46, here paying tribute to the work of Philippe Buc, </w:t>
      </w:r>
      <w:r w:rsidRPr="009D33F1">
        <w:rPr>
          <w:rFonts w:ascii="Times New Roman" w:hAnsi="Times New Roman"/>
          <w:i/>
          <w:sz w:val="20"/>
          <w:szCs w:val="20"/>
        </w:rPr>
        <w:t>L'Ambiguité du livre</w:t>
      </w:r>
      <w:r w:rsidRPr="009D33F1">
        <w:rPr>
          <w:rFonts w:ascii="Times New Roman" w:hAnsi="Times New Roman"/>
          <w:sz w:val="20"/>
          <w:szCs w:val="20"/>
        </w:rPr>
        <w:t xml:space="preserve">, reviewed by J. Marenbon, </w:t>
      </w:r>
      <w:r w:rsidRPr="009D33F1">
        <w:rPr>
          <w:rFonts w:ascii="Times New Roman" w:hAnsi="Times New Roman"/>
          <w:i/>
          <w:sz w:val="20"/>
          <w:szCs w:val="20"/>
        </w:rPr>
        <w:t>ante</w:t>
      </w:r>
      <w:r w:rsidRPr="009D33F1">
        <w:rPr>
          <w:rFonts w:ascii="Times New Roman" w:hAnsi="Times New Roman"/>
          <w:sz w:val="20"/>
          <w:szCs w:val="20"/>
        </w:rPr>
        <w:t xml:space="preserve">, cxi (1996), 1246.  See also, complimentary to Buc, see D. D'Avray, 'Magna Carta: Its Background in Stephen Langton's Academic Biblical Exegesis and its Episcopal Reception', </w:t>
      </w:r>
      <w:r w:rsidRPr="009D33F1">
        <w:rPr>
          <w:rFonts w:ascii="Times New Roman" w:hAnsi="Times New Roman"/>
          <w:i/>
          <w:sz w:val="20"/>
          <w:szCs w:val="20"/>
        </w:rPr>
        <w:t>Studi Medievali</w:t>
      </w:r>
      <w:r w:rsidRPr="009D33F1">
        <w:rPr>
          <w:rFonts w:ascii="Times New Roman" w:hAnsi="Times New Roman"/>
          <w:sz w:val="20"/>
          <w:szCs w:val="20"/>
        </w:rPr>
        <w:t>, 3rd series xxxviii part 1 (1997), 423-38.</w:t>
      </w:r>
    </w:p>
  </w:footnote>
  <w:footnote w:id="159">
    <w:p w14:paraId="0913136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B. Smalley, </w:t>
      </w:r>
      <w:r w:rsidRPr="009D33F1">
        <w:rPr>
          <w:rFonts w:ascii="Times New Roman" w:hAnsi="Times New Roman"/>
          <w:i/>
          <w:sz w:val="20"/>
          <w:szCs w:val="20"/>
        </w:rPr>
        <w:t>The Becket Conflict and the Schools</w:t>
      </w:r>
      <w:r w:rsidRPr="009D33F1">
        <w:rPr>
          <w:rFonts w:ascii="Times New Roman" w:hAnsi="Times New Roman"/>
          <w:sz w:val="20"/>
          <w:szCs w:val="20"/>
        </w:rPr>
        <w:t xml:space="preserve"> (Oxford 1973), first delivered as the Ford Lectures for 1966-7, originally entitled 'Intellectuals and Politics in the Twelfth Century', reviewed by G. Leff, </w:t>
      </w:r>
      <w:r w:rsidRPr="009D33F1">
        <w:rPr>
          <w:rFonts w:ascii="Times New Roman" w:hAnsi="Times New Roman"/>
          <w:i/>
          <w:sz w:val="20"/>
          <w:szCs w:val="20"/>
        </w:rPr>
        <w:t>ante</w:t>
      </w:r>
      <w:r w:rsidRPr="009D33F1">
        <w:rPr>
          <w:rFonts w:ascii="Times New Roman" w:hAnsi="Times New Roman"/>
          <w:sz w:val="20"/>
          <w:szCs w:val="20"/>
        </w:rPr>
        <w:t xml:space="preserve">, xc (1975), 360-1, and to good effect by John Baldwin, in </w:t>
      </w:r>
      <w:r w:rsidRPr="009D33F1">
        <w:rPr>
          <w:rFonts w:ascii="Times New Roman" w:hAnsi="Times New Roman"/>
          <w:i/>
          <w:sz w:val="20"/>
          <w:szCs w:val="20"/>
        </w:rPr>
        <w:t>Speculum</w:t>
      </w:r>
      <w:r w:rsidRPr="009D33F1">
        <w:rPr>
          <w:rFonts w:ascii="Times New Roman" w:hAnsi="Times New Roman"/>
          <w:sz w:val="20"/>
          <w:szCs w:val="20"/>
        </w:rPr>
        <w:t>, li (1976), 357-9.</w:t>
      </w:r>
    </w:p>
  </w:footnote>
  <w:footnote w:id="160">
    <w:p w14:paraId="3BDC8C58" w14:textId="074B13D3"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recent exercises here, see N. Fryde, 'The Roots of Magna Carta.  Opposition to the Plantagenets', </w:t>
      </w:r>
      <w:r w:rsidRPr="009D33F1">
        <w:rPr>
          <w:rFonts w:ascii="Times New Roman" w:hAnsi="Times New Roman"/>
          <w:i/>
          <w:sz w:val="20"/>
          <w:szCs w:val="20"/>
        </w:rPr>
        <w:t>Political Thought and the Realities of Power in the Middle Ages</w:t>
      </w:r>
      <w:r w:rsidRPr="009D33F1">
        <w:rPr>
          <w:rFonts w:ascii="Times New Roman" w:hAnsi="Times New Roman"/>
          <w:sz w:val="20"/>
          <w:szCs w:val="20"/>
        </w:rPr>
        <w:t xml:space="preserve">, ed. J. Canning and O.G. Oexle (Göttingen, 1998), 53-65 (on the practical reception of John of Salisbury's </w:t>
      </w:r>
      <w:r w:rsidRPr="009D33F1">
        <w:rPr>
          <w:rFonts w:ascii="Times New Roman" w:hAnsi="Times New Roman"/>
          <w:i/>
          <w:sz w:val="20"/>
          <w:szCs w:val="20"/>
        </w:rPr>
        <w:t>Policraticus</w:t>
      </w:r>
      <w:r w:rsidRPr="009D33F1">
        <w:rPr>
          <w:rFonts w:ascii="Times New Roman" w:hAnsi="Times New Roman"/>
          <w:sz w:val="20"/>
          <w:szCs w:val="20"/>
        </w:rPr>
        <w:t xml:space="preserve">); N. Vincent, 'William of Newburgh, Josephus and the New Titus', </w:t>
      </w:r>
      <w:r w:rsidRPr="009D33F1">
        <w:rPr>
          <w:rFonts w:ascii="Times New Roman" w:hAnsi="Times New Roman"/>
          <w:i/>
          <w:sz w:val="20"/>
          <w:szCs w:val="20"/>
        </w:rPr>
        <w:t>Christians and Jews in Medieval England: The York Massacre of 1190, Narratives and Contexts</w:t>
      </w:r>
      <w:r w:rsidRPr="009D33F1">
        <w:rPr>
          <w:rFonts w:ascii="Times New Roman" w:hAnsi="Times New Roman"/>
          <w:sz w:val="20"/>
          <w:szCs w:val="20"/>
        </w:rPr>
        <w:t>, ed. S. Rees Jones and S. Watson (Woodbridge 2013), 57-90 (exploring the ways in which the image of the emperors Vespasian, Titus and Domitian were superimposed upon contemporary opinion of Henry II, Richard I and King John).</w:t>
      </w:r>
    </w:p>
  </w:footnote>
  <w:footnote w:id="161">
    <w:p w14:paraId="1700E6B6"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See the contributions by Paul Latimer and Jim Bolton to </w:t>
      </w:r>
      <w:r w:rsidRPr="009D33F1">
        <w:rPr>
          <w:rFonts w:ascii="Times New Roman" w:hAnsi="Times New Roman"/>
          <w:i/>
          <w:sz w:val="20"/>
          <w:szCs w:val="20"/>
        </w:rPr>
        <w:t>King John: New Interpretations</w:t>
      </w:r>
      <w:r w:rsidRPr="009D33F1">
        <w:rPr>
          <w:rFonts w:ascii="Times New Roman" w:hAnsi="Times New Roman"/>
          <w:sz w:val="20"/>
          <w:szCs w:val="20"/>
        </w:rPr>
        <w:t>, ed. Church.</w:t>
      </w:r>
    </w:p>
  </w:footnote>
  <w:footnote w:id="162">
    <w:p w14:paraId="189F8652"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Holt, 'The Loss of Normandy and Royal Finances', </w:t>
      </w:r>
      <w:r w:rsidRPr="009D33F1">
        <w:rPr>
          <w:rFonts w:ascii="Times New Roman" w:hAnsi="Times New Roman"/>
          <w:i/>
          <w:sz w:val="20"/>
          <w:szCs w:val="20"/>
        </w:rPr>
        <w:t>War and Government in the Middle Ages: Essays in Honour of J.O. Prestwich</w:t>
      </w:r>
      <w:r w:rsidRPr="009D33F1">
        <w:rPr>
          <w:rFonts w:ascii="Times New Roman" w:hAnsi="Times New Roman"/>
          <w:sz w:val="20"/>
          <w:szCs w:val="20"/>
        </w:rPr>
        <w:t xml:space="preserve">, ed. Holt and J. Gillingham (Cambridge 1984), 92-105; N. Barratt, 'The Revenue of King John', </w:t>
      </w:r>
      <w:r w:rsidRPr="009D33F1">
        <w:rPr>
          <w:rFonts w:ascii="Times New Roman" w:hAnsi="Times New Roman"/>
          <w:i/>
          <w:sz w:val="20"/>
          <w:szCs w:val="20"/>
        </w:rPr>
        <w:t>ante</w:t>
      </w:r>
      <w:r w:rsidRPr="009D33F1">
        <w:rPr>
          <w:rFonts w:ascii="Times New Roman" w:hAnsi="Times New Roman"/>
          <w:sz w:val="20"/>
          <w:szCs w:val="20"/>
        </w:rPr>
        <w:t xml:space="preserve">, cxi (1996), 835-55 (which concludes that despite inflation John was a richer king than even Henry I, his financial system breaking down only after 1214 and the collapse of his campaigns in France); idem, 'The English Revenue of Richard I', </w:t>
      </w:r>
      <w:r w:rsidRPr="009D33F1">
        <w:rPr>
          <w:rFonts w:ascii="Times New Roman" w:hAnsi="Times New Roman"/>
          <w:i/>
          <w:sz w:val="20"/>
          <w:szCs w:val="20"/>
        </w:rPr>
        <w:t>ante</w:t>
      </w:r>
      <w:r w:rsidRPr="009D33F1">
        <w:rPr>
          <w:rFonts w:ascii="Times New Roman" w:hAnsi="Times New Roman"/>
          <w:sz w:val="20"/>
          <w:szCs w:val="20"/>
        </w:rPr>
        <w:t xml:space="preserve">, cxvi (2001), 635-56; idem, ‘The Impact of the Loss of Normandy on the English Exchequer: The Pipe Roll Evidence’, in </w:t>
      </w:r>
      <w:r w:rsidRPr="009D33F1">
        <w:rPr>
          <w:rFonts w:ascii="Times New Roman" w:hAnsi="Times New Roman"/>
          <w:i/>
          <w:sz w:val="20"/>
          <w:szCs w:val="20"/>
        </w:rPr>
        <w:t>Foundations of Medieval Scholarship: Records Edited in Honour of David Crook</w:t>
      </w:r>
      <w:r w:rsidRPr="009D33F1">
        <w:rPr>
          <w:rFonts w:ascii="Times New Roman" w:hAnsi="Times New Roman"/>
          <w:sz w:val="20"/>
          <w:szCs w:val="20"/>
        </w:rPr>
        <w:t>, ed. P. Brand and S. Cunningham (York 2008), 133-40.</w:t>
      </w:r>
    </w:p>
  </w:footnote>
  <w:footnote w:id="163">
    <w:p w14:paraId="3AF0C617"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T.K. Keefe, </w:t>
      </w:r>
      <w:r w:rsidRPr="009D33F1">
        <w:rPr>
          <w:rFonts w:ascii="Times New Roman" w:hAnsi="Times New Roman"/>
          <w:i/>
          <w:sz w:val="20"/>
          <w:szCs w:val="20"/>
        </w:rPr>
        <w:t>Feudal Assessments and the Political Community under Henry II and his Sons</w:t>
      </w:r>
      <w:r w:rsidRPr="009D33F1">
        <w:rPr>
          <w:rFonts w:ascii="Times New Roman" w:hAnsi="Times New Roman"/>
          <w:sz w:val="20"/>
          <w:szCs w:val="20"/>
        </w:rPr>
        <w:t xml:space="preserve"> (Berkeley 1983), a difficult book, reviewed by M. Prestwich, </w:t>
      </w:r>
      <w:r w:rsidRPr="009D33F1">
        <w:rPr>
          <w:rFonts w:ascii="Times New Roman" w:hAnsi="Times New Roman"/>
          <w:i/>
          <w:sz w:val="20"/>
          <w:szCs w:val="20"/>
        </w:rPr>
        <w:t>ante</w:t>
      </w:r>
      <w:r w:rsidRPr="009D33F1">
        <w:rPr>
          <w:rFonts w:ascii="Times New Roman" w:hAnsi="Times New Roman"/>
          <w:sz w:val="20"/>
          <w:szCs w:val="20"/>
        </w:rPr>
        <w:t>, ciii (1988), 174-5.</w:t>
      </w:r>
    </w:p>
  </w:footnote>
  <w:footnote w:id="164">
    <w:p w14:paraId="41EC3314"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D. Crook, 'The Forest Eyre in the Reign of King John', in </w:t>
      </w:r>
      <w:r w:rsidRPr="009D33F1">
        <w:rPr>
          <w:rFonts w:ascii="Times New Roman" w:hAnsi="Times New Roman"/>
          <w:i/>
          <w:sz w:val="20"/>
          <w:szCs w:val="20"/>
        </w:rPr>
        <w:t>Magna Carta and the England of King John</w:t>
      </w:r>
      <w:r w:rsidRPr="009D33F1">
        <w:rPr>
          <w:rFonts w:ascii="Times New Roman" w:hAnsi="Times New Roman"/>
          <w:sz w:val="20"/>
          <w:szCs w:val="20"/>
        </w:rPr>
        <w:t>, ed. Loengard.</w:t>
      </w:r>
    </w:p>
  </w:footnote>
  <w:footnote w:id="165">
    <w:p w14:paraId="1D704E20" w14:textId="77777777" w:rsidR="00036517" w:rsidRPr="009D33F1" w:rsidRDefault="00036517" w:rsidP="00A27FF6">
      <w:pPr>
        <w:widowControl w:val="0"/>
        <w:autoSpaceDE w:val="0"/>
        <w:autoSpaceDN w:val="0"/>
        <w:adjustRightInd w:val="0"/>
        <w:rPr>
          <w:rFonts w:ascii="Times New Roman" w:hAnsi="Times New Roman"/>
          <w:b/>
          <w:bCs/>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 Beverley Smith, 'The Treaty of Lambeth, 1217', </w:t>
      </w:r>
      <w:r w:rsidRPr="009D33F1">
        <w:rPr>
          <w:rFonts w:ascii="Times New Roman" w:hAnsi="Times New Roman"/>
          <w:i/>
          <w:sz w:val="20"/>
          <w:szCs w:val="20"/>
        </w:rPr>
        <w:t>ante</w:t>
      </w:r>
      <w:r w:rsidRPr="009D33F1">
        <w:rPr>
          <w:rFonts w:ascii="Times New Roman" w:hAnsi="Times New Roman"/>
          <w:sz w:val="20"/>
          <w:szCs w:val="20"/>
        </w:rPr>
        <w:t xml:space="preserve">, cxiv (1979), 562-79; idem, 'Magna Carta and the Charters of the Welsh Princes', </w:t>
      </w:r>
      <w:r w:rsidRPr="009D33F1">
        <w:rPr>
          <w:rFonts w:ascii="Times New Roman" w:hAnsi="Times New Roman"/>
          <w:i/>
          <w:sz w:val="20"/>
          <w:szCs w:val="20"/>
        </w:rPr>
        <w:t>ante</w:t>
      </w:r>
      <w:r w:rsidRPr="009D33F1">
        <w:rPr>
          <w:rFonts w:ascii="Times New Roman" w:hAnsi="Times New Roman"/>
          <w:sz w:val="20"/>
          <w:szCs w:val="20"/>
        </w:rPr>
        <w:t xml:space="preserve">, xcix (1984), 344-62, although note that Smith incorrectly assumes (p.345) that his newly discovered letters of July 1215 were addressed in the name of bishops and barons including Hubert de Burgh as justiciar.  In fact as the text itself makes plain (p.361), the letters were addressed </w:t>
      </w:r>
      <w:r w:rsidRPr="009D33F1">
        <w:rPr>
          <w:rFonts w:ascii="Times New Roman" w:hAnsi="Times New Roman"/>
          <w:i/>
          <w:sz w:val="20"/>
          <w:szCs w:val="20"/>
        </w:rPr>
        <w:t>to</w:t>
      </w:r>
      <w:r w:rsidRPr="009D33F1">
        <w:rPr>
          <w:rFonts w:ascii="Times New Roman" w:hAnsi="Times New Roman"/>
          <w:sz w:val="20"/>
          <w:szCs w:val="20"/>
        </w:rPr>
        <w:t xml:space="preserve"> Hubert as justiciar by Langton, the archbishop of Dublin, the bishop of Coventry, and the earls of Chester and Salisbury and William earl Ferrers.</w:t>
      </w:r>
    </w:p>
    <w:p w14:paraId="7871DC84" w14:textId="77777777" w:rsidR="00036517" w:rsidRPr="009D33F1" w:rsidRDefault="00036517" w:rsidP="00A27FF6">
      <w:pPr>
        <w:widowControl w:val="0"/>
        <w:autoSpaceDE w:val="0"/>
        <w:autoSpaceDN w:val="0"/>
        <w:adjustRightInd w:val="0"/>
        <w:rPr>
          <w:rFonts w:ascii="Times New Roman" w:hAnsi="Times New Roman"/>
          <w:bCs/>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S.D. Church, 'King John's Testament and the Last Days of his Reign', </w:t>
      </w:r>
      <w:r w:rsidRPr="009D33F1">
        <w:rPr>
          <w:rFonts w:ascii="Times New Roman" w:hAnsi="Times New Roman"/>
          <w:i/>
          <w:sz w:val="20"/>
          <w:szCs w:val="20"/>
        </w:rPr>
        <w:t>ante</w:t>
      </w:r>
      <w:r w:rsidRPr="009D33F1">
        <w:rPr>
          <w:rFonts w:ascii="Times New Roman" w:hAnsi="Times New Roman"/>
          <w:sz w:val="20"/>
          <w:szCs w:val="20"/>
        </w:rPr>
        <w:t>, cxxv (2010), 505-28; idem, '</w:t>
      </w:r>
      <w:r w:rsidRPr="009D33F1">
        <w:rPr>
          <w:rFonts w:ascii="Times New Roman" w:hAnsi="Times New Roman"/>
          <w:bCs/>
          <w:sz w:val="20"/>
          <w:szCs w:val="20"/>
        </w:rPr>
        <w:t xml:space="preserve">Magna Carta and the Charters of the Welsh Princes', </w:t>
      </w:r>
      <w:r w:rsidRPr="009D33F1">
        <w:rPr>
          <w:rFonts w:ascii="Times New Roman" w:hAnsi="Times New Roman"/>
          <w:i/>
          <w:sz w:val="20"/>
          <w:szCs w:val="20"/>
        </w:rPr>
        <w:t>ante</w:t>
      </w:r>
      <w:r w:rsidRPr="009D33F1">
        <w:rPr>
          <w:rFonts w:ascii="Times New Roman" w:hAnsi="Times New Roman"/>
          <w:sz w:val="20"/>
          <w:szCs w:val="20"/>
        </w:rPr>
        <w:t>, xcix (1984), 344-62.</w:t>
      </w:r>
    </w:p>
  </w:footnote>
  <w:footnote w:id="166">
    <w:p w14:paraId="4325AB50"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Carpenter, 'The Dating and Making of Magna Carta', and 'Justice and Jurisdiction under King John and King Henry III', both first published in Carpenter, </w:t>
      </w:r>
      <w:r w:rsidRPr="009D33F1">
        <w:rPr>
          <w:rFonts w:ascii="Times New Roman" w:hAnsi="Times New Roman"/>
          <w:i/>
          <w:sz w:val="20"/>
          <w:szCs w:val="20"/>
        </w:rPr>
        <w:t>The Reign of Henry III</w:t>
      </w:r>
      <w:r w:rsidRPr="009D33F1">
        <w:rPr>
          <w:rFonts w:ascii="Times New Roman" w:hAnsi="Times New Roman"/>
          <w:sz w:val="20"/>
          <w:szCs w:val="20"/>
        </w:rPr>
        <w:t xml:space="preserve"> (1996), 1-44.</w:t>
      </w:r>
    </w:p>
  </w:footnote>
  <w:footnote w:id="167">
    <w:p w14:paraId="172A038B"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Rowlands, as above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w:t>
      </w:r>
    </w:p>
  </w:footnote>
  <w:footnote w:id="168">
    <w:p w14:paraId="41D6990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S.D. Church, 'King John's Testament and the Last Days of his Reign', </w:t>
      </w:r>
      <w:r w:rsidRPr="009D33F1">
        <w:rPr>
          <w:rFonts w:ascii="Times New Roman" w:hAnsi="Times New Roman"/>
          <w:i/>
          <w:sz w:val="20"/>
          <w:szCs w:val="20"/>
        </w:rPr>
        <w:t>ante</w:t>
      </w:r>
      <w:r w:rsidRPr="009D33F1">
        <w:rPr>
          <w:rFonts w:ascii="Times New Roman" w:hAnsi="Times New Roman"/>
          <w:sz w:val="20"/>
          <w:szCs w:val="20"/>
        </w:rPr>
        <w:t>, cxxv (2010), 505-28.</w:t>
      </w:r>
    </w:p>
  </w:footnote>
  <w:footnote w:id="169">
    <w:p w14:paraId="60BA7258"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J.R. Maddicott, 'The Oath of Marlborough, 1209: Fear, Government and Popular Allegiance in the Reign of King John', </w:t>
      </w:r>
      <w:r w:rsidRPr="009D33F1">
        <w:rPr>
          <w:rFonts w:ascii="Times New Roman" w:hAnsi="Times New Roman"/>
          <w:i/>
          <w:sz w:val="20"/>
          <w:szCs w:val="20"/>
        </w:rPr>
        <w:t>ante</w:t>
      </w:r>
      <w:r w:rsidRPr="009D33F1">
        <w:rPr>
          <w:rFonts w:ascii="Times New Roman" w:hAnsi="Times New Roman"/>
          <w:sz w:val="20"/>
          <w:szCs w:val="20"/>
        </w:rPr>
        <w:t>, cxxvi (2011), 281-318.</w:t>
      </w:r>
    </w:p>
  </w:footnote>
  <w:footnote w:id="170">
    <w:p w14:paraId="6BC18603"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J.R. Maddicott, 'Magna Carta and the Local Community, 1215-1259', </w:t>
      </w:r>
      <w:r w:rsidRPr="009D33F1">
        <w:rPr>
          <w:rFonts w:ascii="Times New Roman" w:hAnsi="Times New Roman"/>
          <w:i/>
          <w:sz w:val="20"/>
          <w:szCs w:val="20"/>
        </w:rPr>
        <w:t>Past and Present</w:t>
      </w:r>
      <w:r w:rsidRPr="009D33F1">
        <w:rPr>
          <w:rFonts w:ascii="Times New Roman" w:hAnsi="Times New Roman"/>
          <w:sz w:val="20"/>
          <w:szCs w:val="20"/>
        </w:rPr>
        <w:t xml:space="preserve">, cii (1984), 25-65; idem, </w:t>
      </w:r>
      <w:r w:rsidRPr="009D33F1">
        <w:rPr>
          <w:rFonts w:ascii="Times New Roman" w:hAnsi="Times New Roman"/>
          <w:i/>
          <w:sz w:val="20"/>
          <w:szCs w:val="20"/>
        </w:rPr>
        <w:t>The Origins of the English Parliament, 924-1327</w:t>
      </w:r>
      <w:r w:rsidRPr="009D33F1">
        <w:rPr>
          <w:rFonts w:ascii="Times New Roman" w:hAnsi="Times New Roman"/>
          <w:sz w:val="20"/>
          <w:szCs w:val="20"/>
        </w:rPr>
        <w:t xml:space="preserve"> (Oxford 2010), reviewed by S.L. Waugh, </w:t>
      </w:r>
      <w:r w:rsidRPr="009D33F1">
        <w:rPr>
          <w:rFonts w:ascii="Times New Roman" w:hAnsi="Times New Roman"/>
          <w:i/>
          <w:sz w:val="20"/>
          <w:szCs w:val="20"/>
        </w:rPr>
        <w:t>ante</w:t>
      </w:r>
      <w:r w:rsidRPr="009D33F1">
        <w:rPr>
          <w:rFonts w:ascii="Times New Roman" w:hAnsi="Times New Roman"/>
          <w:sz w:val="20"/>
          <w:szCs w:val="20"/>
        </w:rPr>
        <w:t xml:space="preserve">, cxxvi (2011), 636-8, and above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w:t>
      </w:r>
    </w:p>
  </w:footnote>
  <w:footnote w:id="171">
    <w:p w14:paraId="7A3F1E7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D. Crouch, </w:t>
      </w:r>
      <w:r w:rsidRPr="009D33F1">
        <w:rPr>
          <w:rFonts w:ascii="Times New Roman" w:hAnsi="Times New Roman"/>
          <w:i/>
          <w:sz w:val="20"/>
          <w:szCs w:val="20"/>
        </w:rPr>
        <w:t>William Marshal: Court, Career and Chivalry in the Angevin Empire, 1147-1219</w:t>
      </w:r>
      <w:r w:rsidRPr="009D33F1">
        <w:rPr>
          <w:rFonts w:ascii="Times New Roman" w:hAnsi="Times New Roman"/>
          <w:sz w:val="20"/>
          <w:szCs w:val="20"/>
        </w:rPr>
        <w:t xml:space="preserve"> (London 1990, 2nd ed. 2002), reviewed by J. Hudson, </w:t>
      </w:r>
      <w:r w:rsidRPr="009D33F1">
        <w:rPr>
          <w:rFonts w:ascii="Times New Roman" w:hAnsi="Times New Roman"/>
          <w:i/>
          <w:sz w:val="20"/>
          <w:szCs w:val="20"/>
        </w:rPr>
        <w:t>ante</w:t>
      </w:r>
      <w:r w:rsidRPr="009D33F1">
        <w:rPr>
          <w:rFonts w:ascii="Times New Roman" w:hAnsi="Times New Roman"/>
          <w:sz w:val="20"/>
          <w:szCs w:val="20"/>
        </w:rPr>
        <w:t xml:space="preserve">, cix (1994), 412-13; </w:t>
      </w:r>
      <w:r w:rsidRPr="009D33F1">
        <w:rPr>
          <w:rFonts w:ascii="Times New Roman" w:hAnsi="Times New Roman"/>
          <w:i/>
          <w:sz w:val="20"/>
          <w:szCs w:val="20"/>
        </w:rPr>
        <w:t>Jocelin of Wells: Bishop, Builder, Courtier</w:t>
      </w:r>
      <w:r w:rsidRPr="009D33F1">
        <w:rPr>
          <w:rFonts w:ascii="Times New Roman" w:hAnsi="Times New Roman"/>
          <w:sz w:val="20"/>
          <w:szCs w:val="20"/>
        </w:rPr>
        <w:t xml:space="preserve">, ed. R. Dunning (Woodbridge 2010), reviewed by M. Lovatt, </w:t>
      </w:r>
      <w:r w:rsidRPr="009D33F1">
        <w:rPr>
          <w:rFonts w:ascii="Times New Roman" w:hAnsi="Times New Roman"/>
          <w:i/>
          <w:sz w:val="20"/>
          <w:szCs w:val="20"/>
        </w:rPr>
        <w:t>ante</w:t>
      </w:r>
      <w:r w:rsidRPr="009D33F1">
        <w:rPr>
          <w:rFonts w:ascii="Times New Roman" w:hAnsi="Times New Roman"/>
          <w:sz w:val="20"/>
          <w:szCs w:val="20"/>
        </w:rPr>
        <w:t xml:space="preserve">, cxxvi (2011), 1190-2.  Cf. Vincent, </w:t>
      </w:r>
      <w:r w:rsidRPr="009D33F1">
        <w:rPr>
          <w:rFonts w:ascii="Times New Roman" w:hAnsi="Times New Roman"/>
          <w:i/>
          <w:sz w:val="20"/>
          <w:szCs w:val="20"/>
        </w:rPr>
        <w:t>Peter des Roches</w:t>
      </w:r>
      <w:r w:rsidRPr="009D33F1">
        <w:rPr>
          <w:rFonts w:ascii="Times New Roman" w:hAnsi="Times New Roman"/>
          <w:sz w:val="20"/>
          <w:szCs w:val="20"/>
        </w:rPr>
        <w:t xml:space="preserve"> (above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 xml:space="preserve">), and above all the ongoing volumes of </w:t>
      </w:r>
      <w:r w:rsidRPr="009D33F1">
        <w:rPr>
          <w:rFonts w:ascii="Times New Roman" w:hAnsi="Times New Roman"/>
          <w:i/>
          <w:sz w:val="20"/>
          <w:szCs w:val="20"/>
        </w:rPr>
        <w:t>English Episcopal Acta</w:t>
      </w:r>
      <w:r w:rsidRPr="009D33F1">
        <w:rPr>
          <w:rFonts w:ascii="Times New Roman" w:hAnsi="Times New Roman"/>
          <w:sz w:val="20"/>
          <w:szCs w:val="20"/>
        </w:rPr>
        <w:t>.</w:t>
      </w:r>
    </w:p>
  </w:footnote>
  <w:footnote w:id="172">
    <w:p w14:paraId="627FD0E8"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Pending this, see most recently the contributions to </w:t>
      </w:r>
      <w:r w:rsidRPr="009D33F1">
        <w:rPr>
          <w:rFonts w:ascii="Times New Roman" w:hAnsi="Times New Roman"/>
          <w:i/>
          <w:sz w:val="20"/>
          <w:szCs w:val="20"/>
        </w:rPr>
        <w:t>Etienne Langton</w:t>
      </w:r>
      <w:r w:rsidRPr="009D33F1">
        <w:rPr>
          <w:rFonts w:ascii="Times New Roman" w:hAnsi="Times New Roman"/>
          <w:sz w:val="20"/>
          <w:szCs w:val="20"/>
        </w:rPr>
        <w:t xml:space="preserve">, ed. Bataillon, Beriou, Dahan and Quinto (above </w:t>
      </w:r>
      <w:proofErr w:type="gramStart"/>
      <w:r w:rsidRPr="009D33F1">
        <w:rPr>
          <w:rFonts w:ascii="Times New Roman" w:hAnsi="Times New Roman"/>
          <w:sz w:val="20"/>
          <w:szCs w:val="20"/>
        </w:rPr>
        <w:t>n.XYZ</w:t>
      </w:r>
      <w:proofErr w:type="gramEnd"/>
      <w:r w:rsidRPr="009D33F1">
        <w:rPr>
          <w:rFonts w:ascii="Times New Roman" w:hAnsi="Times New Roman"/>
          <w:sz w:val="20"/>
          <w:szCs w:val="20"/>
        </w:rPr>
        <w:t xml:space="preserve">), and the newly started edition of Langton's </w:t>
      </w:r>
      <w:r w:rsidRPr="009D33F1">
        <w:rPr>
          <w:rFonts w:ascii="Times New Roman" w:hAnsi="Times New Roman"/>
          <w:i/>
          <w:sz w:val="20"/>
          <w:szCs w:val="20"/>
        </w:rPr>
        <w:t>Quaestiones Theologiae</w:t>
      </w:r>
      <w:r w:rsidRPr="009D33F1">
        <w:rPr>
          <w:rFonts w:ascii="Times New Roman" w:hAnsi="Times New Roman"/>
          <w:sz w:val="20"/>
          <w:szCs w:val="20"/>
        </w:rPr>
        <w:t>, ed. R. Quinto and M. Bieniak (vol.1, Oxford 2014).</w:t>
      </w:r>
    </w:p>
  </w:footnote>
  <w:footnote w:id="173">
    <w:p w14:paraId="5C7E37D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K. Stringer, </w:t>
      </w:r>
      <w:r w:rsidRPr="009D33F1">
        <w:rPr>
          <w:rFonts w:ascii="Times New Roman" w:hAnsi="Times New Roman"/>
          <w:i/>
          <w:sz w:val="20"/>
          <w:szCs w:val="20"/>
        </w:rPr>
        <w:t>Earl David of Hungtingdon</w:t>
      </w:r>
      <w:r w:rsidRPr="009D33F1">
        <w:rPr>
          <w:rFonts w:ascii="Times New Roman" w:hAnsi="Times New Roman"/>
          <w:sz w:val="20"/>
          <w:szCs w:val="20"/>
        </w:rPr>
        <w:t xml:space="preserve"> (Edinburgh 1985), reviewed by A. Macquarrie, </w:t>
      </w:r>
      <w:r w:rsidRPr="009D33F1">
        <w:rPr>
          <w:rFonts w:ascii="Times New Roman" w:hAnsi="Times New Roman"/>
          <w:i/>
          <w:sz w:val="20"/>
          <w:szCs w:val="20"/>
        </w:rPr>
        <w:t>ante</w:t>
      </w:r>
      <w:r w:rsidRPr="009D33F1">
        <w:rPr>
          <w:rFonts w:ascii="Times New Roman" w:hAnsi="Times New Roman"/>
          <w:sz w:val="20"/>
          <w:szCs w:val="20"/>
        </w:rPr>
        <w:t xml:space="preserve">, ciii (1988); 177-8; B. English, </w:t>
      </w:r>
      <w:r w:rsidRPr="009D33F1">
        <w:rPr>
          <w:rFonts w:ascii="Times New Roman" w:hAnsi="Times New Roman"/>
          <w:i/>
          <w:sz w:val="20"/>
          <w:szCs w:val="20"/>
        </w:rPr>
        <w:t>The Lords of Holderness, 1086-1260</w:t>
      </w:r>
      <w:r w:rsidRPr="009D33F1">
        <w:rPr>
          <w:rFonts w:ascii="Times New Roman" w:hAnsi="Times New Roman"/>
          <w:sz w:val="20"/>
          <w:szCs w:val="20"/>
        </w:rPr>
        <w:t xml:space="preserve"> (Oxford 1979), reviewed by B.F. Harvey, </w:t>
      </w:r>
      <w:r w:rsidRPr="009D33F1">
        <w:rPr>
          <w:rFonts w:ascii="Times New Roman" w:hAnsi="Times New Roman"/>
          <w:i/>
          <w:sz w:val="20"/>
          <w:szCs w:val="20"/>
        </w:rPr>
        <w:t>ante</w:t>
      </w:r>
      <w:r w:rsidRPr="009D33F1">
        <w:rPr>
          <w:rFonts w:ascii="Times New Roman" w:hAnsi="Times New Roman"/>
          <w:sz w:val="20"/>
          <w:szCs w:val="20"/>
        </w:rPr>
        <w:t xml:space="preserve">, xcvii (1982), 885.  Michael Altschul's </w:t>
      </w:r>
      <w:r w:rsidRPr="009D33F1">
        <w:rPr>
          <w:rFonts w:ascii="Times New Roman" w:hAnsi="Times New Roman"/>
          <w:i/>
          <w:sz w:val="20"/>
          <w:szCs w:val="20"/>
        </w:rPr>
        <w:t>A Baronial Family of Medieval England: the Clares, 1217-1314</w:t>
      </w:r>
      <w:r w:rsidRPr="009D33F1">
        <w:rPr>
          <w:rFonts w:ascii="Times New Roman" w:hAnsi="Times New Roman"/>
          <w:sz w:val="20"/>
          <w:szCs w:val="20"/>
        </w:rPr>
        <w:t xml:space="preserve"> (Baltimore 1965), reviewed by E. Miller, </w:t>
      </w:r>
      <w:r w:rsidRPr="009D33F1">
        <w:rPr>
          <w:rFonts w:ascii="Times New Roman" w:hAnsi="Times New Roman"/>
          <w:i/>
          <w:sz w:val="20"/>
          <w:szCs w:val="20"/>
        </w:rPr>
        <w:t>ante</w:t>
      </w:r>
      <w:r w:rsidRPr="009D33F1">
        <w:rPr>
          <w:rFonts w:ascii="Times New Roman" w:hAnsi="Times New Roman"/>
          <w:sz w:val="20"/>
          <w:szCs w:val="20"/>
        </w:rPr>
        <w:t>, lxxxii (1967), 594-5, begins just too late to count here.  Charter materials were collected, but remain unpublished, in Holt supervised theses: A. Charlton, 'A Study of the Mandeville Family and its Estates', University of Reading PhD thesis (1977); S.A.J. Atkin, 'The Bigod Family: An Investigation into their Lands and Activities, 1066-1306', Reading University PhD thesis (1979)</w:t>
      </w:r>
    </w:p>
  </w:footnote>
  <w:footnote w:id="174">
    <w:p w14:paraId="7131DC1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Again with the exception of the Holt supervized thesis by B.J. Feeney, 'East Anglian Opposition to King John', Unpublished PhD Thesis, University of Reading (1973), whence idem, 'The Effects of King John's Scutages on East Anglian Subjects', </w:t>
      </w:r>
      <w:r w:rsidRPr="009D33F1">
        <w:rPr>
          <w:rFonts w:ascii="Times New Roman" w:hAnsi="Times New Roman"/>
          <w:i/>
          <w:iCs/>
          <w:sz w:val="20"/>
          <w:szCs w:val="20"/>
        </w:rPr>
        <w:t>Reading Medieval Studies</w:t>
      </w:r>
      <w:r w:rsidRPr="009D33F1">
        <w:rPr>
          <w:rFonts w:ascii="Times New Roman" w:hAnsi="Times New Roman"/>
          <w:iCs/>
          <w:sz w:val="20"/>
          <w:szCs w:val="20"/>
        </w:rPr>
        <w:t>,</w:t>
      </w:r>
      <w:r w:rsidRPr="009D33F1">
        <w:rPr>
          <w:rFonts w:ascii="Times New Roman" w:hAnsi="Times New Roman"/>
          <w:i/>
          <w:iCs/>
          <w:sz w:val="20"/>
          <w:szCs w:val="20"/>
        </w:rPr>
        <w:t xml:space="preserve"> </w:t>
      </w:r>
      <w:r w:rsidRPr="009D33F1">
        <w:rPr>
          <w:rFonts w:ascii="Times New Roman" w:hAnsi="Times New Roman"/>
          <w:sz w:val="20"/>
          <w:szCs w:val="20"/>
        </w:rPr>
        <w:t>11 (1985), 51-74.</w:t>
      </w:r>
    </w:p>
  </w:footnote>
  <w:footnote w:id="175">
    <w:p w14:paraId="20D66C01"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Holt, 'The Barons and the Great Charter', </w:t>
      </w:r>
      <w:r w:rsidRPr="009D33F1">
        <w:rPr>
          <w:rFonts w:ascii="Times New Roman" w:hAnsi="Times New Roman"/>
          <w:i/>
          <w:sz w:val="20"/>
          <w:szCs w:val="20"/>
        </w:rPr>
        <w:t>ante</w:t>
      </w:r>
      <w:r w:rsidRPr="009D33F1">
        <w:rPr>
          <w:rFonts w:ascii="Times New Roman" w:hAnsi="Times New Roman"/>
          <w:sz w:val="20"/>
          <w:szCs w:val="20"/>
        </w:rPr>
        <w:t xml:space="preserve">, lx (1955), 4 n.4, citing TNA C 47/34/8 nos 1-23, also noted by Holt, </w:t>
      </w:r>
      <w:r w:rsidRPr="009D33F1">
        <w:rPr>
          <w:rFonts w:ascii="Times New Roman" w:hAnsi="Times New Roman"/>
          <w:i/>
          <w:sz w:val="20"/>
          <w:szCs w:val="20"/>
        </w:rPr>
        <w:t>Magna Carta</w:t>
      </w:r>
      <w:r w:rsidRPr="009D33F1">
        <w:rPr>
          <w:rFonts w:ascii="Times New Roman" w:hAnsi="Times New Roman"/>
          <w:sz w:val="20"/>
          <w:szCs w:val="20"/>
        </w:rPr>
        <w:t xml:space="preserve"> (1992), 101 n.126, noting further discoveries.</w:t>
      </w:r>
    </w:p>
  </w:footnote>
  <w:footnote w:id="176">
    <w:p w14:paraId="5CFA14A4"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Stenton, review of Warren's </w:t>
      </w:r>
      <w:r w:rsidRPr="009D33F1">
        <w:rPr>
          <w:rFonts w:ascii="Times New Roman" w:hAnsi="Times New Roman"/>
          <w:i/>
          <w:sz w:val="20"/>
          <w:szCs w:val="20"/>
        </w:rPr>
        <w:t>King John</w:t>
      </w:r>
      <w:r w:rsidRPr="009D33F1">
        <w:rPr>
          <w:rFonts w:ascii="Times New Roman" w:hAnsi="Times New Roman"/>
          <w:sz w:val="20"/>
          <w:szCs w:val="20"/>
        </w:rPr>
        <w:t xml:space="preserve">, </w:t>
      </w:r>
      <w:r w:rsidRPr="009D33F1">
        <w:rPr>
          <w:rFonts w:ascii="Times New Roman" w:hAnsi="Times New Roman"/>
          <w:i/>
          <w:sz w:val="20"/>
          <w:szCs w:val="20"/>
        </w:rPr>
        <w:t>ante</w:t>
      </w:r>
      <w:r w:rsidRPr="009D33F1">
        <w:rPr>
          <w:rFonts w:ascii="Times New Roman" w:hAnsi="Times New Roman"/>
          <w:sz w:val="20"/>
          <w:szCs w:val="20"/>
        </w:rPr>
        <w:t>, lxxvii (1962), 751.</w:t>
      </w:r>
      <w:proofErr w:type="gramEnd"/>
      <w:r w:rsidRPr="009D33F1">
        <w:rPr>
          <w:rFonts w:ascii="Times New Roman" w:hAnsi="Times New Roman"/>
          <w:sz w:val="20"/>
          <w:szCs w:val="20"/>
        </w:rPr>
        <w:t xml:space="preserve">  For a detailed prosopography of John's justices, see now R.V. Turner, </w:t>
      </w:r>
      <w:r w:rsidRPr="009D33F1">
        <w:rPr>
          <w:rFonts w:ascii="Times New Roman" w:hAnsi="Times New Roman"/>
          <w:i/>
          <w:sz w:val="20"/>
          <w:szCs w:val="20"/>
        </w:rPr>
        <w:t>The English Judiciary in the Age of Glanvill and Bracton, c.1176-1239</w:t>
      </w:r>
      <w:r w:rsidRPr="009D33F1">
        <w:rPr>
          <w:rFonts w:ascii="Times New Roman" w:hAnsi="Times New Roman"/>
          <w:sz w:val="20"/>
          <w:szCs w:val="20"/>
        </w:rPr>
        <w:t xml:space="preserve"> (Cambridge 1985), reviewed by A. Harding, </w:t>
      </w:r>
      <w:r w:rsidRPr="009D33F1">
        <w:rPr>
          <w:rFonts w:ascii="Times New Roman" w:hAnsi="Times New Roman"/>
          <w:i/>
          <w:sz w:val="20"/>
          <w:szCs w:val="20"/>
        </w:rPr>
        <w:t>ante</w:t>
      </w:r>
      <w:r w:rsidRPr="009D33F1">
        <w:rPr>
          <w:rFonts w:ascii="Times New Roman" w:hAnsi="Times New Roman"/>
          <w:sz w:val="20"/>
          <w:szCs w:val="20"/>
        </w:rPr>
        <w:t xml:space="preserve">, ciii (1988), 474-5, to some extent following the lead set by F. Pegues, 'The "Clericus" in the Legal Administration of Thirteenth-Century England', </w:t>
      </w:r>
      <w:r w:rsidRPr="009D33F1">
        <w:rPr>
          <w:rFonts w:ascii="Times New Roman" w:hAnsi="Times New Roman"/>
          <w:i/>
          <w:sz w:val="20"/>
          <w:szCs w:val="20"/>
        </w:rPr>
        <w:t>ante</w:t>
      </w:r>
      <w:r w:rsidRPr="009D33F1">
        <w:rPr>
          <w:rFonts w:ascii="Times New Roman" w:hAnsi="Times New Roman"/>
          <w:sz w:val="20"/>
          <w:szCs w:val="20"/>
        </w:rPr>
        <w:t>, lxxi (1956), 529-59.</w:t>
      </w:r>
    </w:p>
  </w:footnote>
  <w:footnote w:id="177">
    <w:p w14:paraId="00F6ACDA"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r w:rsidRPr="009D33F1">
        <w:rPr>
          <w:rFonts w:ascii="Times New Roman" w:hAnsi="Times New Roman"/>
          <w:sz w:val="20"/>
          <w:szCs w:val="20"/>
          <w:lang w:val="en-GB"/>
        </w:rPr>
        <w:t xml:space="preserve">B. Lyon and A. Verhulst, </w:t>
      </w:r>
      <w:r w:rsidRPr="009D33F1">
        <w:rPr>
          <w:rFonts w:ascii="Times New Roman" w:hAnsi="Times New Roman"/>
          <w:i/>
          <w:sz w:val="20"/>
          <w:szCs w:val="20"/>
          <w:lang w:val="en-GB"/>
        </w:rPr>
        <w:t xml:space="preserve">Medieval </w:t>
      </w:r>
      <w:proofErr w:type="gramStart"/>
      <w:r w:rsidRPr="009D33F1">
        <w:rPr>
          <w:rFonts w:ascii="Times New Roman" w:hAnsi="Times New Roman"/>
          <w:i/>
          <w:sz w:val="20"/>
          <w:szCs w:val="20"/>
          <w:lang w:val="en-GB"/>
        </w:rPr>
        <w:t>Finance :</w:t>
      </w:r>
      <w:proofErr w:type="gramEnd"/>
      <w:r w:rsidRPr="009D33F1">
        <w:rPr>
          <w:rFonts w:ascii="Times New Roman" w:hAnsi="Times New Roman"/>
          <w:i/>
          <w:sz w:val="20"/>
          <w:szCs w:val="20"/>
          <w:lang w:val="en-GB"/>
        </w:rPr>
        <w:t xml:space="preserve"> A Comparison of Financial Institutions in Northwestern Europe</w:t>
      </w:r>
      <w:r w:rsidRPr="009D33F1">
        <w:rPr>
          <w:rFonts w:ascii="Times New Roman" w:hAnsi="Times New Roman"/>
          <w:sz w:val="20"/>
          <w:szCs w:val="20"/>
          <w:lang w:val="en-GB"/>
        </w:rPr>
        <w:t xml:space="preserve"> (Bruges 1967), although cf. Bisson and Vincent, infra nn.XYZ.</w:t>
      </w:r>
    </w:p>
  </w:footnote>
  <w:footnote w:id="178">
    <w:p w14:paraId="1251CF6F"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An attempt to redress this is now underway.  See the Magna Carta Project website at &lt;http://magnacarta.cmp.uea.ac.uk/&gt;.</w:t>
      </w:r>
    </w:p>
  </w:footnote>
  <w:footnote w:id="179">
    <w:p w14:paraId="678F9D8E"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major studies here, see </w:t>
      </w:r>
      <w:r w:rsidRPr="009D33F1">
        <w:rPr>
          <w:rFonts w:ascii="Times New Roman" w:hAnsi="Times New Roman"/>
          <w:sz w:val="20"/>
          <w:szCs w:val="20"/>
          <w:lang w:val="en-GB"/>
        </w:rPr>
        <w:t xml:space="preserve">T.N. Bisson, </w:t>
      </w:r>
      <w:r w:rsidRPr="009D33F1">
        <w:rPr>
          <w:rFonts w:ascii="Times New Roman" w:hAnsi="Times New Roman"/>
          <w:i/>
          <w:sz w:val="20"/>
          <w:szCs w:val="20"/>
          <w:lang w:val="en-GB"/>
        </w:rPr>
        <w:t>The Crisis of the Twelfth Century</w:t>
      </w:r>
      <w:r w:rsidRPr="009D33F1">
        <w:rPr>
          <w:rFonts w:ascii="Times New Roman" w:hAnsi="Times New Roman"/>
          <w:sz w:val="20"/>
          <w:szCs w:val="20"/>
          <w:lang w:val="en-GB"/>
        </w:rPr>
        <w:t xml:space="preserve"> (Princeton 2009), reviewed by J.A. Green, </w:t>
      </w:r>
      <w:r w:rsidRPr="009D33F1">
        <w:rPr>
          <w:rFonts w:ascii="Times New Roman" w:hAnsi="Times New Roman"/>
          <w:i/>
          <w:sz w:val="20"/>
          <w:szCs w:val="20"/>
          <w:lang w:val="en-GB"/>
        </w:rPr>
        <w:t>ante</w:t>
      </w:r>
      <w:r w:rsidRPr="009D33F1">
        <w:rPr>
          <w:rFonts w:ascii="Times New Roman" w:hAnsi="Times New Roman"/>
          <w:sz w:val="20"/>
          <w:szCs w:val="20"/>
          <w:lang w:val="en-GB"/>
        </w:rPr>
        <w:t>, cxxv (2010), 680-2; F. Lachaud,</w:t>
      </w:r>
      <w:r w:rsidRPr="009D33F1">
        <w:rPr>
          <w:rFonts w:ascii="Times New Roman" w:hAnsi="Times New Roman"/>
          <w:i/>
          <w:sz w:val="20"/>
          <w:szCs w:val="20"/>
          <w:lang w:val="en-GB"/>
        </w:rPr>
        <w:t xml:space="preserve"> L’Ethique du pouvoir au Moyen Age. L’office dans la culture politique (Angleterre, vers 1150-vers 1330)</w:t>
      </w:r>
      <w:r w:rsidRPr="009D33F1">
        <w:rPr>
          <w:rFonts w:ascii="Times New Roman" w:hAnsi="Times New Roman"/>
          <w:sz w:val="20"/>
          <w:szCs w:val="20"/>
          <w:lang w:val="en-GB"/>
        </w:rPr>
        <w:t xml:space="preserve"> (Paris 2010); J. Sabapathy, </w:t>
      </w:r>
      <w:r w:rsidRPr="009D33F1">
        <w:rPr>
          <w:rFonts w:ascii="Times New Roman" w:hAnsi="Times New Roman"/>
          <w:i/>
          <w:sz w:val="20"/>
          <w:szCs w:val="20"/>
          <w:lang w:val="en-GB"/>
        </w:rPr>
        <w:t>Officers and Accountability in Medieval England 1170-1300</w:t>
      </w:r>
      <w:r w:rsidRPr="009D33F1">
        <w:rPr>
          <w:rFonts w:ascii="Times New Roman" w:hAnsi="Times New Roman"/>
          <w:sz w:val="20"/>
          <w:szCs w:val="20"/>
          <w:lang w:val="en-GB"/>
        </w:rPr>
        <w:t xml:space="preserve"> (Oxford 2014), neither of these latter as yet reviewed in </w:t>
      </w:r>
      <w:r w:rsidRPr="009D33F1">
        <w:rPr>
          <w:rFonts w:ascii="Times New Roman" w:hAnsi="Times New Roman"/>
          <w:i/>
          <w:sz w:val="20"/>
          <w:szCs w:val="20"/>
          <w:lang w:val="en-GB"/>
        </w:rPr>
        <w:t>EHR</w:t>
      </w:r>
      <w:r w:rsidRPr="009D33F1">
        <w:rPr>
          <w:rFonts w:ascii="Times New Roman" w:hAnsi="Times New Roman"/>
          <w:sz w:val="20"/>
          <w:szCs w:val="20"/>
          <w:lang w:val="en-GB"/>
        </w:rPr>
        <w:t>.</w:t>
      </w:r>
    </w:p>
  </w:footnote>
  <w:footnote w:id="180">
    <w:p w14:paraId="0B9C39D4"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pointers here, see J. Sommerville, 'The Ancient Constitution Reassessed: The Common Law, the Court and the Language of Politics in Early Modern England', </w:t>
      </w:r>
      <w:r w:rsidRPr="009D33F1">
        <w:rPr>
          <w:rFonts w:ascii="Times New Roman" w:hAnsi="Times New Roman"/>
          <w:i/>
          <w:sz w:val="20"/>
          <w:szCs w:val="20"/>
        </w:rPr>
        <w:t>The Stuart Court and Europe</w:t>
      </w:r>
      <w:r w:rsidRPr="009D33F1">
        <w:rPr>
          <w:rFonts w:ascii="Times New Roman" w:hAnsi="Times New Roman"/>
          <w:sz w:val="20"/>
          <w:szCs w:val="20"/>
        </w:rPr>
        <w:t xml:space="preserve">, ed. M. Smuts (Cambridge 1996), 46-52, and cf. P. Christianson, 'Two Proposals for Raising Money by Extraordinary Means, c.1627', </w:t>
      </w:r>
      <w:r w:rsidRPr="009D33F1">
        <w:rPr>
          <w:rFonts w:ascii="Times New Roman" w:hAnsi="Times New Roman"/>
          <w:i/>
          <w:sz w:val="20"/>
          <w:szCs w:val="20"/>
        </w:rPr>
        <w:t>ante</w:t>
      </w:r>
      <w:r w:rsidRPr="009D33F1">
        <w:rPr>
          <w:rFonts w:ascii="Times New Roman" w:hAnsi="Times New Roman"/>
          <w:sz w:val="20"/>
          <w:szCs w:val="20"/>
        </w:rPr>
        <w:t>, cxvii (2002), 356-73.</w:t>
      </w:r>
    </w:p>
  </w:footnote>
  <w:footnote w:id="181">
    <w:p w14:paraId="03631EBC"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For the 1215 commentary, almost entirely the work of Henry Summerson, see the latest version at &lt;http://magnacarta.cmp.uea.ac.uk/&gt;.  John Baker is at work on a series of </w:t>
      </w:r>
      <w:r w:rsidRPr="009D33F1">
        <w:rPr>
          <w:rFonts w:ascii="Times New Roman" w:hAnsi="Times New Roman"/>
          <w:i/>
          <w:sz w:val="20"/>
          <w:szCs w:val="20"/>
        </w:rPr>
        <w:t>Readings on Magna Carta</w:t>
      </w:r>
      <w:r w:rsidRPr="009D33F1">
        <w:rPr>
          <w:rFonts w:ascii="Times New Roman" w:hAnsi="Times New Roman"/>
          <w:sz w:val="20"/>
          <w:szCs w:val="20"/>
        </w:rPr>
        <w:t xml:space="preserve">, from the later </w:t>
      </w:r>
      <w:proofErr w:type="gramStart"/>
      <w:r w:rsidRPr="009D33F1">
        <w:rPr>
          <w:rFonts w:ascii="Times New Roman" w:hAnsi="Times New Roman"/>
          <w:sz w:val="20"/>
          <w:szCs w:val="20"/>
        </w:rPr>
        <w:t>Middle</w:t>
      </w:r>
      <w:proofErr w:type="gramEnd"/>
      <w:r w:rsidRPr="009D33F1">
        <w:rPr>
          <w:rFonts w:ascii="Times New Roman" w:hAnsi="Times New Roman"/>
          <w:sz w:val="20"/>
          <w:szCs w:val="20"/>
        </w:rPr>
        <w:t xml:space="preserve"> Ages and beyond, forthcoming from the Selden Society.</w:t>
      </w:r>
    </w:p>
  </w:footnote>
  <w:footnote w:id="182">
    <w:p w14:paraId="0C9EC5ED" w14:textId="77777777" w:rsidR="00036517" w:rsidRPr="009D33F1" w:rsidRDefault="00036517" w:rsidP="00A27FF6">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Hudson, </w:t>
      </w:r>
      <w:r w:rsidRPr="009D33F1">
        <w:rPr>
          <w:rFonts w:ascii="Times New Roman" w:hAnsi="Times New Roman"/>
          <w:i/>
          <w:sz w:val="20"/>
          <w:szCs w:val="20"/>
        </w:rPr>
        <w:t>The Oxford History of the Laws of England.</w:t>
      </w:r>
      <w:proofErr w:type="gramEnd"/>
      <w:r w:rsidRPr="009D33F1">
        <w:rPr>
          <w:rFonts w:ascii="Times New Roman" w:hAnsi="Times New Roman"/>
          <w:i/>
          <w:sz w:val="20"/>
          <w:szCs w:val="20"/>
        </w:rPr>
        <w:t xml:space="preserve">  Volume II: 871-1216</w:t>
      </w:r>
      <w:r w:rsidRPr="009D33F1">
        <w:rPr>
          <w:rFonts w:ascii="Times New Roman" w:hAnsi="Times New Roman"/>
          <w:sz w:val="20"/>
          <w:szCs w:val="20"/>
        </w:rPr>
        <w:t xml:space="preserve"> (Oxford 2012), reviewed by Coss, </w:t>
      </w:r>
      <w:r w:rsidRPr="009D33F1">
        <w:rPr>
          <w:rFonts w:ascii="Times New Roman" w:hAnsi="Times New Roman"/>
          <w:i/>
          <w:sz w:val="20"/>
          <w:szCs w:val="20"/>
        </w:rPr>
        <w:t>ante</w:t>
      </w:r>
      <w:r w:rsidRPr="009D33F1">
        <w:rPr>
          <w:rFonts w:ascii="Times New Roman" w:hAnsi="Times New Roman"/>
          <w:sz w:val="20"/>
          <w:szCs w:val="20"/>
        </w:rPr>
        <w:t>, cxxix (2014), 168-71.</w:t>
      </w:r>
    </w:p>
  </w:footnote>
  <w:footnote w:id="183">
    <w:p w14:paraId="42B743ED" w14:textId="7A5DBB85" w:rsidR="00036517" w:rsidRPr="009D33F1" w:rsidRDefault="00036517">
      <w:pPr>
        <w:pStyle w:val="FootnoteText"/>
        <w:rPr>
          <w:rFonts w:ascii="Times New Roman" w:hAnsi="Times New Roman"/>
          <w:sz w:val="20"/>
          <w:szCs w:val="20"/>
        </w:rPr>
      </w:pPr>
      <w:r w:rsidRPr="009D33F1">
        <w:rPr>
          <w:rStyle w:val="FootnoteReference"/>
          <w:rFonts w:ascii="Times New Roman" w:hAnsi="Times New Roman"/>
          <w:sz w:val="20"/>
          <w:szCs w:val="20"/>
        </w:rPr>
        <w:footnoteRef/>
      </w:r>
      <w:r w:rsidRPr="009D33F1">
        <w:rPr>
          <w:rFonts w:ascii="Times New Roman" w:hAnsi="Times New Roman"/>
          <w:sz w:val="20"/>
          <w:szCs w:val="20"/>
        </w:rPr>
        <w:t xml:space="preserve"> </w:t>
      </w:r>
      <w:proofErr w:type="gramStart"/>
      <w:r w:rsidRPr="009D33F1">
        <w:rPr>
          <w:rFonts w:ascii="Times New Roman" w:hAnsi="Times New Roman"/>
          <w:sz w:val="20"/>
          <w:szCs w:val="20"/>
        </w:rPr>
        <w:t xml:space="preserve">Carpenter, </w:t>
      </w:r>
      <w:r w:rsidRPr="009D33F1">
        <w:rPr>
          <w:rFonts w:ascii="Times New Roman" w:hAnsi="Times New Roman"/>
          <w:i/>
          <w:sz w:val="20"/>
          <w:szCs w:val="20"/>
        </w:rPr>
        <w:t>Magna Carta</w:t>
      </w:r>
      <w:r w:rsidRPr="009D33F1">
        <w:rPr>
          <w:rFonts w:ascii="Times New Roman" w:hAnsi="Times New Roman"/>
          <w:sz w:val="20"/>
          <w:szCs w:val="20"/>
        </w:rPr>
        <w:t xml:space="preserve"> (London 2015); Holt, </w:t>
      </w:r>
      <w:r w:rsidRPr="009D33F1">
        <w:rPr>
          <w:rFonts w:ascii="Times New Roman" w:hAnsi="Times New Roman"/>
          <w:i/>
          <w:sz w:val="20"/>
          <w:szCs w:val="20"/>
        </w:rPr>
        <w:t>Magna Carta</w:t>
      </w:r>
      <w:r w:rsidRPr="009D33F1">
        <w:rPr>
          <w:rFonts w:ascii="Times New Roman" w:hAnsi="Times New Roman"/>
          <w:sz w:val="20"/>
          <w:szCs w:val="20"/>
        </w:rPr>
        <w:t>, 3rd ed., with an introduction by John Hudson and George Garnett (Cambridge 2015).</w:t>
      </w:r>
      <w:proofErr w:type="gramEnd"/>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AF5788C"/>
    <w:multiLevelType w:val="hybridMultilevel"/>
    <w:tmpl w:val="B1F6C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83714"/>
    <w:multiLevelType w:val="hybridMultilevel"/>
    <w:tmpl w:val="92CAC006"/>
    <w:lvl w:ilvl="0" w:tplc="28BAAE8E">
      <w:start w:val="1"/>
      <w:numFmt w:val="low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3442510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807676F"/>
    <w:multiLevelType w:val="hybridMultilevel"/>
    <w:tmpl w:val="92CAC006"/>
    <w:lvl w:ilvl="0" w:tplc="28BAAE8E">
      <w:start w:val="1"/>
      <w:numFmt w:val="lowerRoman"/>
      <w:lvlText w:val="%1."/>
      <w:lvlJc w:val="left"/>
      <w:pPr>
        <w:tabs>
          <w:tab w:val="num" w:pos="2138"/>
        </w:tabs>
        <w:ind w:left="2138" w:hanging="720"/>
      </w:pPr>
      <w:rPr>
        <w:rFonts w:hint="default"/>
      </w:rPr>
    </w:lvl>
    <w:lvl w:ilvl="1" w:tplc="04090019">
      <w:start w:val="1"/>
      <w:numFmt w:val="lowerLetter"/>
      <w:lvlText w:val="%2."/>
      <w:lvlJc w:val="left"/>
      <w:pPr>
        <w:tabs>
          <w:tab w:val="num" w:pos="1440"/>
        </w:tabs>
        <w:ind w:left="1440" w:hanging="360"/>
      </w:pPr>
    </w:lvl>
    <w:lvl w:ilvl="2" w:tplc="3442510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37B64CB"/>
    <w:multiLevelType w:val="hybridMultilevel"/>
    <w:tmpl w:val="5BA4352E"/>
    <w:lvl w:ilvl="0" w:tplc="C05666A2">
      <w:start w:val="3"/>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700334D"/>
    <w:multiLevelType w:val="hybridMultilevel"/>
    <w:tmpl w:val="F96AFD34"/>
    <w:lvl w:ilvl="0" w:tplc="5986B15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7C42A5E"/>
    <w:multiLevelType w:val="hybridMultilevel"/>
    <w:tmpl w:val="F7400822"/>
    <w:lvl w:ilvl="0" w:tplc="8CF693BE">
      <w:start w:val="2"/>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D3B2E84"/>
    <w:multiLevelType w:val="hybridMultilevel"/>
    <w:tmpl w:val="6264F0E8"/>
    <w:lvl w:ilvl="0" w:tplc="FF281A0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798486C"/>
    <w:multiLevelType w:val="hybridMultilevel"/>
    <w:tmpl w:val="92CAC006"/>
    <w:lvl w:ilvl="0" w:tplc="28BAAE8E">
      <w:start w:val="1"/>
      <w:numFmt w:val="lowerRoman"/>
      <w:lvlText w:val="%1."/>
      <w:lvlJc w:val="left"/>
      <w:pPr>
        <w:tabs>
          <w:tab w:val="num" w:pos="2563"/>
        </w:tabs>
        <w:ind w:left="2563" w:hanging="720"/>
      </w:pPr>
      <w:rPr>
        <w:rFonts w:hint="default"/>
      </w:rPr>
    </w:lvl>
    <w:lvl w:ilvl="1" w:tplc="04090019">
      <w:start w:val="1"/>
      <w:numFmt w:val="lowerLetter"/>
      <w:lvlText w:val="%2."/>
      <w:lvlJc w:val="left"/>
      <w:pPr>
        <w:tabs>
          <w:tab w:val="num" w:pos="1440"/>
        </w:tabs>
        <w:ind w:left="1440" w:hanging="360"/>
      </w:pPr>
    </w:lvl>
    <w:lvl w:ilvl="2" w:tplc="3442510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94930FD"/>
    <w:multiLevelType w:val="hybridMultilevel"/>
    <w:tmpl w:val="B7C219D6"/>
    <w:lvl w:ilvl="0" w:tplc="3C40C3EE">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966210A"/>
    <w:multiLevelType w:val="hybridMultilevel"/>
    <w:tmpl w:val="743A40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CA10F9E"/>
    <w:multiLevelType w:val="hybridMultilevel"/>
    <w:tmpl w:val="92CAC006"/>
    <w:lvl w:ilvl="0" w:tplc="28BAAE8E">
      <w:start w:val="1"/>
      <w:numFmt w:val="lowerRoman"/>
      <w:lvlText w:val="%1."/>
      <w:lvlJc w:val="left"/>
      <w:pPr>
        <w:tabs>
          <w:tab w:val="num" w:pos="2280"/>
        </w:tabs>
        <w:ind w:left="2280" w:hanging="720"/>
      </w:pPr>
      <w:rPr>
        <w:rFonts w:hint="default"/>
      </w:rPr>
    </w:lvl>
    <w:lvl w:ilvl="1" w:tplc="04090019">
      <w:start w:val="1"/>
      <w:numFmt w:val="lowerLetter"/>
      <w:lvlText w:val="%2."/>
      <w:lvlJc w:val="left"/>
      <w:pPr>
        <w:tabs>
          <w:tab w:val="num" w:pos="1440"/>
        </w:tabs>
        <w:ind w:left="1440" w:hanging="360"/>
      </w:pPr>
    </w:lvl>
    <w:lvl w:ilvl="2" w:tplc="3442510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FD442CD"/>
    <w:multiLevelType w:val="hybridMultilevel"/>
    <w:tmpl w:val="C736DD50"/>
    <w:lvl w:ilvl="0" w:tplc="83405D9C">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58DE0D3E"/>
    <w:multiLevelType w:val="hybridMultilevel"/>
    <w:tmpl w:val="646021D0"/>
    <w:lvl w:ilvl="0" w:tplc="F54864D6">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C1C3B35"/>
    <w:multiLevelType w:val="hybridMultilevel"/>
    <w:tmpl w:val="151C5160"/>
    <w:lvl w:ilvl="0" w:tplc="B3542ADC">
      <w:start w:val="3"/>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74E8343C"/>
    <w:multiLevelType w:val="hybridMultilevel"/>
    <w:tmpl w:val="2BCC983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E0E258E"/>
    <w:multiLevelType w:val="hybridMultilevel"/>
    <w:tmpl w:val="F342D402"/>
    <w:lvl w:ilvl="0" w:tplc="0409000F">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FD72BF5"/>
    <w:multiLevelType w:val="hybridMultilevel"/>
    <w:tmpl w:val="A25C248A"/>
    <w:lvl w:ilvl="0" w:tplc="0409000F">
      <w:start w:val="1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10"/>
  </w:num>
  <w:num w:numId="4">
    <w:abstractNumId w:val="15"/>
  </w:num>
  <w:num w:numId="5">
    <w:abstractNumId w:val="16"/>
  </w:num>
  <w:num w:numId="6">
    <w:abstractNumId w:val="17"/>
  </w:num>
  <w:num w:numId="7">
    <w:abstractNumId w:val="9"/>
  </w:num>
  <w:num w:numId="8">
    <w:abstractNumId w:val="5"/>
  </w:num>
  <w:num w:numId="9">
    <w:abstractNumId w:val="7"/>
  </w:num>
  <w:num w:numId="10">
    <w:abstractNumId w:val="13"/>
  </w:num>
  <w:num w:numId="11">
    <w:abstractNumId w:val="12"/>
  </w:num>
  <w:num w:numId="12">
    <w:abstractNumId w:val="14"/>
  </w:num>
  <w:num w:numId="13">
    <w:abstractNumId w:val="4"/>
  </w:num>
  <w:num w:numId="14">
    <w:abstractNumId w:val="6"/>
  </w:num>
  <w:num w:numId="15">
    <w:abstractNumId w:val="3"/>
  </w:num>
  <w:num w:numId="16">
    <w:abstractNumId w:val="2"/>
  </w:num>
  <w:num w:numId="17">
    <w:abstractNumId w:val="8"/>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32"/>
  <w:proofState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FF6"/>
    <w:rsid w:val="00036517"/>
    <w:rsid w:val="00087F9E"/>
    <w:rsid w:val="00100950"/>
    <w:rsid w:val="001E55A3"/>
    <w:rsid w:val="004570AA"/>
    <w:rsid w:val="00497837"/>
    <w:rsid w:val="006B135E"/>
    <w:rsid w:val="006E4A44"/>
    <w:rsid w:val="00826B16"/>
    <w:rsid w:val="00840053"/>
    <w:rsid w:val="00841B19"/>
    <w:rsid w:val="00844AC3"/>
    <w:rsid w:val="00847CB3"/>
    <w:rsid w:val="0088502E"/>
    <w:rsid w:val="008E14EF"/>
    <w:rsid w:val="00927C71"/>
    <w:rsid w:val="009671DD"/>
    <w:rsid w:val="009D33F1"/>
    <w:rsid w:val="00A27FF6"/>
    <w:rsid w:val="00AB08BA"/>
    <w:rsid w:val="00AD4E05"/>
    <w:rsid w:val="00C21918"/>
    <w:rsid w:val="00DB0D58"/>
    <w:rsid w:val="00DC036D"/>
    <w:rsid w:val="00E31570"/>
    <w:rsid w:val="00E73C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8881E1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FF6"/>
    <w:rPr>
      <w:rFonts w:ascii="Cambria" w:eastAsia="ＭＳ 明朝" w:hAnsi="Cambria" w:cs="Times New Roman"/>
    </w:rPr>
  </w:style>
  <w:style w:type="paragraph" w:styleId="Heading1">
    <w:name w:val="heading 1"/>
    <w:basedOn w:val="Normal"/>
    <w:next w:val="Normal"/>
    <w:link w:val="Heading1Char"/>
    <w:qFormat/>
    <w:rsid w:val="00A27FF6"/>
    <w:pPr>
      <w:keepNext/>
      <w:jc w:val="center"/>
      <w:outlineLvl w:val="0"/>
    </w:pPr>
    <w:rPr>
      <w:rFonts w:ascii="Times" w:eastAsia="Times" w:hAnsi="Times"/>
      <w:b/>
      <w:smallCaps/>
      <w:noProof/>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27FF6"/>
    <w:rPr>
      <w:rFonts w:ascii="Times" w:eastAsia="Times" w:hAnsi="Times" w:cs="Times New Roman"/>
      <w:b/>
      <w:smallCaps/>
      <w:noProof/>
      <w:szCs w:val="20"/>
      <w:lang w:val="en-GB"/>
    </w:rPr>
  </w:style>
  <w:style w:type="paragraph" w:styleId="FootnoteText">
    <w:name w:val="footnote text"/>
    <w:basedOn w:val="Normal"/>
    <w:link w:val="FootnoteTextChar"/>
    <w:semiHidden/>
    <w:rsid w:val="00A27FF6"/>
  </w:style>
  <w:style w:type="character" w:customStyle="1" w:styleId="FootnoteTextChar">
    <w:name w:val="Footnote Text Char"/>
    <w:basedOn w:val="DefaultParagraphFont"/>
    <w:link w:val="FootnoteText"/>
    <w:semiHidden/>
    <w:rsid w:val="00A27FF6"/>
    <w:rPr>
      <w:rFonts w:ascii="Cambria" w:eastAsia="ＭＳ 明朝" w:hAnsi="Cambria" w:cs="Times New Roman"/>
    </w:rPr>
  </w:style>
  <w:style w:type="character" w:styleId="FootnoteReference">
    <w:name w:val="footnote reference"/>
    <w:basedOn w:val="DefaultParagraphFont"/>
    <w:semiHidden/>
    <w:rsid w:val="00A27FF6"/>
    <w:rPr>
      <w:rFonts w:cs="Times New Roman"/>
      <w:vertAlign w:val="superscript"/>
    </w:rPr>
  </w:style>
  <w:style w:type="paragraph" w:styleId="Footer">
    <w:name w:val="footer"/>
    <w:basedOn w:val="Normal"/>
    <w:link w:val="FooterChar"/>
    <w:unhideWhenUsed/>
    <w:rsid w:val="00A27FF6"/>
    <w:pPr>
      <w:tabs>
        <w:tab w:val="center" w:pos="4320"/>
        <w:tab w:val="right" w:pos="8640"/>
      </w:tabs>
    </w:pPr>
  </w:style>
  <w:style w:type="character" w:customStyle="1" w:styleId="FooterChar">
    <w:name w:val="Footer Char"/>
    <w:basedOn w:val="DefaultParagraphFont"/>
    <w:link w:val="Footer"/>
    <w:rsid w:val="00A27FF6"/>
    <w:rPr>
      <w:rFonts w:ascii="Cambria" w:eastAsia="ＭＳ 明朝" w:hAnsi="Cambria" w:cs="Times New Roman"/>
    </w:rPr>
  </w:style>
  <w:style w:type="character" w:styleId="PageNumber">
    <w:name w:val="page number"/>
    <w:basedOn w:val="DefaultParagraphFont"/>
    <w:unhideWhenUsed/>
    <w:rsid w:val="00A27FF6"/>
  </w:style>
  <w:style w:type="paragraph" w:styleId="BodyTextIndent">
    <w:name w:val="Body Text Indent"/>
    <w:basedOn w:val="Normal"/>
    <w:link w:val="BodyTextIndentChar"/>
    <w:rsid w:val="00A27FF6"/>
    <w:pPr>
      <w:ind w:left="284"/>
    </w:pPr>
    <w:rPr>
      <w:rFonts w:ascii="Times" w:eastAsia="Times" w:hAnsi="Times"/>
      <w:noProof/>
      <w:sz w:val="20"/>
      <w:szCs w:val="20"/>
      <w:lang w:val="en-GB"/>
    </w:rPr>
  </w:style>
  <w:style w:type="character" w:customStyle="1" w:styleId="BodyTextIndentChar">
    <w:name w:val="Body Text Indent Char"/>
    <w:basedOn w:val="DefaultParagraphFont"/>
    <w:link w:val="BodyTextIndent"/>
    <w:rsid w:val="00A27FF6"/>
    <w:rPr>
      <w:rFonts w:ascii="Times" w:eastAsia="Times" w:hAnsi="Times" w:cs="Times New Roman"/>
      <w:noProof/>
      <w:sz w:val="20"/>
      <w:szCs w:val="20"/>
      <w:lang w:val="en-GB"/>
    </w:rPr>
  </w:style>
  <w:style w:type="paragraph" w:styleId="BodyTextIndent2">
    <w:name w:val="Body Text Indent 2"/>
    <w:basedOn w:val="Normal"/>
    <w:link w:val="BodyTextIndent2Char"/>
    <w:rsid w:val="00A27FF6"/>
    <w:pPr>
      <w:widowControl w:val="0"/>
      <w:autoSpaceDE w:val="0"/>
      <w:autoSpaceDN w:val="0"/>
      <w:adjustRightInd w:val="0"/>
      <w:ind w:left="567"/>
    </w:pPr>
    <w:rPr>
      <w:rFonts w:ascii="Times-Roman" w:eastAsia="Times New Roman" w:hAnsi="Times-Roman"/>
      <w:noProof/>
      <w:color w:val="000000"/>
      <w:szCs w:val="20"/>
      <w:lang w:val="en-GB"/>
    </w:rPr>
  </w:style>
  <w:style w:type="character" w:customStyle="1" w:styleId="BodyTextIndent2Char">
    <w:name w:val="Body Text Indent 2 Char"/>
    <w:basedOn w:val="DefaultParagraphFont"/>
    <w:link w:val="BodyTextIndent2"/>
    <w:rsid w:val="00A27FF6"/>
    <w:rPr>
      <w:rFonts w:ascii="Times-Roman" w:eastAsia="Times New Roman" w:hAnsi="Times-Roman" w:cs="Times New Roman"/>
      <w:noProof/>
      <w:color w:val="000000"/>
      <w:szCs w:val="20"/>
      <w:lang w:val="en-GB"/>
    </w:rPr>
  </w:style>
  <w:style w:type="paragraph" w:styleId="Title">
    <w:name w:val="Title"/>
    <w:basedOn w:val="Normal"/>
    <w:link w:val="TitleChar"/>
    <w:qFormat/>
    <w:rsid w:val="00A27FF6"/>
    <w:pPr>
      <w:jc w:val="center"/>
    </w:pPr>
    <w:rPr>
      <w:rFonts w:ascii="Times" w:eastAsia="Times" w:hAnsi="Times"/>
      <w:b/>
      <w:smallCaps/>
      <w:noProof/>
      <w:szCs w:val="20"/>
      <w:lang w:val="en-GB"/>
    </w:rPr>
  </w:style>
  <w:style w:type="character" w:customStyle="1" w:styleId="TitleChar">
    <w:name w:val="Title Char"/>
    <w:basedOn w:val="DefaultParagraphFont"/>
    <w:link w:val="Title"/>
    <w:rsid w:val="00A27FF6"/>
    <w:rPr>
      <w:rFonts w:ascii="Times" w:eastAsia="Times" w:hAnsi="Times" w:cs="Times New Roman"/>
      <w:b/>
      <w:smallCaps/>
      <w:noProof/>
      <w:szCs w:val="20"/>
      <w:lang w:val="en-GB"/>
    </w:rPr>
  </w:style>
  <w:style w:type="paragraph" w:styleId="BlockText">
    <w:name w:val="Block Text"/>
    <w:basedOn w:val="Normal"/>
    <w:rsid w:val="00A27FF6"/>
    <w:pPr>
      <w:ind w:left="720" w:right="720"/>
    </w:pPr>
    <w:rPr>
      <w:rFonts w:ascii="Times" w:eastAsia="Times" w:hAnsi="Times"/>
      <w:noProof/>
      <w:szCs w:val="20"/>
      <w:lang w:val="en-GB"/>
    </w:rPr>
  </w:style>
  <w:style w:type="paragraph" w:styleId="BodyTextIndent3">
    <w:name w:val="Body Text Indent 3"/>
    <w:basedOn w:val="Normal"/>
    <w:link w:val="BodyTextIndent3Char"/>
    <w:rsid w:val="00A27FF6"/>
    <w:pPr>
      <w:ind w:firstLine="720"/>
    </w:pPr>
    <w:rPr>
      <w:rFonts w:ascii="Times" w:eastAsia="Times" w:hAnsi="Times"/>
      <w:noProof/>
      <w:sz w:val="20"/>
      <w:szCs w:val="20"/>
      <w:lang w:val="en-GB"/>
    </w:rPr>
  </w:style>
  <w:style w:type="character" w:customStyle="1" w:styleId="BodyTextIndent3Char">
    <w:name w:val="Body Text Indent 3 Char"/>
    <w:basedOn w:val="DefaultParagraphFont"/>
    <w:link w:val="BodyTextIndent3"/>
    <w:rsid w:val="00A27FF6"/>
    <w:rPr>
      <w:rFonts w:ascii="Times" w:eastAsia="Times" w:hAnsi="Times" w:cs="Times New Roman"/>
      <w:noProof/>
      <w:sz w:val="20"/>
      <w:szCs w:val="20"/>
      <w:lang w:val="en-GB"/>
    </w:rPr>
  </w:style>
  <w:style w:type="paragraph" w:styleId="BodyText">
    <w:name w:val="Body Text"/>
    <w:basedOn w:val="Normal"/>
    <w:link w:val="BodyTextChar"/>
    <w:rsid w:val="00A27FF6"/>
    <w:pPr>
      <w:spacing w:line="480" w:lineRule="auto"/>
      <w:jc w:val="both"/>
    </w:pPr>
    <w:rPr>
      <w:rFonts w:ascii="Times" w:eastAsia="Times" w:hAnsi="Times"/>
      <w:noProof/>
      <w:sz w:val="20"/>
      <w:szCs w:val="20"/>
      <w:lang w:val="en-GB"/>
    </w:rPr>
  </w:style>
  <w:style w:type="character" w:customStyle="1" w:styleId="BodyTextChar">
    <w:name w:val="Body Text Char"/>
    <w:basedOn w:val="DefaultParagraphFont"/>
    <w:link w:val="BodyText"/>
    <w:rsid w:val="00A27FF6"/>
    <w:rPr>
      <w:rFonts w:ascii="Times" w:eastAsia="Times" w:hAnsi="Times" w:cs="Times New Roman"/>
      <w:noProof/>
      <w:sz w:val="20"/>
      <w:szCs w:val="20"/>
      <w:lang w:val="en-GB"/>
    </w:rPr>
  </w:style>
  <w:style w:type="paragraph" w:styleId="BodyText2">
    <w:name w:val="Body Text 2"/>
    <w:basedOn w:val="Normal"/>
    <w:link w:val="BodyText2Char"/>
    <w:rsid w:val="00A27FF6"/>
    <w:rPr>
      <w:rFonts w:ascii="Times" w:eastAsia="Times" w:hAnsi="Times"/>
      <w:noProof/>
      <w:sz w:val="20"/>
      <w:szCs w:val="20"/>
      <w:lang w:val="en-GB"/>
    </w:rPr>
  </w:style>
  <w:style w:type="character" w:customStyle="1" w:styleId="BodyText2Char">
    <w:name w:val="Body Text 2 Char"/>
    <w:basedOn w:val="DefaultParagraphFont"/>
    <w:link w:val="BodyText2"/>
    <w:rsid w:val="00A27FF6"/>
    <w:rPr>
      <w:rFonts w:ascii="Times" w:eastAsia="Times" w:hAnsi="Times" w:cs="Times New Roman"/>
      <w:noProof/>
      <w:sz w:val="20"/>
      <w:szCs w:val="20"/>
      <w:lang w:val="en-GB"/>
    </w:rPr>
  </w:style>
  <w:style w:type="paragraph" w:styleId="DocumentMap">
    <w:name w:val="Document Map"/>
    <w:basedOn w:val="Normal"/>
    <w:link w:val="DocumentMapChar"/>
    <w:rsid w:val="00A27FF6"/>
    <w:pPr>
      <w:shd w:val="clear" w:color="auto" w:fill="000080"/>
    </w:pPr>
    <w:rPr>
      <w:rFonts w:ascii="Geneva" w:eastAsia="Times" w:hAnsi="Geneva"/>
      <w:noProof/>
      <w:szCs w:val="20"/>
      <w:lang w:val="en-GB"/>
    </w:rPr>
  </w:style>
  <w:style w:type="character" w:customStyle="1" w:styleId="DocumentMapChar">
    <w:name w:val="Document Map Char"/>
    <w:basedOn w:val="DefaultParagraphFont"/>
    <w:link w:val="DocumentMap"/>
    <w:rsid w:val="00A27FF6"/>
    <w:rPr>
      <w:rFonts w:ascii="Geneva" w:eastAsia="Times" w:hAnsi="Geneva" w:cs="Times New Roman"/>
      <w:noProof/>
      <w:szCs w:val="20"/>
      <w:shd w:val="clear" w:color="auto" w:fill="000080"/>
      <w:lang w:val="en-GB"/>
    </w:rPr>
  </w:style>
  <w:style w:type="paragraph" w:styleId="BodyText3">
    <w:name w:val="Body Text 3"/>
    <w:basedOn w:val="Normal"/>
    <w:link w:val="BodyText3Char"/>
    <w:rsid w:val="00A27FF6"/>
    <w:pPr>
      <w:ind w:right="702"/>
    </w:pPr>
    <w:rPr>
      <w:rFonts w:ascii="Times" w:eastAsia="Times" w:hAnsi="Times"/>
      <w:noProof/>
      <w:sz w:val="20"/>
      <w:szCs w:val="20"/>
      <w:lang w:val="en-GB"/>
    </w:rPr>
  </w:style>
  <w:style w:type="character" w:customStyle="1" w:styleId="BodyText3Char">
    <w:name w:val="Body Text 3 Char"/>
    <w:basedOn w:val="DefaultParagraphFont"/>
    <w:link w:val="BodyText3"/>
    <w:rsid w:val="00A27FF6"/>
    <w:rPr>
      <w:rFonts w:ascii="Times" w:eastAsia="Times" w:hAnsi="Times" w:cs="Times New Roman"/>
      <w:noProof/>
      <w:sz w:val="20"/>
      <w:szCs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FF6"/>
    <w:rPr>
      <w:rFonts w:ascii="Cambria" w:eastAsia="ＭＳ 明朝" w:hAnsi="Cambria" w:cs="Times New Roman"/>
    </w:rPr>
  </w:style>
  <w:style w:type="paragraph" w:styleId="Heading1">
    <w:name w:val="heading 1"/>
    <w:basedOn w:val="Normal"/>
    <w:next w:val="Normal"/>
    <w:link w:val="Heading1Char"/>
    <w:qFormat/>
    <w:rsid w:val="00A27FF6"/>
    <w:pPr>
      <w:keepNext/>
      <w:jc w:val="center"/>
      <w:outlineLvl w:val="0"/>
    </w:pPr>
    <w:rPr>
      <w:rFonts w:ascii="Times" w:eastAsia="Times" w:hAnsi="Times"/>
      <w:b/>
      <w:smallCaps/>
      <w:noProof/>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27FF6"/>
    <w:rPr>
      <w:rFonts w:ascii="Times" w:eastAsia="Times" w:hAnsi="Times" w:cs="Times New Roman"/>
      <w:b/>
      <w:smallCaps/>
      <w:noProof/>
      <w:szCs w:val="20"/>
      <w:lang w:val="en-GB"/>
    </w:rPr>
  </w:style>
  <w:style w:type="paragraph" w:styleId="FootnoteText">
    <w:name w:val="footnote text"/>
    <w:basedOn w:val="Normal"/>
    <w:link w:val="FootnoteTextChar"/>
    <w:semiHidden/>
    <w:rsid w:val="00A27FF6"/>
  </w:style>
  <w:style w:type="character" w:customStyle="1" w:styleId="FootnoteTextChar">
    <w:name w:val="Footnote Text Char"/>
    <w:basedOn w:val="DefaultParagraphFont"/>
    <w:link w:val="FootnoteText"/>
    <w:semiHidden/>
    <w:rsid w:val="00A27FF6"/>
    <w:rPr>
      <w:rFonts w:ascii="Cambria" w:eastAsia="ＭＳ 明朝" w:hAnsi="Cambria" w:cs="Times New Roman"/>
    </w:rPr>
  </w:style>
  <w:style w:type="character" w:styleId="FootnoteReference">
    <w:name w:val="footnote reference"/>
    <w:basedOn w:val="DefaultParagraphFont"/>
    <w:semiHidden/>
    <w:rsid w:val="00A27FF6"/>
    <w:rPr>
      <w:rFonts w:cs="Times New Roman"/>
      <w:vertAlign w:val="superscript"/>
    </w:rPr>
  </w:style>
  <w:style w:type="paragraph" w:styleId="Footer">
    <w:name w:val="footer"/>
    <w:basedOn w:val="Normal"/>
    <w:link w:val="FooterChar"/>
    <w:unhideWhenUsed/>
    <w:rsid w:val="00A27FF6"/>
    <w:pPr>
      <w:tabs>
        <w:tab w:val="center" w:pos="4320"/>
        <w:tab w:val="right" w:pos="8640"/>
      </w:tabs>
    </w:pPr>
  </w:style>
  <w:style w:type="character" w:customStyle="1" w:styleId="FooterChar">
    <w:name w:val="Footer Char"/>
    <w:basedOn w:val="DefaultParagraphFont"/>
    <w:link w:val="Footer"/>
    <w:rsid w:val="00A27FF6"/>
    <w:rPr>
      <w:rFonts w:ascii="Cambria" w:eastAsia="ＭＳ 明朝" w:hAnsi="Cambria" w:cs="Times New Roman"/>
    </w:rPr>
  </w:style>
  <w:style w:type="character" w:styleId="PageNumber">
    <w:name w:val="page number"/>
    <w:basedOn w:val="DefaultParagraphFont"/>
    <w:unhideWhenUsed/>
    <w:rsid w:val="00A27FF6"/>
  </w:style>
  <w:style w:type="paragraph" w:styleId="BodyTextIndent">
    <w:name w:val="Body Text Indent"/>
    <w:basedOn w:val="Normal"/>
    <w:link w:val="BodyTextIndentChar"/>
    <w:rsid w:val="00A27FF6"/>
    <w:pPr>
      <w:ind w:left="284"/>
    </w:pPr>
    <w:rPr>
      <w:rFonts w:ascii="Times" w:eastAsia="Times" w:hAnsi="Times"/>
      <w:noProof/>
      <w:sz w:val="20"/>
      <w:szCs w:val="20"/>
      <w:lang w:val="en-GB"/>
    </w:rPr>
  </w:style>
  <w:style w:type="character" w:customStyle="1" w:styleId="BodyTextIndentChar">
    <w:name w:val="Body Text Indent Char"/>
    <w:basedOn w:val="DefaultParagraphFont"/>
    <w:link w:val="BodyTextIndent"/>
    <w:rsid w:val="00A27FF6"/>
    <w:rPr>
      <w:rFonts w:ascii="Times" w:eastAsia="Times" w:hAnsi="Times" w:cs="Times New Roman"/>
      <w:noProof/>
      <w:sz w:val="20"/>
      <w:szCs w:val="20"/>
      <w:lang w:val="en-GB"/>
    </w:rPr>
  </w:style>
  <w:style w:type="paragraph" w:styleId="BodyTextIndent2">
    <w:name w:val="Body Text Indent 2"/>
    <w:basedOn w:val="Normal"/>
    <w:link w:val="BodyTextIndent2Char"/>
    <w:rsid w:val="00A27FF6"/>
    <w:pPr>
      <w:widowControl w:val="0"/>
      <w:autoSpaceDE w:val="0"/>
      <w:autoSpaceDN w:val="0"/>
      <w:adjustRightInd w:val="0"/>
      <w:ind w:left="567"/>
    </w:pPr>
    <w:rPr>
      <w:rFonts w:ascii="Times-Roman" w:eastAsia="Times New Roman" w:hAnsi="Times-Roman"/>
      <w:noProof/>
      <w:color w:val="000000"/>
      <w:szCs w:val="20"/>
      <w:lang w:val="en-GB"/>
    </w:rPr>
  </w:style>
  <w:style w:type="character" w:customStyle="1" w:styleId="BodyTextIndent2Char">
    <w:name w:val="Body Text Indent 2 Char"/>
    <w:basedOn w:val="DefaultParagraphFont"/>
    <w:link w:val="BodyTextIndent2"/>
    <w:rsid w:val="00A27FF6"/>
    <w:rPr>
      <w:rFonts w:ascii="Times-Roman" w:eastAsia="Times New Roman" w:hAnsi="Times-Roman" w:cs="Times New Roman"/>
      <w:noProof/>
      <w:color w:val="000000"/>
      <w:szCs w:val="20"/>
      <w:lang w:val="en-GB"/>
    </w:rPr>
  </w:style>
  <w:style w:type="paragraph" w:styleId="Title">
    <w:name w:val="Title"/>
    <w:basedOn w:val="Normal"/>
    <w:link w:val="TitleChar"/>
    <w:qFormat/>
    <w:rsid w:val="00A27FF6"/>
    <w:pPr>
      <w:jc w:val="center"/>
    </w:pPr>
    <w:rPr>
      <w:rFonts w:ascii="Times" w:eastAsia="Times" w:hAnsi="Times"/>
      <w:b/>
      <w:smallCaps/>
      <w:noProof/>
      <w:szCs w:val="20"/>
      <w:lang w:val="en-GB"/>
    </w:rPr>
  </w:style>
  <w:style w:type="character" w:customStyle="1" w:styleId="TitleChar">
    <w:name w:val="Title Char"/>
    <w:basedOn w:val="DefaultParagraphFont"/>
    <w:link w:val="Title"/>
    <w:rsid w:val="00A27FF6"/>
    <w:rPr>
      <w:rFonts w:ascii="Times" w:eastAsia="Times" w:hAnsi="Times" w:cs="Times New Roman"/>
      <w:b/>
      <w:smallCaps/>
      <w:noProof/>
      <w:szCs w:val="20"/>
      <w:lang w:val="en-GB"/>
    </w:rPr>
  </w:style>
  <w:style w:type="paragraph" w:styleId="BlockText">
    <w:name w:val="Block Text"/>
    <w:basedOn w:val="Normal"/>
    <w:rsid w:val="00A27FF6"/>
    <w:pPr>
      <w:ind w:left="720" w:right="720"/>
    </w:pPr>
    <w:rPr>
      <w:rFonts w:ascii="Times" w:eastAsia="Times" w:hAnsi="Times"/>
      <w:noProof/>
      <w:szCs w:val="20"/>
      <w:lang w:val="en-GB"/>
    </w:rPr>
  </w:style>
  <w:style w:type="paragraph" w:styleId="BodyTextIndent3">
    <w:name w:val="Body Text Indent 3"/>
    <w:basedOn w:val="Normal"/>
    <w:link w:val="BodyTextIndent3Char"/>
    <w:rsid w:val="00A27FF6"/>
    <w:pPr>
      <w:ind w:firstLine="720"/>
    </w:pPr>
    <w:rPr>
      <w:rFonts w:ascii="Times" w:eastAsia="Times" w:hAnsi="Times"/>
      <w:noProof/>
      <w:sz w:val="20"/>
      <w:szCs w:val="20"/>
      <w:lang w:val="en-GB"/>
    </w:rPr>
  </w:style>
  <w:style w:type="character" w:customStyle="1" w:styleId="BodyTextIndent3Char">
    <w:name w:val="Body Text Indent 3 Char"/>
    <w:basedOn w:val="DefaultParagraphFont"/>
    <w:link w:val="BodyTextIndent3"/>
    <w:rsid w:val="00A27FF6"/>
    <w:rPr>
      <w:rFonts w:ascii="Times" w:eastAsia="Times" w:hAnsi="Times" w:cs="Times New Roman"/>
      <w:noProof/>
      <w:sz w:val="20"/>
      <w:szCs w:val="20"/>
      <w:lang w:val="en-GB"/>
    </w:rPr>
  </w:style>
  <w:style w:type="paragraph" w:styleId="BodyText">
    <w:name w:val="Body Text"/>
    <w:basedOn w:val="Normal"/>
    <w:link w:val="BodyTextChar"/>
    <w:rsid w:val="00A27FF6"/>
    <w:pPr>
      <w:spacing w:line="480" w:lineRule="auto"/>
      <w:jc w:val="both"/>
    </w:pPr>
    <w:rPr>
      <w:rFonts w:ascii="Times" w:eastAsia="Times" w:hAnsi="Times"/>
      <w:noProof/>
      <w:sz w:val="20"/>
      <w:szCs w:val="20"/>
      <w:lang w:val="en-GB"/>
    </w:rPr>
  </w:style>
  <w:style w:type="character" w:customStyle="1" w:styleId="BodyTextChar">
    <w:name w:val="Body Text Char"/>
    <w:basedOn w:val="DefaultParagraphFont"/>
    <w:link w:val="BodyText"/>
    <w:rsid w:val="00A27FF6"/>
    <w:rPr>
      <w:rFonts w:ascii="Times" w:eastAsia="Times" w:hAnsi="Times" w:cs="Times New Roman"/>
      <w:noProof/>
      <w:sz w:val="20"/>
      <w:szCs w:val="20"/>
      <w:lang w:val="en-GB"/>
    </w:rPr>
  </w:style>
  <w:style w:type="paragraph" w:styleId="BodyText2">
    <w:name w:val="Body Text 2"/>
    <w:basedOn w:val="Normal"/>
    <w:link w:val="BodyText2Char"/>
    <w:rsid w:val="00A27FF6"/>
    <w:rPr>
      <w:rFonts w:ascii="Times" w:eastAsia="Times" w:hAnsi="Times"/>
      <w:noProof/>
      <w:sz w:val="20"/>
      <w:szCs w:val="20"/>
      <w:lang w:val="en-GB"/>
    </w:rPr>
  </w:style>
  <w:style w:type="character" w:customStyle="1" w:styleId="BodyText2Char">
    <w:name w:val="Body Text 2 Char"/>
    <w:basedOn w:val="DefaultParagraphFont"/>
    <w:link w:val="BodyText2"/>
    <w:rsid w:val="00A27FF6"/>
    <w:rPr>
      <w:rFonts w:ascii="Times" w:eastAsia="Times" w:hAnsi="Times" w:cs="Times New Roman"/>
      <w:noProof/>
      <w:sz w:val="20"/>
      <w:szCs w:val="20"/>
      <w:lang w:val="en-GB"/>
    </w:rPr>
  </w:style>
  <w:style w:type="paragraph" w:styleId="DocumentMap">
    <w:name w:val="Document Map"/>
    <w:basedOn w:val="Normal"/>
    <w:link w:val="DocumentMapChar"/>
    <w:rsid w:val="00A27FF6"/>
    <w:pPr>
      <w:shd w:val="clear" w:color="auto" w:fill="000080"/>
    </w:pPr>
    <w:rPr>
      <w:rFonts w:ascii="Geneva" w:eastAsia="Times" w:hAnsi="Geneva"/>
      <w:noProof/>
      <w:szCs w:val="20"/>
      <w:lang w:val="en-GB"/>
    </w:rPr>
  </w:style>
  <w:style w:type="character" w:customStyle="1" w:styleId="DocumentMapChar">
    <w:name w:val="Document Map Char"/>
    <w:basedOn w:val="DefaultParagraphFont"/>
    <w:link w:val="DocumentMap"/>
    <w:rsid w:val="00A27FF6"/>
    <w:rPr>
      <w:rFonts w:ascii="Geneva" w:eastAsia="Times" w:hAnsi="Geneva" w:cs="Times New Roman"/>
      <w:noProof/>
      <w:szCs w:val="20"/>
      <w:shd w:val="clear" w:color="auto" w:fill="000080"/>
      <w:lang w:val="en-GB"/>
    </w:rPr>
  </w:style>
  <w:style w:type="paragraph" w:styleId="BodyText3">
    <w:name w:val="Body Text 3"/>
    <w:basedOn w:val="Normal"/>
    <w:link w:val="BodyText3Char"/>
    <w:rsid w:val="00A27FF6"/>
    <w:pPr>
      <w:ind w:right="702"/>
    </w:pPr>
    <w:rPr>
      <w:rFonts w:ascii="Times" w:eastAsia="Times" w:hAnsi="Times"/>
      <w:noProof/>
      <w:sz w:val="20"/>
      <w:szCs w:val="20"/>
      <w:lang w:val="en-GB"/>
    </w:rPr>
  </w:style>
  <w:style w:type="character" w:customStyle="1" w:styleId="BodyText3Char">
    <w:name w:val="Body Text 3 Char"/>
    <w:basedOn w:val="DefaultParagraphFont"/>
    <w:link w:val="BodyText3"/>
    <w:rsid w:val="00A27FF6"/>
    <w:rPr>
      <w:rFonts w:ascii="Times" w:eastAsia="Times" w:hAnsi="Times" w:cs="Times New Roman"/>
      <w:noProof/>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Pages>32</Pages>
  <Words>13462</Words>
  <Characters>64488</Characters>
  <Application>Microsoft Macintosh Word</Application>
  <DocSecurity>0</DocSecurity>
  <Lines>1074</Lines>
  <Paragraphs>82</Paragraphs>
  <ScaleCrop>false</ScaleCrop>
  <Company>University of East Anglia</Company>
  <LinksUpToDate>false</LinksUpToDate>
  <CharactersWithSpaces>77868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Vincent</dc:creator>
  <cp:keywords/>
  <dc:description/>
  <cp:lastModifiedBy>Nicholas Vincent</cp:lastModifiedBy>
  <cp:revision>11</cp:revision>
  <dcterms:created xsi:type="dcterms:W3CDTF">2015-01-28T22:07:00Z</dcterms:created>
  <dcterms:modified xsi:type="dcterms:W3CDTF">2015-02-11T18:36:00Z</dcterms:modified>
</cp:coreProperties>
</file>