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57D4D" w14:textId="77777777" w:rsidR="00B27BCC" w:rsidRDefault="00062708" w:rsidP="00A3334A">
      <w:pPr>
        <w:spacing w:line="480" w:lineRule="auto"/>
        <w:jc w:val="both"/>
      </w:pPr>
      <w:r>
        <w:t>Exploring the Feasibility of Advance Care Planning in Persons</w:t>
      </w:r>
      <w:r w:rsidR="0051690C">
        <w:t xml:space="preserve"> </w:t>
      </w:r>
      <w:r>
        <w:t>with Early Cognitive Impairment</w:t>
      </w:r>
    </w:p>
    <w:p w14:paraId="7BC4BCA0" w14:textId="77777777" w:rsidR="00DE6E2E" w:rsidRDefault="00DE6E2E" w:rsidP="00A3334A">
      <w:pPr>
        <w:spacing w:line="480" w:lineRule="auto"/>
        <w:jc w:val="both"/>
      </w:pPr>
    </w:p>
    <w:p w14:paraId="4585352B" w14:textId="30F5D038" w:rsidR="00B27BCC" w:rsidRDefault="00062708" w:rsidP="00A3334A">
      <w:pPr>
        <w:spacing w:line="480" w:lineRule="auto"/>
        <w:jc w:val="both"/>
      </w:pPr>
      <w:r w:rsidRPr="00062708">
        <w:t>K</w:t>
      </w:r>
      <w:r>
        <w:t>enny</w:t>
      </w:r>
      <w:r w:rsidRPr="00062708">
        <w:t xml:space="preserve"> Cheong</w:t>
      </w:r>
      <w:r w:rsidRPr="00062708">
        <w:rPr>
          <w:vertAlign w:val="superscript"/>
        </w:rPr>
        <w:t>1</w:t>
      </w:r>
      <w:r w:rsidRPr="00062708">
        <w:t>,</w:t>
      </w:r>
      <w:r>
        <w:t xml:space="preserve"> Paul Fisher</w:t>
      </w:r>
      <w:r w:rsidRPr="008A45E0">
        <w:rPr>
          <w:vertAlign w:val="superscript"/>
        </w:rPr>
        <w:t>1</w:t>
      </w:r>
      <w:r w:rsidR="00752B8C">
        <w:rPr>
          <w:vertAlign w:val="superscript"/>
        </w:rPr>
        <w:t xml:space="preserve"> 2</w:t>
      </w:r>
      <w:r>
        <w:t>, Jenny Goh</w:t>
      </w:r>
      <w:r w:rsidR="00752B8C">
        <w:rPr>
          <w:vertAlign w:val="superscript"/>
        </w:rPr>
        <w:t>3</w:t>
      </w:r>
      <w:r>
        <w:t>, Lynette Ng</w:t>
      </w:r>
      <w:r w:rsidR="00752B8C">
        <w:rPr>
          <w:vertAlign w:val="superscript"/>
        </w:rPr>
        <w:t>3</w:t>
      </w:r>
      <w:r>
        <w:t>, Hui Mien Koh</w:t>
      </w:r>
      <w:r w:rsidR="00752B8C">
        <w:rPr>
          <w:vertAlign w:val="superscript"/>
        </w:rPr>
        <w:t>4</w:t>
      </w:r>
      <w:r>
        <w:t>, Philip Yap</w:t>
      </w:r>
      <w:r w:rsidR="00752B8C">
        <w:rPr>
          <w:vertAlign w:val="superscript"/>
        </w:rPr>
        <w:t>4</w:t>
      </w:r>
    </w:p>
    <w:p w14:paraId="225593F5" w14:textId="77777777" w:rsidR="00DE6E2E" w:rsidRDefault="00DE6E2E" w:rsidP="00A3334A">
      <w:pPr>
        <w:spacing w:line="480" w:lineRule="auto"/>
        <w:jc w:val="both"/>
        <w:rPr>
          <w:vertAlign w:val="superscript"/>
        </w:rPr>
      </w:pPr>
    </w:p>
    <w:p w14:paraId="4819CF9B" w14:textId="77777777" w:rsidR="00B27BCC" w:rsidRDefault="00062708" w:rsidP="00A3334A">
      <w:pPr>
        <w:spacing w:line="480" w:lineRule="auto"/>
        <w:jc w:val="both"/>
      </w:pPr>
      <w:r w:rsidRPr="00D22C71">
        <w:rPr>
          <w:vertAlign w:val="superscript"/>
        </w:rPr>
        <w:t>1</w:t>
      </w:r>
      <w:r w:rsidRPr="00C40520">
        <w:t>James Cook University</w:t>
      </w:r>
      <w:r>
        <w:t>,</w:t>
      </w:r>
      <w:r w:rsidRPr="00C40520">
        <w:t xml:space="preserve"> Singapore</w:t>
      </w:r>
    </w:p>
    <w:p w14:paraId="213E5097" w14:textId="03B98E2E" w:rsidR="00B27BCC" w:rsidRDefault="00062708" w:rsidP="00A3334A">
      <w:pPr>
        <w:spacing w:line="480" w:lineRule="auto"/>
        <w:jc w:val="both"/>
      </w:pPr>
      <w:r w:rsidRPr="00D22C71">
        <w:rPr>
          <w:vertAlign w:val="superscript"/>
        </w:rPr>
        <w:t>2</w:t>
      </w:r>
      <w:r w:rsidR="00752B8C" w:rsidRPr="00752B8C">
        <w:rPr>
          <w:color w:val="000000"/>
        </w:rPr>
        <w:t xml:space="preserve">Department of Clinical Psychology, </w:t>
      </w:r>
      <w:r w:rsidR="00076FA0">
        <w:rPr>
          <w:color w:val="000000"/>
        </w:rPr>
        <w:t xml:space="preserve">Norwich </w:t>
      </w:r>
      <w:r w:rsidR="00752B8C" w:rsidRPr="00752B8C">
        <w:rPr>
          <w:color w:val="000000"/>
        </w:rPr>
        <w:t>Medical School, University of East Anglia, UK</w:t>
      </w:r>
      <w:r w:rsidR="00752B8C">
        <w:t xml:space="preserve"> </w:t>
      </w:r>
    </w:p>
    <w:p w14:paraId="6EA67E2E" w14:textId="5C1503AA" w:rsidR="00B27BCC" w:rsidRDefault="00062708" w:rsidP="00A3334A">
      <w:pPr>
        <w:spacing w:line="480" w:lineRule="auto"/>
        <w:jc w:val="both"/>
      </w:pPr>
      <w:r w:rsidRPr="00F03490">
        <w:rPr>
          <w:vertAlign w:val="superscript"/>
        </w:rPr>
        <w:t>3</w:t>
      </w:r>
      <w:r w:rsidR="00752B8C">
        <w:t xml:space="preserve">Department of Medical Social Service, </w:t>
      </w:r>
      <w:proofErr w:type="spellStart"/>
      <w:r w:rsidR="00752B8C">
        <w:t>Khoo</w:t>
      </w:r>
      <w:proofErr w:type="spellEnd"/>
      <w:r w:rsidR="00752B8C">
        <w:t xml:space="preserve"> </w:t>
      </w:r>
      <w:proofErr w:type="spellStart"/>
      <w:r w:rsidR="00752B8C">
        <w:t>Teck</w:t>
      </w:r>
      <w:proofErr w:type="spellEnd"/>
      <w:r w:rsidR="00752B8C">
        <w:t xml:space="preserve"> </w:t>
      </w:r>
      <w:proofErr w:type="spellStart"/>
      <w:r w:rsidR="00752B8C">
        <w:t>Puat</w:t>
      </w:r>
      <w:proofErr w:type="spellEnd"/>
      <w:r w:rsidR="00752B8C">
        <w:t xml:space="preserve"> Hospital, Singapore </w:t>
      </w:r>
    </w:p>
    <w:p w14:paraId="188203A6" w14:textId="2D3A8B1E" w:rsidR="00752B8C" w:rsidRPr="00752B8C" w:rsidRDefault="00752B8C" w:rsidP="00A3334A">
      <w:pPr>
        <w:spacing w:line="480" w:lineRule="auto"/>
        <w:jc w:val="both"/>
      </w:pPr>
      <w:r w:rsidRPr="00752B8C">
        <w:rPr>
          <w:vertAlign w:val="superscript"/>
        </w:rPr>
        <w:t>4</w:t>
      </w:r>
      <w:r>
        <w:t xml:space="preserve">Department of Geriatric Medicine, </w:t>
      </w:r>
      <w:proofErr w:type="spellStart"/>
      <w:r>
        <w:t>Khoo</w:t>
      </w:r>
      <w:proofErr w:type="spellEnd"/>
      <w:r>
        <w:t xml:space="preserve"> </w:t>
      </w:r>
      <w:proofErr w:type="spellStart"/>
      <w:r>
        <w:t>Teck</w:t>
      </w:r>
      <w:proofErr w:type="spellEnd"/>
      <w:r>
        <w:t xml:space="preserve"> </w:t>
      </w:r>
      <w:proofErr w:type="spellStart"/>
      <w:r>
        <w:t>Puat</w:t>
      </w:r>
      <w:proofErr w:type="spellEnd"/>
      <w:r>
        <w:t xml:space="preserve"> Hospital, Singapore</w:t>
      </w:r>
    </w:p>
    <w:p w14:paraId="044395F0" w14:textId="77777777" w:rsidR="0035265D" w:rsidRDefault="0035265D" w:rsidP="00A3334A">
      <w:pPr>
        <w:spacing w:line="480" w:lineRule="auto"/>
        <w:jc w:val="both"/>
      </w:pPr>
    </w:p>
    <w:p w14:paraId="2FDBC8F8" w14:textId="77777777" w:rsidR="00D35BA8" w:rsidRDefault="0035265D" w:rsidP="00A3334A">
      <w:pPr>
        <w:spacing w:line="480" w:lineRule="auto"/>
        <w:jc w:val="both"/>
        <w:rPr>
          <w:b/>
        </w:rPr>
      </w:pPr>
      <w:r w:rsidRPr="0035265D">
        <w:rPr>
          <w:b/>
        </w:rPr>
        <w:t xml:space="preserve">Correspondence to </w:t>
      </w:r>
    </w:p>
    <w:p w14:paraId="1DB98F16" w14:textId="77777777" w:rsidR="00D35BA8" w:rsidRDefault="00D35BA8" w:rsidP="00A3334A">
      <w:pPr>
        <w:spacing w:line="480" w:lineRule="auto"/>
        <w:jc w:val="both"/>
      </w:pPr>
      <w:r>
        <w:t xml:space="preserve">Dr Philip Yap, Senior Consultant, </w:t>
      </w:r>
    </w:p>
    <w:p w14:paraId="72B31349" w14:textId="77777777" w:rsidR="00D35BA8" w:rsidRDefault="00D35BA8" w:rsidP="00A3334A">
      <w:pPr>
        <w:spacing w:line="480" w:lineRule="auto"/>
        <w:jc w:val="both"/>
      </w:pPr>
      <w:r>
        <w:t>Department of Geriatric Medicine, Khoo Teck Puat Hospital</w:t>
      </w:r>
      <w:r w:rsidR="0035265D">
        <w:t>,</w:t>
      </w:r>
      <w:r>
        <w:t xml:space="preserve"> </w:t>
      </w:r>
      <w:r w:rsidR="0035265D">
        <w:t>Singapore</w:t>
      </w:r>
      <w:r>
        <w:t>.</w:t>
      </w:r>
      <w:r w:rsidR="0035265D">
        <w:t xml:space="preserve"> </w:t>
      </w:r>
    </w:p>
    <w:p w14:paraId="5AF7BE9F" w14:textId="77777777" w:rsidR="00D35BA8" w:rsidRDefault="00D35BA8" w:rsidP="00A3334A">
      <w:pPr>
        <w:spacing w:line="480" w:lineRule="auto"/>
        <w:jc w:val="both"/>
      </w:pPr>
      <w:r>
        <w:t>90 Yishun Central</w:t>
      </w:r>
      <w:r w:rsidR="0035265D">
        <w:t xml:space="preserve">, Singapore </w:t>
      </w:r>
      <w:r>
        <w:t>768828.</w:t>
      </w:r>
    </w:p>
    <w:p w14:paraId="6D58B133" w14:textId="77777777" w:rsidR="0035265D" w:rsidRPr="0035265D" w:rsidRDefault="00D35BA8" w:rsidP="00A3334A">
      <w:pPr>
        <w:spacing w:line="480" w:lineRule="auto"/>
        <w:jc w:val="both"/>
      </w:pPr>
      <w:r>
        <w:t>yap.philip.lk@alexandrahealth.com.sg</w:t>
      </w:r>
    </w:p>
    <w:p w14:paraId="7E92F0C1" w14:textId="77777777" w:rsidR="00B27BCC" w:rsidRDefault="00B27BCC" w:rsidP="00A3334A">
      <w:pPr>
        <w:spacing w:line="480" w:lineRule="auto"/>
        <w:jc w:val="both"/>
      </w:pPr>
    </w:p>
    <w:p w14:paraId="662B066F" w14:textId="77777777" w:rsidR="0011264E" w:rsidRDefault="0011264E" w:rsidP="0011264E">
      <w:pPr>
        <w:spacing w:line="480" w:lineRule="auto"/>
      </w:pPr>
      <w:r w:rsidRPr="0011264E">
        <w:rPr>
          <w:b/>
        </w:rPr>
        <w:t>Keywords</w:t>
      </w:r>
      <w:r w:rsidRPr="0011264E">
        <w:t>:</w:t>
      </w:r>
      <w:r w:rsidRPr="00C40520">
        <w:t xml:space="preserve"> </w:t>
      </w:r>
      <w:r w:rsidR="00AF4B5F">
        <w:t>Advance</w:t>
      </w:r>
      <w:r>
        <w:t xml:space="preserve"> Care Planning (ACP),</w:t>
      </w:r>
      <w:r w:rsidR="00D35BA8">
        <w:t xml:space="preserve"> Dementia,</w:t>
      </w:r>
      <w:r>
        <w:t xml:space="preserve"> Alzheimer’s Disease (AD), Mild cognitive impairment (MCI), Early cognitive impairment (ECI)</w:t>
      </w:r>
    </w:p>
    <w:p w14:paraId="1BA2C6F0" w14:textId="77777777" w:rsidR="0011264E" w:rsidRDefault="0011264E" w:rsidP="0011264E">
      <w:pPr>
        <w:spacing w:line="480" w:lineRule="auto"/>
      </w:pPr>
    </w:p>
    <w:p w14:paraId="4EB6AD45" w14:textId="5647C00F" w:rsidR="0011264E" w:rsidRDefault="0011264E" w:rsidP="0011264E">
      <w:pPr>
        <w:spacing w:line="480" w:lineRule="auto"/>
      </w:pPr>
      <w:r w:rsidRPr="00BB36AC">
        <w:rPr>
          <w:b/>
        </w:rPr>
        <w:t>Word Count</w:t>
      </w:r>
      <w:r>
        <w:t xml:space="preserve">: </w:t>
      </w:r>
      <w:r w:rsidR="009F677C">
        <w:t>3</w:t>
      </w:r>
      <w:r w:rsidR="004F3A3C">
        <w:t>502</w:t>
      </w:r>
      <w:r w:rsidR="00CC7FF9">
        <w:t xml:space="preserve"> </w:t>
      </w:r>
      <w:r w:rsidR="009C62F5" w:rsidRPr="0024214A">
        <w:t>words</w:t>
      </w:r>
      <w:r w:rsidR="00F775DB">
        <w:t xml:space="preserve"> </w:t>
      </w:r>
    </w:p>
    <w:p w14:paraId="5121FFDD" w14:textId="77777777" w:rsidR="00B27BCC" w:rsidRDefault="00B27BCC" w:rsidP="00A3334A">
      <w:pPr>
        <w:spacing w:line="480" w:lineRule="auto"/>
        <w:jc w:val="both"/>
      </w:pPr>
    </w:p>
    <w:p w14:paraId="07EA01AA" w14:textId="77777777" w:rsidR="00B27BCC" w:rsidRDefault="00B27BCC" w:rsidP="00A3334A">
      <w:pPr>
        <w:spacing w:line="480" w:lineRule="auto"/>
        <w:jc w:val="both"/>
      </w:pPr>
    </w:p>
    <w:p w14:paraId="0090214E" w14:textId="77777777" w:rsidR="00076FA0" w:rsidRDefault="00076FA0" w:rsidP="00A3334A">
      <w:pPr>
        <w:spacing w:line="480" w:lineRule="auto"/>
        <w:jc w:val="both"/>
      </w:pPr>
    </w:p>
    <w:p w14:paraId="374E7B53" w14:textId="77777777" w:rsidR="00B27BCC" w:rsidRDefault="00B27BCC" w:rsidP="00A3334A">
      <w:pPr>
        <w:spacing w:line="480" w:lineRule="auto"/>
        <w:jc w:val="both"/>
      </w:pPr>
    </w:p>
    <w:p w14:paraId="58DDEB34" w14:textId="77777777" w:rsidR="00B27BCC" w:rsidRPr="00A3334A" w:rsidRDefault="0051690C" w:rsidP="00A3334A">
      <w:pPr>
        <w:spacing w:line="480" w:lineRule="auto"/>
        <w:jc w:val="both"/>
        <w:rPr>
          <w:b/>
        </w:rPr>
      </w:pPr>
      <w:r w:rsidRPr="00A3334A">
        <w:rPr>
          <w:b/>
        </w:rPr>
        <w:lastRenderedPageBreak/>
        <w:t>A</w:t>
      </w:r>
      <w:r w:rsidR="00021CB0">
        <w:rPr>
          <w:b/>
        </w:rPr>
        <w:t>BSTRACT</w:t>
      </w:r>
    </w:p>
    <w:p w14:paraId="549511BE" w14:textId="77777777" w:rsidR="00881061" w:rsidRDefault="00853C9B">
      <w:pPr>
        <w:widowControl w:val="0"/>
        <w:autoSpaceDE w:val="0"/>
        <w:autoSpaceDN w:val="0"/>
        <w:adjustRightInd w:val="0"/>
        <w:spacing w:line="480" w:lineRule="auto"/>
        <w:jc w:val="both"/>
      </w:pPr>
      <w:r w:rsidRPr="00021CB0">
        <w:rPr>
          <w:b/>
        </w:rPr>
        <w:t>Background/Aim</w:t>
      </w:r>
      <w:r w:rsidR="00235EF9">
        <w:t>: Persons with early cognitive impairment (ECI), comprising mild cognitiv</w:t>
      </w:r>
      <w:r>
        <w:t>e impairment and early dementia</w:t>
      </w:r>
      <w:r w:rsidR="00235EF9">
        <w:t xml:space="preserve"> face the risk of diminished mental capacity with progressive disease. Advance Care Planning (ACP) is advocated as a means to </w:t>
      </w:r>
      <w:r>
        <w:t>uphold</w:t>
      </w:r>
      <w:r w:rsidR="00235EF9">
        <w:t xml:space="preserve"> the autonomy of individuals and enable them to express their wishes for the future while they still possess mental capacity. This study aims to explore the feasibility of ACP in patients with ECI in Singapore.</w:t>
      </w:r>
    </w:p>
    <w:p w14:paraId="75D6766B" w14:textId="4A9AE747" w:rsidR="00881061" w:rsidRDefault="00853C9B">
      <w:pPr>
        <w:widowControl w:val="0"/>
        <w:autoSpaceDE w:val="0"/>
        <w:autoSpaceDN w:val="0"/>
        <w:adjustRightInd w:val="0"/>
        <w:spacing w:line="480" w:lineRule="auto"/>
        <w:jc w:val="both"/>
        <w:rPr>
          <w:rFonts w:eastAsiaTheme="minorEastAsia"/>
          <w:lang w:eastAsia="ja-JP"/>
        </w:rPr>
      </w:pPr>
      <w:r w:rsidRPr="00021CB0">
        <w:rPr>
          <w:rFonts w:eastAsiaTheme="minorEastAsia"/>
          <w:b/>
          <w:lang w:eastAsia="ja-JP"/>
        </w:rPr>
        <w:t>Method</w:t>
      </w:r>
      <w:r w:rsidR="00235EF9">
        <w:rPr>
          <w:rFonts w:eastAsiaTheme="minorEastAsia"/>
          <w:lang w:eastAsia="ja-JP"/>
        </w:rPr>
        <w:t xml:space="preserve">: Consecutive patients undergoing a counseling service for persons with ECI who fulfilled inclusion criteria (Mini Mental State Examination score </w:t>
      </w:r>
      <w:r w:rsidR="00402EAD" w:rsidRPr="0052610F">
        <w:rPr>
          <w:rFonts w:eastAsia="MS Mincho"/>
          <w:lang w:eastAsia="ja-JP"/>
        </w:rPr>
        <w:t>≥</w:t>
      </w:r>
      <w:r w:rsidR="00235EF9">
        <w:rPr>
          <w:rFonts w:eastAsiaTheme="minorEastAsia"/>
          <w:lang w:eastAsia="ja-JP"/>
        </w:rPr>
        <w:t xml:space="preserve">18, </w:t>
      </w:r>
      <w:r w:rsidR="00235EF9" w:rsidRPr="0061059E">
        <w:rPr>
          <w:rFonts w:eastAsiaTheme="minorEastAsia"/>
          <w:lang w:eastAsia="ja-JP"/>
        </w:rPr>
        <w:t>Global Clinical Dementia Rating (GCDR) = 0.5 or 1 were recruited. De</w:t>
      </w:r>
      <w:r w:rsidR="009F677C" w:rsidRPr="0061059E">
        <w:rPr>
          <w:rFonts w:eastAsiaTheme="minorEastAsia"/>
          <w:lang w:eastAsia="ja-JP"/>
        </w:rPr>
        <w:t>mographic and clinical data was</w:t>
      </w:r>
      <w:r w:rsidR="00235EF9" w:rsidRPr="0061059E">
        <w:rPr>
          <w:rFonts w:eastAsiaTheme="minorEastAsia"/>
          <w:lang w:eastAsia="ja-JP"/>
        </w:rPr>
        <w:t xml:space="preserve"> collected and the </w:t>
      </w:r>
      <w:r w:rsidRPr="0061059E">
        <w:rPr>
          <w:rFonts w:eastAsiaTheme="minorEastAsia"/>
          <w:lang w:eastAsia="ja-JP"/>
        </w:rPr>
        <w:t xml:space="preserve">detailed documentation in the case records </w:t>
      </w:r>
      <w:r w:rsidR="009F677C" w:rsidRPr="0061059E">
        <w:rPr>
          <w:rFonts w:eastAsiaTheme="minorEastAsia"/>
          <w:lang w:eastAsia="ja-JP"/>
        </w:rPr>
        <w:t>of the counseling sessions was</w:t>
      </w:r>
      <w:r w:rsidR="00235EF9">
        <w:rPr>
          <w:rFonts w:eastAsiaTheme="minorEastAsia"/>
          <w:lang w:eastAsia="ja-JP"/>
        </w:rPr>
        <w:t xml:space="preserve"> subjected to a thematic analysis. Differences between patients who were willing to engage in ACP and those who declined were </w:t>
      </w:r>
      <w:r>
        <w:rPr>
          <w:rFonts w:eastAsiaTheme="minorEastAsia"/>
          <w:lang w:eastAsia="ja-JP"/>
        </w:rPr>
        <w:t>also analyzed</w:t>
      </w:r>
      <w:r w:rsidR="00235EF9">
        <w:rPr>
          <w:rFonts w:eastAsiaTheme="minorEastAsia"/>
          <w:lang w:eastAsia="ja-JP"/>
        </w:rPr>
        <w:t>.</w:t>
      </w:r>
    </w:p>
    <w:p w14:paraId="3F89E341" w14:textId="77777777" w:rsidR="00881061" w:rsidRDefault="00235EF9">
      <w:pPr>
        <w:widowControl w:val="0"/>
        <w:autoSpaceDE w:val="0"/>
        <w:autoSpaceDN w:val="0"/>
        <w:adjustRightInd w:val="0"/>
        <w:spacing w:line="480" w:lineRule="auto"/>
        <w:jc w:val="both"/>
      </w:pPr>
      <w:r w:rsidRPr="00021CB0">
        <w:rPr>
          <w:rFonts w:eastAsiaTheme="minorEastAsia"/>
          <w:b/>
          <w:lang w:eastAsia="ja-JP"/>
        </w:rPr>
        <w:t>Results</w:t>
      </w:r>
      <w:r>
        <w:rPr>
          <w:rFonts w:eastAsiaTheme="minorEastAsia"/>
          <w:lang w:eastAsia="ja-JP"/>
        </w:rPr>
        <w:t xml:space="preserve">: Ninety-three patients (mean age 76.0, 60.2% female) were recruited of which 38.7% chose to engage further in ACP discussions. </w:t>
      </w:r>
      <w:r w:rsidRPr="00265F59">
        <w:rPr>
          <w:rFonts w:eastAsiaTheme="minorEastAsia"/>
          <w:lang w:eastAsia="ja-JP"/>
        </w:rPr>
        <w:t>GCDR was the only factor that emerged significant on bivariate analysis for willingness to engage in ACP (</w:t>
      </w:r>
      <w:r>
        <w:t>t (79) = 2.191, p&lt; .05</w:t>
      </w:r>
      <w:r w:rsidRPr="00265F59">
        <w:t>, two-tailed).</w:t>
      </w:r>
      <w:r>
        <w:t xml:space="preserve"> Among those who declined ACP, three main themes emerged from the </w:t>
      </w:r>
      <w:r w:rsidR="00853C9B">
        <w:t>thematic</w:t>
      </w:r>
      <w:r>
        <w:t xml:space="preserve"> analysis. </w:t>
      </w:r>
      <w:r w:rsidR="00853C9B">
        <w:t>The majority showed passivity in discussing</w:t>
      </w:r>
      <w:r>
        <w:t xml:space="preserve"> ACP and perceived ACP as irrelevant or unnecessary. </w:t>
      </w:r>
      <w:r w:rsidR="00853C9B">
        <w:t>P</w:t>
      </w:r>
      <w:r>
        <w:t>atients also displayed avoidance and denial behaviors during ACP discussions.</w:t>
      </w:r>
    </w:p>
    <w:p w14:paraId="27DFFC2C" w14:textId="77777777" w:rsidR="00881061" w:rsidRDefault="00853C9B">
      <w:pPr>
        <w:widowControl w:val="0"/>
        <w:autoSpaceDE w:val="0"/>
        <w:autoSpaceDN w:val="0"/>
        <w:adjustRightInd w:val="0"/>
        <w:spacing w:line="480" w:lineRule="auto"/>
        <w:jc w:val="both"/>
        <w:rPr>
          <w:rFonts w:eastAsiaTheme="minorEastAsia"/>
          <w:lang w:eastAsia="ja-JP"/>
        </w:rPr>
      </w:pPr>
      <w:r w:rsidRPr="00021CB0">
        <w:rPr>
          <w:b/>
        </w:rPr>
        <w:t>Conclusion</w:t>
      </w:r>
      <w:r w:rsidR="00235EF9">
        <w:t xml:space="preserve">: </w:t>
      </w:r>
      <w:r>
        <w:t>A</w:t>
      </w:r>
      <w:r w:rsidR="00235EF9">
        <w:t xml:space="preserve"> large proportion of patients with ECI are not open to ACP discussions and the reasons are influenced by personal values</w:t>
      </w:r>
      <w:r w:rsidR="00DE6E2E">
        <w:t>, coping behaviours</w:t>
      </w:r>
      <w:r w:rsidR="00235EF9">
        <w:t xml:space="preserve"> and socio-cultural norms. </w:t>
      </w:r>
      <w:r>
        <w:t xml:space="preserve">These findings have </w:t>
      </w:r>
      <w:r w:rsidR="00235EF9">
        <w:t>important implications for practice.</w:t>
      </w:r>
    </w:p>
    <w:p w14:paraId="56D9E95E" w14:textId="77777777" w:rsidR="00B27BCC" w:rsidRDefault="00B27BCC" w:rsidP="00021CB0">
      <w:pPr>
        <w:spacing w:line="480" w:lineRule="auto"/>
        <w:jc w:val="both"/>
        <w:rPr>
          <w:i/>
        </w:rPr>
      </w:pPr>
    </w:p>
    <w:p w14:paraId="6BBC525C" w14:textId="77777777" w:rsidR="0061059E" w:rsidRPr="00021CB0" w:rsidRDefault="0061059E" w:rsidP="00021CB0">
      <w:pPr>
        <w:spacing w:line="480" w:lineRule="auto"/>
        <w:jc w:val="both"/>
        <w:rPr>
          <w:b/>
        </w:rPr>
      </w:pPr>
    </w:p>
    <w:p w14:paraId="5DB7B264" w14:textId="77777777" w:rsidR="00784037" w:rsidRPr="00784037" w:rsidRDefault="00784037" w:rsidP="00784037">
      <w:pPr>
        <w:spacing w:line="480" w:lineRule="auto"/>
        <w:jc w:val="both"/>
        <w:rPr>
          <w:b/>
        </w:rPr>
      </w:pPr>
      <w:r>
        <w:rPr>
          <w:b/>
        </w:rPr>
        <w:lastRenderedPageBreak/>
        <w:t>I</w:t>
      </w:r>
      <w:r w:rsidR="0011264E">
        <w:rPr>
          <w:b/>
        </w:rPr>
        <w:t>NTRODUCTION</w:t>
      </w:r>
    </w:p>
    <w:p w14:paraId="6B43815D" w14:textId="77777777" w:rsidR="00B27BCC" w:rsidRDefault="0051690C" w:rsidP="0011264E">
      <w:pPr>
        <w:spacing w:line="480" w:lineRule="auto"/>
        <w:ind w:firstLine="720"/>
        <w:jc w:val="both"/>
      </w:pPr>
      <w:r>
        <w:t xml:space="preserve">Advance Care Planning (ACP) is a process that aims to inform and facilitate medical decision-making </w:t>
      </w:r>
      <w:r w:rsidR="00B27BCC">
        <w:t xml:space="preserve">to </w:t>
      </w:r>
      <w:r>
        <w:t>reflect patients’ values and preferences in the event that they cannot communicate</w:t>
      </w:r>
      <w:r w:rsidR="00B27BCC">
        <w:t xml:space="preserve"> their wishes</w:t>
      </w:r>
      <w:r w:rsidR="007D2252">
        <w:rPr>
          <w:rStyle w:val="EndnoteReference"/>
        </w:rPr>
        <w:endnoteReference w:id="1"/>
      </w:r>
      <w:r>
        <w:t xml:space="preserve">. </w:t>
      </w:r>
      <w:r w:rsidR="00B27BCC">
        <w:t>For p</w:t>
      </w:r>
      <w:r>
        <w:t xml:space="preserve">atients with early cognitive impairment (ECI), which includes persons with mild cognitive impairment </w:t>
      </w:r>
      <w:r w:rsidR="008340D2">
        <w:t xml:space="preserve">(MCI) and early-stage dementia who </w:t>
      </w:r>
      <w:r w:rsidR="00FE42EC">
        <w:t xml:space="preserve">are </w:t>
      </w:r>
      <w:r>
        <w:t xml:space="preserve">susceptible to losing decisional capacity and ability to make healthcare choices, </w:t>
      </w:r>
      <w:r w:rsidR="008340D2">
        <w:t xml:space="preserve">ACP </w:t>
      </w:r>
      <w:r w:rsidR="00B27BCC">
        <w:t xml:space="preserve">can be </w:t>
      </w:r>
      <w:r w:rsidR="008340D2">
        <w:t>beneficial</w:t>
      </w:r>
      <w:r>
        <w:t xml:space="preserve"> to </w:t>
      </w:r>
      <w:r w:rsidR="00B27BCC">
        <w:t>enable</w:t>
      </w:r>
      <w:r>
        <w:t xml:space="preserve"> timely decisions about their future.</w:t>
      </w:r>
      <w:r w:rsidRPr="0035657C">
        <w:t xml:space="preserve"> </w:t>
      </w:r>
      <w:r>
        <w:t>Research suggests positive outcomes for patients with ECI engaging in ACP, including posi</w:t>
      </w:r>
      <w:r w:rsidR="007D2252">
        <w:t>tive effects on quality of life</w:t>
      </w:r>
      <w:r w:rsidR="007D2252">
        <w:rPr>
          <w:rStyle w:val="EndnoteReference"/>
        </w:rPr>
        <w:endnoteReference w:id="2"/>
      </w:r>
      <w:r>
        <w:t>, maintaining indepe</w:t>
      </w:r>
      <w:r w:rsidR="007D2252">
        <w:t>ndence for as long as possible</w:t>
      </w:r>
      <w:r w:rsidR="007D2252">
        <w:rPr>
          <w:rStyle w:val="EndnoteReference"/>
        </w:rPr>
        <w:endnoteReference w:id="3"/>
      </w:r>
      <w:r>
        <w:t>, achieving patient centered care and maintaining patient autonomy</w:t>
      </w:r>
      <w:r w:rsidR="007D2252">
        <w:rPr>
          <w:rStyle w:val="EndnoteReference"/>
        </w:rPr>
        <w:endnoteReference w:id="4"/>
      </w:r>
      <w:r>
        <w:t xml:space="preserve">. However, a </w:t>
      </w:r>
      <w:r w:rsidR="00005966">
        <w:t xml:space="preserve">recent </w:t>
      </w:r>
      <w:r>
        <w:t xml:space="preserve">review </w:t>
      </w:r>
      <w:r w:rsidR="00005966">
        <w:t xml:space="preserve">paper found </w:t>
      </w:r>
      <w:r>
        <w:t>limited literature and evidence regarding the best way to approach ACP for people with dementia</w:t>
      </w:r>
      <w:r w:rsidR="007D2252">
        <w:rPr>
          <w:rStyle w:val="EndnoteReference"/>
        </w:rPr>
        <w:endnoteReference w:id="5"/>
      </w:r>
      <w:r w:rsidR="007D2252">
        <w:t>.</w:t>
      </w:r>
    </w:p>
    <w:p w14:paraId="17C6CCB1" w14:textId="77777777" w:rsidR="00B27BCC" w:rsidRDefault="0051690C" w:rsidP="0011264E">
      <w:pPr>
        <w:spacing w:line="480" w:lineRule="auto"/>
        <w:ind w:firstLine="720"/>
        <w:jc w:val="both"/>
      </w:pPr>
      <w:r>
        <w:t xml:space="preserve">Much remains to be understood about the reasons behind </w:t>
      </w:r>
      <w:r w:rsidR="00005966">
        <w:t xml:space="preserve">the </w:t>
      </w:r>
      <w:r>
        <w:t>paradox whereby ACP is arguably beneficial yet underused</w:t>
      </w:r>
      <w:r w:rsidR="007D2252">
        <w:rPr>
          <w:rStyle w:val="EndnoteReference"/>
        </w:rPr>
        <w:endnoteReference w:id="6"/>
      </w:r>
      <w:r w:rsidR="007D2252">
        <w:t xml:space="preserve"> </w:t>
      </w:r>
      <w:r w:rsidR="007D2252">
        <w:rPr>
          <w:rStyle w:val="EndnoteReference"/>
        </w:rPr>
        <w:endnoteReference w:id="7"/>
      </w:r>
      <w:r>
        <w:t>. Before attempting to understand the reasons for declining ACP, it is v</w:t>
      </w:r>
      <w:r w:rsidR="001E0E08">
        <w:t>aluable</w:t>
      </w:r>
      <w:r>
        <w:t xml:space="preserve"> to comprehend </w:t>
      </w:r>
      <w:r w:rsidR="00005966">
        <w:t xml:space="preserve">the factors leading to </w:t>
      </w:r>
      <w:r>
        <w:t xml:space="preserve">ACP completion. </w:t>
      </w:r>
      <w:r w:rsidR="00FE42EC">
        <w:t xml:space="preserve">To </w:t>
      </w:r>
      <w:r w:rsidR="001C76E3">
        <w:t>our knowledge</w:t>
      </w:r>
      <w:r>
        <w:t xml:space="preserve">, only two studies </w:t>
      </w:r>
      <w:r w:rsidR="00005966">
        <w:t xml:space="preserve">have </w:t>
      </w:r>
      <w:r>
        <w:t>explore</w:t>
      </w:r>
      <w:r w:rsidR="00005966">
        <w:t>d</w:t>
      </w:r>
      <w:r>
        <w:t xml:space="preserve"> the reasons people with dementia g</w:t>
      </w:r>
      <w:r w:rsidR="00005966">
        <w:t>i</w:t>
      </w:r>
      <w:r>
        <w:t>ve for completin</w:t>
      </w:r>
      <w:r w:rsidR="00005966">
        <w:t>g</w:t>
      </w:r>
      <w:r>
        <w:t xml:space="preserve"> ACP</w:t>
      </w:r>
      <w:r w:rsidR="007D2252">
        <w:rPr>
          <w:vertAlign w:val="superscript"/>
        </w:rPr>
        <w:t>4</w:t>
      </w:r>
      <w:r w:rsidR="00F00C91">
        <w:rPr>
          <w:vertAlign w:val="superscript"/>
        </w:rPr>
        <w:t xml:space="preserve"> </w:t>
      </w:r>
      <w:r w:rsidR="007D2252">
        <w:rPr>
          <w:rStyle w:val="EndnoteReference"/>
        </w:rPr>
        <w:endnoteReference w:id="8"/>
      </w:r>
      <w:r w:rsidR="00005966">
        <w:t xml:space="preserve"> and they</w:t>
      </w:r>
      <w:r>
        <w:t xml:space="preserve"> </w:t>
      </w:r>
      <w:r w:rsidR="00FE42EC">
        <w:t>include</w:t>
      </w:r>
      <w:r w:rsidR="00005966">
        <w:t>:</w:t>
      </w:r>
      <w:r>
        <w:t xml:space="preserve"> patients’ failing health</w:t>
      </w:r>
      <w:r w:rsidR="00FE42EC">
        <w:t xml:space="preserve">, encouragement from others, </w:t>
      </w:r>
      <w:r w:rsidR="001E0E08">
        <w:t xml:space="preserve">illness or </w:t>
      </w:r>
      <w:r>
        <w:t>death of other</w:t>
      </w:r>
      <w:r w:rsidR="00FE42EC">
        <w:t xml:space="preserve">s, </w:t>
      </w:r>
      <w:r>
        <w:t>active plannin</w:t>
      </w:r>
      <w:r w:rsidR="00223AAD">
        <w:t>g which was associated with financial</w:t>
      </w:r>
      <w:r>
        <w:t xml:space="preserve"> and healthcare</w:t>
      </w:r>
      <w:r w:rsidR="00223AAD">
        <w:t xml:space="preserve"> arrangements</w:t>
      </w:r>
      <w:r>
        <w:t>, and reactive planning which involved patients reacting to an event associated with medical, living situation or financial issue</w:t>
      </w:r>
      <w:r w:rsidR="007D2252">
        <w:rPr>
          <w:vertAlign w:val="superscript"/>
        </w:rPr>
        <w:t>4 8</w:t>
      </w:r>
      <w:r>
        <w:t xml:space="preserve">. </w:t>
      </w:r>
      <w:r w:rsidR="00005966">
        <w:t>O</w:t>
      </w:r>
      <w:r>
        <w:t>ne study examin</w:t>
      </w:r>
      <w:r w:rsidR="00FE42EC">
        <w:t>ed</w:t>
      </w:r>
      <w:r>
        <w:t xml:space="preserve"> prevalence rates and socio-demographic correlates of ACP completion among patients with cognitive impairment</w:t>
      </w:r>
      <w:r w:rsidR="007D2252">
        <w:rPr>
          <w:rStyle w:val="EndnoteReference"/>
        </w:rPr>
        <w:endnoteReference w:id="9"/>
      </w:r>
      <w:r>
        <w:t xml:space="preserve">. The authors found no significant differences in the prevalence of ACP </w:t>
      </w:r>
      <w:r w:rsidR="00005966">
        <w:t xml:space="preserve">engagement </w:t>
      </w:r>
      <w:r>
        <w:t>among</w:t>
      </w:r>
      <w:r w:rsidR="00005966">
        <w:t xml:space="preserve"> those</w:t>
      </w:r>
      <w:r>
        <w:t xml:space="preserve"> with MCI or early Alzheimer’s Disease (AD)</w:t>
      </w:r>
      <w:r w:rsidR="00005966">
        <w:t xml:space="preserve"> </w:t>
      </w:r>
      <w:r>
        <w:t xml:space="preserve">compared to those with moderate to severe AD and cognitively intact controls. Across all groups, engagement with ACP was associated with increased age, higher education and having a white American </w:t>
      </w:r>
      <w:r w:rsidR="007D2252">
        <w:t>ethnicity</w:t>
      </w:r>
      <w:r w:rsidR="007D2252">
        <w:rPr>
          <w:vertAlign w:val="superscript"/>
        </w:rPr>
        <w:t>9</w:t>
      </w:r>
      <w:r>
        <w:t xml:space="preserve">.  </w:t>
      </w:r>
    </w:p>
    <w:p w14:paraId="40A7582D" w14:textId="37888A7B" w:rsidR="00B27BCC" w:rsidRPr="0061059E" w:rsidRDefault="00FE42EC" w:rsidP="0011264E">
      <w:pPr>
        <w:spacing w:line="480" w:lineRule="auto"/>
        <w:ind w:firstLine="720"/>
        <w:jc w:val="both"/>
      </w:pPr>
      <w:r>
        <w:lastRenderedPageBreak/>
        <w:t>To date</w:t>
      </w:r>
      <w:r w:rsidR="0051690C">
        <w:t>,</w:t>
      </w:r>
      <w:r w:rsidR="00101B43">
        <w:t xml:space="preserve"> </w:t>
      </w:r>
      <w:r w:rsidR="0051690C">
        <w:t xml:space="preserve">only two studies </w:t>
      </w:r>
      <w:r w:rsidR="00101B43">
        <w:t xml:space="preserve">have </w:t>
      </w:r>
      <w:r w:rsidR="0051690C">
        <w:t>investigat</w:t>
      </w:r>
      <w:r w:rsidR="00101B43">
        <w:t xml:space="preserve">ed why </w:t>
      </w:r>
      <w:r w:rsidR="00101B43" w:rsidRPr="0061059E">
        <w:t xml:space="preserve">patients with dementia do not </w:t>
      </w:r>
      <w:r w:rsidR="009F677C" w:rsidRPr="0061059E">
        <w:t>engage in</w:t>
      </w:r>
      <w:r w:rsidR="0051690C" w:rsidRPr="0061059E">
        <w:t xml:space="preserve"> ACP</w:t>
      </w:r>
      <w:r w:rsidR="007D2252" w:rsidRPr="0061059E">
        <w:rPr>
          <w:vertAlign w:val="superscript"/>
        </w:rPr>
        <w:t>4 8</w:t>
      </w:r>
      <w:r w:rsidR="0051690C" w:rsidRPr="0061059E">
        <w:t xml:space="preserve">. </w:t>
      </w:r>
      <w:r w:rsidRPr="0061059E">
        <w:t xml:space="preserve">The reasons </w:t>
      </w:r>
      <w:r w:rsidR="00914E55" w:rsidRPr="0061059E">
        <w:t xml:space="preserve">elicited </w:t>
      </w:r>
      <w:r w:rsidRPr="0061059E">
        <w:t>include</w:t>
      </w:r>
      <w:r w:rsidR="0051690C" w:rsidRPr="0061059E">
        <w:t xml:space="preserve"> avoidance</w:t>
      </w:r>
      <w:r w:rsidRPr="0061059E">
        <w:t xml:space="preserve">, </w:t>
      </w:r>
      <w:r w:rsidR="0051690C" w:rsidRPr="0061059E">
        <w:t xml:space="preserve">being reluctant to discuss ACP, preferring to leave the decision to others, and not </w:t>
      </w:r>
      <w:r w:rsidR="00D35BA8" w:rsidRPr="0061059E">
        <w:t>seeing</w:t>
      </w:r>
      <w:r w:rsidR="0051690C" w:rsidRPr="0061059E">
        <w:t xml:space="preserve"> ACP as important or necessary</w:t>
      </w:r>
      <w:r w:rsidR="007D2252" w:rsidRPr="0061059E">
        <w:rPr>
          <w:vertAlign w:val="superscript"/>
        </w:rPr>
        <w:t>4 8</w:t>
      </w:r>
      <w:r w:rsidR="0051690C" w:rsidRPr="0061059E">
        <w:t xml:space="preserve">. </w:t>
      </w:r>
    </w:p>
    <w:p w14:paraId="6EEE80D3" w14:textId="4BCB9166" w:rsidR="00B27BCC" w:rsidRDefault="00FE42EC" w:rsidP="0011264E">
      <w:pPr>
        <w:spacing w:line="480" w:lineRule="auto"/>
        <w:ind w:firstLine="720"/>
        <w:jc w:val="both"/>
      </w:pPr>
      <w:r w:rsidRPr="0061059E">
        <w:t xml:space="preserve">In Singapore, awareness and use of ACP </w:t>
      </w:r>
      <w:r w:rsidR="00784037" w:rsidRPr="0061059E">
        <w:t>ha</w:t>
      </w:r>
      <w:r w:rsidR="009F677C" w:rsidRPr="0061059E">
        <w:t>s</w:t>
      </w:r>
      <w:r w:rsidR="00784037" w:rsidRPr="0061059E">
        <w:t xml:space="preserve"> </w:t>
      </w:r>
      <w:r w:rsidR="00F00C91" w:rsidRPr="0061059E">
        <w:t xml:space="preserve">been </w:t>
      </w:r>
      <w:r w:rsidRPr="0061059E">
        <w:t>l</w:t>
      </w:r>
      <w:r w:rsidR="00F72496" w:rsidRPr="0061059E">
        <w:t xml:space="preserve">ow </w:t>
      </w:r>
      <w:r w:rsidR="00784037" w:rsidRPr="0061059E">
        <w:t>although</w:t>
      </w:r>
      <w:r w:rsidR="00F72496" w:rsidRPr="0061059E">
        <w:t xml:space="preserve"> its existence </w:t>
      </w:r>
      <w:r w:rsidR="00101B43" w:rsidRPr="0061059E">
        <w:t xml:space="preserve">in </w:t>
      </w:r>
      <w:r w:rsidR="00914E55" w:rsidRPr="0061059E">
        <w:t>the</w:t>
      </w:r>
      <w:r w:rsidR="00101B43" w:rsidRPr="0061059E">
        <w:t xml:space="preserve"> more limited form of Advanced Medical Directives </w:t>
      </w:r>
      <w:r w:rsidR="00784037" w:rsidRPr="0061059E">
        <w:t>dates back to</w:t>
      </w:r>
      <w:r w:rsidR="00F72496" w:rsidRPr="0061059E">
        <w:t xml:space="preserve"> 1996</w:t>
      </w:r>
      <w:r w:rsidR="007D2252" w:rsidRPr="0061059E">
        <w:rPr>
          <w:rStyle w:val="EndnoteReference"/>
        </w:rPr>
        <w:endnoteReference w:id="10"/>
      </w:r>
      <w:r w:rsidR="007D2252" w:rsidRPr="0061059E">
        <w:t xml:space="preserve"> </w:t>
      </w:r>
      <w:r w:rsidR="007D2252" w:rsidRPr="0061059E">
        <w:rPr>
          <w:rStyle w:val="EndnoteReference"/>
        </w:rPr>
        <w:endnoteReference w:id="11"/>
      </w:r>
      <w:r w:rsidRPr="0061059E">
        <w:t>.</w:t>
      </w:r>
      <w:r w:rsidR="0051690C" w:rsidRPr="0061059E">
        <w:t xml:space="preserve"> </w:t>
      </w:r>
      <w:r w:rsidR="00F72496" w:rsidRPr="0061059E">
        <w:t>Singaporeans</w:t>
      </w:r>
      <w:r w:rsidR="00F72496">
        <w:t xml:space="preserve"> who felt ACP was necessary gave reasons such as </w:t>
      </w:r>
      <w:r w:rsidR="00101B43">
        <w:t>“</w:t>
      </w:r>
      <w:r w:rsidR="0051690C">
        <w:t>to lessen t</w:t>
      </w:r>
      <w:r w:rsidR="00F72496">
        <w:t xml:space="preserve">he financial burden and </w:t>
      </w:r>
      <w:r w:rsidR="0051690C">
        <w:t>emotional bu</w:t>
      </w:r>
      <w:r w:rsidR="00F72496">
        <w:t>rden on loved ones</w:t>
      </w:r>
      <w:r w:rsidR="00101B43">
        <w:t>”</w:t>
      </w:r>
      <w:r w:rsidR="00F72496">
        <w:t xml:space="preserve">, </w:t>
      </w:r>
      <w:r w:rsidR="00101B43">
        <w:t>“</w:t>
      </w:r>
      <w:r w:rsidR="0051690C">
        <w:t>to avo</w:t>
      </w:r>
      <w:r w:rsidR="00F72496">
        <w:t>id prolonging suffering</w:t>
      </w:r>
      <w:r w:rsidR="00101B43">
        <w:t>”</w:t>
      </w:r>
      <w:r w:rsidR="00F72496">
        <w:t xml:space="preserve">, </w:t>
      </w:r>
      <w:r w:rsidR="00101B43">
        <w:t>“</w:t>
      </w:r>
      <w:r w:rsidR="00F72496">
        <w:t>respects autonomy and guides patients and family</w:t>
      </w:r>
      <w:r w:rsidR="00101B43">
        <w:t>”</w:t>
      </w:r>
      <w:r w:rsidR="007D2252">
        <w:rPr>
          <w:vertAlign w:val="superscript"/>
        </w:rPr>
        <w:t xml:space="preserve">11 </w:t>
      </w:r>
      <w:r w:rsidR="007D2252">
        <w:rPr>
          <w:rStyle w:val="EndnoteReference"/>
        </w:rPr>
        <w:endnoteReference w:id="12"/>
      </w:r>
      <w:r w:rsidR="0051690C">
        <w:t xml:space="preserve">. </w:t>
      </w:r>
      <w:r w:rsidR="00914E55">
        <w:t>Conversely, t</w:t>
      </w:r>
      <w:r w:rsidR="0051690C">
        <w:t>hose who thought ACP was irrelevant</w:t>
      </w:r>
      <w:r w:rsidR="00B27BCC">
        <w:t xml:space="preserve"> </w:t>
      </w:r>
      <w:r w:rsidR="00101B43">
        <w:t>remarked</w:t>
      </w:r>
      <w:r w:rsidR="00914E55">
        <w:t xml:space="preserve">: </w:t>
      </w:r>
      <w:r w:rsidR="00B27BCC">
        <w:t>“</w:t>
      </w:r>
      <w:r w:rsidR="0051690C">
        <w:t>it was bad luck to talk about death</w:t>
      </w:r>
      <w:r w:rsidR="00101B43">
        <w:t xml:space="preserve"> and a cultural taboo</w:t>
      </w:r>
      <w:r w:rsidR="00B27BCC">
        <w:t>”</w:t>
      </w:r>
      <w:r w:rsidR="0051690C">
        <w:t xml:space="preserve">, </w:t>
      </w:r>
      <w:r w:rsidR="00B27BCC">
        <w:t>“</w:t>
      </w:r>
      <w:r w:rsidR="0051690C">
        <w:t>they were unlikely to be in a situation that required one</w:t>
      </w:r>
      <w:r w:rsidR="00B27BCC">
        <w:t>”</w:t>
      </w:r>
      <w:r w:rsidR="00101B43">
        <w:t xml:space="preserve"> </w:t>
      </w:r>
      <w:r w:rsidR="00441AB7">
        <w:t>and</w:t>
      </w:r>
      <w:r w:rsidR="00B27BCC">
        <w:t xml:space="preserve"> “</w:t>
      </w:r>
      <w:r w:rsidR="00101B43">
        <w:t xml:space="preserve">they were </w:t>
      </w:r>
      <w:r w:rsidR="00441AB7">
        <w:t>fear</w:t>
      </w:r>
      <w:r w:rsidR="00101B43">
        <w:t>ful</w:t>
      </w:r>
      <w:r w:rsidR="00441AB7">
        <w:t xml:space="preserve"> of destroying patient’s hope</w:t>
      </w:r>
      <w:r w:rsidR="00B27BCC">
        <w:t>”</w:t>
      </w:r>
      <w:r w:rsidR="0051690C">
        <w:t>.</w:t>
      </w:r>
      <w:r w:rsidR="00DA7DD4">
        <w:t xml:space="preserve"> </w:t>
      </w:r>
      <w:r w:rsidR="00784037">
        <w:t>Given the move to implement a national ACP programme</w:t>
      </w:r>
      <w:r w:rsidR="00C95614">
        <w:t xml:space="preserve"> </w:t>
      </w:r>
      <w:r w:rsidR="00784037">
        <w:t>in the country</w:t>
      </w:r>
      <w:r w:rsidR="00C95614">
        <w:rPr>
          <w:rStyle w:val="EndnoteReference"/>
        </w:rPr>
        <w:endnoteReference w:id="13"/>
      </w:r>
      <w:r w:rsidR="00784037">
        <w:t xml:space="preserve">, it is timely to conduct studies to better understand the perspectives of the lay public, particularly </w:t>
      </w:r>
      <w:r w:rsidR="00914E55">
        <w:t>for</w:t>
      </w:r>
      <w:r w:rsidR="00B27BCC">
        <w:t xml:space="preserve"> </w:t>
      </w:r>
      <w:r w:rsidR="00784037">
        <w:t>patients whom ACP is deemed important given the diagnos</w:t>
      </w:r>
      <w:r w:rsidR="00B27BCC">
        <w:t>is of a progressive and incurable neurodegenerative condition.</w:t>
      </w:r>
    </w:p>
    <w:p w14:paraId="4ED10D9F" w14:textId="77777777" w:rsidR="00B27BCC" w:rsidRDefault="0051690C" w:rsidP="0011264E">
      <w:pPr>
        <w:spacing w:line="480" w:lineRule="auto"/>
        <w:ind w:firstLine="720"/>
        <w:jc w:val="both"/>
      </w:pPr>
      <w:r>
        <w:t xml:space="preserve">Therefore, the goal of this study is to explore, in depth, the perspectives of </w:t>
      </w:r>
      <w:r w:rsidR="00DF7783">
        <w:t>patients</w:t>
      </w:r>
      <w:r>
        <w:t xml:space="preserve"> with ECI </w:t>
      </w:r>
      <w:r w:rsidR="00DF7783">
        <w:t xml:space="preserve">on ACP </w:t>
      </w:r>
      <w:r>
        <w:t xml:space="preserve">in </w:t>
      </w:r>
      <w:r w:rsidR="00B27BCC">
        <w:t>the</w:t>
      </w:r>
      <w:r>
        <w:t xml:space="preserve"> Singapore context. </w:t>
      </w:r>
    </w:p>
    <w:p w14:paraId="4504670D" w14:textId="77777777" w:rsidR="00B27BCC" w:rsidRDefault="00B27BCC" w:rsidP="0011264E">
      <w:pPr>
        <w:spacing w:line="480" w:lineRule="auto"/>
        <w:jc w:val="both"/>
        <w:rPr>
          <w:b/>
        </w:rPr>
      </w:pPr>
    </w:p>
    <w:p w14:paraId="54F232D7" w14:textId="77777777" w:rsidR="00B27BCC" w:rsidRDefault="0011264E" w:rsidP="0011264E">
      <w:pPr>
        <w:spacing w:line="480" w:lineRule="auto"/>
        <w:jc w:val="both"/>
        <w:rPr>
          <w:b/>
        </w:rPr>
      </w:pPr>
      <w:r>
        <w:rPr>
          <w:b/>
        </w:rPr>
        <w:t>METHOD</w:t>
      </w:r>
    </w:p>
    <w:p w14:paraId="6A954921" w14:textId="77777777" w:rsidR="00B27BCC" w:rsidRDefault="0051690C" w:rsidP="0011264E">
      <w:pPr>
        <w:spacing w:line="480" w:lineRule="auto"/>
        <w:jc w:val="both"/>
        <w:rPr>
          <w:b/>
        </w:rPr>
      </w:pPr>
      <w:r>
        <w:rPr>
          <w:b/>
        </w:rPr>
        <w:t>Participants and procedure</w:t>
      </w:r>
    </w:p>
    <w:p w14:paraId="7C236DD2" w14:textId="77777777" w:rsidR="00B27BCC" w:rsidRDefault="0051690C" w:rsidP="0011264E">
      <w:pPr>
        <w:spacing w:line="480" w:lineRule="auto"/>
        <w:jc w:val="both"/>
      </w:pPr>
      <w:r>
        <w:rPr>
          <w:b/>
        </w:rPr>
        <w:tab/>
      </w:r>
      <w:r w:rsidR="009C34D9">
        <w:t>Ethics approval for the study was obtained from the Domain-Specific Review Board of the National Healthcare Group, Singapore and James Cook University Ethics Committee. The participants comprised consecutive patients diagnosed with MCI or early dementia attending the ECI psycho-education programme of a tertiary hospital memory clinic between 4 October 2012 and 4 June 2013</w:t>
      </w:r>
      <w:r>
        <w:t xml:space="preserve">. </w:t>
      </w:r>
      <w:r w:rsidR="009C34D9">
        <w:t xml:space="preserve">Patients with ECI fulfilled the following </w:t>
      </w:r>
      <w:r w:rsidR="009C34D9" w:rsidRPr="009546D4">
        <w:t>criteria</w:t>
      </w:r>
      <w:r w:rsidR="009C34D9">
        <w:t xml:space="preserve">: </w:t>
      </w:r>
      <w:r w:rsidR="009C34D9" w:rsidRPr="009546D4">
        <w:t>Mini-Mental State Examination (MMSE)</w:t>
      </w:r>
      <w:r w:rsidR="007D2252">
        <w:rPr>
          <w:rStyle w:val="EndnoteReference"/>
          <w:iCs/>
          <w:lang w:bidi="en-US"/>
        </w:rPr>
        <w:endnoteReference w:id="14"/>
      </w:r>
      <w:r w:rsidR="007D2252">
        <w:t xml:space="preserve"> </w:t>
      </w:r>
      <w:r>
        <w:rPr>
          <w:iCs/>
          <w:lang w:bidi="en-US"/>
        </w:rPr>
        <w:t xml:space="preserve">of </w:t>
      </w:r>
      <w:r w:rsidR="009C34D9" w:rsidRPr="0052610F">
        <w:rPr>
          <w:rFonts w:eastAsia="MS Mincho"/>
          <w:lang w:eastAsia="ja-JP"/>
        </w:rPr>
        <w:t>≥</w:t>
      </w:r>
      <w:r w:rsidR="009C34D9">
        <w:rPr>
          <w:rFonts w:eastAsia="MS Mincho"/>
          <w:lang w:eastAsia="ja-JP"/>
        </w:rPr>
        <w:t xml:space="preserve"> </w:t>
      </w:r>
      <w:r>
        <w:rPr>
          <w:iCs/>
          <w:lang w:bidi="en-US"/>
        </w:rPr>
        <w:t>18 or</w:t>
      </w:r>
      <w:r w:rsidRPr="009546D4">
        <w:rPr>
          <w:iCs/>
          <w:lang w:bidi="en-US"/>
        </w:rPr>
        <w:t xml:space="preserve"> Global </w:t>
      </w:r>
      <w:r w:rsidR="007D2252">
        <w:rPr>
          <w:iCs/>
          <w:lang w:bidi="en-US"/>
        </w:rPr>
        <w:t>Clinical Dementia Rating (GCDR)</w:t>
      </w:r>
      <w:r w:rsidR="007D2252">
        <w:rPr>
          <w:rStyle w:val="EndnoteReference"/>
          <w:iCs/>
          <w:lang w:bidi="en-US"/>
        </w:rPr>
        <w:endnoteReference w:id="15"/>
      </w:r>
      <w:r w:rsidR="007D2252">
        <w:rPr>
          <w:iCs/>
          <w:lang w:bidi="en-US"/>
        </w:rPr>
        <w:t xml:space="preserve"> </w:t>
      </w:r>
      <w:r>
        <w:lastRenderedPageBreak/>
        <w:t>of 0.5 to 1.0</w:t>
      </w:r>
      <w:r w:rsidR="009C34D9">
        <w:t xml:space="preserve"> and having </w:t>
      </w:r>
      <w:r w:rsidRPr="009546D4">
        <w:t xml:space="preserve">at least </w:t>
      </w:r>
      <w:r>
        <w:t>‘fair’ to ‘good’</w:t>
      </w:r>
      <w:r w:rsidRPr="009546D4">
        <w:t xml:space="preserve"> insight based on the Guidelines for the Rating of Awareness Deficits (GRAD)</w:t>
      </w:r>
      <w:r w:rsidR="007D2252">
        <w:rPr>
          <w:rStyle w:val="EndnoteReference"/>
        </w:rPr>
        <w:endnoteReference w:id="16"/>
      </w:r>
      <w:r w:rsidR="009C34D9">
        <w:t>.</w:t>
      </w:r>
    </w:p>
    <w:p w14:paraId="763914A3" w14:textId="734E4601" w:rsidR="00881061" w:rsidRDefault="009C62F5">
      <w:pPr>
        <w:spacing w:line="480" w:lineRule="auto"/>
        <w:ind w:firstLine="720"/>
        <w:jc w:val="both"/>
      </w:pPr>
      <w:r w:rsidRPr="0068121C">
        <w:t>During the ECI psycho-education session lasting typically 30 to 45 minutes, patients were introduced to the concept of ACP by a Medical Social Worker (MSW) with formal training and certification in ACP by Respecting Choices©</w:t>
      </w:r>
      <w:r w:rsidR="0068121C" w:rsidRPr="0068121C">
        <w:rPr>
          <w:rStyle w:val="EndnoteReference"/>
        </w:rPr>
        <w:endnoteReference w:id="17"/>
      </w:r>
      <w:r w:rsidR="0068121C" w:rsidRPr="0068121C">
        <w:t xml:space="preserve">, </w:t>
      </w:r>
      <w:r w:rsidRPr="0068121C">
        <w:rPr>
          <w:color w:val="333333"/>
        </w:rPr>
        <w:t xml:space="preserve">an internationally recognised and evidence-based ACP </w:t>
      </w:r>
      <w:r w:rsidRPr="0068121C">
        <w:rPr>
          <w:rStyle w:val="Strong"/>
          <w:b w:val="0"/>
          <w:color w:val="333333"/>
        </w:rPr>
        <w:t xml:space="preserve">programme. </w:t>
      </w:r>
      <w:r w:rsidR="009C34D9" w:rsidRPr="00D96511">
        <w:t>Patients were asked if they would like to engage in further ACP discussions and their decisions and the accompanying reasons were documented in prose in the case records</w:t>
      </w:r>
      <w:r w:rsidR="009F677C">
        <w:t xml:space="preserve"> </w:t>
      </w:r>
      <w:r w:rsidR="009F677C" w:rsidRPr="0061059E">
        <w:t xml:space="preserve">by the </w:t>
      </w:r>
      <w:r w:rsidR="00D160EA" w:rsidRPr="0061059E">
        <w:t>MSW</w:t>
      </w:r>
      <w:r w:rsidR="009C34D9" w:rsidRPr="0061059E">
        <w:t>. These</w:t>
      </w:r>
      <w:r w:rsidR="009C34D9" w:rsidRPr="00D96511">
        <w:t xml:space="preserve"> records provided the content for the qualitative analysis. Socio-demographic characteristics such as </w:t>
      </w:r>
      <w:r w:rsidR="009C34D9" w:rsidRPr="00D96511">
        <w:rPr>
          <w:rFonts w:eastAsia="MS Mincho"/>
          <w:lang w:eastAsia="ja-JP"/>
        </w:rPr>
        <w:t>age, years of education</w:t>
      </w:r>
      <w:r w:rsidR="009C34D9">
        <w:rPr>
          <w:rFonts w:eastAsia="MS Mincho"/>
          <w:lang w:eastAsia="ja-JP"/>
        </w:rPr>
        <w:t xml:space="preserve">, gender, marital status, ethnicity, and religion, </w:t>
      </w:r>
      <w:r w:rsidR="009C34D9">
        <w:t xml:space="preserve">and clinical measures were also collected. </w:t>
      </w:r>
    </w:p>
    <w:p w14:paraId="06D99B18" w14:textId="77777777" w:rsidR="00B27BCC" w:rsidRDefault="00B27BCC" w:rsidP="00C95614">
      <w:pPr>
        <w:spacing w:line="480" w:lineRule="auto"/>
        <w:jc w:val="both"/>
        <w:rPr>
          <w:rFonts w:eastAsia="MS Mincho"/>
          <w:b/>
          <w:lang w:eastAsia="ja-JP"/>
        </w:rPr>
      </w:pPr>
    </w:p>
    <w:p w14:paraId="651F8E28" w14:textId="77777777" w:rsidR="00B27BCC" w:rsidRDefault="0011264E" w:rsidP="00C95614">
      <w:pPr>
        <w:spacing w:line="480" w:lineRule="auto"/>
        <w:jc w:val="both"/>
        <w:rPr>
          <w:rFonts w:eastAsia="MS Mincho"/>
          <w:b/>
          <w:lang w:eastAsia="ja-JP"/>
        </w:rPr>
      </w:pPr>
      <w:r>
        <w:rPr>
          <w:rFonts w:eastAsia="MS Mincho"/>
          <w:b/>
          <w:lang w:eastAsia="ja-JP"/>
        </w:rPr>
        <w:t>MEASURES</w:t>
      </w:r>
    </w:p>
    <w:p w14:paraId="069D7558" w14:textId="77777777" w:rsidR="00B27BCC" w:rsidRDefault="0051690C" w:rsidP="00C95614">
      <w:pPr>
        <w:spacing w:line="480" w:lineRule="auto"/>
        <w:jc w:val="both"/>
        <w:rPr>
          <w:rFonts w:eastAsia="MS Mincho"/>
          <w:b/>
          <w:lang w:eastAsia="ja-JP"/>
        </w:rPr>
      </w:pPr>
      <w:r>
        <w:rPr>
          <w:rFonts w:eastAsia="MS Mincho"/>
          <w:b/>
          <w:lang w:eastAsia="ja-JP"/>
        </w:rPr>
        <w:t xml:space="preserve">Mini Mental State Examination </w:t>
      </w:r>
    </w:p>
    <w:p w14:paraId="61AB5828" w14:textId="77777777" w:rsidR="00B27BCC" w:rsidRDefault="0051690C" w:rsidP="00C95614">
      <w:pPr>
        <w:widowControl w:val="0"/>
        <w:autoSpaceDE w:val="0"/>
        <w:autoSpaceDN w:val="0"/>
        <w:adjustRightInd w:val="0"/>
        <w:spacing w:line="480" w:lineRule="auto"/>
        <w:jc w:val="both"/>
        <w:rPr>
          <w:color w:val="000000"/>
        </w:rPr>
      </w:pPr>
      <w:r>
        <w:rPr>
          <w:rFonts w:eastAsia="MS Mincho"/>
          <w:b/>
          <w:lang w:eastAsia="ja-JP"/>
        </w:rPr>
        <w:tab/>
      </w:r>
      <w:r w:rsidRPr="00403B5B">
        <w:rPr>
          <w:rFonts w:eastAsia="MS Mincho"/>
          <w:lang w:eastAsia="ja-JP"/>
        </w:rPr>
        <w:t xml:space="preserve">The </w:t>
      </w:r>
      <w:r w:rsidRPr="00522277">
        <w:rPr>
          <w:color w:val="000000"/>
        </w:rPr>
        <w:t>MMSE</w:t>
      </w:r>
      <w:r w:rsidR="007D2252">
        <w:rPr>
          <w:color w:val="000000"/>
          <w:vertAlign w:val="superscript"/>
        </w:rPr>
        <w:t>1</w:t>
      </w:r>
      <w:r w:rsidR="00C95614">
        <w:rPr>
          <w:color w:val="000000"/>
          <w:vertAlign w:val="superscript"/>
        </w:rPr>
        <w:t>4</w:t>
      </w:r>
      <w:r w:rsidRPr="00522277">
        <w:rPr>
          <w:color w:val="000000"/>
        </w:rPr>
        <w:t xml:space="preserve"> is a brief 30-point</w:t>
      </w:r>
      <w:r>
        <w:rPr>
          <w:color w:val="000000"/>
        </w:rPr>
        <w:t xml:space="preserve"> test commonly used </w:t>
      </w:r>
      <w:r w:rsidRPr="00522277">
        <w:rPr>
          <w:color w:val="000000"/>
        </w:rPr>
        <w:t>for cognitive assessment</w:t>
      </w:r>
      <w:r w:rsidR="009C34D9">
        <w:rPr>
          <w:color w:val="000000"/>
        </w:rPr>
        <w:t xml:space="preserve"> and has been validated in Singapore. I</w:t>
      </w:r>
      <w:r w:rsidR="00914E55">
        <w:rPr>
          <w:color w:val="000000"/>
        </w:rPr>
        <w:t xml:space="preserve">t can typically be completed in </w:t>
      </w:r>
      <w:r w:rsidR="009C34D9">
        <w:rPr>
          <w:color w:val="000000"/>
        </w:rPr>
        <w:t>15</w:t>
      </w:r>
      <w:r w:rsidRPr="00522277">
        <w:rPr>
          <w:color w:val="000000"/>
        </w:rPr>
        <w:t xml:space="preserve"> min</w:t>
      </w:r>
      <w:r w:rsidR="00914E55">
        <w:rPr>
          <w:color w:val="000000"/>
        </w:rPr>
        <w:t>utes</w:t>
      </w:r>
      <w:r w:rsidRPr="00522277">
        <w:rPr>
          <w:color w:val="000000"/>
        </w:rPr>
        <w:t xml:space="preserve"> </w:t>
      </w:r>
      <w:r w:rsidR="00914E55">
        <w:rPr>
          <w:color w:val="000000"/>
        </w:rPr>
        <w:t xml:space="preserve">and assesses several </w:t>
      </w:r>
      <w:r w:rsidRPr="00522277">
        <w:rPr>
          <w:color w:val="000000"/>
        </w:rPr>
        <w:t>cognitive</w:t>
      </w:r>
      <w:r>
        <w:rPr>
          <w:color w:val="000000"/>
        </w:rPr>
        <w:t xml:space="preserve"> </w:t>
      </w:r>
      <w:r w:rsidR="00914E55">
        <w:rPr>
          <w:color w:val="000000"/>
        </w:rPr>
        <w:t xml:space="preserve">domains </w:t>
      </w:r>
      <w:r w:rsidRPr="00522277">
        <w:rPr>
          <w:color w:val="000000"/>
        </w:rPr>
        <w:t xml:space="preserve">including arithmetic, memory and orientation. </w:t>
      </w:r>
      <w:r>
        <w:rPr>
          <w:color w:val="000000"/>
        </w:rPr>
        <w:t xml:space="preserve">Its inter-rater test reliability (.88) and test-retest reliability (.98) are high. </w:t>
      </w:r>
    </w:p>
    <w:p w14:paraId="0561D04D" w14:textId="77777777" w:rsidR="00B27BCC" w:rsidRDefault="00B27BCC" w:rsidP="00C95614">
      <w:pPr>
        <w:widowControl w:val="0"/>
        <w:autoSpaceDE w:val="0"/>
        <w:autoSpaceDN w:val="0"/>
        <w:adjustRightInd w:val="0"/>
        <w:spacing w:line="480" w:lineRule="auto"/>
        <w:jc w:val="both"/>
        <w:rPr>
          <w:rFonts w:eastAsia="MS Mincho"/>
          <w:b/>
          <w:lang w:eastAsia="ja-JP"/>
        </w:rPr>
      </w:pPr>
    </w:p>
    <w:p w14:paraId="1480BE51" w14:textId="77777777" w:rsidR="00B27BCC" w:rsidRDefault="0051690C" w:rsidP="00C95614">
      <w:pPr>
        <w:spacing w:line="480" w:lineRule="auto"/>
        <w:jc w:val="both"/>
        <w:rPr>
          <w:rFonts w:eastAsia="MS Mincho"/>
          <w:b/>
          <w:lang w:eastAsia="ja-JP"/>
        </w:rPr>
      </w:pPr>
      <w:r>
        <w:rPr>
          <w:rFonts w:eastAsia="MS Mincho"/>
          <w:b/>
          <w:lang w:eastAsia="ja-JP"/>
        </w:rPr>
        <w:t xml:space="preserve">Global Clinical Dementia Rating </w:t>
      </w:r>
    </w:p>
    <w:p w14:paraId="0AE13542" w14:textId="48751583" w:rsidR="00967134" w:rsidRDefault="0051690C" w:rsidP="00C95614">
      <w:pPr>
        <w:widowControl w:val="0"/>
        <w:autoSpaceDE w:val="0"/>
        <w:autoSpaceDN w:val="0"/>
        <w:adjustRightInd w:val="0"/>
        <w:spacing w:line="480" w:lineRule="auto"/>
        <w:jc w:val="both"/>
      </w:pPr>
      <w:r>
        <w:rPr>
          <w:rFonts w:eastAsia="MS Mincho"/>
          <w:b/>
          <w:lang w:eastAsia="ja-JP"/>
        </w:rPr>
        <w:tab/>
      </w:r>
      <w:r w:rsidRPr="00403B5B">
        <w:rPr>
          <w:rFonts w:eastAsia="MS Mincho"/>
          <w:lang w:eastAsia="ja-JP"/>
        </w:rPr>
        <w:t xml:space="preserve">The </w:t>
      </w:r>
      <w:r w:rsidR="007D2252">
        <w:t>CDR scale</w:t>
      </w:r>
      <w:r w:rsidR="007D2252">
        <w:rPr>
          <w:vertAlign w:val="superscript"/>
        </w:rPr>
        <w:t>1</w:t>
      </w:r>
      <w:r w:rsidR="00C95614">
        <w:rPr>
          <w:vertAlign w:val="superscript"/>
        </w:rPr>
        <w:t>5</w:t>
      </w:r>
      <w:r w:rsidRPr="00EB2B09">
        <w:t xml:space="preserve"> </w:t>
      </w:r>
      <w:r w:rsidR="007615B7">
        <w:t xml:space="preserve">assesses global dementia severity based </w:t>
      </w:r>
      <w:r w:rsidR="007615B7" w:rsidRPr="00EB2B09">
        <w:t>on</w:t>
      </w:r>
      <w:r w:rsidR="007615B7">
        <w:t xml:space="preserve"> combined ratings of cognitive</w:t>
      </w:r>
      <w:r w:rsidR="007615B7" w:rsidRPr="00EB2B09">
        <w:t>, social, and functional aspects of the</w:t>
      </w:r>
      <w:r w:rsidR="007615B7">
        <w:t xml:space="preserve"> </w:t>
      </w:r>
      <w:r w:rsidR="007615B7" w:rsidRPr="00EB2B09">
        <w:t>patient by a clinician</w:t>
      </w:r>
      <w:r w:rsidR="007615B7">
        <w:t xml:space="preserve">. A global score is obtained, </w:t>
      </w:r>
      <w:r>
        <w:t xml:space="preserve">ranging from 0 to 3 (0 = </w:t>
      </w:r>
      <w:r w:rsidRPr="00EB2B09">
        <w:t>normal, 0.5 = questionable dementia, 1</w:t>
      </w:r>
      <w:r>
        <w:t xml:space="preserve"> </w:t>
      </w:r>
      <w:r w:rsidRPr="00EB2B09">
        <w:t>= mild, 2 = moderate, 3 = severe dementia).</w:t>
      </w:r>
    </w:p>
    <w:p w14:paraId="1CE080DD" w14:textId="77777777" w:rsidR="0061059E" w:rsidRDefault="0061059E" w:rsidP="00C95614">
      <w:pPr>
        <w:widowControl w:val="0"/>
        <w:autoSpaceDE w:val="0"/>
        <w:autoSpaceDN w:val="0"/>
        <w:adjustRightInd w:val="0"/>
        <w:spacing w:line="480" w:lineRule="auto"/>
        <w:jc w:val="both"/>
      </w:pPr>
    </w:p>
    <w:p w14:paraId="4EC70DAB" w14:textId="77777777" w:rsidR="009F677C" w:rsidRPr="009F677C" w:rsidRDefault="009F677C" w:rsidP="00C95614">
      <w:pPr>
        <w:widowControl w:val="0"/>
        <w:autoSpaceDE w:val="0"/>
        <w:autoSpaceDN w:val="0"/>
        <w:adjustRightInd w:val="0"/>
        <w:spacing w:line="480" w:lineRule="auto"/>
        <w:jc w:val="both"/>
      </w:pPr>
    </w:p>
    <w:p w14:paraId="7CC4CDE2" w14:textId="77777777" w:rsidR="00B27BCC" w:rsidRDefault="0051690C" w:rsidP="00C95614">
      <w:pPr>
        <w:widowControl w:val="0"/>
        <w:autoSpaceDE w:val="0"/>
        <w:autoSpaceDN w:val="0"/>
        <w:adjustRightInd w:val="0"/>
        <w:spacing w:line="480" w:lineRule="auto"/>
        <w:jc w:val="both"/>
        <w:rPr>
          <w:b/>
        </w:rPr>
      </w:pPr>
      <w:r w:rsidRPr="009C4343">
        <w:rPr>
          <w:b/>
        </w:rPr>
        <w:lastRenderedPageBreak/>
        <w:t>Guidelines for the Rating of Awareness Deficits</w:t>
      </w:r>
    </w:p>
    <w:p w14:paraId="251B5E0D" w14:textId="4564331C" w:rsidR="00B27BCC" w:rsidRDefault="0051690C" w:rsidP="00C95614">
      <w:pPr>
        <w:widowControl w:val="0"/>
        <w:autoSpaceDE w:val="0"/>
        <w:autoSpaceDN w:val="0"/>
        <w:adjustRightInd w:val="0"/>
        <w:spacing w:line="480" w:lineRule="auto"/>
        <w:jc w:val="both"/>
      </w:pPr>
      <w:r>
        <w:tab/>
        <w:t>The GR</w:t>
      </w:r>
      <w:r w:rsidR="007D2252">
        <w:t>AD scale</w:t>
      </w:r>
      <w:r w:rsidR="00C95614">
        <w:rPr>
          <w:vertAlign w:val="superscript"/>
        </w:rPr>
        <w:t>16</w:t>
      </w:r>
      <w:r w:rsidR="007D2252">
        <w:rPr>
          <w:vertAlign w:val="superscript"/>
        </w:rPr>
        <w:t xml:space="preserve"> </w:t>
      </w:r>
      <w:r w:rsidR="007D2252">
        <w:rPr>
          <w:rStyle w:val="EndnoteReference"/>
        </w:rPr>
        <w:endnoteReference w:id="18"/>
      </w:r>
      <w:r>
        <w:rPr>
          <w:rFonts w:eastAsia="MS Mincho"/>
          <w:lang w:eastAsia="ja-JP"/>
        </w:rPr>
        <w:t xml:space="preserve"> is </w:t>
      </w:r>
      <w:r w:rsidR="009F677C" w:rsidRPr="0061059E">
        <w:rPr>
          <w:rFonts w:eastAsia="MS Mincho"/>
          <w:lang w:eastAsia="ja-JP"/>
        </w:rPr>
        <w:t xml:space="preserve">completed using </w:t>
      </w:r>
      <w:r w:rsidRPr="0061059E">
        <w:rPr>
          <w:rFonts w:eastAsia="MS Mincho"/>
          <w:lang w:eastAsia="ja-JP"/>
        </w:rPr>
        <w:t>a</w:t>
      </w:r>
      <w:r>
        <w:rPr>
          <w:rFonts w:eastAsia="MS Mincho"/>
          <w:lang w:eastAsia="ja-JP"/>
        </w:rPr>
        <w:t xml:space="preserve"> semi-structured interview that assesses the patient</w:t>
      </w:r>
      <w:r w:rsidR="007615B7">
        <w:rPr>
          <w:rFonts w:eastAsia="MS Mincho"/>
          <w:lang w:eastAsia="ja-JP"/>
        </w:rPr>
        <w:t>’</w:t>
      </w:r>
      <w:r>
        <w:rPr>
          <w:rFonts w:eastAsia="MS Mincho"/>
          <w:lang w:eastAsia="ja-JP"/>
        </w:rPr>
        <w:t xml:space="preserve">s degree of awareness by comparing the patient’s and caregiver’s information about the patient’s history. Impaired awareness is defined as the absence of knowledge or recognition of cognitive deficits and its impact. It is rated on a four-point scale, ranging from 4 (intact), 3 (mildly disturbed), 2 (moderately disturbed) to 1 (absent). </w:t>
      </w:r>
      <w:r w:rsidRPr="009155BC">
        <w:rPr>
          <w:rFonts w:eastAsia="MS Mincho"/>
          <w:lang w:eastAsia="ja-JP"/>
        </w:rPr>
        <w:t xml:space="preserve">This test has good inter-rater (.73) and </w:t>
      </w:r>
      <w:r>
        <w:rPr>
          <w:rFonts w:eastAsia="MS Mincho"/>
          <w:lang w:eastAsia="ja-JP"/>
        </w:rPr>
        <w:t>test-retest reliability (.73)</w:t>
      </w:r>
      <w:r w:rsidR="007D2252">
        <w:rPr>
          <w:rStyle w:val="EndnoteReference"/>
          <w:rFonts w:eastAsia="MS Mincho"/>
          <w:lang w:eastAsia="ja-JP"/>
        </w:rPr>
        <w:endnoteReference w:id="19"/>
      </w:r>
      <w:r w:rsidR="007D2252">
        <w:t>.</w:t>
      </w:r>
    </w:p>
    <w:p w14:paraId="25F3D172" w14:textId="77777777" w:rsidR="00B27BCC" w:rsidRDefault="00B27BCC" w:rsidP="00C95614">
      <w:pPr>
        <w:widowControl w:val="0"/>
        <w:autoSpaceDE w:val="0"/>
        <w:autoSpaceDN w:val="0"/>
        <w:adjustRightInd w:val="0"/>
        <w:spacing w:line="480" w:lineRule="auto"/>
        <w:jc w:val="both"/>
        <w:rPr>
          <w:rFonts w:eastAsia="MS Mincho"/>
          <w:lang w:eastAsia="ja-JP"/>
        </w:rPr>
      </w:pPr>
    </w:p>
    <w:p w14:paraId="15B6C926" w14:textId="77777777" w:rsidR="00B27BCC" w:rsidRDefault="0051690C" w:rsidP="00C95614">
      <w:pPr>
        <w:widowControl w:val="0"/>
        <w:autoSpaceDE w:val="0"/>
        <w:autoSpaceDN w:val="0"/>
        <w:adjustRightInd w:val="0"/>
        <w:spacing w:line="480" w:lineRule="auto"/>
        <w:jc w:val="both"/>
        <w:rPr>
          <w:rFonts w:eastAsia="MS Mincho"/>
          <w:b/>
          <w:lang w:eastAsia="ja-JP"/>
        </w:rPr>
      </w:pPr>
      <w:r w:rsidRPr="00C41AF7">
        <w:rPr>
          <w:rFonts w:eastAsia="MS Mincho"/>
          <w:b/>
          <w:lang w:eastAsia="ja-JP"/>
        </w:rPr>
        <w:t xml:space="preserve">Willingness </w:t>
      </w:r>
      <w:r>
        <w:rPr>
          <w:rFonts w:eastAsia="MS Mincho"/>
          <w:b/>
          <w:lang w:eastAsia="ja-JP"/>
        </w:rPr>
        <w:t>to</w:t>
      </w:r>
      <w:r w:rsidRPr="00C41AF7">
        <w:rPr>
          <w:rFonts w:eastAsia="MS Mincho"/>
          <w:b/>
          <w:lang w:eastAsia="ja-JP"/>
        </w:rPr>
        <w:t xml:space="preserve"> </w:t>
      </w:r>
      <w:r>
        <w:rPr>
          <w:rFonts w:eastAsia="MS Mincho"/>
          <w:b/>
          <w:lang w:eastAsia="ja-JP"/>
        </w:rPr>
        <w:t xml:space="preserve">engage </w:t>
      </w:r>
      <w:r w:rsidRPr="00C41AF7">
        <w:rPr>
          <w:rFonts w:eastAsia="MS Mincho"/>
          <w:b/>
          <w:lang w:eastAsia="ja-JP"/>
        </w:rPr>
        <w:t>Advanced Care Planning</w:t>
      </w:r>
    </w:p>
    <w:p w14:paraId="204F7C44" w14:textId="77777777" w:rsidR="00B27BCC" w:rsidRDefault="0051690C" w:rsidP="00C95614">
      <w:pPr>
        <w:widowControl w:val="0"/>
        <w:autoSpaceDE w:val="0"/>
        <w:autoSpaceDN w:val="0"/>
        <w:adjustRightInd w:val="0"/>
        <w:spacing w:line="480" w:lineRule="auto"/>
        <w:jc w:val="both"/>
        <w:rPr>
          <w:rFonts w:eastAsia="MS Mincho"/>
          <w:lang w:eastAsia="ja-JP"/>
        </w:rPr>
      </w:pPr>
      <w:r>
        <w:rPr>
          <w:rFonts w:eastAsia="MS Mincho"/>
          <w:b/>
          <w:lang w:eastAsia="ja-JP"/>
        </w:rPr>
        <w:tab/>
      </w:r>
      <w:r w:rsidRPr="00C41AF7">
        <w:rPr>
          <w:rFonts w:eastAsia="MS Mincho"/>
          <w:lang w:eastAsia="ja-JP"/>
        </w:rPr>
        <w:t xml:space="preserve">Willingness </w:t>
      </w:r>
      <w:r>
        <w:rPr>
          <w:rFonts w:eastAsia="MS Mincho"/>
          <w:lang w:eastAsia="ja-JP"/>
        </w:rPr>
        <w:t xml:space="preserve">to engage in further ACP discussions was measured using a dichotomous variable coded “No” and “Yes”. </w:t>
      </w:r>
    </w:p>
    <w:p w14:paraId="245EFECB" w14:textId="77777777" w:rsidR="00B27BCC" w:rsidRDefault="00B27BCC" w:rsidP="00C95614">
      <w:pPr>
        <w:widowControl w:val="0"/>
        <w:autoSpaceDE w:val="0"/>
        <w:autoSpaceDN w:val="0"/>
        <w:adjustRightInd w:val="0"/>
        <w:spacing w:line="480" w:lineRule="auto"/>
        <w:jc w:val="both"/>
        <w:rPr>
          <w:rFonts w:eastAsia="MS Mincho"/>
          <w:lang w:eastAsia="ja-JP"/>
        </w:rPr>
      </w:pPr>
    </w:p>
    <w:p w14:paraId="6B616D29" w14:textId="77777777" w:rsidR="00B27BCC" w:rsidRDefault="00AA6B48" w:rsidP="00C95614">
      <w:pPr>
        <w:spacing w:line="480" w:lineRule="auto"/>
        <w:jc w:val="both"/>
        <w:rPr>
          <w:b/>
        </w:rPr>
      </w:pPr>
      <w:r>
        <w:rPr>
          <w:b/>
        </w:rPr>
        <w:t xml:space="preserve">DATA ANALYSIS </w:t>
      </w:r>
    </w:p>
    <w:p w14:paraId="13A5BFAC" w14:textId="77777777" w:rsidR="00B27BCC" w:rsidRPr="00C95614" w:rsidRDefault="0051690C" w:rsidP="00C95614">
      <w:pPr>
        <w:spacing w:line="480" w:lineRule="auto"/>
        <w:jc w:val="both"/>
        <w:rPr>
          <w:b/>
        </w:rPr>
      </w:pPr>
      <w:r w:rsidRPr="00C95614">
        <w:rPr>
          <w:b/>
        </w:rPr>
        <w:t>Bivariate Analysis</w:t>
      </w:r>
    </w:p>
    <w:p w14:paraId="58B6F409" w14:textId="77777777" w:rsidR="00B27BCC" w:rsidRDefault="0033114D" w:rsidP="00C95614">
      <w:pPr>
        <w:widowControl w:val="0"/>
        <w:autoSpaceDE w:val="0"/>
        <w:autoSpaceDN w:val="0"/>
        <w:adjustRightInd w:val="0"/>
        <w:spacing w:line="480" w:lineRule="auto"/>
        <w:jc w:val="both"/>
        <w:rPr>
          <w:rFonts w:eastAsia="MS Mincho"/>
          <w:lang w:eastAsia="ja-JP"/>
        </w:rPr>
      </w:pPr>
      <w:r>
        <w:rPr>
          <w:rFonts w:eastAsia="MS Mincho"/>
          <w:lang w:eastAsia="ja-JP"/>
        </w:rPr>
        <w:tab/>
        <w:t>Using the statistical software SPSS Version 16.0 (SPSS Inc., Chicago IL, USA)</w:t>
      </w:r>
      <w:r w:rsidR="007D40C7">
        <w:rPr>
          <w:rFonts w:eastAsia="MS Mincho"/>
          <w:lang w:eastAsia="ja-JP"/>
        </w:rPr>
        <w:t>,</w:t>
      </w:r>
      <w:r>
        <w:rPr>
          <w:rFonts w:eastAsia="MS Mincho"/>
          <w:lang w:eastAsia="ja-JP"/>
        </w:rPr>
        <w:t xml:space="preserve"> Chi-square and independent samples t-tests were employed to detect differences in socio-</w:t>
      </w:r>
      <w:r w:rsidR="0051690C">
        <w:rPr>
          <w:rFonts w:eastAsia="MS Mincho"/>
          <w:lang w:eastAsia="ja-JP"/>
        </w:rPr>
        <w:t>demographic and clinical me</w:t>
      </w:r>
      <w:r w:rsidR="002A5B71">
        <w:rPr>
          <w:rFonts w:eastAsia="MS Mincho"/>
          <w:lang w:eastAsia="ja-JP"/>
        </w:rPr>
        <w:t>asures (MMSE, GCDR and GRAD</w:t>
      </w:r>
      <w:r w:rsidR="0051690C">
        <w:rPr>
          <w:rFonts w:eastAsia="MS Mincho"/>
          <w:lang w:eastAsia="ja-JP"/>
        </w:rPr>
        <w:t xml:space="preserve">) </w:t>
      </w:r>
      <w:r>
        <w:rPr>
          <w:rFonts w:eastAsia="MS Mincho"/>
          <w:lang w:eastAsia="ja-JP"/>
        </w:rPr>
        <w:t xml:space="preserve">between </w:t>
      </w:r>
      <w:r w:rsidR="0051690C">
        <w:rPr>
          <w:rFonts w:eastAsia="MS Mincho"/>
          <w:lang w:eastAsia="ja-JP"/>
        </w:rPr>
        <w:t xml:space="preserve">patients </w:t>
      </w:r>
      <w:r>
        <w:rPr>
          <w:rFonts w:eastAsia="MS Mincho"/>
          <w:lang w:eastAsia="ja-JP"/>
        </w:rPr>
        <w:t xml:space="preserve">who were willing or unwilling </w:t>
      </w:r>
      <w:r w:rsidR="00575E80">
        <w:rPr>
          <w:rFonts w:eastAsia="MS Mincho"/>
          <w:lang w:eastAsia="ja-JP"/>
        </w:rPr>
        <w:t xml:space="preserve">to </w:t>
      </w:r>
      <w:r>
        <w:rPr>
          <w:rFonts w:eastAsia="MS Mincho"/>
          <w:lang w:eastAsia="ja-JP"/>
        </w:rPr>
        <w:t xml:space="preserve">engage in further </w:t>
      </w:r>
      <w:r w:rsidR="00575E80">
        <w:rPr>
          <w:rFonts w:eastAsia="MS Mincho"/>
          <w:lang w:eastAsia="ja-JP"/>
        </w:rPr>
        <w:t xml:space="preserve">ACP </w:t>
      </w:r>
      <w:r>
        <w:rPr>
          <w:rFonts w:eastAsia="MS Mincho"/>
          <w:lang w:eastAsia="ja-JP"/>
        </w:rPr>
        <w:t>discussions</w:t>
      </w:r>
      <w:r w:rsidR="007D40C7">
        <w:rPr>
          <w:rFonts w:eastAsia="MS Mincho"/>
          <w:lang w:eastAsia="ja-JP"/>
        </w:rPr>
        <w:t>.</w:t>
      </w:r>
    </w:p>
    <w:p w14:paraId="7DBCF334" w14:textId="77777777" w:rsidR="00B27BCC" w:rsidRDefault="00B27BCC" w:rsidP="00C95614">
      <w:pPr>
        <w:widowControl w:val="0"/>
        <w:autoSpaceDE w:val="0"/>
        <w:autoSpaceDN w:val="0"/>
        <w:adjustRightInd w:val="0"/>
        <w:spacing w:line="480" w:lineRule="auto"/>
        <w:jc w:val="both"/>
        <w:rPr>
          <w:rFonts w:eastAsia="MS Mincho"/>
          <w:lang w:eastAsia="ja-JP"/>
        </w:rPr>
      </w:pPr>
    </w:p>
    <w:p w14:paraId="54CB0E58" w14:textId="77777777" w:rsidR="00B27BCC" w:rsidRPr="00C95614" w:rsidRDefault="0051690C" w:rsidP="00C95614">
      <w:pPr>
        <w:widowControl w:val="0"/>
        <w:autoSpaceDE w:val="0"/>
        <w:autoSpaceDN w:val="0"/>
        <w:adjustRightInd w:val="0"/>
        <w:spacing w:line="480" w:lineRule="auto"/>
        <w:jc w:val="both"/>
        <w:rPr>
          <w:rFonts w:eastAsia="MS Mincho"/>
          <w:b/>
          <w:lang w:eastAsia="ja-JP"/>
        </w:rPr>
      </w:pPr>
      <w:r w:rsidRPr="00C95614">
        <w:rPr>
          <w:rFonts w:eastAsia="MS Mincho"/>
          <w:b/>
          <w:lang w:eastAsia="ja-JP"/>
        </w:rPr>
        <w:t xml:space="preserve">Qualitative Analysis </w:t>
      </w:r>
    </w:p>
    <w:p w14:paraId="0CF23AEF" w14:textId="1A56ED04" w:rsidR="00B27BCC" w:rsidRDefault="00C6474A" w:rsidP="00C95614">
      <w:pPr>
        <w:widowControl w:val="0"/>
        <w:autoSpaceDE w:val="0"/>
        <w:autoSpaceDN w:val="0"/>
        <w:adjustRightInd w:val="0"/>
        <w:spacing w:line="480" w:lineRule="auto"/>
        <w:ind w:firstLine="720"/>
        <w:jc w:val="both"/>
      </w:pPr>
      <w:r w:rsidRPr="0061059E">
        <w:rPr>
          <w:rFonts w:eastAsia="MS Mincho"/>
          <w:lang w:eastAsia="ja-JP"/>
        </w:rPr>
        <w:t>T</w:t>
      </w:r>
      <w:r w:rsidR="0051690C" w:rsidRPr="0061059E">
        <w:rPr>
          <w:rFonts w:eastAsia="MS Mincho"/>
          <w:lang w:eastAsia="ja-JP"/>
        </w:rPr>
        <w:t>he clinical records</w:t>
      </w:r>
      <w:r w:rsidR="007D40C7" w:rsidRPr="0061059E">
        <w:rPr>
          <w:rFonts w:eastAsia="MS Mincho"/>
          <w:lang w:eastAsia="ja-JP"/>
        </w:rPr>
        <w:t xml:space="preserve"> of the discussion</w:t>
      </w:r>
      <w:r w:rsidR="0051690C" w:rsidRPr="0061059E">
        <w:rPr>
          <w:rFonts w:eastAsia="MS Mincho"/>
          <w:lang w:eastAsia="ja-JP"/>
        </w:rPr>
        <w:t xml:space="preserve"> with the MSW were qualitatively analyzed </w:t>
      </w:r>
      <w:r w:rsidR="009F677C" w:rsidRPr="0061059E">
        <w:rPr>
          <w:rFonts w:eastAsia="MS Mincho"/>
          <w:lang w:eastAsia="ja-JP"/>
        </w:rPr>
        <w:t>using a</w:t>
      </w:r>
      <w:r w:rsidR="0051690C" w:rsidRPr="0061059E">
        <w:rPr>
          <w:rFonts w:eastAsia="MS Mincho"/>
          <w:lang w:eastAsia="ja-JP"/>
        </w:rPr>
        <w:t xml:space="preserve"> thematic analysis</w:t>
      </w:r>
      <w:r w:rsidR="009F677C" w:rsidRPr="0061059E">
        <w:rPr>
          <w:rFonts w:eastAsia="MS Mincho"/>
          <w:lang w:eastAsia="ja-JP"/>
        </w:rPr>
        <w:t xml:space="preserve"> approach</w:t>
      </w:r>
      <w:r w:rsidR="0051690C" w:rsidRPr="0061059E">
        <w:rPr>
          <w:rFonts w:eastAsia="MS Mincho"/>
          <w:lang w:eastAsia="ja-JP"/>
        </w:rPr>
        <w:t xml:space="preserve">, closely following the approach of </w:t>
      </w:r>
      <w:r w:rsidR="007D2252" w:rsidRPr="0061059E">
        <w:t>Braun &amp; Clarke</w:t>
      </w:r>
      <w:r w:rsidR="007D2252" w:rsidRPr="0061059E">
        <w:rPr>
          <w:rStyle w:val="EndnoteReference"/>
        </w:rPr>
        <w:endnoteReference w:id="20"/>
      </w:r>
      <w:r w:rsidR="0051690C" w:rsidRPr="0061059E">
        <w:t>. The data for the analysis was managed using NVivo 9.0 software (QSR International, Victoria, Australia). For t</w:t>
      </w:r>
      <w:r w:rsidR="009F677C" w:rsidRPr="0061059E">
        <w:t>he analysis, all data extracts pertaining to</w:t>
      </w:r>
      <w:r w:rsidR="0051690C" w:rsidRPr="0061059E">
        <w:t xml:space="preserve"> the</w:t>
      </w:r>
      <w:r w:rsidR="0051690C">
        <w:t xml:space="preserve"> research question were given one or more codes</w:t>
      </w:r>
      <w:r w:rsidR="00D00541">
        <w:t xml:space="preserve"> to identify pertinent sections</w:t>
      </w:r>
      <w:r w:rsidR="001C5DDE">
        <w:t>. V</w:t>
      </w:r>
      <w:r w:rsidR="0051690C">
        <w:t>alidity and replica</w:t>
      </w:r>
      <w:r w:rsidR="001C5DDE">
        <w:t xml:space="preserve">bility of the coding </w:t>
      </w:r>
      <w:r w:rsidR="001C5DDE">
        <w:lastRenderedPageBreak/>
        <w:t>process was also established</w:t>
      </w:r>
      <w:r w:rsidR="007D2252">
        <w:rPr>
          <w:rStyle w:val="EndnoteReference"/>
        </w:rPr>
        <w:endnoteReference w:id="21"/>
      </w:r>
      <w:r w:rsidR="0051690C">
        <w:t xml:space="preserve">. </w:t>
      </w:r>
    </w:p>
    <w:p w14:paraId="43CBAB0E" w14:textId="01107A49" w:rsidR="00B27BCC" w:rsidRDefault="001C5DDE" w:rsidP="00C95614">
      <w:pPr>
        <w:widowControl w:val="0"/>
        <w:autoSpaceDE w:val="0"/>
        <w:autoSpaceDN w:val="0"/>
        <w:adjustRightInd w:val="0"/>
        <w:spacing w:line="480" w:lineRule="auto"/>
        <w:ind w:firstLine="720"/>
        <w:jc w:val="both"/>
      </w:pPr>
      <w:r>
        <w:t xml:space="preserve">During analysis, </w:t>
      </w:r>
      <w:r w:rsidR="009F677C" w:rsidRPr="0061059E">
        <w:t>groups of codes with similar meanings were placed together to form overarching sub themes</w:t>
      </w:r>
      <w:r w:rsidR="000C7103" w:rsidRPr="0061059E">
        <w:rPr>
          <w:vertAlign w:val="superscript"/>
        </w:rPr>
        <w:t>20</w:t>
      </w:r>
      <w:r w:rsidR="0051690C" w:rsidRPr="0061059E">
        <w:t>. Less relevant</w:t>
      </w:r>
      <w:r w:rsidR="0051690C">
        <w:t xml:space="preserve"> codes were discarded over time. </w:t>
      </w:r>
      <w:r w:rsidR="00DE26D8">
        <w:t>Sub</w:t>
      </w:r>
      <w:r w:rsidR="0051690C">
        <w:t>themes with similar information were clustered together leading to the development of wi</w:t>
      </w:r>
      <w:r w:rsidR="00DE26D8">
        <w:t>der main themes. Themes and sub</w:t>
      </w:r>
      <w:r w:rsidR="0051690C">
        <w:t>themes were checked ag</w:t>
      </w:r>
      <w:r>
        <w:t>ainst every code to ensure</w:t>
      </w:r>
      <w:r w:rsidR="0051690C">
        <w:t xml:space="preserve"> relevance. Consensus was reached regarding minor adjustmen</w:t>
      </w:r>
      <w:r>
        <w:t>ts to the categorization of</w:t>
      </w:r>
      <w:r w:rsidR="0051690C">
        <w:t xml:space="preserve"> data and after the themes were confirmed, key quotes were identified to represent the themes. Upon completion of the thematic analysis, the percentage of participants who contributed to a particular theme was tabulated to demonstrate the validity of the theme.</w:t>
      </w:r>
    </w:p>
    <w:p w14:paraId="776E15D1" w14:textId="77777777" w:rsidR="00B27BCC" w:rsidRDefault="00B27BCC" w:rsidP="00C95614">
      <w:pPr>
        <w:widowControl w:val="0"/>
        <w:autoSpaceDE w:val="0"/>
        <w:autoSpaceDN w:val="0"/>
        <w:adjustRightInd w:val="0"/>
        <w:spacing w:line="480" w:lineRule="auto"/>
        <w:ind w:firstLine="720"/>
        <w:jc w:val="both"/>
      </w:pPr>
    </w:p>
    <w:p w14:paraId="5547FC0B" w14:textId="77777777" w:rsidR="00B27BCC" w:rsidRDefault="0051690C" w:rsidP="00C95614">
      <w:pPr>
        <w:spacing w:line="480" w:lineRule="auto"/>
        <w:jc w:val="both"/>
        <w:rPr>
          <w:b/>
        </w:rPr>
      </w:pPr>
      <w:r w:rsidRPr="00C40520">
        <w:rPr>
          <w:b/>
        </w:rPr>
        <w:t>R</w:t>
      </w:r>
      <w:r w:rsidR="00AA6B48">
        <w:rPr>
          <w:b/>
        </w:rPr>
        <w:t>ESULTS</w:t>
      </w:r>
    </w:p>
    <w:p w14:paraId="459D1B6C" w14:textId="77777777" w:rsidR="00B27BCC" w:rsidRPr="00141146" w:rsidRDefault="0051690C" w:rsidP="00C95614">
      <w:pPr>
        <w:spacing w:line="480" w:lineRule="auto"/>
        <w:jc w:val="both"/>
        <w:rPr>
          <w:b/>
        </w:rPr>
      </w:pPr>
      <w:r w:rsidRPr="00141146">
        <w:rPr>
          <w:b/>
        </w:rPr>
        <w:t>Participant Characteristics</w:t>
      </w:r>
    </w:p>
    <w:p w14:paraId="3731C784" w14:textId="7EF02AEF" w:rsidR="00B27BCC" w:rsidRDefault="001C5DDE" w:rsidP="00C95614">
      <w:pPr>
        <w:spacing w:line="480" w:lineRule="auto"/>
        <w:ind w:firstLine="720"/>
        <w:jc w:val="both"/>
        <w:rPr>
          <w:rFonts w:eastAsia="MS Mincho"/>
          <w:lang w:eastAsia="ja-JP"/>
        </w:rPr>
      </w:pPr>
      <w:r>
        <w:rPr>
          <w:rFonts w:eastAsia="MS Mincho"/>
          <w:lang w:eastAsia="ja-JP"/>
        </w:rPr>
        <w:t>M</w:t>
      </w:r>
      <w:r w:rsidR="00B602ED">
        <w:rPr>
          <w:rFonts w:eastAsia="MS Mincho"/>
          <w:lang w:eastAsia="ja-JP"/>
        </w:rPr>
        <w:t>ean age of the patients</w:t>
      </w:r>
      <w:r w:rsidR="0051690C">
        <w:rPr>
          <w:rFonts w:eastAsia="MS Mincho"/>
          <w:lang w:eastAsia="ja-JP"/>
        </w:rPr>
        <w:t xml:space="preserve"> (</w:t>
      </w:r>
      <w:r w:rsidR="0051690C" w:rsidRPr="00717D2E">
        <w:rPr>
          <w:rFonts w:eastAsia="MS Mincho"/>
          <w:i/>
          <w:lang w:eastAsia="ja-JP"/>
        </w:rPr>
        <w:t>n</w:t>
      </w:r>
      <w:r>
        <w:rPr>
          <w:rFonts w:eastAsia="MS Mincho"/>
          <w:lang w:eastAsia="ja-JP"/>
        </w:rPr>
        <w:t xml:space="preserve"> = 93) was 76 years old, ranging from 58 to 92. M</w:t>
      </w:r>
      <w:r w:rsidR="00B602ED">
        <w:rPr>
          <w:rFonts w:eastAsia="MS Mincho"/>
          <w:lang w:eastAsia="ja-JP"/>
        </w:rPr>
        <w:t>ajority</w:t>
      </w:r>
      <w:r w:rsidR="0051690C">
        <w:rPr>
          <w:rFonts w:eastAsia="MS Mincho"/>
          <w:lang w:eastAsia="ja-JP"/>
        </w:rPr>
        <w:t xml:space="preserve"> were </w:t>
      </w:r>
      <w:r w:rsidR="00B602ED">
        <w:rPr>
          <w:rFonts w:eastAsia="MS Mincho"/>
          <w:lang w:eastAsia="ja-JP"/>
        </w:rPr>
        <w:t>Chinese (90.3%), female (60.2%)</w:t>
      </w:r>
      <w:r w:rsidR="0051690C">
        <w:rPr>
          <w:rFonts w:eastAsia="MS Mincho"/>
          <w:lang w:eastAsia="ja-JP"/>
        </w:rPr>
        <w:t xml:space="preserve"> an</w:t>
      </w:r>
      <w:r>
        <w:rPr>
          <w:rFonts w:eastAsia="MS Mincho"/>
          <w:lang w:eastAsia="ja-JP"/>
        </w:rPr>
        <w:t xml:space="preserve">d married (58.1%). </w:t>
      </w:r>
      <w:r w:rsidR="0051690C">
        <w:rPr>
          <w:rFonts w:eastAsia="MS Mincho"/>
          <w:lang w:eastAsia="ja-JP"/>
        </w:rPr>
        <w:t>Buddhists (31.1%), Christians (25.</w:t>
      </w:r>
      <w:r>
        <w:rPr>
          <w:rFonts w:eastAsia="MS Mincho"/>
          <w:lang w:eastAsia="ja-JP"/>
        </w:rPr>
        <w:t>6%) and Taoist</w:t>
      </w:r>
      <w:r w:rsidR="00C26A45">
        <w:rPr>
          <w:rFonts w:eastAsia="MS Mincho"/>
          <w:lang w:eastAsia="ja-JP"/>
        </w:rPr>
        <w:t>s</w:t>
      </w:r>
      <w:r>
        <w:rPr>
          <w:rFonts w:eastAsia="MS Mincho"/>
          <w:lang w:eastAsia="ja-JP"/>
        </w:rPr>
        <w:t xml:space="preserve"> (21.1%) comprised the majority </w:t>
      </w:r>
      <w:r w:rsidR="002F7A89" w:rsidRPr="0061059E">
        <w:rPr>
          <w:rFonts w:eastAsia="MS Mincho"/>
          <w:lang w:eastAsia="ja-JP"/>
        </w:rPr>
        <w:t>and</w:t>
      </w:r>
      <w:r w:rsidR="002F7A89">
        <w:rPr>
          <w:rFonts w:eastAsia="MS Mincho"/>
          <w:lang w:eastAsia="ja-JP"/>
        </w:rPr>
        <w:t xml:space="preserve"> </w:t>
      </w:r>
      <w:r w:rsidR="0051690C">
        <w:rPr>
          <w:rFonts w:eastAsia="MS Mincho"/>
          <w:lang w:eastAsia="ja-JP"/>
        </w:rPr>
        <w:t>mea</w:t>
      </w:r>
      <w:r>
        <w:rPr>
          <w:rFonts w:eastAsia="MS Mincho"/>
          <w:lang w:eastAsia="ja-JP"/>
        </w:rPr>
        <w:t>n MMSE score</w:t>
      </w:r>
      <w:r w:rsidR="0051690C">
        <w:rPr>
          <w:rFonts w:eastAsia="MS Mincho"/>
          <w:lang w:eastAsia="ja-JP"/>
        </w:rPr>
        <w:t xml:space="preserve"> was </w:t>
      </w:r>
      <w:r w:rsidR="0051690C">
        <w:t xml:space="preserve">21.31 </w:t>
      </w:r>
      <w:r w:rsidR="0051690C">
        <w:rPr>
          <w:rStyle w:val="st"/>
        </w:rPr>
        <w:t>±</w:t>
      </w:r>
      <w:r w:rsidR="0051690C">
        <w:t xml:space="preserve"> 3.30</w:t>
      </w:r>
      <w:r w:rsidR="00891F95">
        <w:rPr>
          <w:rFonts w:eastAsia="MS Mincho"/>
          <w:lang w:eastAsia="ja-JP"/>
        </w:rPr>
        <w:t>. Table 1 summarizes</w:t>
      </w:r>
      <w:r w:rsidR="0051690C">
        <w:rPr>
          <w:rFonts w:eastAsia="MS Mincho"/>
          <w:lang w:eastAsia="ja-JP"/>
        </w:rPr>
        <w:t xml:space="preserve"> th</w:t>
      </w:r>
      <w:r w:rsidR="00B602ED">
        <w:rPr>
          <w:rFonts w:eastAsia="MS Mincho"/>
          <w:lang w:eastAsia="ja-JP"/>
        </w:rPr>
        <w:t>e patients’</w:t>
      </w:r>
      <w:r w:rsidR="00891F95">
        <w:rPr>
          <w:rFonts w:eastAsia="MS Mincho"/>
          <w:lang w:eastAsia="ja-JP"/>
        </w:rPr>
        <w:t xml:space="preserve"> characteristics.</w:t>
      </w:r>
    </w:p>
    <w:p w14:paraId="0BBFDF29" w14:textId="77777777" w:rsidR="00AF214E" w:rsidRDefault="00891F95" w:rsidP="000C7103">
      <w:pPr>
        <w:spacing w:line="480" w:lineRule="auto"/>
        <w:ind w:firstLine="720"/>
        <w:jc w:val="both"/>
      </w:pPr>
      <w:r>
        <w:t>Only</w:t>
      </w:r>
      <w:r w:rsidR="00C26A45">
        <w:t xml:space="preserve"> GCDR scores differed significantly between patients who chose to engage</w:t>
      </w:r>
      <w:r w:rsidR="0051690C">
        <w:t xml:space="preserve"> in </w:t>
      </w:r>
      <w:r w:rsidR="00C26A45">
        <w:t xml:space="preserve">further </w:t>
      </w:r>
      <w:r w:rsidR="0051690C">
        <w:t xml:space="preserve">ACP </w:t>
      </w:r>
      <w:r w:rsidR="00C26A45">
        <w:t xml:space="preserve">discussions </w:t>
      </w:r>
      <w:r w:rsidR="0051690C">
        <w:t>(</w:t>
      </w:r>
      <w:r w:rsidR="0051690C" w:rsidRPr="00A93E52">
        <w:rPr>
          <w:i/>
        </w:rPr>
        <w:t>M</w:t>
      </w:r>
      <w:r w:rsidR="0051690C">
        <w:t xml:space="preserve"> = .66, </w:t>
      </w:r>
      <w:r w:rsidR="0051690C" w:rsidRPr="00A93E52">
        <w:rPr>
          <w:i/>
        </w:rPr>
        <w:t>SD</w:t>
      </w:r>
      <w:r w:rsidR="0051690C">
        <w:t xml:space="preserve"> = .27) and </w:t>
      </w:r>
      <w:r w:rsidR="00C26A45">
        <w:t>those who declined</w:t>
      </w:r>
      <w:r w:rsidR="0051690C">
        <w:t xml:space="preserve"> (</w:t>
      </w:r>
      <w:r w:rsidR="0051690C" w:rsidRPr="00A93E52">
        <w:rPr>
          <w:i/>
        </w:rPr>
        <w:t>M</w:t>
      </w:r>
      <w:r w:rsidR="0051690C">
        <w:t xml:space="preserve"> = .81, </w:t>
      </w:r>
      <w:r w:rsidR="0051690C" w:rsidRPr="00A93E52">
        <w:rPr>
          <w:i/>
        </w:rPr>
        <w:t>SD</w:t>
      </w:r>
      <w:r w:rsidR="0051690C">
        <w:t xml:space="preserve"> = .32; t (</w:t>
      </w:r>
      <w:r w:rsidR="00C26A45">
        <w:t>79) = 2.19, p &lt; .05, two-tailed)</w:t>
      </w:r>
      <w:r w:rsidR="0051690C">
        <w:t>. The magnitude</w:t>
      </w:r>
      <w:r w:rsidR="00C26A45">
        <w:t xml:space="preserve"> of the difference</w:t>
      </w:r>
      <w:r w:rsidR="0051690C">
        <w:t xml:space="preserve"> (mean difference = .15, 95% CI: .01 to .29) wa</w:t>
      </w:r>
      <w:r w:rsidR="000C7103">
        <w:t>s moderate (eta squared = .06).</w:t>
      </w:r>
    </w:p>
    <w:p w14:paraId="5AE0D0F4" w14:textId="77777777" w:rsidR="00AF214E" w:rsidRDefault="00AF214E" w:rsidP="00141146"/>
    <w:p w14:paraId="7DBD0F28" w14:textId="77777777" w:rsidR="000C7103" w:rsidRDefault="000C7103" w:rsidP="00141146"/>
    <w:p w14:paraId="58FB6EA9" w14:textId="77777777" w:rsidR="000C7103" w:rsidRDefault="000C7103" w:rsidP="00141146"/>
    <w:p w14:paraId="40D1306C" w14:textId="77777777" w:rsidR="000C7103" w:rsidRDefault="000C7103" w:rsidP="00141146"/>
    <w:p w14:paraId="69EFA315" w14:textId="77777777" w:rsidR="000C7103" w:rsidRDefault="000C7103" w:rsidP="00141146"/>
    <w:p w14:paraId="2FBE25AE" w14:textId="77777777" w:rsidR="00CD24C0" w:rsidRDefault="00CD24C0" w:rsidP="00141146"/>
    <w:p w14:paraId="2950544B" w14:textId="77777777" w:rsidR="000C7103" w:rsidRDefault="000C7103" w:rsidP="00141146"/>
    <w:p w14:paraId="09BE77CC" w14:textId="77777777" w:rsidR="000C7103" w:rsidRDefault="000C7103" w:rsidP="00141146"/>
    <w:p w14:paraId="6B068993" w14:textId="77777777" w:rsidR="00AF214E" w:rsidRDefault="00AF214E" w:rsidP="00141146"/>
    <w:p w14:paraId="74D8BCA4" w14:textId="32DC6DC6" w:rsidR="00141146" w:rsidRPr="0061059E" w:rsidRDefault="00141146" w:rsidP="00141146">
      <w:r w:rsidRPr="0061059E">
        <w:rPr>
          <w:b/>
        </w:rPr>
        <w:lastRenderedPageBreak/>
        <w:t>Table 1</w:t>
      </w:r>
      <w:r w:rsidRPr="0061059E">
        <w:t xml:space="preserve"> </w:t>
      </w:r>
      <w:r w:rsidR="002F7A89" w:rsidRPr="0061059E">
        <w:t xml:space="preserve">Differences in patient </w:t>
      </w:r>
      <w:r w:rsidR="00D160EA" w:rsidRPr="0061059E">
        <w:t xml:space="preserve">variables </w:t>
      </w:r>
      <w:r w:rsidR="002F7A89" w:rsidRPr="0061059E">
        <w:t>between those willing to engage in ACP and those not</w:t>
      </w:r>
      <w:r w:rsidR="00D160EA" w:rsidRPr="0061059E">
        <w:t xml:space="preserve"> willing</w:t>
      </w:r>
    </w:p>
    <w:p w14:paraId="39C9E3AD" w14:textId="77777777" w:rsidR="00141146" w:rsidRPr="0061059E" w:rsidRDefault="00141146" w:rsidP="00141146">
      <w:pPr>
        <w:rPr>
          <w:i/>
        </w:rPr>
      </w:pPr>
    </w:p>
    <w:p w14:paraId="2AD01FFC" w14:textId="575266E7" w:rsidR="002F7A89" w:rsidRPr="0061059E" w:rsidRDefault="00D160EA" w:rsidP="00141146">
      <w:pPr>
        <w:pBdr>
          <w:bottom w:val="single" w:sz="12" w:space="1" w:color="auto"/>
        </w:pBdr>
        <w:rPr>
          <w:b/>
        </w:rPr>
      </w:pPr>
      <w:r w:rsidRPr="0061059E">
        <w:rPr>
          <w:b/>
        </w:rPr>
        <w:t xml:space="preserve">Variable       </w:t>
      </w:r>
      <w:r w:rsidR="00141146" w:rsidRPr="0061059E">
        <w:rPr>
          <w:b/>
        </w:rPr>
        <w:t xml:space="preserve">          </w:t>
      </w:r>
      <w:r w:rsidR="002F7A89" w:rsidRPr="0061059E">
        <w:rPr>
          <w:b/>
        </w:rPr>
        <w:t xml:space="preserve">   Willing to            </w:t>
      </w:r>
      <w:r w:rsidRPr="0061059E">
        <w:rPr>
          <w:b/>
        </w:rPr>
        <w:t xml:space="preserve"> </w:t>
      </w:r>
      <w:r w:rsidR="002F7A89" w:rsidRPr="0061059E">
        <w:rPr>
          <w:b/>
        </w:rPr>
        <w:t xml:space="preserve">Not willing to </w:t>
      </w:r>
      <w:r w:rsidR="002F7A89" w:rsidRPr="0061059E">
        <w:rPr>
          <w:b/>
        </w:rPr>
        <w:tab/>
        <w:t xml:space="preserve">    </w:t>
      </w:r>
      <w:r w:rsidR="0061059E">
        <w:rPr>
          <w:b/>
        </w:rPr>
        <w:t xml:space="preserve">  </w:t>
      </w:r>
      <w:r w:rsidR="002F7A89" w:rsidRPr="0061059E">
        <w:rPr>
          <w:b/>
        </w:rPr>
        <w:t xml:space="preserve"> p value       95% C.I.</w:t>
      </w:r>
    </w:p>
    <w:p w14:paraId="4D11DE56" w14:textId="511A73AA" w:rsidR="002F7A89" w:rsidRPr="00141146" w:rsidRDefault="002F7A89" w:rsidP="00141146">
      <w:pPr>
        <w:pBdr>
          <w:bottom w:val="single" w:sz="12" w:space="1" w:color="auto"/>
        </w:pBdr>
        <w:rPr>
          <w:b/>
        </w:rPr>
      </w:pPr>
      <w:r w:rsidRPr="0061059E">
        <w:rPr>
          <w:b/>
        </w:rPr>
        <w:t xml:space="preserve">                              engage in </w:t>
      </w:r>
      <w:r w:rsidR="00141146" w:rsidRPr="0061059E">
        <w:rPr>
          <w:b/>
        </w:rPr>
        <w:t xml:space="preserve">ACP </w:t>
      </w:r>
      <w:r w:rsidRPr="0061059E">
        <w:rPr>
          <w:b/>
        </w:rPr>
        <w:t xml:space="preserve">   </w:t>
      </w:r>
      <w:r w:rsidR="0061059E">
        <w:rPr>
          <w:b/>
        </w:rPr>
        <w:t xml:space="preserve">     </w:t>
      </w:r>
      <w:r w:rsidRPr="0061059E">
        <w:rPr>
          <w:b/>
        </w:rPr>
        <w:t>engage in ACP</w:t>
      </w:r>
    </w:p>
    <w:p w14:paraId="04144B18" w14:textId="77777777" w:rsidR="00141146" w:rsidRDefault="00141146" w:rsidP="00141146">
      <w:r>
        <w:t>Mean Age</w:t>
      </w:r>
      <w:r>
        <w:tab/>
      </w:r>
      <w:r>
        <w:tab/>
        <w:t xml:space="preserve">    76.32</w:t>
      </w:r>
      <w:r>
        <w:tab/>
        <w:t xml:space="preserve">              75.58</w:t>
      </w:r>
      <w:r>
        <w:tab/>
      </w:r>
      <w:r>
        <w:tab/>
        <w:t xml:space="preserve">          .63          -2.30–3.76</w:t>
      </w:r>
    </w:p>
    <w:p w14:paraId="19918EF2" w14:textId="77777777" w:rsidR="00141146" w:rsidRDefault="00141146" w:rsidP="00141146">
      <w:r>
        <w:t>Education Years</w:t>
      </w:r>
      <w:r>
        <w:tab/>
        <w:t xml:space="preserve">     7.12</w:t>
      </w:r>
      <w:r>
        <w:tab/>
      </w:r>
      <w:r>
        <w:tab/>
        <w:t xml:space="preserve">   6.20</w:t>
      </w:r>
      <w:r>
        <w:tab/>
      </w:r>
      <w:r>
        <w:tab/>
        <w:t xml:space="preserve">          .43</w:t>
      </w:r>
      <w:r>
        <w:tab/>
        <w:t xml:space="preserve"> -3.24–1.40</w:t>
      </w:r>
    </w:p>
    <w:p w14:paraId="00258860" w14:textId="77777777" w:rsidR="00141146" w:rsidRDefault="00141146" w:rsidP="00141146">
      <w:r>
        <w:t>MMSE Score</w:t>
      </w:r>
      <w:r>
        <w:tab/>
      </w:r>
      <w:r>
        <w:tab/>
        <w:t xml:space="preserve">    22.00</w:t>
      </w:r>
      <w:r>
        <w:tab/>
      </w:r>
      <w:r>
        <w:tab/>
        <w:t xml:space="preserve">  20.88</w:t>
      </w:r>
      <w:r>
        <w:tab/>
      </w:r>
      <w:r>
        <w:tab/>
        <w:t xml:space="preserve">          .11</w:t>
      </w:r>
      <w:r>
        <w:tab/>
        <w:t xml:space="preserve"> -2.51</w:t>
      </w:r>
      <w:r w:rsidR="00F40C34">
        <w:t xml:space="preserve">– </w:t>
      </w:r>
      <w:r>
        <w:t>.26</w:t>
      </w:r>
    </w:p>
    <w:p w14:paraId="3AED6FAA" w14:textId="77777777" w:rsidR="00141146" w:rsidRDefault="00141146" w:rsidP="00141146">
      <w:r>
        <w:t>GRAD Score</w:t>
      </w:r>
      <w:r>
        <w:tab/>
      </w:r>
      <w:r>
        <w:tab/>
        <w:t xml:space="preserve">    </w:t>
      </w:r>
      <w:r w:rsidR="00F40C34">
        <w:t xml:space="preserve"> 3.36</w:t>
      </w:r>
      <w:r w:rsidR="00F40C34">
        <w:tab/>
      </w:r>
      <w:r w:rsidR="00F40C34">
        <w:tab/>
        <w:t xml:space="preserve">   3.15</w:t>
      </w:r>
      <w:r w:rsidR="00F40C34">
        <w:tab/>
      </w:r>
      <w:r w:rsidR="00F40C34">
        <w:tab/>
        <w:t xml:space="preserve">          .25</w:t>
      </w:r>
      <w:r w:rsidR="00F40C34">
        <w:tab/>
        <w:t xml:space="preserve"> </w:t>
      </w:r>
      <w:r>
        <w:t>- .55</w:t>
      </w:r>
      <w:r w:rsidR="00F40C34">
        <w:t xml:space="preserve"> </w:t>
      </w:r>
      <w:r>
        <w:t>– .14</w:t>
      </w:r>
    </w:p>
    <w:p w14:paraId="41E1ADB7" w14:textId="77777777" w:rsidR="00141146" w:rsidRDefault="00141146" w:rsidP="00141146">
      <w:r>
        <w:t>GCDR Score</w:t>
      </w:r>
      <w:r>
        <w:tab/>
      </w:r>
      <w:r>
        <w:tab/>
        <w:t xml:space="preserve">      .66</w:t>
      </w:r>
      <w:r>
        <w:tab/>
      </w:r>
      <w:r>
        <w:tab/>
      </w:r>
      <w:r>
        <w:tab/>
        <w:t xml:space="preserve">    .81</w:t>
      </w:r>
      <w:r>
        <w:tab/>
      </w:r>
      <w:r>
        <w:tab/>
        <w:t xml:space="preserve">          </w:t>
      </w:r>
      <w:r w:rsidRPr="008F1FE6">
        <w:rPr>
          <w:b/>
        </w:rPr>
        <w:t>.03</w:t>
      </w:r>
      <w:r>
        <w:tab/>
        <w:t xml:space="preserve">  .014</w:t>
      </w:r>
      <w:r w:rsidR="00F40C34">
        <w:t xml:space="preserve"> </w:t>
      </w:r>
      <w:r>
        <w:t>– .29</w:t>
      </w:r>
    </w:p>
    <w:p w14:paraId="09D22F5C" w14:textId="77777777" w:rsidR="00141146" w:rsidRDefault="00141146" w:rsidP="00141146"/>
    <w:p w14:paraId="5F6F82C9" w14:textId="77777777" w:rsidR="00141146" w:rsidRDefault="00141146" w:rsidP="00141146">
      <w:r>
        <w:t xml:space="preserve">Gender </w:t>
      </w:r>
      <w:r>
        <w:tab/>
      </w:r>
      <w:r>
        <w:tab/>
      </w:r>
      <w:r>
        <w:tab/>
      </w:r>
      <w:r>
        <w:tab/>
      </w:r>
      <w:r>
        <w:tab/>
      </w:r>
      <w:r>
        <w:tab/>
      </w:r>
      <w:r>
        <w:tab/>
        <w:t xml:space="preserve">          .43</w:t>
      </w:r>
      <w:r>
        <w:tab/>
        <w:t xml:space="preserve">        ---</w:t>
      </w:r>
    </w:p>
    <w:p w14:paraId="53F932DC" w14:textId="77777777" w:rsidR="00141146" w:rsidRDefault="00141146" w:rsidP="00141146">
      <w:r>
        <w:tab/>
        <w:t>Female</w:t>
      </w:r>
      <w:r>
        <w:tab/>
      </w:r>
      <w:r>
        <w:tab/>
        <w:t xml:space="preserve">       24</w:t>
      </w:r>
      <w:r>
        <w:tab/>
      </w:r>
      <w:r>
        <w:tab/>
      </w:r>
      <w:r>
        <w:tab/>
        <w:t xml:space="preserve">    32</w:t>
      </w:r>
      <w:r>
        <w:tab/>
      </w:r>
      <w:r>
        <w:tab/>
        <w:t xml:space="preserve">   </w:t>
      </w:r>
      <w:r>
        <w:tab/>
      </w:r>
    </w:p>
    <w:p w14:paraId="1A20F399" w14:textId="77777777" w:rsidR="00141146" w:rsidRDefault="00141146" w:rsidP="00141146">
      <w:r>
        <w:tab/>
        <w:t>Male</w:t>
      </w:r>
      <w:r>
        <w:tab/>
        <w:t xml:space="preserve"> </w:t>
      </w:r>
      <w:r>
        <w:tab/>
        <w:t xml:space="preserve">       12</w:t>
      </w:r>
      <w:r>
        <w:tab/>
      </w:r>
      <w:r>
        <w:tab/>
      </w:r>
      <w:r>
        <w:tab/>
        <w:t xml:space="preserve">    25</w:t>
      </w:r>
      <w:r>
        <w:tab/>
      </w:r>
      <w:r>
        <w:tab/>
      </w:r>
      <w:r>
        <w:tab/>
      </w:r>
    </w:p>
    <w:p w14:paraId="7D2DE79B" w14:textId="77777777" w:rsidR="00141146" w:rsidRDefault="00141146" w:rsidP="00141146"/>
    <w:p w14:paraId="651B19E5" w14:textId="77777777" w:rsidR="00141146" w:rsidRDefault="00141146" w:rsidP="00141146">
      <w:r>
        <w:t>Diagnosis Type</w:t>
      </w:r>
      <w:r>
        <w:tab/>
      </w:r>
      <w:r>
        <w:tab/>
      </w:r>
      <w:r>
        <w:tab/>
      </w:r>
      <w:r>
        <w:tab/>
      </w:r>
      <w:r>
        <w:tab/>
      </w:r>
      <w:r>
        <w:tab/>
        <w:t xml:space="preserve">         1.00                ---</w:t>
      </w:r>
    </w:p>
    <w:p w14:paraId="5BBD584E" w14:textId="77777777" w:rsidR="00141146" w:rsidRDefault="00141146" w:rsidP="00141146">
      <w:r>
        <w:tab/>
        <w:t>MCI</w:t>
      </w:r>
      <w:r>
        <w:tab/>
      </w:r>
      <w:r>
        <w:tab/>
        <w:t xml:space="preserve">        9</w:t>
      </w:r>
      <w:r>
        <w:tab/>
      </w:r>
      <w:r>
        <w:tab/>
      </w:r>
      <w:r>
        <w:tab/>
        <w:t xml:space="preserve">    16</w:t>
      </w:r>
      <w:r>
        <w:tab/>
      </w:r>
      <w:r>
        <w:tab/>
      </w:r>
    </w:p>
    <w:p w14:paraId="09F19AAE" w14:textId="77777777" w:rsidR="00141146" w:rsidRDefault="00141146" w:rsidP="00141146">
      <w:r>
        <w:tab/>
        <w:t>Dementia</w:t>
      </w:r>
      <w:r>
        <w:tab/>
        <w:t xml:space="preserve">       23</w:t>
      </w:r>
      <w:r>
        <w:tab/>
      </w:r>
      <w:r>
        <w:tab/>
      </w:r>
      <w:r>
        <w:tab/>
        <w:t xml:space="preserve">    41</w:t>
      </w:r>
    </w:p>
    <w:p w14:paraId="14C7BFBC" w14:textId="77777777" w:rsidR="00141146" w:rsidRDefault="00141146" w:rsidP="00141146"/>
    <w:p w14:paraId="4E133D74" w14:textId="77777777" w:rsidR="00141146" w:rsidRDefault="00141146" w:rsidP="00141146">
      <w:r>
        <w:t xml:space="preserve">Marital Status </w:t>
      </w:r>
      <w:r>
        <w:tab/>
      </w:r>
      <w:r>
        <w:tab/>
      </w:r>
      <w:r>
        <w:tab/>
      </w:r>
      <w:r>
        <w:tab/>
      </w:r>
      <w:r>
        <w:tab/>
      </w:r>
      <w:r>
        <w:tab/>
      </w:r>
      <w:r>
        <w:tab/>
        <w:t xml:space="preserve">          .80</w:t>
      </w:r>
      <w:r>
        <w:tab/>
        <w:t xml:space="preserve">        ---</w:t>
      </w:r>
    </w:p>
    <w:p w14:paraId="532960C8" w14:textId="77777777" w:rsidR="00141146" w:rsidRDefault="00141146" w:rsidP="00141146">
      <w:r>
        <w:tab/>
        <w:t>Single</w:t>
      </w:r>
      <w:r>
        <w:tab/>
      </w:r>
      <w:r>
        <w:tab/>
        <w:t xml:space="preserve">       14</w:t>
      </w:r>
      <w:r>
        <w:tab/>
      </w:r>
      <w:r>
        <w:tab/>
      </w:r>
      <w:r>
        <w:tab/>
        <w:t xml:space="preserve">    25</w:t>
      </w:r>
    </w:p>
    <w:p w14:paraId="7572CA18" w14:textId="77777777" w:rsidR="00141146" w:rsidRDefault="00141146" w:rsidP="00141146">
      <w:r>
        <w:tab/>
        <w:t>Married</w:t>
      </w:r>
      <w:r>
        <w:tab/>
        <w:t xml:space="preserve">       22</w:t>
      </w:r>
      <w:r>
        <w:tab/>
      </w:r>
      <w:r>
        <w:tab/>
      </w:r>
      <w:r>
        <w:tab/>
        <w:t xml:space="preserve">    32</w:t>
      </w:r>
      <w:r>
        <w:tab/>
      </w:r>
      <w:r>
        <w:tab/>
        <w:t xml:space="preserve">           </w:t>
      </w:r>
      <w:r>
        <w:br/>
      </w:r>
    </w:p>
    <w:p w14:paraId="4FBFFB12" w14:textId="77777777" w:rsidR="00141146" w:rsidRDefault="00141146" w:rsidP="00141146">
      <w:r>
        <w:t>Ethnicity</w:t>
      </w:r>
      <w:r>
        <w:tab/>
      </w:r>
      <w:r>
        <w:tab/>
      </w:r>
      <w:r>
        <w:tab/>
      </w:r>
      <w:r>
        <w:tab/>
      </w:r>
      <w:r>
        <w:tab/>
      </w:r>
      <w:r>
        <w:tab/>
      </w:r>
      <w:r>
        <w:tab/>
        <w:t xml:space="preserve">          .99</w:t>
      </w:r>
      <w:r>
        <w:tab/>
        <w:t xml:space="preserve">        ---</w:t>
      </w:r>
    </w:p>
    <w:p w14:paraId="130FC13A" w14:textId="77777777" w:rsidR="00141146" w:rsidRDefault="00141146" w:rsidP="00141146">
      <w:r>
        <w:tab/>
        <w:t>Chinese</w:t>
      </w:r>
      <w:r>
        <w:tab/>
        <w:t xml:space="preserve">       32</w:t>
      </w:r>
      <w:r>
        <w:tab/>
      </w:r>
      <w:r>
        <w:tab/>
      </w:r>
      <w:r>
        <w:tab/>
        <w:t xml:space="preserve">    52</w:t>
      </w:r>
    </w:p>
    <w:p w14:paraId="5E747FD2" w14:textId="77777777" w:rsidR="00141146" w:rsidRDefault="00141146" w:rsidP="00141146">
      <w:r>
        <w:tab/>
        <w:t>Non-Chinese</w:t>
      </w:r>
      <w:r>
        <w:tab/>
        <w:t xml:space="preserve">        4</w:t>
      </w:r>
      <w:r>
        <w:tab/>
      </w:r>
      <w:r>
        <w:tab/>
      </w:r>
      <w:r>
        <w:tab/>
        <w:t xml:space="preserve">     5</w:t>
      </w:r>
    </w:p>
    <w:p w14:paraId="36588C82" w14:textId="77777777" w:rsidR="00141146" w:rsidRDefault="00141146" w:rsidP="00141146"/>
    <w:p w14:paraId="7E131C4F" w14:textId="77777777" w:rsidR="00141146" w:rsidRDefault="00141146" w:rsidP="00141146">
      <w:r>
        <w:t>Religion</w:t>
      </w:r>
      <w:r>
        <w:tab/>
      </w:r>
      <w:r>
        <w:tab/>
      </w:r>
      <w:r>
        <w:tab/>
      </w:r>
      <w:r>
        <w:tab/>
      </w:r>
      <w:r>
        <w:tab/>
      </w:r>
      <w:r>
        <w:tab/>
      </w:r>
      <w:r>
        <w:tab/>
        <w:t xml:space="preserve">          .27                 ---</w:t>
      </w:r>
    </w:p>
    <w:p w14:paraId="3E31EEAC" w14:textId="77777777" w:rsidR="00141146" w:rsidRDefault="00141146" w:rsidP="00141146">
      <w:r>
        <w:tab/>
        <w:t>Oriental Religion   16</w:t>
      </w:r>
      <w:r>
        <w:tab/>
      </w:r>
      <w:r>
        <w:tab/>
      </w:r>
      <w:r>
        <w:tab/>
        <w:t xml:space="preserve">    31</w:t>
      </w:r>
    </w:p>
    <w:p w14:paraId="1C9E0C96" w14:textId="77777777" w:rsidR="00141146" w:rsidRDefault="00141146" w:rsidP="00141146">
      <w:r>
        <w:tab/>
        <w:t xml:space="preserve">Christianity </w:t>
      </w:r>
      <w:r>
        <w:tab/>
        <w:t xml:space="preserve">       10</w:t>
      </w:r>
      <w:r>
        <w:tab/>
      </w:r>
      <w:r>
        <w:tab/>
      </w:r>
      <w:r>
        <w:tab/>
        <w:t xml:space="preserve">    20</w:t>
      </w:r>
      <w:r>
        <w:tab/>
      </w:r>
      <w:r>
        <w:tab/>
      </w:r>
    </w:p>
    <w:p w14:paraId="765590A2" w14:textId="77777777" w:rsidR="00141146" w:rsidRDefault="00141146" w:rsidP="00141146">
      <w:r>
        <w:tab/>
        <w:t>Free-thinker</w:t>
      </w:r>
      <w:r>
        <w:tab/>
        <w:t xml:space="preserve">        5</w:t>
      </w:r>
      <w:r>
        <w:tab/>
      </w:r>
      <w:r>
        <w:tab/>
      </w:r>
      <w:r>
        <w:tab/>
        <w:t xml:space="preserve">     2</w:t>
      </w:r>
    </w:p>
    <w:p w14:paraId="4B9A9541" w14:textId="77777777" w:rsidR="00141146" w:rsidRDefault="00141146" w:rsidP="00141146">
      <w:pPr>
        <w:pBdr>
          <w:bottom w:val="single" w:sz="12" w:space="1" w:color="auto"/>
        </w:pBdr>
      </w:pPr>
      <w:r>
        <w:tab/>
        <w:t>Other Religion</w:t>
      </w:r>
      <w:r>
        <w:tab/>
        <w:t xml:space="preserve">        2</w:t>
      </w:r>
      <w:r>
        <w:tab/>
      </w:r>
      <w:r>
        <w:tab/>
      </w:r>
      <w:r>
        <w:tab/>
        <w:t xml:space="preserve">     4</w:t>
      </w:r>
    </w:p>
    <w:p w14:paraId="045CC8F1" w14:textId="77777777" w:rsidR="00141146" w:rsidRDefault="00141146" w:rsidP="00141146">
      <w:r w:rsidRPr="003812A8">
        <w:rPr>
          <w:i/>
        </w:rPr>
        <w:t xml:space="preserve">Note: </w:t>
      </w:r>
      <w:r>
        <w:t xml:space="preserve">Abbreviations: ACP, Advanced Care Planning; C.I., Confidence Interval; MMSE, Mini-Mental State Examination; GRAD, Guidelines for the Rating of Awareness Deficits; GCDR, Global Clinical Dementia Rating. </w:t>
      </w:r>
    </w:p>
    <w:p w14:paraId="76956F5C" w14:textId="77777777" w:rsidR="00141146" w:rsidRDefault="00141146" w:rsidP="00141146">
      <w:r>
        <w:t xml:space="preserve">Significant values are bolded. </w:t>
      </w:r>
    </w:p>
    <w:p w14:paraId="5DDE03E5" w14:textId="77777777" w:rsidR="00141146" w:rsidRDefault="00141146" w:rsidP="00141146">
      <w:r>
        <w:t>For Diagnosis Type, data were available for 89 participants (96%). Dementia group consists of patients with Alzheimer’s Disease, Vascular Dementia and Mixed Dementia.</w:t>
      </w:r>
    </w:p>
    <w:p w14:paraId="2948628D" w14:textId="77777777" w:rsidR="00141146" w:rsidRDefault="00141146" w:rsidP="00141146">
      <w:r>
        <w:t>For Marital Status, Single consists of patients who are single, widowed and divorced.</w:t>
      </w:r>
    </w:p>
    <w:p w14:paraId="58F98673" w14:textId="77777777" w:rsidR="00141146" w:rsidRDefault="00141146" w:rsidP="00141146">
      <w:r>
        <w:t>For Ethnicity, Non-Chinese consists of patients who are Malays, Indians, Eurasians and other ethnicity.</w:t>
      </w:r>
    </w:p>
    <w:p w14:paraId="5E3CF3CE" w14:textId="2CB863D2" w:rsidR="002F7A89" w:rsidRDefault="00141146" w:rsidP="00CD24C0">
      <w:r>
        <w:t>For Religion, data were available only for 90 participants (98%). Oriental Religion consists of patients who are Buddhists and Taoists. Christianity consists Christians and Catholics. Other Religion consists Muslims and Hindus.</w:t>
      </w:r>
    </w:p>
    <w:p w14:paraId="38DA4070" w14:textId="77777777" w:rsidR="00CD24C0" w:rsidRDefault="00CD24C0" w:rsidP="00CD24C0"/>
    <w:p w14:paraId="27E6D7AA" w14:textId="77777777" w:rsidR="00CD24C0" w:rsidRDefault="00CD24C0" w:rsidP="00CD24C0"/>
    <w:p w14:paraId="5DEC5977" w14:textId="77777777" w:rsidR="00CD24C0" w:rsidRDefault="00CD24C0" w:rsidP="00CD24C0"/>
    <w:p w14:paraId="4F3119B9" w14:textId="77777777" w:rsidR="00CD24C0" w:rsidRDefault="00CD24C0" w:rsidP="00CD24C0"/>
    <w:p w14:paraId="29B4B2D6" w14:textId="77777777" w:rsidR="00CD24C0" w:rsidRDefault="00CD24C0" w:rsidP="00CD24C0"/>
    <w:p w14:paraId="143D9369" w14:textId="77777777" w:rsidR="00CD24C0" w:rsidRDefault="00CD24C0" w:rsidP="00CD24C0"/>
    <w:p w14:paraId="28908D86" w14:textId="77777777" w:rsidR="00B27BCC" w:rsidRPr="00141146" w:rsidRDefault="002358CD" w:rsidP="00C95614">
      <w:pPr>
        <w:spacing w:line="480" w:lineRule="auto"/>
        <w:jc w:val="both"/>
        <w:rPr>
          <w:b/>
        </w:rPr>
      </w:pPr>
      <w:r w:rsidRPr="00141146">
        <w:rPr>
          <w:b/>
        </w:rPr>
        <w:lastRenderedPageBreak/>
        <w:t>Willingness to engage in Advanced Care Planning</w:t>
      </w:r>
    </w:p>
    <w:p w14:paraId="4C92239F" w14:textId="431B9031" w:rsidR="00B27BCC" w:rsidRDefault="00C26A45" w:rsidP="00C95614">
      <w:pPr>
        <w:spacing w:line="480" w:lineRule="auto"/>
        <w:jc w:val="both"/>
      </w:pPr>
      <w:r>
        <w:rPr>
          <w:rFonts w:eastAsia="MS Mincho"/>
          <w:lang w:eastAsia="ja-JP"/>
        </w:rPr>
        <w:tab/>
        <w:t>Thirty-six</w:t>
      </w:r>
      <w:r w:rsidR="002358CD">
        <w:rPr>
          <w:rFonts w:eastAsia="MS Mincho"/>
          <w:lang w:eastAsia="ja-JP"/>
        </w:rPr>
        <w:t xml:space="preserve"> (38.7%) </w:t>
      </w:r>
      <w:r>
        <w:rPr>
          <w:rFonts w:eastAsia="MS Mincho"/>
          <w:lang w:eastAsia="ja-JP"/>
        </w:rPr>
        <w:t xml:space="preserve">patients </w:t>
      </w:r>
      <w:r w:rsidR="002358CD">
        <w:rPr>
          <w:rFonts w:eastAsia="MS Mincho"/>
          <w:lang w:eastAsia="ja-JP"/>
        </w:rPr>
        <w:t xml:space="preserve">agreed to further </w:t>
      </w:r>
      <w:r>
        <w:rPr>
          <w:rFonts w:eastAsia="MS Mincho"/>
          <w:lang w:eastAsia="ja-JP"/>
        </w:rPr>
        <w:t>ACP discussions</w:t>
      </w:r>
      <w:r w:rsidR="00C6474A">
        <w:rPr>
          <w:rFonts w:eastAsia="MS Mincho"/>
          <w:lang w:eastAsia="ja-JP"/>
        </w:rPr>
        <w:t xml:space="preserve"> and the reasons for doing so fell within </w:t>
      </w:r>
      <w:r w:rsidR="00C6474A" w:rsidRPr="0061059E">
        <w:rPr>
          <w:rFonts w:eastAsia="MS Mincho"/>
          <w:lang w:eastAsia="ja-JP"/>
        </w:rPr>
        <w:t xml:space="preserve">the </w:t>
      </w:r>
      <w:r w:rsidR="002F7A89" w:rsidRPr="0061059E">
        <w:rPr>
          <w:rFonts w:eastAsia="MS Mincho"/>
          <w:lang w:eastAsia="ja-JP"/>
        </w:rPr>
        <w:t>categories</w:t>
      </w:r>
      <w:r w:rsidR="00C6474A" w:rsidRPr="0061059E">
        <w:rPr>
          <w:rFonts w:eastAsia="MS Mincho"/>
          <w:lang w:eastAsia="ja-JP"/>
        </w:rPr>
        <w:t xml:space="preserve"> of</w:t>
      </w:r>
      <w:r w:rsidR="00C6474A">
        <w:rPr>
          <w:rFonts w:eastAsia="MS Mincho"/>
          <w:lang w:eastAsia="ja-JP"/>
        </w:rPr>
        <w:t xml:space="preserve"> welfare, finance and family. </w:t>
      </w:r>
      <w:r w:rsidR="00C6474A">
        <w:t>Thirty-two</w:t>
      </w:r>
      <w:r w:rsidR="002358CD">
        <w:t xml:space="preserve"> (88.9%) wanted to engage in ACP to </w:t>
      </w:r>
      <w:r>
        <w:t>plan for their property and</w:t>
      </w:r>
      <w:r w:rsidR="002358CD">
        <w:t xml:space="preserve"> assets, 15 (41.7</w:t>
      </w:r>
      <w:r w:rsidR="00026552">
        <w:t xml:space="preserve">%) cited planning for </w:t>
      </w:r>
      <w:r>
        <w:t xml:space="preserve">personal </w:t>
      </w:r>
      <w:r w:rsidR="002358CD">
        <w:t xml:space="preserve">welfare </w:t>
      </w:r>
      <w:r w:rsidR="00026552">
        <w:t xml:space="preserve">as a reason, </w:t>
      </w:r>
      <w:r w:rsidR="002358CD">
        <w:t>which included medical and social care</w:t>
      </w:r>
      <w:r w:rsidR="00026552">
        <w:t>,</w:t>
      </w:r>
      <w:r w:rsidR="002358CD">
        <w:t xml:space="preserve"> a</w:t>
      </w:r>
      <w:r>
        <w:t xml:space="preserve">nd 13 (36.1%) wanted </w:t>
      </w:r>
      <w:r w:rsidR="002358CD">
        <w:t xml:space="preserve">ACP for their family. </w:t>
      </w:r>
    </w:p>
    <w:p w14:paraId="1D6D71B7" w14:textId="70F5B9A0" w:rsidR="00B27BCC" w:rsidRDefault="0051690C" w:rsidP="00C95614">
      <w:pPr>
        <w:spacing w:line="480" w:lineRule="auto"/>
        <w:jc w:val="both"/>
      </w:pPr>
      <w:r>
        <w:rPr>
          <w:b/>
        </w:rPr>
        <w:tab/>
      </w:r>
      <w:r w:rsidR="00026552">
        <w:t>Fifty-seven</w:t>
      </w:r>
      <w:r>
        <w:t xml:space="preserve"> (61.3%) </w:t>
      </w:r>
      <w:r w:rsidR="00026552">
        <w:t>patients</w:t>
      </w:r>
      <w:r>
        <w:t xml:space="preserve"> decli</w:t>
      </w:r>
      <w:r w:rsidR="00CB30EC">
        <w:t>ned further ACP discussions and q</w:t>
      </w:r>
      <w:r w:rsidR="00026552">
        <w:t>ualitative</w:t>
      </w:r>
      <w:r>
        <w:t xml:space="preserve"> analysis </w:t>
      </w:r>
      <w:r w:rsidR="00CB30EC">
        <w:t xml:space="preserve">revealed </w:t>
      </w:r>
      <w:r w:rsidR="002F7A89" w:rsidRPr="0061059E">
        <w:t>three</w:t>
      </w:r>
      <w:r w:rsidR="00CB30EC" w:rsidRPr="0061059E">
        <w:t xml:space="preserve"> main themes</w:t>
      </w:r>
      <w:r w:rsidR="00026552" w:rsidRPr="0061059E">
        <w:t xml:space="preserve">. These </w:t>
      </w:r>
      <w:r w:rsidRPr="0061059E">
        <w:t>themes and their a</w:t>
      </w:r>
      <w:r w:rsidR="00026552" w:rsidRPr="0061059E">
        <w:t>ccompanying subthemes are detailed</w:t>
      </w:r>
      <w:r w:rsidRPr="0061059E">
        <w:t xml:space="preserve"> in Table 2</w:t>
      </w:r>
      <w:r w:rsidR="00980CB6" w:rsidRPr="0061059E">
        <w:t xml:space="preserve"> and </w:t>
      </w:r>
      <w:r w:rsidR="002F7A89" w:rsidRPr="0061059E">
        <w:t>described below</w:t>
      </w:r>
      <w:r w:rsidR="00980CB6" w:rsidRPr="0061059E">
        <w:t>.</w:t>
      </w:r>
    </w:p>
    <w:p w14:paraId="0AB042FD" w14:textId="77777777" w:rsidR="00AF214E" w:rsidRDefault="00AF214E" w:rsidP="00C95614">
      <w:pPr>
        <w:spacing w:line="480" w:lineRule="auto"/>
        <w:jc w:val="both"/>
      </w:pPr>
    </w:p>
    <w:p w14:paraId="27069EA8" w14:textId="77777777" w:rsidR="00AF214E" w:rsidRPr="00AF214E" w:rsidRDefault="00AF214E" w:rsidP="00AF214E">
      <w:pPr>
        <w:spacing w:line="480" w:lineRule="auto"/>
        <w:rPr>
          <w:b/>
        </w:rPr>
      </w:pPr>
      <w:r w:rsidRPr="00AF214E">
        <w:rPr>
          <w:b/>
        </w:rPr>
        <w:t xml:space="preserve">Table 2 </w:t>
      </w:r>
      <w:r w:rsidRPr="00AF214E">
        <w:t>Themes and Subthemes</w:t>
      </w:r>
    </w:p>
    <w:p w14:paraId="44015618" w14:textId="77777777" w:rsidR="00AF214E" w:rsidRDefault="00AF214E" w:rsidP="00AF214E">
      <w:pPr>
        <w:pBdr>
          <w:bottom w:val="single" w:sz="12" w:space="1" w:color="auto"/>
        </w:pBdr>
      </w:pPr>
      <w:r w:rsidRPr="00DD1443">
        <w:rPr>
          <w:b/>
        </w:rPr>
        <w:t>Passive acceptance</w:t>
      </w:r>
      <w:r>
        <w:t xml:space="preserve">                    </w:t>
      </w:r>
      <w:r w:rsidRPr="00DD1443">
        <w:rPr>
          <w:b/>
        </w:rPr>
        <w:t>ACP irrelevant and unnecessary</w:t>
      </w:r>
      <w:r>
        <w:t xml:space="preserve">     </w:t>
      </w:r>
      <w:r w:rsidRPr="00DD1443">
        <w:rPr>
          <w:b/>
        </w:rPr>
        <w:t>Avoidance and Denial</w:t>
      </w:r>
    </w:p>
    <w:p w14:paraId="0250A001" w14:textId="77777777" w:rsidR="00AF214E" w:rsidRPr="00DD1443" w:rsidRDefault="00AF214E" w:rsidP="00AF214E">
      <w:r w:rsidRPr="00DD1443">
        <w:t>Leave future to family</w:t>
      </w:r>
      <w:r w:rsidRPr="00DD1443">
        <w:tab/>
      </w:r>
      <w:r w:rsidRPr="00DD1443">
        <w:tab/>
        <w:t xml:space="preserve">            </w:t>
      </w:r>
      <w:r>
        <w:t xml:space="preserve">     </w:t>
      </w:r>
      <w:r w:rsidRPr="00DD1443">
        <w:t>Planning “done”</w:t>
      </w:r>
      <w:r w:rsidRPr="00DD1443">
        <w:tab/>
      </w:r>
      <w:r w:rsidRPr="00DD1443">
        <w:tab/>
        <w:t xml:space="preserve">             Avoidance</w:t>
      </w:r>
    </w:p>
    <w:p w14:paraId="6A16EC33" w14:textId="77777777" w:rsidR="00AF214E" w:rsidRPr="00DD1443" w:rsidRDefault="00AF214E" w:rsidP="00AF214E">
      <w:r w:rsidRPr="00DD1443">
        <w:t xml:space="preserve">Leave future to Providence/Destiny   </w:t>
      </w:r>
      <w:r>
        <w:t xml:space="preserve">     </w:t>
      </w:r>
      <w:r w:rsidRPr="00DD1443">
        <w:t>Lack of finances</w:t>
      </w:r>
      <w:r w:rsidRPr="00DD1443">
        <w:tab/>
      </w:r>
      <w:r w:rsidRPr="00DD1443">
        <w:tab/>
        <w:t xml:space="preserve">      Uncertainty/Insecurity</w:t>
      </w:r>
    </w:p>
    <w:p w14:paraId="0C705652" w14:textId="77777777" w:rsidR="00AF214E" w:rsidRPr="00DD1443" w:rsidRDefault="00AF214E" w:rsidP="00AF214E">
      <w:pPr>
        <w:pBdr>
          <w:bottom w:val="single" w:sz="12" w:space="1" w:color="auto"/>
        </w:pBdr>
      </w:pPr>
      <w:r w:rsidRPr="00DD1443">
        <w:t>Leave future to o</w:t>
      </w:r>
      <w:r>
        <w:t>thers</w:t>
      </w:r>
      <w:r>
        <w:tab/>
      </w:r>
      <w:r>
        <w:tab/>
      </w:r>
      <w:r>
        <w:tab/>
        <w:t xml:space="preserve">     Lack of support</w:t>
      </w:r>
      <w:r>
        <w:tab/>
      </w:r>
      <w:r>
        <w:tab/>
      </w:r>
      <w:r>
        <w:tab/>
        <w:t xml:space="preserve">     </w:t>
      </w:r>
      <w:r w:rsidRPr="00DD1443">
        <w:t>Denial</w:t>
      </w:r>
    </w:p>
    <w:p w14:paraId="4CAC4096" w14:textId="77777777" w:rsidR="00AF214E" w:rsidRPr="00DD1443" w:rsidRDefault="00AF214E" w:rsidP="00AF214E">
      <w:pPr>
        <w:spacing w:line="480" w:lineRule="auto"/>
      </w:pPr>
      <w:r>
        <w:rPr>
          <w:i/>
        </w:rPr>
        <w:t xml:space="preserve">Note: </w:t>
      </w:r>
      <w:r>
        <w:t xml:space="preserve">Main themes are bolded. </w:t>
      </w:r>
    </w:p>
    <w:p w14:paraId="07368832" w14:textId="77777777" w:rsidR="00AF214E" w:rsidRDefault="00AF214E" w:rsidP="00C95614">
      <w:pPr>
        <w:spacing w:line="480" w:lineRule="auto"/>
        <w:jc w:val="both"/>
        <w:rPr>
          <w:i/>
        </w:rPr>
      </w:pPr>
    </w:p>
    <w:p w14:paraId="5213A780" w14:textId="77777777" w:rsidR="00B27BCC" w:rsidRPr="00AF214E" w:rsidRDefault="00C6474A" w:rsidP="00C95614">
      <w:pPr>
        <w:spacing w:line="480" w:lineRule="auto"/>
        <w:jc w:val="both"/>
      </w:pPr>
      <w:r w:rsidRPr="00AF214E">
        <w:t xml:space="preserve">Theme 1: </w:t>
      </w:r>
      <w:r w:rsidR="0051690C" w:rsidRPr="00AF214E">
        <w:t>Passive acceptance</w:t>
      </w:r>
    </w:p>
    <w:p w14:paraId="570DC253" w14:textId="14950D5F" w:rsidR="00B27BCC" w:rsidRPr="0061059E" w:rsidRDefault="00CB30EC" w:rsidP="00C95614">
      <w:pPr>
        <w:spacing w:line="480" w:lineRule="auto"/>
        <w:jc w:val="both"/>
      </w:pPr>
      <w:r>
        <w:tab/>
        <w:t xml:space="preserve">This comprised 3 </w:t>
      </w:r>
      <w:r w:rsidR="0051690C">
        <w:t xml:space="preserve">subthemes: leave future to family, leave future to others and leave future to providence and destiny. </w:t>
      </w:r>
      <w:r w:rsidR="00050587">
        <w:t>This theme highlights the choice of passivity and in</w:t>
      </w:r>
      <w:r w:rsidR="0051690C">
        <w:t xml:space="preserve">action even though </w:t>
      </w:r>
      <w:r w:rsidR="00050587">
        <w:t xml:space="preserve">the option of planning for the future through ACP </w:t>
      </w:r>
      <w:r w:rsidR="0051690C">
        <w:t>w</w:t>
      </w:r>
      <w:r w:rsidR="00050587">
        <w:t>as presented. Patients</w:t>
      </w:r>
      <w:r w:rsidR="0051690C">
        <w:t xml:space="preserve"> </w:t>
      </w:r>
      <w:r w:rsidR="00050587">
        <w:t xml:space="preserve">expressed they </w:t>
      </w:r>
      <w:r w:rsidR="0051690C">
        <w:t xml:space="preserve">felt secure in having </w:t>
      </w:r>
      <w:r w:rsidR="00050587">
        <w:t xml:space="preserve">adequate </w:t>
      </w:r>
      <w:r w:rsidR="0051690C">
        <w:t xml:space="preserve">resources to </w:t>
      </w:r>
      <w:r w:rsidR="0051690C" w:rsidRPr="0061059E">
        <w:t>depen</w:t>
      </w:r>
      <w:r w:rsidR="00050587" w:rsidRPr="0061059E">
        <w:t xml:space="preserve">d on and </w:t>
      </w:r>
      <w:r w:rsidR="0051690C" w:rsidRPr="0061059E">
        <w:t>were resig</w:t>
      </w:r>
      <w:r w:rsidR="00050587" w:rsidRPr="0061059E">
        <w:t>ned to whatever the future held</w:t>
      </w:r>
      <w:r w:rsidR="0051690C" w:rsidRPr="0061059E">
        <w:t xml:space="preserve"> for them, be it favorable or unfavorable. This theme</w:t>
      </w:r>
      <w:r w:rsidR="00050587" w:rsidRPr="0061059E">
        <w:t xml:space="preserve"> was </w:t>
      </w:r>
      <w:r w:rsidR="002F7A89" w:rsidRPr="0061059E">
        <w:t xml:space="preserve">present in the accounts of </w:t>
      </w:r>
      <w:r w:rsidR="00050587" w:rsidRPr="0061059E">
        <w:t>91.2% of those who declined ACP.</w:t>
      </w:r>
      <w:r w:rsidR="0051690C" w:rsidRPr="0061059E">
        <w:t xml:space="preserve"> </w:t>
      </w:r>
    </w:p>
    <w:p w14:paraId="45E4C869" w14:textId="7ED415F3" w:rsidR="00B27BCC" w:rsidRDefault="002F7A89" w:rsidP="00C95614">
      <w:pPr>
        <w:spacing w:line="480" w:lineRule="auto"/>
        <w:ind w:firstLine="720"/>
        <w:jc w:val="both"/>
      </w:pPr>
      <w:r w:rsidRPr="0061059E">
        <w:t>The m</w:t>
      </w:r>
      <w:r w:rsidR="00AF214E" w:rsidRPr="0061059E">
        <w:t xml:space="preserve">ajority </w:t>
      </w:r>
      <w:r w:rsidRPr="0061059E">
        <w:t xml:space="preserve">of those </w:t>
      </w:r>
      <w:r w:rsidR="00596E55" w:rsidRPr="0061059E">
        <w:t>were</w:t>
      </w:r>
      <w:r w:rsidR="00050587" w:rsidRPr="0061059E">
        <w:t xml:space="preserve"> comfortable to leave</w:t>
      </w:r>
      <w:r w:rsidR="0051690C" w:rsidRPr="0061059E">
        <w:t xml:space="preserve"> the future to their family, particularly</w:t>
      </w:r>
      <w:r w:rsidR="0051690C">
        <w:t xml:space="preserve"> their children, as</w:t>
      </w:r>
      <w:r w:rsidR="00050587">
        <w:t xml:space="preserve">sumed they would </w:t>
      </w:r>
      <w:r w:rsidR="00596E55">
        <w:t>do what was appropriate. Notably, most of these patients</w:t>
      </w:r>
      <w:r w:rsidR="0051690C">
        <w:t xml:space="preserve"> </w:t>
      </w:r>
      <w:r w:rsidR="0051690C">
        <w:lastRenderedPageBreak/>
        <w:t>were living with and financially dependent on their children. For example, t</w:t>
      </w:r>
      <w:r w:rsidR="00050587">
        <w:t>he MSW reported that patient</w:t>
      </w:r>
      <w:r w:rsidR="00596E55">
        <w:t xml:space="preserve"> 46 was</w:t>
      </w:r>
      <w:r w:rsidR="0051690C">
        <w:t xml:space="preserve">: </w:t>
      </w:r>
    </w:p>
    <w:p w14:paraId="74E95150" w14:textId="77777777" w:rsidR="00B27BCC" w:rsidRDefault="00596E55" w:rsidP="00C95614">
      <w:pPr>
        <w:spacing w:line="480" w:lineRule="auto"/>
        <w:ind w:firstLine="720"/>
        <w:jc w:val="both"/>
      </w:pPr>
      <w:r>
        <w:rPr>
          <w:i/>
        </w:rPr>
        <w:t>…</w:t>
      </w:r>
      <w:r w:rsidR="0051690C" w:rsidRPr="00E01A17">
        <w:rPr>
          <w:i/>
        </w:rPr>
        <w:t>aware that his memory is deteriorating and will e</w:t>
      </w:r>
      <w:r w:rsidR="0051690C">
        <w:rPr>
          <w:i/>
        </w:rPr>
        <w:t>ventually lose mental capacity,</w:t>
      </w:r>
      <w:r w:rsidR="0051690C">
        <w:rPr>
          <w:i/>
        </w:rPr>
        <w:tab/>
        <w:t xml:space="preserve">[but] </w:t>
      </w:r>
      <w:r w:rsidR="0051690C" w:rsidRPr="00E01A17">
        <w:rPr>
          <w:i/>
        </w:rPr>
        <w:t xml:space="preserve">he does not see the need to </w:t>
      </w:r>
      <w:r w:rsidR="00050587">
        <w:rPr>
          <w:i/>
        </w:rPr>
        <w:t>make advance</w:t>
      </w:r>
      <w:r w:rsidR="0051690C">
        <w:rPr>
          <w:i/>
        </w:rPr>
        <w:t xml:space="preserve"> plans for himself…has faith and</w:t>
      </w:r>
      <w:r w:rsidR="0051690C">
        <w:rPr>
          <w:i/>
        </w:rPr>
        <w:tab/>
      </w:r>
      <w:r>
        <w:rPr>
          <w:i/>
        </w:rPr>
        <w:t>trust in</w:t>
      </w:r>
      <w:r w:rsidR="0051690C" w:rsidRPr="00E01A17">
        <w:rPr>
          <w:i/>
        </w:rPr>
        <w:t xml:space="preserve"> his children and believes they will make good healt</w:t>
      </w:r>
      <w:r w:rsidR="0051690C">
        <w:rPr>
          <w:i/>
        </w:rPr>
        <w:t>hcare and welfare</w:t>
      </w:r>
      <w:r w:rsidR="0051690C">
        <w:rPr>
          <w:i/>
        </w:rPr>
        <w:tab/>
      </w:r>
      <w:r w:rsidR="0051690C" w:rsidRPr="00E01A17">
        <w:rPr>
          <w:i/>
        </w:rPr>
        <w:t>decisions for him</w:t>
      </w:r>
      <w:r w:rsidR="0055203A">
        <w:t>.</w:t>
      </w:r>
      <w:r w:rsidR="0051690C">
        <w:t xml:space="preserve"> </w:t>
      </w:r>
    </w:p>
    <w:p w14:paraId="35E15CDB" w14:textId="77777777" w:rsidR="00B27BCC" w:rsidRDefault="00596E55" w:rsidP="00C95614">
      <w:pPr>
        <w:spacing w:line="480" w:lineRule="auto"/>
        <w:ind w:firstLine="720"/>
        <w:jc w:val="both"/>
      </w:pPr>
      <w:r>
        <w:t>Some patients</w:t>
      </w:r>
      <w:r w:rsidR="0051690C">
        <w:t xml:space="preserve"> were prepar</w:t>
      </w:r>
      <w:r>
        <w:t>ed to accept any future arrangements made for them. As</w:t>
      </w:r>
      <w:r w:rsidR="0051690C">
        <w:t xml:space="preserve"> regards to future care arrangements, pa</w:t>
      </w:r>
      <w:r>
        <w:t xml:space="preserve">rticipant 24 expressed </w:t>
      </w:r>
      <w:r w:rsidR="0051690C">
        <w:t>that “</w:t>
      </w:r>
      <w:r w:rsidR="0051690C" w:rsidRPr="00E01A17">
        <w:rPr>
          <w:i/>
        </w:rPr>
        <w:t>if children choose to place him in a nursing home, he will have no say</w:t>
      </w:r>
      <w:r w:rsidR="0051690C">
        <w:t>”.</w:t>
      </w:r>
      <w:r>
        <w:t xml:space="preserve"> </w:t>
      </w:r>
      <w:r w:rsidR="0051690C">
        <w:t>P</w:t>
      </w:r>
      <w:r>
        <w:t>atients who were single, without close relatives</w:t>
      </w:r>
      <w:r w:rsidR="0051690C">
        <w:t xml:space="preserve"> </w:t>
      </w:r>
      <w:r>
        <w:t>displayed</w:t>
      </w:r>
      <w:r w:rsidR="0051690C">
        <w:t xml:space="preserve"> </w:t>
      </w:r>
      <w:r>
        <w:t>little c</w:t>
      </w:r>
      <w:r w:rsidR="00DE26D8">
        <w:t>oncerned</w:t>
      </w:r>
      <w:r w:rsidR="0051690C">
        <w:t xml:space="preserve"> in </w:t>
      </w:r>
      <w:r>
        <w:t>having to depend</w:t>
      </w:r>
      <w:r w:rsidR="0051690C">
        <w:t xml:space="preserve"> on </w:t>
      </w:r>
      <w:r>
        <w:t xml:space="preserve">more distant relations. </w:t>
      </w:r>
      <w:r w:rsidR="0051690C">
        <w:t xml:space="preserve">For instance, </w:t>
      </w:r>
      <w:r>
        <w:t xml:space="preserve">of patient 56, </w:t>
      </w:r>
      <w:r w:rsidR="0051690C">
        <w:t>the MSW</w:t>
      </w:r>
      <w:r>
        <w:t xml:space="preserve"> wrote</w:t>
      </w:r>
      <w:r w:rsidR="0051690C">
        <w:t xml:space="preserve">: </w:t>
      </w:r>
    </w:p>
    <w:p w14:paraId="21B3FB87" w14:textId="77777777" w:rsidR="00B27BCC" w:rsidRDefault="0051690C" w:rsidP="00C95614">
      <w:pPr>
        <w:spacing w:line="480" w:lineRule="auto"/>
        <w:ind w:firstLine="720"/>
        <w:jc w:val="both"/>
      </w:pPr>
      <w:r w:rsidRPr="00536E25">
        <w:rPr>
          <w:i/>
        </w:rPr>
        <w:t>If she cannot walk well, she plans to rest in bed mo</w:t>
      </w:r>
      <w:r>
        <w:rPr>
          <w:i/>
        </w:rPr>
        <w:t>re at home and wait for niece’s</w:t>
      </w:r>
      <w:r>
        <w:rPr>
          <w:i/>
        </w:rPr>
        <w:tab/>
      </w:r>
      <w:r w:rsidRPr="00536E25">
        <w:rPr>
          <w:i/>
        </w:rPr>
        <w:t>family to buy meals for her. She leaves long-term pl</w:t>
      </w:r>
      <w:r>
        <w:rPr>
          <w:i/>
        </w:rPr>
        <w:t>anning to her niece’s family as</w:t>
      </w:r>
      <w:r>
        <w:rPr>
          <w:i/>
        </w:rPr>
        <w:tab/>
      </w:r>
      <w:r w:rsidRPr="00536E25">
        <w:rPr>
          <w:i/>
        </w:rPr>
        <w:t>she does not have the resources to plan for herself an</w:t>
      </w:r>
      <w:r>
        <w:rPr>
          <w:i/>
        </w:rPr>
        <w:t>d trusts them to make plans for</w:t>
      </w:r>
      <w:r>
        <w:rPr>
          <w:i/>
        </w:rPr>
        <w:tab/>
      </w:r>
      <w:r w:rsidRPr="00536E25">
        <w:rPr>
          <w:i/>
        </w:rPr>
        <w:t>her</w:t>
      </w:r>
      <w:r>
        <w:t xml:space="preserve">. </w:t>
      </w:r>
    </w:p>
    <w:p w14:paraId="10C525D7" w14:textId="4C2E5E64" w:rsidR="00B27BCC" w:rsidRDefault="00897726" w:rsidP="00C95614">
      <w:pPr>
        <w:spacing w:line="480" w:lineRule="auto"/>
        <w:ind w:firstLine="720"/>
        <w:jc w:val="both"/>
      </w:pPr>
      <w:r>
        <w:t xml:space="preserve">Patients </w:t>
      </w:r>
      <w:r w:rsidR="0051690C">
        <w:t xml:space="preserve">were </w:t>
      </w:r>
      <w:r>
        <w:t>also w</w:t>
      </w:r>
      <w:r w:rsidR="0051690C">
        <w:t>illing to leave the future to prov</w:t>
      </w:r>
      <w:r>
        <w:t>idence and destiny. Patient 80</w:t>
      </w:r>
      <w:r w:rsidR="0051690C">
        <w:t xml:space="preserve"> stated that she would “</w:t>
      </w:r>
      <w:r w:rsidR="0051690C" w:rsidRPr="00E01A17">
        <w:rPr>
          <w:i/>
        </w:rPr>
        <w:t>leave everything to God and cope through her strong faith and daily prayers</w:t>
      </w:r>
      <w:r>
        <w:t>”. Similarly, pa</w:t>
      </w:r>
      <w:r w:rsidR="0051690C">
        <w:t>t</w:t>
      </w:r>
      <w:r>
        <w:t xml:space="preserve">ient 59 reported </w:t>
      </w:r>
      <w:r w:rsidR="00CC7FF9">
        <w:t xml:space="preserve">that </w:t>
      </w:r>
      <w:r w:rsidR="0051690C" w:rsidRPr="00CC7FF9">
        <w:t>he will</w:t>
      </w:r>
      <w:r w:rsidR="0051690C" w:rsidRPr="00E01A17">
        <w:rPr>
          <w:i/>
        </w:rPr>
        <w:t xml:space="preserve"> </w:t>
      </w:r>
      <w:r w:rsidR="00CC7FF9" w:rsidRPr="00CC7FF9">
        <w:t>“</w:t>
      </w:r>
      <w:r w:rsidR="0051690C" w:rsidRPr="00E01A17">
        <w:rPr>
          <w:i/>
        </w:rPr>
        <w:t xml:space="preserve">leave decisions to </w:t>
      </w:r>
      <w:r w:rsidR="00DB2644">
        <w:rPr>
          <w:i/>
        </w:rPr>
        <w:t xml:space="preserve">his </w:t>
      </w:r>
      <w:r w:rsidR="0051690C" w:rsidRPr="00E01A17">
        <w:rPr>
          <w:i/>
        </w:rPr>
        <w:t>so</w:t>
      </w:r>
      <w:r w:rsidR="0051690C">
        <w:rPr>
          <w:i/>
        </w:rPr>
        <w:t xml:space="preserve">n, </w:t>
      </w:r>
      <w:r w:rsidR="0051690C" w:rsidRPr="00E01A17">
        <w:rPr>
          <w:i/>
        </w:rPr>
        <w:t>fate and destiny</w:t>
      </w:r>
      <w:r w:rsidR="0051690C">
        <w:t xml:space="preserve">”. </w:t>
      </w:r>
    </w:p>
    <w:p w14:paraId="76495AA1" w14:textId="77777777" w:rsidR="00B27BCC" w:rsidRDefault="00B27BCC" w:rsidP="00C95614">
      <w:pPr>
        <w:spacing w:line="480" w:lineRule="auto"/>
        <w:jc w:val="both"/>
        <w:rPr>
          <w:i/>
        </w:rPr>
      </w:pPr>
    </w:p>
    <w:p w14:paraId="7726D529" w14:textId="77777777" w:rsidR="00B27BCC" w:rsidRPr="00AF214E" w:rsidRDefault="00C6474A" w:rsidP="00C95614">
      <w:pPr>
        <w:spacing w:line="480" w:lineRule="auto"/>
        <w:jc w:val="both"/>
      </w:pPr>
      <w:r w:rsidRPr="00AF214E">
        <w:t xml:space="preserve">Theme 2: </w:t>
      </w:r>
      <w:r w:rsidR="0051690C" w:rsidRPr="00AF214E">
        <w:t xml:space="preserve">ACP perceived as irrelevant or unnecessary </w:t>
      </w:r>
    </w:p>
    <w:p w14:paraId="27CC7DB5" w14:textId="0CC793D8" w:rsidR="00B27BCC" w:rsidRPr="0061059E" w:rsidRDefault="0051690C" w:rsidP="00C95614">
      <w:pPr>
        <w:spacing w:line="480" w:lineRule="auto"/>
        <w:jc w:val="both"/>
      </w:pPr>
      <w:r>
        <w:tab/>
        <w:t xml:space="preserve">The second theme comprised </w:t>
      </w:r>
      <w:r w:rsidR="00DB2644">
        <w:t>3</w:t>
      </w:r>
      <w:r>
        <w:t xml:space="preserve"> subthemes: planning “done”, lack of finances and lack of support. </w:t>
      </w:r>
      <w:r w:rsidR="00C67567">
        <w:t xml:space="preserve">Under this </w:t>
      </w:r>
      <w:r>
        <w:t>theme</w:t>
      </w:r>
      <w:r w:rsidR="00C67567">
        <w:t xml:space="preserve">, </w:t>
      </w:r>
      <w:r>
        <w:t xml:space="preserve">despite </w:t>
      </w:r>
      <w:r w:rsidR="00C67567">
        <w:t xml:space="preserve">acknowledging </w:t>
      </w:r>
      <w:r>
        <w:t xml:space="preserve">the </w:t>
      </w:r>
      <w:r w:rsidR="00CC7FF9" w:rsidRPr="0061059E">
        <w:t xml:space="preserve">theoretical </w:t>
      </w:r>
      <w:r w:rsidRPr="0061059E">
        <w:t>importance</w:t>
      </w:r>
      <w:r>
        <w:t xml:space="preserve"> of planning for the future, </w:t>
      </w:r>
      <w:r w:rsidR="00C67567">
        <w:t>patient</w:t>
      </w:r>
      <w:r>
        <w:t xml:space="preserve">s did not </w:t>
      </w:r>
      <w:r w:rsidR="00C67567">
        <w:t>see</w:t>
      </w:r>
      <w:r>
        <w:t xml:space="preserve"> the need to do so. Furthermore, some </w:t>
      </w:r>
      <w:r w:rsidR="00C67567">
        <w:t xml:space="preserve">failed to understand </w:t>
      </w:r>
      <w:r w:rsidR="00C67567">
        <w:lastRenderedPageBreak/>
        <w:t xml:space="preserve">the relevance of </w:t>
      </w:r>
      <w:r>
        <w:t xml:space="preserve">ACP </w:t>
      </w:r>
      <w:r w:rsidR="00C67567">
        <w:t>and its immediacy</w:t>
      </w:r>
      <w:r>
        <w:t xml:space="preserve">. </w:t>
      </w:r>
      <w:r w:rsidR="00AF214E">
        <w:t>Forty-five</w:t>
      </w:r>
      <w:r w:rsidR="00C67567">
        <w:t xml:space="preserve"> patients</w:t>
      </w:r>
      <w:r>
        <w:t xml:space="preserve"> (78.9%) gave reasons </w:t>
      </w:r>
      <w:r w:rsidR="00CC7FF9" w:rsidRPr="0061059E">
        <w:t xml:space="preserve">for declining ACP </w:t>
      </w:r>
      <w:r w:rsidRPr="0061059E">
        <w:t xml:space="preserve">pertaining to </w:t>
      </w:r>
      <w:r w:rsidR="00CC7FF9" w:rsidRPr="0061059E">
        <w:t>this theme</w:t>
      </w:r>
      <w:r w:rsidRPr="0061059E">
        <w:t xml:space="preserve">. </w:t>
      </w:r>
    </w:p>
    <w:p w14:paraId="6AFF4D50" w14:textId="27A3DCCC" w:rsidR="00B27BCC" w:rsidRDefault="0051690C" w:rsidP="00C95614">
      <w:pPr>
        <w:spacing w:line="480" w:lineRule="auto"/>
        <w:ind w:firstLine="720"/>
        <w:jc w:val="both"/>
      </w:pPr>
      <w:r w:rsidRPr="0061059E">
        <w:t>About half of th</w:t>
      </w:r>
      <w:r w:rsidR="00C67567" w:rsidRPr="0061059E">
        <w:t>em</w:t>
      </w:r>
      <w:r w:rsidRPr="0061059E">
        <w:t xml:space="preserve"> felt that completing ACP was unnecessary </w:t>
      </w:r>
      <w:r w:rsidR="00C67567" w:rsidRPr="0061059E">
        <w:t>as</w:t>
      </w:r>
      <w:r w:rsidRPr="0061059E">
        <w:t xml:space="preserve"> they had ‘completed’ their planning or engaged in informal </w:t>
      </w:r>
      <w:r w:rsidR="00C67567" w:rsidRPr="0061059E">
        <w:t>planning</w:t>
      </w:r>
      <w:r w:rsidRPr="0061059E">
        <w:t xml:space="preserve">, </w:t>
      </w:r>
      <w:r w:rsidR="00C67567" w:rsidRPr="0061059E">
        <w:t>which usually consist</w:t>
      </w:r>
      <w:r w:rsidR="00CC7FF9" w:rsidRPr="0061059E">
        <w:t>ed of</w:t>
      </w:r>
      <w:r w:rsidR="00C67567">
        <w:t xml:space="preserve"> </w:t>
      </w:r>
      <w:r>
        <w:t>verbally informing close ones about end-of-life decisions. M</w:t>
      </w:r>
      <w:r w:rsidR="006E7335">
        <w:t xml:space="preserve">any </w:t>
      </w:r>
      <w:r>
        <w:t xml:space="preserve">had initiated </w:t>
      </w:r>
      <w:r w:rsidR="006E7335">
        <w:t xml:space="preserve">financial </w:t>
      </w:r>
      <w:r>
        <w:t xml:space="preserve">planning by creating joint savings accounts or completing a </w:t>
      </w:r>
      <w:r w:rsidR="006E7335">
        <w:t>w</w:t>
      </w:r>
      <w:r>
        <w:t>ill. P</w:t>
      </w:r>
      <w:r w:rsidR="006E7335">
        <w:t>atient</w:t>
      </w:r>
      <w:r>
        <w:t xml:space="preserve"> 83 told the MSW that “</w:t>
      </w:r>
      <w:r w:rsidRPr="00A04576">
        <w:rPr>
          <w:i/>
        </w:rPr>
        <w:t xml:space="preserve">she has a joint savings account with one of her sons and done up a </w:t>
      </w:r>
      <w:r w:rsidR="006E7335">
        <w:rPr>
          <w:i/>
        </w:rPr>
        <w:t>w</w:t>
      </w:r>
      <w:r w:rsidRPr="00A04576">
        <w:rPr>
          <w:i/>
        </w:rPr>
        <w:t>ill to bequea</w:t>
      </w:r>
      <w:r>
        <w:rPr>
          <w:i/>
        </w:rPr>
        <w:t>th the flat to her children…</w:t>
      </w:r>
      <w:r w:rsidRPr="00A04576">
        <w:rPr>
          <w:i/>
        </w:rPr>
        <w:t>no one can touch the house when she is alive</w:t>
      </w:r>
      <w:r>
        <w:rPr>
          <w:i/>
        </w:rPr>
        <w:t xml:space="preserve">”. </w:t>
      </w:r>
      <w:r w:rsidRPr="009F5AB6">
        <w:t>Given this</w:t>
      </w:r>
      <w:r>
        <w:t>,</w:t>
      </w:r>
      <w:r w:rsidRPr="009F5AB6">
        <w:t xml:space="preserve"> she resisted </w:t>
      </w:r>
      <w:r w:rsidR="00CC7FF9" w:rsidRPr="0061059E">
        <w:t>formal</w:t>
      </w:r>
      <w:r w:rsidR="00CC7FF9">
        <w:t xml:space="preserve"> </w:t>
      </w:r>
      <w:r w:rsidRPr="009F5AB6">
        <w:t>ACP</w:t>
      </w:r>
      <w:r>
        <w:rPr>
          <w:i/>
        </w:rPr>
        <w:t>.</w:t>
      </w:r>
      <w:r>
        <w:t xml:space="preserve"> </w:t>
      </w:r>
    </w:p>
    <w:p w14:paraId="5F45D79E" w14:textId="77777777" w:rsidR="00B27BCC" w:rsidRDefault="0051690C" w:rsidP="00C95614">
      <w:pPr>
        <w:spacing w:line="480" w:lineRule="auto"/>
        <w:jc w:val="both"/>
      </w:pPr>
      <w:r>
        <w:rPr>
          <w:b/>
        </w:rPr>
        <w:tab/>
      </w:r>
      <w:r>
        <w:t xml:space="preserve">Another aspect of </w:t>
      </w:r>
      <w:r w:rsidR="006E7335">
        <w:t xml:space="preserve">ACP </w:t>
      </w:r>
      <w:r>
        <w:t xml:space="preserve">irrelevance </w:t>
      </w:r>
      <w:r w:rsidR="006E7335">
        <w:t xml:space="preserve">pertained to </w:t>
      </w:r>
      <w:r>
        <w:t xml:space="preserve">the lack of finances. </w:t>
      </w:r>
      <w:r w:rsidR="006E7335">
        <w:t>T</w:t>
      </w:r>
      <w:r>
        <w:t>hese pa</w:t>
      </w:r>
      <w:r w:rsidR="006E7335">
        <w:t xml:space="preserve">tients </w:t>
      </w:r>
      <w:r>
        <w:t>reported they had no asset</w:t>
      </w:r>
      <w:r w:rsidR="006E7335">
        <w:t>s</w:t>
      </w:r>
      <w:r>
        <w:t xml:space="preserve">, were financially dependent on their family or </w:t>
      </w:r>
      <w:r w:rsidR="006E7335">
        <w:t>had little</w:t>
      </w:r>
      <w:r>
        <w:t xml:space="preserve"> savings</w:t>
      </w:r>
      <w:r w:rsidR="006E7335">
        <w:t>.</w:t>
      </w:r>
      <w:r>
        <w:t xml:space="preserve">  Pat</w:t>
      </w:r>
      <w:r w:rsidR="006E7335">
        <w:t>ient</w:t>
      </w:r>
      <w:r>
        <w:t xml:space="preserve"> 53 expressed that “</w:t>
      </w:r>
      <w:r w:rsidRPr="00E5198C">
        <w:rPr>
          <w:i/>
        </w:rPr>
        <w:t xml:space="preserve">it is important to complete </w:t>
      </w:r>
      <w:r>
        <w:rPr>
          <w:i/>
        </w:rPr>
        <w:t>ACP</w:t>
      </w:r>
      <w:r w:rsidRPr="00E5198C">
        <w:rPr>
          <w:i/>
        </w:rPr>
        <w:t xml:space="preserve"> but thinks he does n</w:t>
      </w:r>
      <w:r>
        <w:rPr>
          <w:i/>
        </w:rPr>
        <w:t>ot have much assets to worry</w:t>
      </w:r>
      <w:r>
        <w:t>”, while pat</w:t>
      </w:r>
      <w:r w:rsidR="006E7335">
        <w:t>ient</w:t>
      </w:r>
      <w:r>
        <w:t xml:space="preserve"> 51 </w:t>
      </w:r>
      <w:r w:rsidR="006E7335">
        <w:t xml:space="preserve">remarked </w:t>
      </w:r>
      <w:r>
        <w:t>that “</w:t>
      </w:r>
      <w:r w:rsidRPr="001765AE">
        <w:rPr>
          <w:i/>
          <w:color w:val="000000"/>
        </w:rPr>
        <w:t>she has little property and finances, so no immediate need</w:t>
      </w:r>
      <w:r>
        <w:rPr>
          <w:i/>
          <w:color w:val="000000"/>
        </w:rPr>
        <w:t xml:space="preserve"> [for ACP]</w:t>
      </w:r>
      <w:r>
        <w:t xml:space="preserve">”. </w:t>
      </w:r>
    </w:p>
    <w:p w14:paraId="6BFE7C20" w14:textId="194CEA8E" w:rsidR="00323BB5" w:rsidRDefault="0051690C" w:rsidP="00CD24C0">
      <w:pPr>
        <w:spacing w:line="480" w:lineRule="auto"/>
        <w:ind w:firstLine="720"/>
        <w:jc w:val="both"/>
      </w:pPr>
      <w:r>
        <w:t xml:space="preserve">The third subtheme </w:t>
      </w:r>
      <w:r w:rsidR="006E7335">
        <w:t xml:space="preserve">revolved around </w:t>
      </w:r>
      <w:r>
        <w:t xml:space="preserve">lack of support. Some </w:t>
      </w:r>
      <w:r w:rsidR="006E7335">
        <w:t xml:space="preserve">patients </w:t>
      </w:r>
      <w:r>
        <w:t>were not keen to discuss ACP due to a lack of trust in their family. For example, pa</w:t>
      </w:r>
      <w:r w:rsidR="006E7335">
        <w:t>tient</w:t>
      </w:r>
      <w:r>
        <w:t xml:space="preserve"> 54 reported he was “</w:t>
      </w:r>
      <w:r w:rsidRPr="003E3297">
        <w:rPr>
          <w:i/>
        </w:rPr>
        <w:t xml:space="preserve">not keen to consider </w:t>
      </w:r>
      <w:r>
        <w:rPr>
          <w:i/>
        </w:rPr>
        <w:t>ACP</w:t>
      </w:r>
      <w:r w:rsidRPr="003E3297">
        <w:rPr>
          <w:i/>
        </w:rPr>
        <w:t xml:space="preserve"> as he has reservations and lack of trust over wife and children’s abilities to follow his wishes</w:t>
      </w:r>
      <w:r>
        <w:t xml:space="preserve">”. Family members may </w:t>
      </w:r>
      <w:r w:rsidR="006E7335">
        <w:t xml:space="preserve">also </w:t>
      </w:r>
      <w:r>
        <w:t xml:space="preserve">influence non-engagement in ACP discussions in two </w:t>
      </w:r>
      <w:r w:rsidR="006E7335">
        <w:t>other ways</w:t>
      </w:r>
      <w:r>
        <w:t xml:space="preserve">: </w:t>
      </w:r>
      <w:r w:rsidR="00A872BF">
        <w:t xml:space="preserve">1) </w:t>
      </w:r>
      <w:r>
        <w:t xml:space="preserve">agreeing </w:t>
      </w:r>
      <w:r w:rsidR="006E7335">
        <w:t xml:space="preserve">with the patient </w:t>
      </w:r>
      <w:r>
        <w:t xml:space="preserve">ACP </w:t>
      </w:r>
      <w:r w:rsidR="006E7335">
        <w:t xml:space="preserve">is irrelevant </w:t>
      </w:r>
      <w:r w:rsidR="00A872BF">
        <w:t>and 2)</w:t>
      </w:r>
      <w:r>
        <w:t xml:space="preserve"> dismissing patients’ end-of-life </w:t>
      </w:r>
      <w:r w:rsidR="00A872BF">
        <w:t>plans</w:t>
      </w:r>
      <w:r>
        <w:t xml:space="preserve">. </w:t>
      </w:r>
      <w:r w:rsidR="00A872BF">
        <w:t>Pertaining to</w:t>
      </w:r>
      <w:r>
        <w:t xml:space="preserve"> </w:t>
      </w:r>
      <w:r w:rsidR="006E7335">
        <w:t>the former</w:t>
      </w:r>
      <w:r>
        <w:t xml:space="preserve">, </w:t>
      </w:r>
      <w:r w:rsidR="00A872BF">
        <w:t xml:space="preserve">the son of </w:t>
      </w:r>
      <w:r>
        <w:t>pa</w:t>
      </w:r>
      <w:r w:rsidR="006E7335">
        <w:t>tient</w:t>
      </w:r>
      <w:r>
        <w:t xml:space="preserve"> 7 </w:t>
      </w:r>
      <w:r w:rsidR="00A872BF">
        <w:t xml:space="preserve">explained </w:t>
      </w:r>
      <w:r>
        <w:t>that the “</w:t>
      </w:r>
      <w:r w:rsidRPr="00007343">
        <w:rPr>
          <w:i/>
        </w:rPr>
        <w:t xml:space="preserve">family is supportive and understands patient’s wishes, thus agreeing that </w:t>
      </w:r>
      <w:r>
        <w:rPr>
          <w:i/>
        </w:rPr>
        <w:t>ACP</w:t>
      </w:r>
      <w:r w:rsidRPr="00007343">
        <w:rPr>
          <w:i/>
        </w:rPr>
        <w:t xml:space="preserve"> is not necessary</w:t>
      </w:r>
      <w:r>
        <w:t xml:space="preserve">”. </w:t>
      </w:r>
      <w:r w:rsidR="00A872BF">
        <w:t>As regards the latter</w:t>
      </w:r>
      <w:r>
        <w:t>, pat</w:t>
      </w:r>
      <w:r w:rsidR="006E7335">
        <w:t>ient</w:t>
      </w:r>
      <w:r>
        <w:t xml:space="preserve"> 42</w:t>
      </w:r>
      <w:r w:rsidR="00A872BF">
        <w:t xml:space="preserve"> shared </w:t>
      </w:r>
      <w:r>
        <w:t>her plans w</w:t>
      </w:r>
      <w:r w:rsidR="006E7335">
        <w:t>ere</w:t>
      </w:r>
      <w:r>
        <w:t xml:space="preserve"> </w:t>
      </w:r>
      <w:r w:rsidR="00A872BF">
        <w:t>dismissed</w:t>
      </w:r>
      <w:r>
        <w:t xml:space="preserve"> </w:t>
      </w:r>
      <w:r w:rsidR="006E7335">
        <w:t xml:space="preserve">by her children </w:t>
      </w:r>
      <w:r>
        <w:t>after “</w:t>
      </w:r>
      <w:r w:rsidRPr="00007343">
        <w:rPr>
          <w:i/>
        </w:rPr>
        <w:t>informing her daughters about splitting her savings an</w:t>
      </w:r>
      <w:r>
        <w:rPr>
          <w:i/>
        </w:rPr>
        <w:t>d having a sea-burial”</w:t>
      </w:r>
      <w:r>
        <w:t>.</w:t>
      </w:r>
    </w:p>
    <w:p w14:paraId="36CF0109" w14:textId="77777777" w:rsidR="00CD24C0" w:rsidRDefault="00CD24C0" w:rsidP="00CD24C0">
      <w:pPr>
        <w:spacing w:line="480" w:lineRule="auto"/>
        <w:ind w:firstLine="720"/>
        <w:jc w:val="both"/>
      </w:pPr>
    </w:p>
    <w:p w14:paraId="1CECDA4D" w14:textId="77777777" w:rsidR="00323BB5" w:rsidRDefault="00323BB5" w:rsidP="00323BB5">
      <w:pPr>
        <w:spacing w:line="480" w:lineRule="auto"/>
        <w:ind w:firstLine="720"/>
        <w:jc w:val="both"/>
      </w:pPr>
    </w:p>
    <w:p w14:paraId="1C9CDBC8" w14:textId="77777777" w:rsidR="00B27BCC" w:rsidRPr="00AF214E" w:rsidRDefault="00C6474A" w:rsidP="00C95614">
      <w:pPr>
        <w:spacing w:line="480" w:lineRule="auto"/>
        <w:jc w:val="both"/>
      </w:pPr>
      <w:r w:rsidRPr="00AF214E">
        <w:lastRenderedPageBreak/>
        <w:t xml:space="preserve">Theme 3: </w:t>
      </w:r>
      <w:r w:rsidR="0051690C" w:rsidRPr="00AF214E">
        <w:t>Avoidance and Denial</w:t>
      </w:r>
    </w:p>
    <w:p w14:paraId="48A842B3" w14:textId="77777777" w:rsidR="00B27BCC" w:rsidRDefault="0051690C" w:rsidP="00C95614">
      <w:pPr>
        <w:spacing w:line="480" w:lineRule="auto"/>
        <w:jc w:val="both"/>
        <w:rPr>
          <w:b/>
        </w:rPr>
      </w:pPr>
      <w:r>
        <w:rPr>
          <w:b/>
        </w:rPr>
        <w:tab/>
      </w:r>
      <w:r>
        <w:t xml:space="preserve">The third theme </w:t>
      </w:r>
      <w:r w:rsidR="00A872BF">
        <w:t>comprised</w:t>
      </w:r>
      <w:r>
        <w:t xml:space="preserve"> three subthemes: avoidance, uncertainty and insecurity, and denial. Th</w:t>
      </w:r>
      <w:r w:rsidR="00A872BF">
        <w:t xml:space="preserve">is </w:t>
      </w:r>
      <w:r>
        <w:t xml:space="preserve">theme highlights coping strategies </w:t>
      </w:r>
      <w:r w:rsidR="00A872BF">
        <w:t>and</w:t>
      </w:r>
      <w:r>
        <w:t xml:space="preserve"> defense mechanisms </w:t>
      </w:r>
      <w:r w:rsidR="00B269EC">
        <w:t xml:space="preserve">initiated </w:t>
      </w:r>
      <w:r>
        <w:t>by pa</w:t>
      </w:r>
      <w:r w:rsidR="00B269EC">
        <w:t>tients when</w:t>
      </w:r>
      <w:r>
        <w:t xml:space="preserve"> </w:t>
      </w:r>
      <w:r w:rsidR="00A872BF">
        <w:t xml:space="preserve">being broached with </w:t>
      </w:r>
      <w:r>
        <w:t xml:space="preserve">the </w:t>
      </w:r>
      <w:r w:rsidR="00A872BF">
        <w:t xml:space="preserve">topic of </w:t>
      </w:r>
      <w:r>
        <w:t xml:space="preserve">planning for end of life. The accounts of 40 </w:t>
      </w:r>
      <w:r w:rsidR="00B269EC">
        <w:t xml:space="preserve">patients </w:t>
      </w:r>
      <w:r>
        <w:t>(70.2%) who declined ACP discussions show</w:t>
      </w:r>
      <w:r w:rsidR="00B269EC">
        <w:t>ed</w:t>
      </w:r>
      <w:r>
        <w:t xml:space="preserve"> </w:t>
      </w:r>
      <w:r w:rsidR="00B269EC">
        <w:t>facets</w:t>
      </w:r>
      <w:r>
        <w:t xml:space="preserve"> of either avoidance or denia</w:t>
      </w:r>
      <w:r w:rsidR="00B269EC">
        <w:t>l.</w:t>
      </w:r>
      <w:r>
        <w:t xml:space="preserve"> Avoidance </w:t>
      </w:r>
      <w:r w:rsidR="00B269EC">
        <w:t>was demonstrated in both a</w:t>
      </w:r>
      <w:r>
        <w:t xml:space="preserve">ctive and passive </w:t>
      </w:r>
      <w:r w:rsidR="00B269EC">
        <w:t>ways</w:t>
      </w:r>
      <w:r>
        <w:t xml:space="preserve">. For instance, when discussing future plans </w:t>
      </w:r>
      <w:r w:rsidR="00B269EC">
        <w:t xml:space="preserve">about </w:t>
      </w:r>
      <w:r>
        <w:t xml:space="preserve">finances, </w:t>
      </w:r>
      <w:r w:rsidR="00B269EC">
        <w:t>patient</w:t>
      </w:r>
      <w:r>
        <w:t xml:space="preserve"> 14 “</w:t>
      </w:r>
      <w:r>
        <w:rPr>
          <w:i/>
        </w:rPr>
        <w:t>became rather evasive…</w:t>
      </w:r>
      <w:r w:rsidRPr="007D5712">
        <w:rPr>
          <w:i/>
        </w:rPr>
        <w:t>showing signs of discomfort</w:t>
      </w:r>
      <w:r>
        <w:t>”, whereas participant 43 “</w:t>
      </w:r>
      <w:r w:rsidRPr="007D5712">
        <w:rPr>
          <w:i/>
        </w:rPr>
        <w:t>got impatient and asked to leave session to go to the toilet</w:t>
      </w:r>
      <w:r>
        <w:t xml:space="preserve">”. </w:t>
      </w:r>
      <w:r w:rsidR="00B269EC">
        <w:t>Those</w:t>
      </w:r>
      <w:r>
        <w:t xml:space="preserve"> </w:t>
      </w:r>
      <w:r w:rsidR="00B269EC">
        <w:t xml:space="preserve">who </w:t>
      </w:r>
      <w:r>
        <w:t>show</w:t>
      </w:r>
      <w:r w:rsidR="00B269EC">
        <w:t>ed</w:t>
      </w:r>
      <w:r>
        <w:t xml:space="preserve"> passive avoidance were contented to “</w:t>
      </w:r>
      <w:r w:rsidRPr="008167C2">
        <w:rPr>
          <w:i/>
        </w:rPr>
        <w:t>live by the day</w:t>
      </w:r>
      <w:r>
        <w:t>” (pa</w:t>
      </w:r>
      <w:r w:rsidR="00B269EC">
        <w:t>tient</w:t>
      </w:r>
      <w:r>
        <w:t xml:space="preserve"> 32) or “</w:t>
      </w:r>
      <w:r w:rsidRPr="008167C2">
        <w:rPr>
          <w:i/>
        </w:rPr>
        <w:t xml:space="preserve">face it when </w:t>
      </w:r>
      <w:r w:rsidR="00B269EC">
        <w:rPr>
          <w:i/>
        </w:rPr>
        <w:t xml:space="preserve">the </w:t>
      </w:r>
      <w:r w:rsidRPr="008167C2">
        <w:rPr>
          <w:i/>
        </w:rPr>
        <w:t>situation arises</w:t>
      </w:r>
      <w:r>
        <w:t>” (pa</w:t>
      </w:r>
      <w:r w:rsidR="00B269EC">
        <w:t>tient</w:t>
      </w:r>
      <w:r>
        <w:t xml:space="preserve"> 88), even when</w:t>
      </w:r>
      <w:r w:rsidR="00B269EC">
        <w:t xml:space="preserve"> they were told they </w:t>
      </w:r>
      <w:r w:rsidR="002A782A">
        <w:t>might</w:t>
      </w:r>
      <w:r w:rsidR="00B269EC">
        <w:t xml:space="preserve"> </w:t>
      </w:r>
      <w:r>
        <w:t xml:space="preserve">eventually lose the ability to make decisions for </w:t>
      </w:r>
      <w:r w:rsidR="00B269EC">
        <w:t>themselves with progressive dementia</w:t>
      </w:r>
      <w:r>
        <w:t xml:space="preserve">. </w:t>
      </w:r>
    </w:p>
    <w:p w14:paraId="7A13ABF5" w14:textId="77777777" w:rsidR="00B27BCC" w:rsidRDefault="0051690C" w:rsidP="00C95614">
      <w:pPr>
        <w:spacing w:line="480" w:lineRule="auto"/>
        <w:jc w:val="both"/>
      </w:pPr>
      <w:r>
        <w:tab/>
      </w:r>
      <w:r w:rsidR="0063087F">
        <w:t>T</w:t>
      </w:r>
      <w:r>
        <w:t>he apparent uncertainty and insecurity about the implications of ACP</w:t>
      </w:r>
      <w:r w:rsidR="0063087F">
        <w:t xml:space="preserve"> also contributed to avoidance coping</w:t>
      </w:r>
      <w:r>
        <w:t>. P</w:t>
      </w:r>
      <w:r w:rsidR="0063087F">
        <w:t>atient</w:t>
      </w:r>
      <w:r>
        <w:t xml:space="preserve"> 3 shared that “</w:t>
      </w:r>
      <w:r w:rsidRPr="008E05B3">
        <w:rPr>
          <w:i/>
        </w:rPr>
        <w:t>she</w:t>
      </w:r>
      <w:r w:rsidR="0063087F">
        <w:rPr>
          <w:i/>
        </w:rPr>
        <w:t xml:space="preserve"> is</w:t>
      </w:r>
      <w:r>
        <w:rPr>
          <w:i/>
        </w:rPr>
        <w:t xml:space="preserve"> wary about doing [advance directive]</w:t>
      </w:r>
      <w:r w:rsidRPr="008E05B3">
        <w:rPr>
          <w:i/>
        </w:rPr>
        <w:t xml:space="preserve"> as she is worried that it will cause conflict between her two sons</w:t>
      </w:r>
      <w:r>
        <w:t>”, whereas pa</w:t>
      </w:r>
      <w:r w:rsidR="0063087F">
        <w:t>tient</w:t>
      </w:r>
      <w:r>
        <w:t xml:space="preserve"> 75 </w:t>
      </w:r>
      <w:r w:rsidR="0063087F">
        <w:t xml:space="preserve">expressed </w:t>
      </w:r>
      <w:r>
        <w:t>“</w:t>
      </w:r>
      <w:r w:rsidRPr="008E05B3">
        <w:rPr>
          <w:i/>
        </w:rPr>
        <w:t>she does not want her children to be unhappy that she is ‘playing favorites’ by appoint</w:t>
      </w:r>
      <w:r>
        <w:rPr>
          <w:i/>
        </w:rPr>
        <w:t>ing certain children as ‘donee’”.</w:t>
      </w:r>
      <w:r>
        <w:t xml:space="preserve"> </w:t>
      </w:r>
    </w:p>
    <w:p w14:paraId="3CC7F917" w14:textId="3E6779A1" w:rsidR="00CC7FF9" w:rsidRPr="00CC7FF9" w:rsidRDefault="0051690C" w:rsidP="00C95614">
      <w:pPr>
        <w:spacing w:line="480" w:lineRule="auto"/>
        <w:jc w:val="both"/>
      </w:pPr>
      <w:r>
        <w:tab/>
        <w:t xml:space="preserve">Finally, the </w:t>
      </w:r>
      <w:r w:rsidR="0063087F">
        <w:t xml:space="preserve">strong </w:t>
      </w:r>
      <w:r>
        <w:t>level</w:t>
      </w:r>
      <w:r w:rsidR="0063087F">
        <w:t>s</w:t>
      </w:r>
      <w:r>
        <w:t xml:space="preserve"> of denial in some pa</w:t>
      </w:r>
      <w:r w:rsidR="0063087F">
        <w:t>tient</w:t>
      </w:r>
      <w:r>
        <w:t xml:space="preserve">s </w:t>
      </w:r>
      <w:r w:rsidR="0063087F">
        <w:t>precluded deeper</w:t>
      </w:r>
      <w:r>
        <w:t xml:space="preserve"> </w:t>
      </w:r>
      <w:r w:rsidR="0063087F">
        <w:t xml:space="preserve">conversations about </w:t>
      </w:r>
      <w:r>
        <w:t>ACP. Pa</w:t>
      </w:r>
      <w:r w:rsidR="0063087F">
        <w:t>tient</w:t>
      </w:r>
      <w:r>
        <w:t xml:space="preserve"> 11 </w:t>
      </w:r>
      <w:r w:rsidR="002A782A">
        <w:t>remarked,</w:t>
      </w:r>
      <w:r>
        <w:t xml:space="preserve"> “</w:t>
      </w:r>
      <w:r w:rsidRPr="00D7317F">
        <w:rPr>
          <w:i/>
        </w:rPr>
        <w:t xml:space="preserve">he believes strongly that his forgetfulness is solely due to his inactive lifestyle which can be easily </w:t>
      </w:r>
      <w:r>
        <w:rPr>
          <w:i/>
        </w:rPr>
        <w:t>‘</w:t>
      </w:r>
      <w:r w:rsidRPr="00D7317F">
        <w:rPr>
          <w:i/>
        </w:rPr>
        <w:t>reversed</w:t>
      </w:r>
      <w:r>
        <w:rPr>
          <w:i/>
        </w:rPr>
        <w:t>’</w:t>
      </w:r>
      <w:r w:rsidRPr="00D7317F">
        <w:rPr>
          <w:i/>
        </w:rPr>
        <w:t xml:space="preserve"> once he has better access to</w:t>
      </w:r>
      <w:r w:rsidR="00032FBD">
        <w:rPr>
          <w:i/>
        </w:rPr>
        <w:t xml:space="preserve"> a [conducive] </w:t>
      </w:r>
      <w:r w:rsidRPr="00D7317F">
        <w:rPr>
          <w:i/>
        </w:rPr>
        <w:t>environment and resume</w:t>
      </w:r>
      <w:r w:rsidR="00032FBD">
        <w:rPr>
          <w:i/>
        </w:rPr>
        <w:t>s</w:t>
      </w:r>
      <w:r w:rsidRPr="00D7317F">
        <w:rPr>
          <w:i/>
        </w:rPr>
        <w:t xml:space="preserve"> </w:t>
      </w:r>
      <w:r>
        <w:rPr>
          <w:i/>
        </w:rPr>
        <w:t xml:space="preserve">[past] </w:t>
      </w:r>
      <w:r w:rsidRPr="00D7317F">
        <w:rPr>
          <w:i/>
        </w:rPr>
        <w:t>activities</w:t>
      </w:r>
      <w:r>
        <w:t xml:space="preserve">”. Apart from </w:t>
      </w:r>
      <w:r w:rsidR="00032FBD" w:rsidRPr="0061059E">
        <w:t>misconstruing</w:t>
      </w:r>
      <w:r w:rsidRPr="0061059E">
        <w:t xml:space="preserve"> </w:t>
      </w:r>
      <w:r w:rsidR="00CC7FF9" w:rsidRPr="0061059E">
        <w:t xml:space="preserve">that </w:t>
      </w:r>
      <w:r w:rsidRPr="0061059E">
        <w:t xml:space="preserve">dementia can be overcome, </w:t>
      </w:r>
      <w:r w:rsidR="00032FBD" w:rsidRPr="0061059E">
        <w:t xml:space="preserve">some </w:t>
      </w:r>
      <w:r w:rsidRPr="0061059E">
        <w:t>perceive</w:t>
      </w:r>
      <w:r w:rsidR="00032FBD" w:rsidRPr="0061059E">
        <w:t>d</w:t>
      </w:r>
      <w:r w:rsidRPr="0061059E">
        <w:t xml:space="preserve"> themselves as </w:t>
      </w:r>
      <w:r w:rsidR="00032FBD" w:rsidRPr="0061059E">
        <w:t xml:space="preserve">still </w:t>
      </w:r>
      <w:r w:rsidRPr="0061059E">
        <w:t xml:space="preserve">healthy with claims of </w:t>
      </w:r>
      <w:r w:rsidR="00CC7FF9" w:rsidRPr="0061059E">
        <w:t>being</w:t>
      </w:r>
      <w:r w:rsidR="00CC7FF9">
        <w:t xml:space="preserve"> </w:t>
      </w:r>
      <w:r>
        <w:t>“</w:t>
      </w:r>
      <w:r w:rsidRPr="00EC3F6C">
        <w:rPr>
          <w:i/>
          <w:color w:val="000000"/>
        </w:rPr>
        <w:t>currently far away from [dementia condition] and still very clear-minded</w:t>
      </w:r>
      <w:r w:rsidR="001A0C74">
        <w:t>” (p</w:t>
      </w:r>
      <w:r w:rsidR="00032FBD">
        <w:t>a</w:t>
      </w:r>
      <w:r w:rsidR="001A0C74">
        <w:t>t</w:t>
      </w:r>
      <w:r w:rsidR="00032FBD">
        <w:t>ient</w:t>
      </w:r>
      <w:r w:rsidR="001A0C74">
        <w:t xml:space="preserve"> 73).</w:t>
      </w:r>
    </w:p>
    <w:p w14:paraId="49612CB8" w14:textId="77777777" w:rsidR="00323BB5" w:rsidRDefault="00323BB5" w:rsidP="00C95614">
      <w:pPr>
        <w:spacing w:line="480" w:lineRule="auto"/>
        <w:jc w:val="both"/>
        <w:rPr>
          <w:b/>
        </w:rPr>
      </w:pPr>
    </w:p>
    <w:p w14:paraId="306EEF52" w14:textId="77777777" w:rsidR="00B120E9" w:rsidRDefault="00B120E9" w:rsidP="00C95614">
      <w:pPr>
        <w:spacing w:line="480" w:lineRule="auto"/>
        <w:jc w:val="both"/>
        <w:rPr>
          <w:b/>
        </w:rPr>
      </w:pPr>
    </w:p>
    <w:p w14:paraId="2ADFD6DC" w14:textId="77777777" w:rsidR="00B120E9" w:rsidRDefault="00B120E9" w:rsidP="00C95614">
      <w:pPr>
        <w:spacing w:line="480" w:lineRule="auto"/>
        <w:jc w:val="both"/>
        <w:rPr>
          <w:b/>
        </w:rPr>
      </w:pPr>
    </w:p>
    <w:p w14:paraId="6431FB77" w14:textId="77777777" w:rsidR="00B27BCC" w:rsidRDefault="00AA6B48" w:rsidP="00C95614">
      <w:pPr>
        <w:spacing w:line="480" w:lineRule="auto"/>
        <w:jc w:val="both"/>
        <w:rPr>
          <w:b/>
        </w:rPr>
      </w:pPr>
      <w:r>
        <w:rPr>
          <w:b/>
        </w:rPr>
        <w:lastRenderedPageBreak/>
        <w:t>DISCUSSION</w:t>
      </w:r>
    </w:p>
    <w:p w14:paraId="6C88E4D0" w14:textId="77777777" w:rsidR="00B27BCC" w:rsidRDefault="0051690C" w:rsidP="00C95614">
      <w:pPr>
        <w:spacing w:line="480" w:lineRule="auto"/>
        <w:jc w:val="both"/>
      </w:pPr>
      <w:r>
        <w:rPr>
          <w:b/>
        </w:rPr>
        <w:tab/>
      </w:r>
      <w:r w:rsidR="00C1684D">
        <w:t xml:space="preserve">To </w:t>
      </w:r>
      <w:r w:rsidR="00BD2304">
        <w:t>our</w:t>
      </w:r>
      <w:r>
        <w:t xml:space="preserve"> knowledge, this is the first study investigating reasons for declining ACP discussions among patients with ECI </w:t>
      </w:r>
      <w:r w:rsidR="0004267A">
        <w:t>by employing</w:t>
      </w:r>
      <w:r>
        <w:t xml:space="preserve"> a qualitative </w:t>
      </w:r>
      <w:r w:rsidR="0004267A">
        <w:t>methodology</w:t>
      </w:r>
      <w:r>
        <w:t xml:space="preserve">. </w:t>
      </w:r>
      <w:r w:rsidR="00BD2304">
        <w:t xml:space="preserve">It is striking that the results </w:t>
      </w:r>
      <w:r>
        <w:t xml:space="preserve">suggest the overall willingness to engage in further ACP </w:t>
      </w:r>
      <w:r w:rsidR="0004267A">
        <w:t>conversation</w:t>
      </w:r>
      <w:r>
        <w:t xml:space="preserve">s </w:t>
      </w:r>
      <w:r w:rsidR="00BD2304">
        <w:t>is</w:t>
      </w:r>
      <w:r>
        <w:t xml:space="preserve"> modest </w:t>
      </w:r>
      <w:r w:rsidR="00BD2304">
        <w:t xml:space="preserve">at </w:t>
      </w:r>
      <w:r>
        <w:t>38.7%. Th</w:t>
      </w:r>
      <w:r w:rsidR="00BD2304">
        <w:t>e</w:t>
      </w:r>
      <w:r>
        <w:t xml:space="preserve"> finding</w:t>
      </w:r>
      <w:r w:rsidR="00BD2304">
        <w:t>s</w:t>
      </w:r>
      <w:r>
        <w:t xml:space="preserve"> </w:t>
      </w:r>
      <w:r w:rsidR="00BD2304">
        <w:t>are</w:t>
      </w:r>
      <w:r>
        <w:t xml:space="preserve"> consistent with a previous </w:t>
      </w:r>
      <w:r w:rsidR="00BD2304">
        <w:t xml:space="preserve">local </w:t>
      </w:r>
      <w:r>
        <w:t>study</w:t>
      </w:r>
      <w:r w:rsidR="007D2252">
        <w:rPr>
          <w:vertAlign w:val="superscript"/>
        </w:rPr>
        <w:t>10</w:t>
      </w:r>
      <w:r w:rsidR="00BD2304">
        <w:t xml:space="preserve"> which found </w:t>
      </w:r>
      <w:r>
        <w:t xml:space="preserve">that opinions towards ACP have remained </w:t>
      </w:r>
      <w:r w:rsidR="0004267A">
        <w:t xml:space="preserve">largely negative and </w:t>
      </w:r>
      <w:r>
        <w:t xml:space="preserve">static throughout the years. </w:t>
      </w:r>
    </w:p>
    <w:p w14:paraId="5ABEDE92" w14:textId="77777777" w:rsidR="00B27BCC" w:rsidRDefault="0051690C" w:rsidP="00C95614">
      <w:pPr>
        <w:spacing w:line="480" w:lineRule="auto"/>
        <w:jc w:val="both"/>
      </w:pPr>
      <w:r>
        <w:tab/>
      </w:r>
      <w:r w:rsidR="0004267A">
        <w:t>T</w:t>
      </w:r>
      <w:r>
        <w:t xml:space="preserve">he only </w:t>
      </w:r>
      <w:r w:rsidR="0004267A">
        <w:t xml:space="preserve">significant </w:t>
      </w:r>
      <w:r>
        <w:t xml:space="preserve">difference found between patients who declined </w:t>
      </w:r>
      <w:r w:rsidR="0004267A">
        <w:t xml:space="preserve">or accepted </w:t>
      </w:r>
      <w:r>
        <w:t xml:space="preserve">ACP </w:t>
      </w:r>
      <w:r w:rsidR="0004267A">
        <w:t>w</w:t>
      </w:r>
      <w:r>
        <w:t xml:space="preserve">as </w:t>
      </w:r>
      <w:r w:rsidR="0004267A">
        <w:t>dementia severity by</w:t>
      </w:r>
      <w:r>
        <w:t xml:space="preserve"> GCDR score</w:t>
      </w:r>
      <w:r w:rsidR="0018110B">
        <w:t>s</w:t>
      </w:r>
      <w:r>
        <w:t xml:space="preserve">. This </w:t>
      </w:r>
      <w:r w:rsidR="0004267A">
        <w:t>is</w:t>
      </w:r>
      <w:r>
        <w:t xml:space="preserve"> in contrast to previous research that found age, education level, and ethnicity</w:t>
      </w:r>
      <w:r w:rsidR="001D5B65">
        <w:t xml:space="preserve">, and not cognitive function </w:t>
      </w:r>
      <w:r w:rsidR="0004267A">
        <w:t>to be</w:t>
      </w:r>
      <w:r>
        <w:t xml:space="preserve"> significantly associated with completion of ACP in individuals</w:t>
      </w:r>
      <w:r w:rsidR="007D2252">
        <w:t xml:space="preserve"> with ECI</w:t>
      </w:r>
      <w:r w:rsidR="009A0589">
        <w:rPr>
          <w:vertAlign w:val="superscript"/>
        </w:rPr>
        <w:t>9</w:t>
      </w:r>
      <w:r>
        <w:t xml:space="preserve">. </w:t>
      </w:r>
      <w:r w:rsidR="0004267A">
        <w:t xml:space="preserve">However, </w:t>
      </w:r>
      <w:r>
        <w:t>the current study investiga</w:t>
      </w:r>
      <w:r w:rsidR="0004267A">
        <w:t>ted</w:t>
      </w:r>
      <w:r>
        <w:t xml:space="preserve"> interest in </w:t>
      </w:r>
      <w:r w:rsidR="0004267A">
        <w:t xml:space="preserve">further </w:t>
      </w:r>
      <w:r>
        <w:t>ACP discussions whereas previous research examined actual completion rates. GCDR scores for pa</w:t>
      </w:r>
      <w:r w:rsidR="00D10790">
        <w:t>tients</w:t>
      </w:r>
      <w:r>
        <w:t xml:space="preserve"> who declined ACP were higher</w:t>
      </w:r>
      <w:r w:rsidR="00D10790">
        <w:t xml:space="preserve">, implying more advanced </w:t>
      </w:r>
      <w:r w:rsidR="001D5B65">
        <w:t>cognitive impairment</w:t>
      </w:r>
      <w:r w:rsidR="00D10790">
        <w:t xml:space="preserve"> </w:t>
      </w:r>
      <w:r>
        <w:t xml:space="preserve">than </w:t>
      </w:r>
      <w:r w:rsidR="00D10790">
        <w:t xml:space="preserve">those who </w:t>
      </w:r>
      <w:r>
        <w:t>accepted</w:t>
      </w:r>
      <w:r w:rsidR="00D10790">
        <w:t xml:space="preserve"> with a moderate effect size in the </w:t>
      </w:r>
      <w:r>
        <w:t xml:space="preserve">difference. </w:t>
      </w:r>
      <w:r w:rsidR="00D10790">
        <w:t>E</w:t>
      </w:r>
      <w:r>
        <w:t xml:space="preserve">arlier </w:t>
      </w:r>
      <w:r w:rsidR="00D10790">
        <w:t xml:space="preserve">studies posit </w:t>
      </w:r>
      <w:r>
        <w:t xml:space="preserve">there is a point at which cognition decreases so critically that ACP can no longer be meaningfully </w:t>
      </w:r>
      <w:r w:rsidR="009A0589">
        <w:t>undertaken</w:t>
      </w:r>
      <w:r w:rsidR="009A0589">
        <w:rPr>
          <w:vertAlign w:val="superscript"/>
        </w:rPr>
        <w:t>5</w:t>
      </w:r>
      <w:r>
        <w:t xml:space="preserve">. </w:t>
      </w:r>
      <w:r w:rsidR="00D10790">
        <w:t xml:space="preserve">Our findings add to the evidence that it is pertinent </w:t>
      </w:r>
      <w:r>
        <w:t xml:space="preserve">to engage patients with cognitive </w:t>
      </w:r>
      <w:r w:rsidR="008625E0">
        <w:t>deficits</w:t>
      </w:r>
      <w:r>
        <w:t xml:space="preserve"> </w:t>
      </w:r>
      <w:r w:rsidR="00D10790">
        <w:t xml:space="preserve">as early as possible for successful engagement in ACP. </w:t>
      </w:r>
    </w:p>
    <w:p w14:paraId="676D6D2A" w14:textId="77777777" w:rsidR="00B27BCC" w:rsidRDefault="0051690C" w:rsidP="00C95614">
      <w:pPr>
        <w:spacing w:line="480" w:lineRule="auto"/>
        <w:ind w:firstLine="720"/>
        <w:jc w:val="both"/>
      </w:pPr>
      <w:r>
        <w:t xml:space="preserve">The reasons for </w:t>
      </w:r>
      <w:r w:rsidR="008625E0">
        <w:t xml:space="preserve">wanting to pursue </w:t>
      </w:r>
      <w:r>
        <w:t xml:space="preserve">ACP among </w:t>
      </w:r>
      <w:r w:rsidR="008625E0">
        <w:t xml:space="preserve">our patients </w:t>
      </w:r>
      <w:r>
        <w:t>with ECI were consistent</w:t>
      </w:r>
      <w:r w:rsidR="009A0589">
        <w:t xml:space="preserve"> with </w:t>
      </w:r>
      <w:r w:rsidR="008625E0">
        <w:t>those in extant literature</w:t>
      </w:r>
      <w:r w:rsidR="009A0589">
        <w:rPr>
          <w:vertAlign w:val="superscript"/>
        </w:rPr>
        <w:t>4 11</w:t>
      </w:r>
      <w:r w:rsidR="009A0589">
        <w:t xml:space="preserve"> </w:t>
      </w:r>
      <w:r w:rsidR="009A0589">
        <w:rPr>
          <w:vertAlign w:val="superscript"/>
        </w:rPr>
        <w:t>12</w:t>
      </w:r>
      <w:r w:rsidR="008625E0">
        <w:t>;</w:t>
      </w:r>
      <w:r>
        <w:t xml:space="preserve"> </w:t>
      </w:r>
      <w:r w:rsidR="008625E0">
        <w:t xml:space="preserve">personal </w:t>
      </w:r>
      <w:r>
        <w:t xml:space="preserve">welfare, family and financial </w:t>
      </w:r>
      <w:r w:rsidR="008625E0">
        <w:t>matters were the main considerations</w:t>
      </w:r>
      <w:r>
        <w:t xml:space="preserve">. </w:t>
      </w:r>
      <w:r w:rsidR="008625E0">
        <w:t xml:space="preserve">Planning for </w:t>
      </w:r>
      <w:r>
        <w:t>finances w</w:t>
      </w:r>
      <w:r w:rsidR="008625E0">
        <w:t>as</w:t>
      </w:r>
      <w:r>
        <w:t xml:space="preserve"> </w:t>
      </w:r>
      <w:r w:rsidR="008625E0">
        <w:t xml:space="preserve">foremost and </w:t>
      </w:r>
      <w:r>
        <w:t xml:space="preserve">comparable </w:t>
      </w:r>
      <w:r w:rsidR="008625E0">
        <w:t xml:space="preserve">in importance </w:t>
      </w:r>
      <w:r>
        <w:t xml:space="preserve">to </w:t>
      </w:r>
      <w:r w:rsidR="008625E0">
        <w:t xml:space="preserve">a </w:t>
      </w:r>
      <w:r>
        <w:t>prev</w:t>
      </w:r>
      <w:r w:rsidR="009A0589">
        <w:t xml:space="preserve">ious </w:t>
      </w:r>
      <w:r w:rsidR="008625E0">
        <w:t>Singapore</w:t>
      </w:r>
      <w:r w:rsidR="009A0589">
        <w:t xml:space="preserve"> study</w:t>
      </w:r>
      <w:r w:rsidR="009A0589">
        <w:rPr>
          <w:vertAlign w:val="superscript"/>
        </w:rPr>
        <w:t>11</w:t>
      </w:r>
      <w:r>
        <w:t xml:space="preserve">, </w:t>
      </w:r>
      <w:r w:rsidR="008625E0">
        <w:t>however</w:t>
      </w:r>
      <w:r w:rsidR="001C5660">
        <w:t>,</w:t>
      </w:r>
      <w:r w:rsidR="008625E0">
        <w:t xml:space="preserve"> planning in advance </w:t>
      </w:r>
      <w:r>
        <w:t xml:space="preserve">for family and </w:t>
      </w:r>
      <w:r w:rsidR="008625E0">
        <w:t>personal</w:t>
      </w:r>
      <w:r>
        <w:t xml:space="preserve"> welfare w</w:t>
      </w:r>
      <w:r w:rsidR="001C5660">
        <w:t>as</w:t>
      </w:r>
      <w:r>
        <w:t xml:space="preserve"> </w:t>
      </w:r>
      <w:r w:rsidR="008625E0">
        <w:t xml:space="preserve">relatively </w:t>
      </w:r>
      <w:r w:rsidR="001C5660">
        <w:t>less considered</w:t>
      </w:r>
      <w:r w:rsidR="00F83228">
        <w:t xml:space="preserve"> in our study</w:t>
      </w:r>
      <w:r>
        <w:t xml:space="preserve">. </w:t>
      </w:r>
      <w:r w:rsidR="005158C4">
        <w:t>The earlier study</w:t>
      </w:r>
      <w:r w:rsidR="009A0589">
        <w:rPr>
          <w:vertAlign w:val="superscript"/>
        </w:rPr>
        <w:t>11</w:t>
      </w:r>
      <w:r>
        <w:t xml:space="preserve"> </w:t>
      </w:r>
      <w:r w:rsidR="005158C4">
        <w:t>involved</w:t>
      </w:r>
      <w:r>
        <w:t xml:space="preserve"> a younger sample</w:t>
      </w:r>
      <w:r w:rsidR="005158C4">
        <w:t xml:space="preserve"> </w:t>
      </w:r>
      <w:r w:rsidR="00F83228">
        <w:t xml:space="preserve">with </w:t>
      </w:r>
      <w:r w:rsidR="005158C4">
        <w:t>presumably better education and knowledge</w:t>
      </w:r>
      <w:r w:rsidR="00F83228">
        <w:t>, factors that are generally associated with higher uptake of ACP</w:t>
      </w:r>
      <w:r>
        <w:t xml:space="preserve">. </w:t>
      </w:r>
      <w:r w:rsidR="00F83228">
        <w:t>Younger subjects are also more likely to have young families, which underscores the importance of planning for one’s family and welfare.</w:t>
      </w:r>
      <w:r>
        <w:t xml:space="preserve"> </w:t>
      </w:r>
      <w:r w:rsidR="00F83228">
        <w:t xml:space="preserve">Nonetheless, even in </w:t>
      </w:r>
      <w:r w:rsidR="00F83228">
        <w:lastRenderedPageBreak/>
        <w:t>our older cohort of patients with ECI, our findings emphasize the need t</w:t>
      </w:r>
      <w:r w:rsidR="009E24B0">
        <w:t>o educate the public that ACP goes</w:t>
      </w:r>
      <w:r w:rsidR="00F83228">
        <w:t xml:space="preserve"> </w:t>
      </w:r>
      <w:r w:rsidR="009E24B0">
        <w:t xml:space="preserve">beyond </w:t>
      </w:r>
      <w:r w:rsidR="00F83228">
        <w:t xml:space="preserve">financial </w:t>
      </w:r>
      <w:r w:rsidR="009E24B0">
        <w:t>arrangements</w:t>
      </w:r>
      <w:r w:rsidR="00F83228">
        <w:t xml:space="preserve"> </w:t>
      </w:r>
      <w:r w:rsidR="009E24B0">
        <w:t xml:space="preserve">and entails </w:t>
      </w:r>
      <w:r>
        <w:t xml:space="preserve">planning for healthcare and other end-of-life </w:t>
      </w:r>
      <w:r w:rsidR="009E24B0">
        <w:t>matters.</w:t>
      </w:r>
    </w:p>
    <w:p w14:paraId="6C01D433" w14:textId="77777777" w:rsidR="00B27BCC" w:rsidRDefault="0051690C" w:rsidP="00C95614">
      <w:pPr>
        <w:spacing w:line="480" w:lineRule="auto"/>
        <w:ind w:firstLine="720"/>
        <w:jc w:val="both"/>
      </w:pPr>
      <w:r>
        <w:t xml:space="preserve">A high proportion of </w:t>
      </w:r>
      <w:r w:rsidR="002B3E0D">
        <w:t>patients</w:t>
      </w:r>
      <w:r>
        <w:t xml:space="preserve"> who decline</w:t>
      </w:r>
      <w:r w:rsidR="002B3E0D">
        <w:t>d</w:t>
      </w:r>
      <w:r>
        <w:t xml:space="preserve"> ACP </w:t>
      </w:r>
      <w:r w:rsidR="002B3E0D">
        <w:t xml:space="preserve">adopted a </w:t>
      </w:r>
      <w:r>
        <w:t xml:space="preserve">passive </w:t>
      </w:r>
      <w:r w:rsidR="002B3E0D">
        <w:t>and apathetic stance</w:t>
      </w:r>
      <w:r>
        <w:t xml:space="preserve">, </w:t>
      </w:r>
      <w:r w:rsidR="002B3E0D">
        <w:t xml:space="preserve">similar to findings in </w:t>
      </w:r>
      <w:r>
        <w:t>previo</w:t>
      </w:r>
      <w:r w:rsidR="009A0589">
        <w:t>us studies</w:t>
      </w:r>
      <w:r w:rsidR="009A0589">
        <w:rPr>
          <w:vertAlign w:val="superscript"/>
        </w:rPr>
        <w:t>4 8</w:t>
      </w:r>
      <w:r w:rsidR="002B3E0D">
        <w:t xml:space="preserve">, and the predominantly Chinese patients in our study could in part explain the findings. In </w:t>
      </w:r>
      <w:r w:rsidR="002362FD">
        <w:t xml:space="preserve">East Asian culture, Confucianism and the </w:t>
      </w:r>
      <w:r w:rsidR="002B3E0D">
        <w:t>high</w:t>
      </w:r>
      <w:r w:rsidR="002362FD">
        <w:t xml:space="preserve"> importance placed on</w:t>
      </w:r>
      <w:r w:rsidR="002B3E0D">
        <w:t xml:space="preserve"> an</w:t>
      </w:r>
      <w:r w:rsidR="002362FD">
        <w:t xml:space="preserve"> individual’s relations with family and society ha</w:t>
      </w:r>
      <w:r w:rsidR="002B3E0D">
        <w:t xml:space="preserve">ve </w:t>
      </w:r>
      <w:r w:rsidR="002362FD">
        <w:t>critical influence on end-of-life d</w:t>
      </w:r>
      <w:r w:rsidR="009A0589">
        <w:t>ecision</w:t>
      </w:r>
      <w:r w:rsidR="002B3E0D">
        <w:t>s</w:t>
      </w:r>
      <w:r w:rsidR="009A0589">
        <w:rPr>
          <w:vertAlign w:val="superscript"/>
        </w:rPr>
        <w:t>12</w:t>
      </w:r>
      <w:r w:rsidR="002362FD">
        <w:t xml:space="preserve">. </w:t>
      </w:r>
      <w:r w:rsidR="00ED197F">
        <w:t xml:space="preserve">Within the traditional Asian context, patients may choose to leave decision-making to their children. </w:t>
      </w:r>
      <w:r>
        <w:t xml:space="preserve">Interestingly, although leaving the future to God was elicited as a subtheme, religion was not found to be significantly associated </w:t>
      </w:r>
      <w:r w:rsidR="002B3E0D">
        <w:t>with</w:t>
      </w:r>
      <w:r>
        <w:t xml:space="preserve"> willingness to engage in ACP discussions. Further research </w:t>
      </w:r>
      <w:r w:rsidR="002C62E0">
        <w:t xml:space="preserve">is thus necessary </w:t>
      </w:r>
      <w:r>
        <w:t>to examine the effects of religion on ACP completion</w:t>
      </w:r>
      <w:r w:rsidR="002C62E0">
        <w:t xml:space="preserve"> especially in the Asian context</w:t>
      </w:r>
      <w:r w:rsidR="002A782A">
        <w:t>.</w:t>
      </w:r>
    </w:p>
    <w:p w14:paraId="1D36909B" w14:textId="77777777" w:rsidR="00881061" w:rsidRDefault="0051690C" w:rsidP="00C95614">
      <w:pPr>
        <w:spacing w:line="480" w:lineRule="auto"/>
        <w:ind w:firstLine="720"/>
        <w:jc w:val="both"/>
      </w:pPr>
      <w:r>
        <w:t xml:space="preserve">A </w:t>
      </w:r>
      <w:r w:rsidR="002C62E0">
        <w:t>significant proportion o</w:t>
      </w:r>
      <w:r>
        <w:t xml:space="preserve">f the </w:t>
      </w:r>
      <w:r w:rsidR="002C62E0">
        <w:t>patient</w:t>
      </w:r>
      <w:r>
        <w:t xml:space="preserve">s </w:t>
      </w:r>
      <w:r w:rsidR="002C62E0">
        <w:t xml:space="preserve">deemed </w:t>
      </w:r>
      <w:r>
        <w:t>ACP irrelevant or unnecessary</w:t>
      </w:r>
      <w:r w:rsidR="002C62E0">
        <w:t xml:space="preserve"> as they </w:t>
      </w:r>
      <w:r>
        <w:t xml:space="preserve">had </w:t>
      </w:r>
      <w:r w:rsidR="002C62E0">
        <w:t xml:space="preserve">undertaken informal </w:t>
      </w:r>
      <w:r>
        <w:t>planning</w:t>
      </w:r>
      <w:r w:rsidR="002C62E0">
        <w:t xml:space="preserve"> in the form of writing a will or creating joint bank accounts with </w:t>
      </w:r>
      <w:r w:rsidR="005567DC">
        <w:t xml:space="preserve">particular </w:t>
      </w:r>
      <w:r w:rsidR="002C62E0">
        <w:t xml:space="preserve">family members. </w:t>
      </w:r>
      <w:r w:rsidR="005567DC">
        <w:t xml:space="preserve">As such, these patients perceived planning to have been ‘completed’. </w:t>
      </w:r>
      <w:r>
        <w:t xml:space="preserve">This </w:t>
      </w:r>
      <w:r w:rsidR="002C62E0">
        <w:t xml:space="preserve">highlights </w:t>
      </w:r>
      <w:r>
        <w:t>the lack of k</w:t>
      </w:r>
      <w:r w:rsidR="009A0589">
        <w:t xml:space="preserve">nowledge about ACP in </w:t>
      </w:r>
      <w:r w:rsidR="005567DC">
        <w:t>our patients</w:t>
      </w:r>
      <w:r w:rsidR="009A0589">
        <w:rPr>
          <w:vertAlign w:val="superscript"/>
        </w:rPr>
        <w:t>10 11</w:t>
      </w:r>
      <w:r w:rsidR="002C62E0">
        <w:t xml:space="preserve"> </w:t>
      </w:r>
      <w:r w:rsidR="005567DC">
        <w:t>and plausibly in the general public as well w</w:t>
      </w:r>
      <w:r w:rsidR="002C62E0">
        <w:t xml:space="preserve">hereby the difference between </w:t>
      </w:r>
      <w:r w:rsidR="005567DC">
        <w:t xml:space="preserve">formulating a will and </w:t>
      </w:r>
      <w:r w:rsidR="002C62E0">
        <w:t>ACP</w:t>
      </w:r>
      <w:r w:rsidR="005567DC">
        <w:t xml:space="preserve"> appears unclear. </w:t>
      </w:r>
      <w:r w:rsidR="005E1BD2">
        <w:t>More systematized effort to explain the purpose</w:t>
      </w:r>
      <w:r>
        <w:t xml:space="preserve"> of living will</w:t>
      </w:r>
      <w:r w:rsidR="005E1BD2">
        <w:t>s</w:t>
      </w:r>
      <w:r>
        <w:t xml:space="preserve"> and </w:t>
      </w:r>
      <w:r w:rsidR="005E1BD2">
        <w:t xml:space="preserve">appointing </w:t>
      </w:r>
      <w:r>
        <w:t>healthcare prox</w:t>
      </w:r>
      <w:r w:rsidR="005E1BD2">
        <w:t>ies is certainly needed.</w:t>
      </w:r>
    </w:p>
    <w:p w14:paraId="51564953" w14:textId="77777777" w:rsidR="00B27BCC" w:rsidRDefault="0051690C" w:rsidP="00C95614">
      <w:pPr>
        <w:spacing w:line="480" w:lineRule="auto"/>
        <w:ind w:firstLine="720"/>
        <w:jc w:val="both"/>
      </w:pPr>
      <w:r>
        <w:t xml:space="preserve">The subtheme, lack of support, </w:t>
      </w:r>
      <w:r w:rsidR="00B11825">
        <w:t>has been reported</w:t>
      </w:r>
      <w:r w:rsidR="001A0C74">
        <w:t xml:space="preserve"> </w:t>
      </w:r>
      <w:r w:rsidR="009A0589">
        <w:t>by Schickedanz et al</w:t>
      </w:r>
      <w:r w:rsidR="009A0589">
        <w:rPr>
          <w:rStyle w:val="EndnoteReference"/>
        </w:rPr>
        <w:endnoteReference w:id="22"/>
      </w:r>
      <w:r w:rsidR="009C1588">
        <w:t>;</w:t>
      </w:r>
      <w:r>
        <w:t xml:space="preserve"> </w:t>
      </w:r>
      <w:r w:rsidR="00B11825">
        <w:t>h</w:t>
      </w:r>
      <w:r>
        <w:t>owever, in</w:t>
      </w:r>
      <w:r w:rsidR="00B11825">
        <w:t xml:space="preserve"> this study t</w:t>
      </w:r>
      <w:r>
        <w:t xml:space="preserve">he reasons </w:t>
      </w:r>
      <w:r w:rsidR="00B11825">
        <w:t xml:space="preserve">appear more </w:t>
      </w:r>
      <w:r>
        <w:t xml:space="preserve">complex. Despite </w:t>
      </w:r>
      <w:r w:rsidR="00E53D0E">
        <w:t>the presence of their families</w:t>
      </w:r>
      <w:r>
        <w:t xml:space="preserve">, </w:t>
      </w:r>
      <w:r w:rsidR="00E53D0E">
        <w:t xml:space="preserve">some </w:t>
      </w:r>
      <w:r w:rsidR="00B11825">
        <w:t xml:space="preserve">patients </w:t>
      </w:r>
      <w:r>
        <w:t>still struggle to make a decision on who</w:t>
      </w:r>
      <w:r w:rsidR="00E53D0E">
        <w:t>m</w:t>
      </w:r>
      <w:r>
        <w:t xml:space="preserve"> to depend on or </w:t>
      </w:r>
      <w:r w:rsidR="00E53D0E">
        <w:t xml:space="preserve">may </w:t>
      </w:r>
      <w:r>
        <w:t xml:space="preserve">lack </w:t>
      </w:r>
      <w:r w:rsidR="00E53D0E">
        <w:t>someone they can en</w:t>
      </w:r>
      <w:r>
        <w:t>trust</w:t>
      </w:r>
      <w:r w:rsidR="00E53D0E">
        <w:t xml:space="preserve"> the future to</w:t>
      </w:r>
      <w:r>
        <w:t xml:space="preserve">. Furthermore, family members </w:t>
      </w:r>
      <w:r w:rsidR="00E53D0E">
        <w:t xml:space="preserve">are not always </w:t>
      </w:r>
      <w:r>
        <w:t>supporti</w:t>
      </w:r>
      <w:r w:rsidR="00E53D0E">
        <w:t>ve</w:t>
      </w:r>
      <w:r>
        <w:t xml:space="preserve"> </w:t>
      </w:r>
      <w:r w:rsidR="00E53D0E">
        <w:t xml:space="preserve">of </w:t>
      </w:r>
      <w:r>
        <w:t xml:space="preserve">engagement in ACP or </w:t>
      </w:r>
      <w:r w:rsidR="00E53D0E">
        <w:t xml:space="preserve">may adopt a </w:t>
      </w:r>
      <w:r>
        <w:t>dismissi</w:t>
      </w:r>
      <w:r w:rsidR="00E53D0E">
        <w:t>ve attitude to patients’</w:t>
      </w:r>
      <w:r>
        <w:t xml:space="preserve"> end-of-life decisions</w:t>
      </w:r>
      <w:r w:rsidR="00E53D0E">
        <w:t>.</w:t>
      </w:r>
      <w:r>
        <w:t xml:space="preserve"> </w:t>
      </w:r>
      <w:r w:rsidR="00E53D0E">
        <w:t xml:space="preserve">Speaking about death and dying has traditionally been </w:t>
      </w:r>
      <w:r w:rsidR="00980CB6">
        <w:t>associated with</w:t>
      </w:r>
      <w:r w:rsidR="00E53D0E">
        <w:t xml:space="preserve"> bad luck and </w:t>
      </w:r>
      <w:r w:rsidR="00980CB6">
        <w:t xml:space="preserve">is </w:t>
      </w:r>
      <w:r w:rsidR="00E53D0E">
        <w:t xml:space="preserve">a </w:t>
      </w:r>
      <w:r w:rsidR="00E53D0E">
        <w:lastRenderedPageBreak/>
        <w:t>cultural taboo among Chinese</w:t>
      </w:r>
      <w:r w:rsidR="009A0589">
        <w:rPr>
          <w:vertAlign w:val="superscript"/>
        </w:rPr>
        <w:t>11 12</w:t>
      </w:r>
      <w:r w:rsidR="00980CB6">
        <w:t xml:space="preserve">. This </w:t>
      </w:r>
      <w:r>
        <w:t>unique</w:t>
      </w:r>
      <w:r w:rsidR="00310ED9">
        <w:t>ly</w:t>
      </w:r>
      <w:r>
        <w:t xml:space="preserve"> Asian </w:t>
      </w:r>
      <w:r w:rsidR="00310ED9">
        <w:t xml:space="preserve">phenomenon </w:t>
      </w:r>
      <w:r w:rsidR="00980CB6">
        <w:t>can present obstacles to ACP</w:t>
      </w:r>
      <w:r w:rsidR="00980CB6" w:rsidDel="00310ED9">
        <w:t xml:space="preserve"> </w:t>
      </w:r>
      <w:r w:rsidR="00980CB6">
        <w:t xml:space="preserve">and thus </w:t>
      </w:r>
      <w:r>
        <w:t>deserves further research</w:t>
      </w:r>
      <w:r w:rsidR="00310ED9">
        <w:t xml:space="preserve"> to explore ways to overcome the socio-cultural barrier.</w:t>
      </w:r>
    </w:p>
    <w:p w14:paraId="7647C5C6" w14:textId="77777777" w:rsidR="00B27BCC" w:rsidRDefault="005505E8" w:rsidP="00C95614">
      <w:pPr>
        <w:spacing w:line="480" w:lineRule="auto"/>
        <w:ind w:firstLine="720"/>
        <w:jc w:val="both"/>
      </w:pPr>
      <w:r>
        <w:t xml:space="preserve">Consistent with </w:t>
      </w:r>
      <w:r w:rsidR="009A0589">
        <w:t>previous research</w:t>
      </w:r>
      <w:r w:rsidR="009A0589">
        <w:rPr>
          <w:vertAlign w:val="superscript"/>
        </w:rPr>
        <w:t>4 8</w:t>
      </w:r>
      <w:r w:rsidR="0051690C">
        <w:t xml:space="preserve">, </w:t>
      </w:r>
      <w:r>
        <w:t xml:space="preserve">many patients </w:t>
      </w:r>
      <w:r w:rsidR="0051690C">
        <w:t>appeared unable to contemplate end-of-life issues and avoided discussion</w:t>
      </w:r>
      <w:r>
        <w:t>s</w:t>
      </w:r>
      <w:r w:rsidR="0051690C">
        <w:t xml:space="preserve"> </w:t>
      </w:r>
      <w:r>
        <w:t>around the subject</w:t>
      </w:r>
      <w:r w:rsidR="0051690C">
        <w:t xml:space="preserve">. This </w:t>
      </w:r>
      <w:r>
        <w:t>could</w:t>
      </w:r>
      <w:r w:rsidR="0051690C">
        <w:t xml:space="preserve"> indicate </w:t>
      </w:r>
      <w:r>
        <w:t xml:space="preserve">their </w:t>
      </w:r>
      <w:r w:rsidR="0051690C">
        <w:t xml:space="preserve">inability or unwillingness to admit to </w:t>
      </w:r>
      <w:r>
        <w:t xml:space="preserve">the dementia diagnosis or the prospect of </w:t>
      </w:r>
      <w:r w:rsidR="0051690C">
        <w:t>losing mental capacity</w:t>
      </w:r>
      <w:r>
        <w:t>,</w:t>
      </w:r>
      <w:r w:rsidR="0051690C">
        <w:t xml:space="preserve"> and tended to build a defensive reaction to the </w:t>
      </w:r>
      <w:r>
        <w:t>topic</w:t>
      </w:r>
      <w:r w:rsidR="0051690C">
        <w:t>.</w:t>
      </w:r>
      <w:r w:rsidR="0011643B">
        <w:t xml:space="preserve"> Conversely</w:t>
      </w:r>
      <w:r w:rsidR="0051690C">
        <w:t xml:space="preserve">, </w:t>
      </w:r>
      <w:r w:rsidR="0011643B">
        <w:t xml:space="preserve">some </w:t>
      </w:r>
      <w:r>
        <w:t>patients</w:t>
      </w:r>
      <w:r w:rsidR="0051690C">
        <w:t xml:space="preserve"> who did not refrain from </w:t>
      </w:r>
      <w:r w:rsidR="0011643B">
        <w:t xml:space="preserve">ACP </w:t>
      </w:r>
      <w:r w:rsidR="0051690C">
        <w:t>discussion</w:t>
      </w:r>
      <w:r w:rsidR="0011643B">
        <w:t>s</w:t>
      </w:r>
      <w:r w:rsidR="0051690C">
        <w:t xml:space="preserve"> </w:t>
      </w:r>
      <w:r w:rsidR="0011643B">
        <w:t xml:space="preserve">expressed </w:t>
      </w:r>
      <w:r w:rsidR="0051690C">
        <w:t>uncertain</w:t>
      </w:r>
      <w:r w:rsidR="0011643B">
        <w:t>ty</w:t>
      </w:r>
      <w:r w:rsidR="0051690C">
        <w:t xml:space="preserve"> and anxi</w:t>
      </w:r>
      <w:r w:rsidR="0011643B">
        <w:t>ety</w:t>
      </w:r>
      <w:r w:rsidR="0051690C">
        <w:t xml:space="preserve"> </w:t>
      </w:r>
      <w:r w:rsidR="0011643B">
        <w:t xml:space="preserve">as they were </w:t>
      </w:r>
      <w:r w:rsidR="0051690C">
        <w:t xml:space="preserve">concerned about the consequences of formulating advance directives. This perspective </w:t>
      </w:r>
      <w:r>
        <w:t xml:space="preserve">has been </w:t>
      </w:r>
      <w:r w:rsidR="0051690C">
        <w:t>cited a</w:t>
      </w:r>
      <w:r w:rsidR="009A0589">
        <w:t>s one of the limitations of ACP</w:t>
      </w:r>
      <w:r w:rsidR="009A0589">
        <w:rPr>
          <w:rStyle w:val="EndnoteReference"/>
        </w:rPr>
        <w:endnoteReference w:id="23"/>
      </w:r>
      <w:r w:rsidR="0051690C">
        <w:t xml:space="preserve"> </w:t>
      </w:r>
      <w:r w:rsidR="009A0589">
        <w:rPr>
          <w:rStyle w:val="EndnoteReference"/>
        </w:rPr>
        <w:endnoteReference w:id="24"/>
      </w:r>
      <w:r w:rsidR="0051690C">
        <w:t xml:space="preserve">and might suggest that </w:t>
      </w:r>
      <w:r>
        <w:t xml:space="preserve">patients </w:t>
      </w:r>
      <w:r w:rsidR="0051690C">
        <w:t xml:space="preserve">are </w:t>
      </w:r>
      <w:r w:rsidR="00676B52">
        <w:t xml:space="preserve">either </w:t>
      </w:r>
      <w:r w:rsidR="0051690C">
        <w:t>concern</w:t>
      </w:r>
      <w:r>
        <w:t>ed</w:t>
      </w:r>
      <w:r w:rsidR="0051690C">
        <w:t xml:space="preserve"> with </w:t>
      </w:r>
      <w:r>
        <w:rPr>
          <w:color w:val="231F20"/>
        </w:rPr>
        <w:t xml:space="preserve">causing </w:t>
      </w:r>
      <w:r w:rsidR="0051690C">
        <w:rPr>
          <w:color w:val="231F20"/>
        </w:rPr>
        <w:t>disagreement</w:t>
      </w:r>
      <w:r>
        <w:rPr>
          <w:color w:val="231F20"/>
        </w:rPr>
        <w:t>s</w:t>
      </w:r>
      <w:r w:rsidR="0051690C">
        <w:rPr>
          <w:color w:val="231F20"/>
        </w:rPr>
        <w:t xml:space="preserve"> among family members or doubt </w:t>
      </w:r>
      <w:r w:rsidR="001E3DC4">
        <w:t>ACP</w:t>
      </w:r>
      <w:r w:rsidR="0051690C">
        <w:t xml:space="preserve">’s effectiveness in conveying their wishes even after formulation of advance directives. </w:t>
      </w:r>
    </w:p>
    <w:p w14:paraId="3A7B27DA" w14:textId="6F7ABC73" w:rsidR="001756FB" w:rsidRDefault="001E3DC4" w:rsidP="001E3DC4">
      <w:pPr>
        <w:spacing w:line="480" w:lineRule="auto"/>
        <w:ind w:firstLine="720"/>
        <w:jc w:val="both"/>
      </w:pPr>
      <w:r>
        <w:t>Taken together, the results show patients have varying levels of readiness for ACP, and many encounter difficulties at the pre-contemplation and contemplation steps</w:t>
      </w:r>
      <w:r>
        <w:rPr>
          <w:vertAlign w:val="superscript"/>
        </w:rPr>
        <w:t>2</w:t>
      </w:r>
      <w:r w:rsidR="000C7103">
        <w:rPr>
          <w:vertAlign w:val="superscript"/>
        </w:rPr>
        <w:t>2</w:t>
      </w:r>
      <w:r>
        <w:t xml:space="preserve">. As </w:t>
      </w:r>
      <w:r w:rsidR="00AE6C29">
        <w:t>these difficulties</w:t>
      </w:r>
      <w:r>
        <w:t xml:space="preserve"> are </w:t>
      </w:r>
      <w:r w:rsidR="00AE6C29">
        <w:t>often experienced</w:t>
      </w:r>
      <w:r>
        <w:t xml:space="preserve"> at the early stages of the ACP process, intervention by way of education and counseling to empower </w:t>
      </w:r>
      <w:r w:rsidR="0079458F">
        <w:t>patients</w:t>
      </w:r>
      <w:r>
        <w:t xml:space="preserve"> with more </w:t>
      </w:r>
      <w:r w:rsidR="00D50928">
        <w:t xml:space="preserve">knowledge </w:t>
      </w:r>
      <w:r w:rsidR="00CC7FF9">
        <w:t>and</w:t>
      </w:r>
      <w:r w:rsidR="0079458F">
        <w:t xml:space="preserve"> </w:t>
      </w:r>
      <w:r>
        <w:t xml:space="preserve">alleviate their concerns </w:t>
      </w:r>
      <w:r w:rsidR="0079458F">
        <w:t>can help</w:t>
      </w:r>
      <w:r>
        <w:t xml:space="preserve">. </w:t>
      </w:r>
      <w:r w:rsidR="009A1496">
        <w:t>ACP conversations should be initiated early in the continuum of cognitive decline as suggested by the finding of milder cognitive impairment (GCDR) being associated with higher ACP acceptance. I</w:t>
      </w:r>
      <w:r w:rsidR="001756FB">
        <w:t xml:space="preserve">mportantly, the implications go beyond patients with </w:t>
      </w:r>
      <w:r w:rsidR="009A1496">
        <w:t>cognitive impairment</w:t>
      </w:r>
      <w:r w:rsidR="001756FB">
        <w:t xml:space="preserve"> and may be pertinent for </w:t>
      </w:r>
      <w:r w:rsidR="0079458F">
        <w:t xml:space="preserve">all </w:t>
      </w:r>
      <w:r w:rsidR="001756FB">
        <w:t xml:space="preserve">patients </w:t>
      </w:r>
      <w:r w:rsidR="0079458F">
        <w:t>in general</w:t>
      </w:r>
      <w:r w:rsidR="001756FB">
        <w:t xml:space="preserve"> as many of the factors unveiled pertain to personal values, coping behaviors and socio-cultural norms, over and above </w:t>
      </w:r>
      <w:r w:rsidR="005874CE">
        <w:t xml:space="preserve">barriers </w:t>
      </w:r>
      <w:r w:rsidR="001756FB">
        <w:t>imposed by cognitive impairment alone.</w:t>
      </w:r>
    </w:p>
    <w:p w14:paraId="21B4B7D4" w14:textId="77777777" w:rsidR="001E3DC4" w:rsidRDefault="001E3DC4" w:rsidP="001E3DC4">
      <w:pPr>
        <w:spacing w:line="480" w:lineRule="auto"/>
        <w:ind w:firstLine="720"/>
        <w:jc w:val="both"/>
      </w:pPr>
      <w:r>
        <w:t xml:space="preserve">Understanding these </w:t>
      </w:r>
      <w:r w:rsidR="00D50928">
        <w:t>obstacles</w:t>
      </w:r>
      <w:r>
        <w:t xml:space="preserve"> is crucial for policymakers, healthcare providers and researchers in designing step-specific interventions to help patients overcome the barriers, engage </w:t>
      </w:r>
      <w:r w:rsidR="00D50928">
        <w:t xml:space="preserve">better </w:t>
      </w:r>
      <w:r>
        <w:t xml:space="preserve">in ACP and move </w:t>
      </w:r>
      <w:r w:rsidR="00D50928">
        <w:t>towards completing advance care directives</w:t>
      </w:r>
      <w:r>
        <w:rPr>
          <w:vertAlign w:val="superscript"/>
        </w:rPr>
        <w:t>2</w:t>
      </w:r>
      <w:r w:rsidR="000C7103">
        <w:rPr>
          <w:vertAlign w:val="superscript"/>
        </w:rPr>
        <w:t>2</w:t>
      </w:r>
      <w:r>
        <w:t>.</w:t>
      </w:r>
    </w:p>
    <w:p w14:paraId="2CFD0D7E" w14:textId="0E2682A0" w:rsidR="0021616A" w:rsidRDefault="00D50928" w:rsidP="001E3DC4">
      <w:pPr>
        <w:spacing w:line="480" w:lineRule="auto"/>
        <w:jc w:val="both"/>
      </w:pPr>
      <w:r>
        <w:lastRenderedPageBreak/>
        <w:tab/>
        <w:t xml:space="preserve">A few limitations of this study are noteworthy. </w:t>
      </w:r>
      <w:r w:rsidR="003A7206">
        <w:t xml:space="preserve">Firstly, the findings may not be readily </w:t>
      </w:r>
      <w:r w:rsidR="006224D2">
        <w:t xml:space="preserve">applicable </w:t>
      </w:r>
      <w:r w:rsidR="003A7206">
        <w:t xml:space="preserve">to other populations as our sample comprised mostly Chinese from a tertiary hospital in a specific location </w:t>
      </w:r>
      <w:r w:rsidR="001E3DC4">
        <w:t>in Singapore.</w:t>
      </w:r>
      <w:r w:rsidR="003A7206">
        <w:t xml:space="preserve"> Secondly, t</w:t>
      </w:r>
      <w:r w:rsidR="001E3DC4">
        <w:t xml:space="preserve">he use of MSW’s reports </w:t>
      </w:r>
      <w:r w:rsidR="006224D2">
        <w:t xml:space="preserve">for </w:t>
      </w:r>
      <w:r w:rsidR="00CC7FF9" w:rsidRPr="005A2219">
        <w:t>qualitative</w:t>
      </w:r>
      <w:r w:rsidR="006224D2">
        <w:t xml:space="preserve"> analysis </w:t>
      </w:r>
      <w:r w:rsidR="001E3DC4">
        <w:t xml:space="preserve">instead of verbatim interview transcripts </w:t>
      </w:r>
      <w:r w:rsidR="003A7206">
        <w:t xml:space="preserve">of actual </w:t>
      </w:r>
      <w:r w:rsidR="006224D2">
        <w:t xml:space="preserve">patient </w:t>
      </w:r>
      <w:r w:rsidR="003A7206">
        <w:t xml:space="preserve">encounters </w:t>
      </w:r>
      <w:r w:rsidR="006224D2">
        <w:t>can</w:t>
      </w:r>
      <w:r w:rsidR="001E3DC4">
        <w:t xml:space="preserve"> limit the </w:t>
      </w:r>
      <w:r w:rsidR="003A7206">
        <w:t xml:space="preserve">ability to adequately capture the </w:t>
      </w:r>
      <w:r w:rsidR="001E3DC4">
        <w:t>complexit</w:t>
      </w:r>
      <w:r w:rsidR="006224D2">
        <w:t>ies</w:t>
      </w:r>
      <w:r w:rsidR="001E3DC4">
        <w:t xml:space="preserve"> </w:t>
      </w:r>
      <w:r w:rsidR="006224D2">
        <w:t xml:space="preserve">and nuances </w:t>
      </w:r>
      <w:r w:rsidR="001E3DC4">
        <w:t xml:space="preserve">of </w:t>
      </w:r>
      <w:r w:rsidR="003A7206">
        <w:t xml:space="preserve">patients’ </w:t>
      </w:r>
      <w:r w:rsidR="001E3DC4">
        <w:t>perspectives on ACP</w:t>
      </w:r>
      <w:r w:rsidR="003A7206">
        <w:t xml:space="preserve">. It may also </w:t>
      </w:r>
      <w:r w:rsidR="001E3DC4">
        <w:t>contain the MSW’s personal interpretation</w:t>
      </w:r>
      <w:r w:rsidR="006224D2">
        <w:t xml:space="preserve"> and consequently predispose to reporting </w:t>
      </w:r>
      <w:r w:rsidR="003A7206">
        <w:t>bias</w:t>
      </w:r>
      <w:r w:rsidR="001E3DC4">
        <w:t xml:space="preserve">. </w:t>
      </w:r>
      <w:r w:rsidR="009C62F5" w:rsidRPr="000C7103">
        <w:t xml:space="preserve">However, </w:t>
      </w:r>
      <w:r w:rsidR="0079458F" w:rsidRPr="000C7103">
        <w:t xml:space="preserve">the counseling sessions were conducted by </w:t>
      </w:r>
      <w:r w:rsidR="009C62F5" w:rsidRPr="000C7103">
        <w:t>only 2 MSWs with a collective experience of 15 years in the field.</w:t>
      </w:r>
      <w:r w:rsidR="006224D2">
        <w:t xml:space="preserve"> </w:t>
      </w:r>
      <w:r w:rsidR="00967134">
        <w:t>E</w:t>
      </w:r>
      <w:r w:rsidR="006224D2">
        <w:t>fforts had also been made to ensure consistency in reporting which emphasize</w:t>
      </w:r>
      <w:r w:rsidR="00967134">
        <w:t>d</w:t>
      </w:r>
      <w:r w:rsidR="006224D2">
        <w:t xml:space="preserve"> careful reporting of the </w:t>
      </w:r>
      <w:r w:rsidR="001E3DC4">
        <w:t xml:space="preserve">patients’ </w:t>
      </w:r>
      <w:r w:rsidR="0021616A">
        <w:t>responses</w:t>
      </w:r>
      <w:r w:rsidR="001E3DC4">
        <w:t xml:space="preserve"> in prose form.</w:t>
      </w:r>
      <w:r w:rsidR="006224D2">
        <w:t xml:space="preserve"> </w:t>
      </w:r>
    </w:p>
    <w:p w14:paraId="02FB6D93" w14:textId="77777777" w:rsidR="001E3DC4" w:rsidRDefault="0021616A" w:rsidP="001E3DC4">
      <w:pPr>
        <w:spacing w:line="480" w:lineRule="auto"/>
        <w:jc w:val="both"/>
      </w:pPr>
      <w:r>
        <w:tab/>
        <w:t xml:space="preserve">Finally, the study only captures the patient’s </w:t>
      </w:r>
      <w:r w:rsidR="001E3DC4">
        <w:t xml:space="preserve">willingness to </w:t>
      </w:r>
      <w:r>
        <w:t>engage in</w:t>
      </w:r>
      <w:r w:rsidR="001E3DC4">
        <w:t xml:space="preserve"> ACP </w:t>
      </w:r>
      <w:r>
        <w:t xml:space="preserve">discussions </w:t>
      </w:r>
      <w:r w:rsidR="001E3DC4">
        <w:t xml:space="preserve">at </w:t>
      </w:r>
      <w:r>
        <w:t xml:space="preserve">a single </w:t>
      </w:r>
      <w:r w:rsidR="001E3DC4">
        <w:t xml:space="preserve">time </w:t>
      </w:r>
      <w:r>
        <w:t xml:space="preserve">point and does not preclude the possibility </w:t>
      </w:r>
      <w:r w:rsidR="001E3DC4">
        <w:t xml:space="preserve">that </w:t>
      </w:r>
      <w:r>
        <w:t xml:space="preserve">some who decline may still change their minds </w:t>
      </w:r>
      <w:r w:rsidR="001E3DC4">
        <w:t xml:space="preserve">at </w:t>
      </w:r>
      <w:r>
        <w:t>a</w:t>
      </w:r>
      <w:r w:rsidR="001E3DC4">
        <w:t xml:space="preserve"> later stage. </w:t>
      </w:r>
      <w:r>
        <w:t>As individuals’ values and beliefs are fluid and may change over time</w:t>
      </w:r>
      <w:r>
        <w:rPr>
          <w:rStyle w:val="EndnoteReference"/>
        </w:rPr>
        <w:endnoteReference w:id="25"/>
      </w:r>
      <w:r>
        <w:t>, t</w:t>
      </w:r>
      <w:r w:rsidR="001E3DC4">
        <w:t>h</w:t>
      </w:r>
      <w:r>
        <w:t>e</w:t>
      </w:r>
      <w:r w:rsidR="001E3DC4">
        <w:t xml:space="preserve"> </w:t>
      </w:r>
      <w:r>
        <w:t xml:space="preserve">initial </w:t>
      </w:r>
      <w:r w:rsidR="001E3DC4">
        <w:t>ACP discussion</w:t>
      </w:r>
      <w:r>
        <w:t xml:space="preserve"> could be the start of a series of conversations which may eventually lead to successful completion of advance </w:t>
      </w:r>
      <w:r w:rsidR="00624D8A">
        <w:t>c</w:t>
      </w:r>
      <w:r>
        <w:t xml:space="preserve">are plans. </w:t>
      </w:r>
      <w:r w:rsidR="004B11DD">
        <w:t xml:space="preserve">As </w:t>
      </w:r>
      <w:r w:rsidR="001E3DC4">
        <w:t xml:space="preserve">ACP </w:t>
      </w:r>
      <w:r>
        <w:t xml:space="preserve">is </w:t>
      </w:r>
      <w:r w:rsidR="001E3DC4">
        <w:t>an ongoing and dynamic process</w:t>
      </w:r>
      <w:r w:rsidR="001E3DC4">
        <w:rPr>
          <w:vertAlign w:val="superscript"/>
        </w:rPr>
        <w:t>1</w:t>
      </w:r>
      <w:r w:rsidR="004B11DD">
        <w:t>, it</w:t>
      </w:r>
      <w:r w:rsidR="001E3DC4">
        <w:t xml:space="preserve"> would be </w:t>
      </w:r>
      <w:r w:rsidR="004B11DD">
        <w:t>instructive</w:t>
      </w:r>
      <w:r w:rsidR="001E3DC4">
        <w:t xml:space="preserve"> to conduct longitudinal </w:t>
      </w:r>
      <w:r w:rsidR="004B11DD">
        <w:t xml:space="preserve">follow up studies </w:t>
      </w:r>
      <w:r w:rsidR="001E3DC4">
        <w:t xml:space="preserve">to see how many patients will eventually formulate </w:t>
      </w:r>
      <w:r w:rsidR="005874CE">
        <w:t>advance care plans.</w:t>
      </w:r>
      <w:r w:rsidR="001E3DC4">
        <w:t xml:space="preserve"> </w:t>
      </w:r>
    </w:p>
    <w:p w14:paraId="02A748DE" w14:textId="77777777" w:rsidR="004B11DD" w:rsidRDefault="00516AEB" w:rsidP="001163DD">
      <w:pPr>
        <w:tabs>
          <w:tab w:val="left" w:pos="2785"/>
        </w:tabs>
        <w:spacing w:line="480" w:lineRule="auto"/>
        <w:ind w:firstLine="720"/>
        <w:jc w:val="both"/>
      </w:pPr>
      <w:r>
        <w:tab/>
      </w:r>
    </w:p>
    <w:p w14:paraId="66A3236C" w14:textId="77777777" w:rsidR="00B27BCC" w:rsidRDefault="00AA6B48" w:rsidP="001163DD">
      <w:pPr>
        <w:tabs>
          <w:tab w:val="left" w:pos="4972"/>
        </w:tabs>
        <w:spacing w:line="480" w:lineRule="auto"/>
        <w:jc w:val="both"/>
        <w:rPr>
          <w:b/>
        </w:rPr>
      </w:pPr>
      <w:r>
        <w:rPr>
          <w:b/>
        </w:rPr>
        <w:t>CONCLUSION</w:t>
      </w:r>
      <w:r w:rsidR="00BB5D48">
        <w:rPr>
          <w:b/>
        </w:rPr>
        <w:tab/>
      </w:r>
    </w:p>
    <w:p w14:paraId="1B92CE9B" w14:textId="77777777" w:rsidR="00B27BCC" w:rsidRDefault="004B11DD" w:rsidP="001163DD">
      <w:pPr>
        <w:spacing w:line="480" w:lineRule="auto"/>
        <w:jc w:val="both"/>
      </w:pPr>
      <w:r>
        <w:tab/>
        <w:t>T</w:t>
      </w:r>
      <w:r w:rsidR="0051690C">
        <w:t xml:space="preserve">his study </w:t>
      </w:r>
      <w:r w:rsidR="00F5488C">
        <w:t xml:space="preserve">shows </w:t>
      </w:r>
      <w:r w:rsidR="0051690C">
        <w:t xml:space="preserve">a </w:t>
      </w:r>
      <w:r>
        <w:t>significant</w:t>
      </w:r>
      <w:r w:rsidR="0051690C">
        <w:t xml:space="preserve"> proportion of patients with ECI are unwilling to engage in ACP discussions</w:t>
      </w:r>
      <w:r w:rsidR="00F5488C">
        <w:t xml:space="preserve"> and the </w:t>
      </w:r>
      <w:r>
        <w:t xml:space="preserve">reasons for </w:t>
      </w:r>
      <w:r w:rsidR="0051690C">
        <w:t xml:space="preserve">declining </w:t>
      </w:r>
      <w:r>
        <w:t>are</w:t>
      </w:r>
      <w:r w:rsidR="0051690C">
        <w:t xml:space="preserve"> more complex than previous research has suggested. With the use of qualitative </w:t>
      </w:r>
      <w:r w:rsidR="00C97730">
        <w:t>methods</w:t>
      </w:r>
      <w:r>
        <w:t xml:space="preserve">, </w:t>
      </w:r>
      <w:r w:rsidR="0051690C">
        <w:t>new themes and rationale</w:t>
      </w:r>
      <w:r>
        <w:t>s</w:t>
      </w:r>
      <w:r w:rsidR="0051690C">
        <w:t xml:space="preserve"> that </w:t>
      </w:r>
      <w:r>
        <w:t xml:space="preserve">reflect </w:t>
      </w:r>
      <w:r w:rsidR="0051690C">
        <w:t xml:space="preserve">personal values, coping behaviors and socio-cultural norms </w:t>
      </w:r>
      <w:r w:rsidR="00C97730">
        <w:t>have emerged</w:t>
      </w:r>
      <w:r w:rsidR="00F5488C">
        <w:t>, and these findings can be relevant for those without cognitive impairment as well</w:t>
      </w:r>
      <w:r w:rsidR="0051690C">
        <w:t xml:space="preserve">. </w:t>
      </w:r>
      <w:r w:rsidR="009A1496">
        <w:t>Discussions on ACP should be initiated as early as possible and i</w:t>
      </w:r>
      <w:r>
        <w:t xml:space="preserve">t is hoped that </w:t>
      </w:r>
      <w:r w:rsidR="00F5488C">
        <w:t>a</w:t>
      </w:r>
      <w:r>
        <w:t xml:space="preserve"> deeper u</w:t>
      </w:r>
      <w:r w:rsidR="0051690C">
        <w:t xml:space="preserve">nderstanding </w:t>
      </w:r>
      <w:r w:rsidR="00F5488C">
        <w:t xml:space="preserve">of </w:t>
      </w:r>
      <w:r w:rsidR="0051690C">
        <w:t xml:space="preserve">patients’ </w:t>
      </w:r>
      <w:r w:rsidR="0051690C">
        <w:lastRenderedPageBreak/>
        <w:t>perspectives on ACP</w:t>
      </w:r>
      <w:r w:rsidR="00F5488C">
        <w:t xml:space="preserve"> can guide </w:t>
      </w:r>
      <w:r w:rsidR="0051690C">
        <w:t xml:space="preserve">interventions to help </w:t>
      </w:r>
      <w:r w:rsidR="00F5488C">
        <w:t>patients</w:t>
      </w:r>
      <w:r w:rsidR="0051690C">
        <w:t xml:space="preserve"> overcome </w:t>
      </w:r>
      <w:r w:rsidR="00F5488C">
        <w:t xml:space="preserve">the barriers </w:t>
      </w:r>
      <w:r w:rsidR="0051690C">
        <w:t xml:space="preserve">and improve </w:t>
      </w:r>
      <w:r w:rsidR="00F5488C">
        <w:t xml:space="preserve">advance directives </w:t>
      </w:r>
      <w:r w:rsidR="003141AC">
        <w:t>completion rates.</w:t>
      </w:r>
    </w:p>
    <w:p w14:paraId="6A0CE37A" w14:textId="77777777" w:rsidR="002F2570" w:rsidRDefault="002F2570" w:rsidP="001163DD">
      <w:pPr>
        <w:spacing w:line="480" w:lineRule="auto"/>
        <w:jc w:val="both"/>
      </w:pPr>
    </w:p>
    <w:p w14:paraId="0B7FB0FD" w14:textId="77777777" w:rsidR="002F2570" w:rsidRDefault="002F2570" w:rsidP="001163DD">
      <w:pPr>
        <w:spacing w:line="480" w:lineRule="auto"/>
        <w:jc w:val="both"/>
      </w:pPr>
      <w:r>
        <w:rPr>
          <w:b/>
        </w:rPr>
        <w:t>Acknowledgements</w:t>
      </w:r>
      <w:r>
        <w:t xml:space="preserve">: The authors would like to thank the </w:t>
      </w:r>
      <w:r w:rsidR="00624D8A">
        <w:t>patients</w:t>
      </w:r>
      <w:r>
        <w:t xml:space="preserve"> </w:t>
      </w:r>
      <w:r w:rsidR="00624D8A">
        <w:t>who attended the counseling sessions and the nurses who helped collate the information for the study.</w:t>
      </w:r>
      <w:r>
        <w:t xml:space="preserve"> </w:t>
      </w:r>
    </w:p>
    <w:p w14:paraId="3CB5A271" w14:textId="77777777" w:rsidR="002F2570" w:rsidRPr="002F2570" w:rsidRDefault="002F2570" w:rsidP="001163DD">
      <w:pPr>
        <w:spacing w:line="480" w:lineRule="auto"/>
        <w:jc w:val="both"/>
      </w:pPr>
      <w:r w:rsidRPr="002F2570">
        <w:rPr>
          <w:b/>
        </w:rPr>
        <w:t>Competing interests</w:t>
      </w:r>
      <w:r>
        <w:t>: None</w:t>
      </w:r>
    </w:p>
    <w:p w14:paraId="40536BD8" w14:textId="77777777" w:rsidR="00CC7FF9" w:rsidRDefault="00F119EF" w:rsidP="00CC7FF9">
      <w:r w:rsidRPr="00F119EF">
        <w:rPr>
          <w:b/>
        </w:rPr>
        <w:t>Funding</w:t>
      </w:r>
      <w:r>
        <w:t>: None</w:t>
      </w:r>
    </w:p>
    <w:p w14:paraId="1AB361A3" w14:textId="77777777" w:rsidR="00CC7FF9" w:rsidRDefault="00CC7FF9" w:rsidP="00CC7FF9"/>
    <w:p w14:paraId="6EB5627C" w14:textId="77777777" w:rsidR="00CC7FF9" w:rsidRDefault="00CC7FF9" w:rsidP="00CC7FF9"/>
    <w:p w14:paraId="3F9018B2" w14:textId="77777777" w:rsidR="00CC7FF9" w:rsidRDefault="00CC7FF9" w:rsidP="00CC7FF9"/>
    <w:p w14:paraId="16104300" w14:textId="77777777" w:rsidR="00CC7FF9" w:rsidRDefault="00CC7FF9" w:rsidP="00CC7FF9"/>
    <w:p w14:paraId="08E724C7" w14:textId="77777777" w:rsidR="00CC7FF9" w:rsidRDefault="00CC7FF9" w:rsidP="00CC7FF9"/>
    <w:p w14:paraId="267AAE9A" w14:textId="77777777" w:rsidR="00CC7FF9" w:rsidRDefault="00CC7FF9" w:rsidP="00CC7FF9"/>
    <w:p w14:paraId="4B890849" w14:textId="77777777" w:rsidR="00CC7FF9" w:rsidRDefault="00CC7FF9" w:rsidP="00CC7FF9"/>
    <w:p w14:paraId="630FB727" w14:textId="77777777" w:rsidR="00CC7FF9" w:rsidRDefault="00CC7FF9" w:rsidP="00CC7FF9"/>
    <w:p w14:paraId="6CF23CD0" w14:textId="77777777" w:rsidR="00CC7FF9" w:rsidRDefault="00CC7FF9" w:rsidP="00CC7FF9"/>
    <w:p w14:paraId="2413FC1D" w14:textId="77777777" w:rsidR="00CC7FF9" w:rsidRDefault="00CC7FF9" w:rsidP="00CC7FF9"/>
    <w:p w14:paraId="2DBBA473" w14:textId="77777777" w:rsidR="00CC7FF9" w:rsidRDefault="00CC7FF9" w:rsidP="00CC7FF9"/>
    <w:p w14:paraId="12A0A74C" w14:textId="77777777" w:rsidR="00CC7FF9" w:rsidRDefault="00CC7FF9" w:rsidP="00CC7FF9"/>
    <w:p w14:paraId="383EC815" w14:textId="77777777" w:rsidR="00CC7FF9" w:rsidRDefault="00CC7FF9" w:rsidP="00CC7FF9"/>
    <w:p w14:paraId="5B8E8D51" w14:textId="77777777" w:rsidR="00CC7FF9" w:rsidRDefault="00CC7FF9" w:rsidP="00CC7FF9"/>
    <w:p w14:paraId="06D04567" w14:textId="77777777" w:rsidR="00CC7FF9" w:rsidRDefault="00CC7FF9" w:rsidP="00CC7FF9"/>
    <w:p w14:paraId="7F03463F" w14:textId="77777777" w:rsidR="00CC7FF9" w:rsidRDefault="00CC7FF9" w:rsidP="00CC7FF9"/>
    <w:p w14:paraId="3BAAEA2E" w14:textId="77777777" w:rsidR="00CC7FF9" w:rsidRDefault="00CC7FF9" w:rsidP="00CC7FF9"/>
    <w:p w14:paraId="26E6B3F7" w14:textId="77777777" w:rsidR="00CC7FF9" w:rsidRDefault="00CC7FF9" w:rsidP="00CC7FF9"/>
    <w:p w14:paraId="7B92C89E" w14:textId="77777777" w:rsidR="00CC7FF9" w:rsidRDefault="00CC7FF9" w:rsidP="00CC7FF9"/>
    <w:p w14:paraId="492756F3" w14:textId="77777777" w:rsidR="00CC7FF9" w:rsidRDefault="00CC7FF9" w:rsidP="00CC7FF9"/>
    <w:p w14:paraId="053F845E" w14:textId="77777777" w:rsidR="00CC7FF9" w:rsidRDefault="00CC7FF9" w:rsidP="00CC7FF9"/>
    <w:p w14:paraId="70C5C6B0" w14:textId="77777777" w:rsidR="00CC7FF9" w:rsidRDefault="00CC7FF9" w:rsidP="00CC7FF9"/>
    <w:p w14:paraId="6E644525" w14:textId="77777777" w:rsidR="00CC7FF9" w:rsidRDefault="00CC7FF9" w:rsidP="00CC7FF9"/>
    <w:p w14:paraId="17BD9C59" w14:textId="77777777" w:rsidR="00CC7FF9" w:rsidRDefault="00CC7FF9" w:rsidP="00CC7FF9"/>
    <w:p w14:paraId="6023B834" w14:textId="77777777" w:rsidR="00CC7FF9" w:rsidRDefault="00CC7FF9" w:rsidP="00CC7FF9"/>
    <w:p w14:paraId="555E93BB" w14:textId="77777777" w:rsidR="00CC7FF9" w:rsidRDefault="00CC7FF9" w:rsidP="00CC7FF9"/>
    <w:p w14:paraId="28565BE7" w14:textId="77777777" w:rsidR="00CC7FF9" w:rsidRDefault="00CC7FF9" w:rsidP="00CC7FF9"/>
    <w:p w14:paraId="14108722" w14:textId="77777777" w:rsidR="00CC7FF9" w:rsidRDefault="00CC7FF9" w:rsidP="00CC7FF9"/>
    <w:p w14:paraId="591CF180" w14:textId="77777777" w:rsidR="00CC7FF9" w:rsidRDefault="00CC7FF9" w:rsidP="00CC7FF9"/>
    <w:p w14:paraId="4669A6A6" w14:textId="77777777" w:rsidR="00CC7FF9" w:rsidRDefault="00CC7FF9" w:rsidP="00CC7FF9"/>
    <w:p w14:paraId="5E2AFE67" w14:textId="77777777" w:rsidR="00CC7FF9" w:rsidRDefault="00CC7FF9" w:rsidP="00CC7FF9"/>
    <w:p w14:paraId="326E95ED" w14:textId="77777777" w:rsidR="00CC7FF9" w:rsidRDefault="00CC7FF9" w:rsidP="00CC7FF9"/>
    <w:p w14:paraId="577A7D23" w14:textId="77777777" w:rsidR="00CC7FF9" w:rsidRDefault="00CC7FF9" w:rsidP="00CC7FF9"/>
    <w:p w14:paraId="111F91F7" w14:textId="77777777" w:rsidR="00CC7FF9" w:rsidRDefault="00CC7FF9" w:rsidP="00CC7FF9"/>
    <w:p w14:paraId="032F79F0" w14:textId="77777777" w:rsidR="00CC7FF9" w:rsidRDefault="00CC7FF9" w:rsidP="00CC7FF9"/>
    <w:p w14:paraId="3C858A71" w14:textId="77777777" w:rsidR="00CC7FF9" w:rsidRDefault="00CC7FF9" w:rsidP="00CC7FF9"/>
    <w:p w14:paraId="684286FE" w14:textId="77777777" w:rsidR="00B120E9" w:rsidRDefault="00B120E9" w:rsidP="00CC7FF9"/>
    <w:p w14:paraId="00E9E1E3" w14:textId="5B5D05C6" w:rsidR="00AA6B48" w:rsidRPr="00CC7FF9" w:rsidRDefault="00AA6B48" w:rsidP="00CC7FF9">
      <w:r>
        <w:rPr>
          <w:b/>
        </w:rPr>
        <w:lastRenderedPageBreak/>
        <w:t>REFERENCES</w:t>
      </w:r>
    </w:p>
    <w:sectPr w:rsidR="00AA6B48" w:rsidRPr="00CC7FF9" w:rsidSect="007302EF">
      <w:headerReference w:type="even" r:id="rId9"/>
      <w:headerReference w:type="default" r:id="rId10"/>
      <w:footerReference w:type="even" r:id="rId11"/>
      <w:footerReference w:type="default" r:id="rId12"/>
      <w:footnotePr>
        <w:numFmt w:val="lowerLetter"/>
      </w:footnotePr>
      <w:endnotePr>
        <w:numFmt w:val="decimal"/>
      </w:endnotePr>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0B23D" w14:textId="77777777" w:rsidR="00752B8C" w:rsidRDefault="00752B8C"/>
  </w:endnote>
  <w:endnote w:type="continuationSeparator" w:id="0">
    <w:p w14:paraId="59971090" w14:textId="77777777" w:rsidR="00752B8C" w:rsidRDefault="00752B8C"/>
  </w:endnote>
  <w:endnote w:id="1">
    <w:p w14:paraId="2E3CC74C" w14:textId="77777777" w:rsidR="00752B8C" w:rsidRDefault="00752B8C" w:rsidP="00076FA0">
      <w:pPr>
        <w:widowControl w:val="0"/>
        <w:autoSpaceDE w:val="0"/>
        <w:autoSpaceDN w:val="0"/>
        <w:adjustRightInd w:val="0"/>
        <w:spacing w:line="480" w:lineRule="auto"/>
      </w:pPr>
      <w:bookmarkStart w:id="0" w:name="_GoBack"/>
      <w:r>
        <w:rPr>
          <w:rStyle w:val="EndnoteReference"/>
        </w:rPr>
        <w:endnoteRef/>
      </w:r>
      <w:r>
        <w:t xml:space="preserve"> </w:t>
      </w:r>
      <w:r w:rsidRPr="00BF5A8E">
        <w:rPr>
          <w:rStyle w:val="Strong"/>
          <w:b w:val="0"/>
        </w:rPr>
        <w:t>Starks H</w:t>
      </w:r>
      <w:r>
        <w:t xml:space="preserve">, Vig EK, Pearlman RA. Advance care planning. In: Emanuel LL, Librach SL, eds. </w:t>
      </w:r>
      <w:r w:rsidRPr="00B228FF">
        <w:t>Palliative Care: Core Skills and Clinical Competencies.</w:t>
      </w:r>
      <w:r>
        <w:t xml:space="preserve"> Saunders-Elsevier, Philadelphia 2007:270 – 283.</w:t>
      </w:r>
    </w:p>
    <w:p w14:paraId="6CB68141" w14:textId="77777777" w:rsidR="00752B8C" w:rsidRDefault="00752B8C" w:rsidP="00076FA0">
      <w:pPr>
        <w:widowControl w:val="0"/>
        <w:autoSpaceDE w:val="0"/>
        <w:autoSpaceDN w:val="0"/>
        <w:adjustRightInd w:val="0"/>
        <w:spacing w:line="480" w:lineRule="auto"/>
      </w:pPr>
    </w:p>
  </w:endnote>
  <w:endnote w:id="2">
    <w:p w14:paraId="308981DE" w14:textId="77777777" w:rsidR="00752B8C" w:rsidRDefault="00752B8C" w:rsidP="00076FA0">
      <w:pPr>
        <w:widowControl w:val="0"/>
        <w:autoSpaceDE w:val="0"/>
        <w:autoSpaceDN w:val="0"/>
        <w:adjustRightInd w:val="0"/>
        <w:spacing w:line="480" w:lineRule="auto"/>
        <w:rPr>
          <w:color w:val="000000"/>
        </w:rPr>
      </w:pPr>
      <w:r>
        <w:rPr>
          <w:rStyle w:val="EndnoteReference"/>
        </w:rPr>
        <w:endnoteRef/>
      </w:r>
      <w:r>
        <w:t xml:space="preserve"> </w:t>
      </w:r>
      <w:r>
        <w:rPr>
          <w:color w:val="000000"/>
        </w:rPr>
        <w:t>Menne HL, Judge KS, Whitlatch CJ.</w:t>
      </w:r>
      <w:r w:rsidRPr="005C0F15">
        <w:rPr>
          <w:color w:val="000000"/>
        </w:rPr>
        <w:t xml:space="preserve"> Pr</w:t>
      </w:r>
      <w:r>
        <w:rPr>
          <w:color w:val="000000"/>
        </w:rPr>
        <w:t xml:space="preserve">edictors of quality of life for </w:t>
      </w:r>
      <w:r w:rsidRPr="005C0F15">
        <w:rPr>
          <w:color w:val="000000"/>
        </w:rPr>
        <w:t xml:space="preserve">individuals with dementia: Implications for intervention. </w:t>
      </w:r>
      <w:r>
        <w:rPr>
          <w:i/>
          <w:iCs/>
          <w:color w:val="000000"/>
        </w:rPr>
        <w:t xml:space="preserve">Dementia: The International </w:t>
      </w:r>
      <w:r w:rsidRPr="005C0F15">
        <w:rPr>
          <w:i/>
          <w:iCs/>
          <w:color w:val="000000"/>
        </w:rPr>
        <w:t xml:space="preserve">Journal of Social Research and </w:t>
      </w:r>
      <w:r>
        <w:rPr>
          <w:i/>
          <w:iCs/>
          <w:color w:val="000000"/>
        </w:rPr>
        <w:t>Practice</w:t>
      </w:r>
      <w:r w:rsidRPr="0064231D">
        <w:rPr>
          <w:iCs/>
          <w:color w:val="000000"/>
        </w:rPr>
        <w:t xml:space="preserve"> 2009</w:t>
      </w:r>
      <w:r>
        <w:rPr>
          <w:i/>
          <w:iCs/>
          <w:color w:val="000000"/>
        </w:rPr>
        <w:t>;</w:t>
      </w:r>
      <w:r w:rsidRPr="002322E5">
        <w:rPr>
          <w:b/>
          <w:iCs/>
          <w:color w:val="000000"/>
        </w:rPr>
        <w:t>8</w:t>
      </w:r>
      <w:r>
        <w:rPr>
          <w:color w:val="000000"/>
        </w:rPr>
        <w:t>:</w:t>
      </w:r>
      <w:r w:rsidRPr="005C0F15">
        <w:rPr>
          <w:color w:val="000000"/>
        </w:rPr>
        <w:t>543</w:t>
      </w:r>
      <w:r w:rsidRPr="00BC67D2">
        <w:t>–</w:t>
      </w:r>
      <w:r w:rsidRPr="005C0F15">
        <w:rPr>
          <w:color w:val="000000"/>
        </w:rPr>
        <w:t>560.</w:t>
      </w:r>
      <w:r>
        <w:rPr>
          <w:color w:val="000000"/>
        </w:rPr>
        <w:tab/>
      </w:r>
    </w:p>
    <w:p w14:paraId="2647E0D1" w14:textId="77777777" w:rsidR="00752B8C" w:rsidRDefault="00752B8C" w:rsidP="00AF4B5F">
      <w:pPr>
        <w:widowControl w:val="0"/>
        <w:autoSpaceDE w:val="0"/>
        <w:autoSpaceDN w:val="0"/>
        <w:adjustRightInd w:val="0"/>
        <w:spacing w:line="480" w:lineRule="auto"/>
      </w:pPr>
    </w:p>
  </w:endnote>
  <w:endnote w:id="3">
    <w:p w14:paraId="2E886A20" w14:textId="77777777" w:rsidR="00752B8C" w:rsidRDefault="00752B8C" w:rsidP="00AF4B5F">
      <w:pPr>
        <w:widowControl w:val="0"/>
        <w:autoSpaceDE w:val="0"/>
        <w:autoSpaceDN w:val="0"/>
        <w:adjustRightInd w:val="0"/>
        <w:spacing w:line="480" w:lineRule="auto"/>
      </w:pPr>
      <w:r>
        <w:rPr>
          <w:rStyle w:val="EndnoteReference"/>
        </w:rPr>
        <w:endnoteRef/>
      </w:r>
      <w:r>
        <w:t xml:space="preserve"> Hayden C, </w:t>
      </w:r>
      <w:r w:rsidRPr="001C61A4">
        <w:t xml:space="preserve">Boaz </w:t>
      </w:r>
      <w:r>
        <w:t xml:space="preserve">A, </w:t>
      </w:r>
      <w:r w:rsidRPr="001C61A4">
        <w:t>Taylor</w:t>
      </w:r>
      <w:r>
        <w:t xml:space="preserve"> F.</w:t>
      </w:r>
      <w:r w:rsidRPr="001C61A4">
        <w:t xml:space="preserve"> </w:t>
      </w:r>
      <w:r w:rsidRPr="00135E6C">
        <w:rPr>
          <w:i/>
          <w:iCs/>
        </w:rPr>
        <w:t xml:space="preserve">Attitudes and Aspirations of Older People: A Qualitative Study. </w:t>
      </w:r>
      <w:r w:rsidRPr="00135E6C">
        <w:rPr>
          <w:i/>
        </w:rPr>
        <w:t>DSS Research Report No. 102.</w:t>
      </w:r>
      <w:r>
        <w:t xml:space="preserve"> London: Stationery Office, 1999.</w:t>
      </w:r>
    </w:p>
    <w:p w14:paraId="425C09F1" w14:textId="77777777" w:rsidR="00752B8C" w:rsidRDefault="00752B8C" w:rsidP="00312C2A">
      <w:pPr>
        <w:pStyle w:val="EndnoteText"/>
        <w:spacing w:line="480" w:lineRule="auto"/>
      </w:pPr>
    </w:p>
  </w:endnote>
  <w:endnote w:id="4">
    <w:p w14:paraId="5FF644DB" w14:textId="77777777" w:rsidR="00752B8C" w:rsidRPr="00621105" w:rsidRDefault="00752B8C" w:rsidP="00312C2A">
      <w:pPr>
        <w:widowControl w:val="0"/>
        <w:autoSpaceDE w:val="0"/>
        <w:autoSpaceDN w:val="0"/>
        <w:adjustRightInd w:val="0"/>
        <w:spacing w:line="480" w:lineRule="auto"/>
      </w:pPr>
      <w:r>
        <w:rPr>
          <w:rStyle w:val="EndnoteReference"/>
        </w:rPr>
        <w:endnoteRef/>
      </w:r>
      <w:r>
        <w:t xml:space="preserve"> Hirschman KB, Kapo JM, Karlawish JHT. Identifying the factors that facilitate or hinder advance planning by persons with dementia. </w:t>
      </w:r>
      <w:r>
        <w:rPr>
          <w:rStyle w:val="ref-journal"/>
          <w:i/>
        </w:rPr>
        <w:t>Alzheimer Dis Assoc Disord</w:t>
      </w:r>
      <w:r>
        <w:rPr>
          <w:rStyle w:val="ref-journal"/>
        </w:rPr>
        <w:t xml:space="preserve"> 2008;</w:t>
      </w:r>
      <w:r w:rsidRPr="002322E5">
        <w:rPr>
          <w:rStyle w:val="ref-vol"/>
          <w:b/>
        </w:rPr>
        <w:t>22</w:t>
      </w:r>
      <w:r>
        <w:rPr>
          <w:i/>
        </w:rPr>
        <w:t>:</w:t>
      </w:r>
      <w:r>
        <w:t xml:space="preserve">293–298. </w:t>
      </w:r>
    </w:p>
    <w:p w14:paraId="05BC6B64" w14:textId="77777777" w:rsidR="00752B8C" w:rsidRDefault="00752B8C" w:rsidP="00312C2A">
      <w:pPr>
        <w:pStyle w:val="EndnoteText"/>
        <w:spacing w:line="480" w:lineRule="auto"/>
      </w:pPr>
    </w:p>
  </w:endnote>
  <w:endnote w:id="5">
    <w:p w14:paraId="28708909" w14:textId="77777777" w:rsidR="00752B8C" w:rsidRPr="0010751C" w:rsidRDefault="00752B8C" w:rsidP="00312C2A">
      <w:pPr>
        <w:widowControl w:val="0"/>
        <w:autoSpaceDE w:val="0"/>
        <w:autoSpaceDN w:val="0"/>
        <w:adjustRightInd w:val="0"/>
        <w:spacing w:line="480" w:lineRule="auto"/>
      </w:pPr>
      <w:r>
        <w:rPr>
          <w:rStyle w:val="EndnoteReference"/>
        </w:rPr>
        <w:endnoteRef/>
      </w:r>
      <w:r>
        <w:t xml:space="preserve"> </w:t>
      </w:r>
      <w:r w:rsidRPr="0010751C">
        <w:t>D</w:t>
      </w:r>
      <w:r>
        <w:t>ening KH, Jones L, Sampson, EL.</w:t>
      </w:r>
      <w:r w:rsidRPr="0010751C">
        <w:t xml:space="preserve"> Advanc</w:t>
      </w:r>
      <w:r>
        <w:t xml:space="preserve">e care planning for people with </w:t>
      </w:r>
      <w:r w:rsidRPr="0010751C">
        <w:t xml:space="preserve">dementia: </w:t>
      </w:r>
      <w:r>
        <w:t>A</w:t>
      </w:r>
      <w:r w:rsidRPr="0010751C">
        <w:t xml:space="preserve"> review. </w:t>
      </w:r>
      <w:r>
        <w:rPr>
          <w:i/>
          <w:iCs/>
        </w:rPr>
        <w:t>Int Psychogeriatr</w:t>
      </w:r>
      <w:r>
        <w:t xml:space="preserve"> 2011;</w:t>
      </w:r>
      <w:r w:rsidRPr="002322E5">
        <w:rPr>
          <w:b/>
        </w:rPr>
        <w:t>23</w:t>
      </w:r>
      <w:r w:rsidRPr="00D0005C">
        <w:t>:</w:t>
      </w:r>
      <w:r>
        <w:t>1535</w:t>
      </w:r>
      <w:r w:rsidRPr="00BC67D2">
        <w:t>–</w:t>
      </w:r>
      <w:r w:rsidRPr="0010751C">
        <w:t>1551.</w:t>
      </w:r>
      <w:r w:rsidRPr="0010751C">
        <w:tab/>
      </w:r>
    </w:p>
    <w:p w14:paraId="0045F078" w14:textId="77777777" w:rsidR="00752B8C" w:rsidRDefault="00752B8C" w:rsidP="00312C2A">
      <w:pPr>
        <w:pStyle w:val="EndnoteText"/>
        <w:spacing w:line="480" w:lineRule="auto"/>
      </w:pPr>
    </w:p>
  </w:endnote>
  <w:endnote w:id="6">
    <w:p w14:paraId="1626E90A" w14:textId="77777777" w:rsidR="00752B8C" w:rsidRDefault="00752B8C" w:rsidP="00312C2A">
      <w:pPr>
        <w:widowControl w:val="0"/>
        <w:autoSpaceDE w:val="0"/>
        <w:autoSpaceDN w:val="0"/>
        <w:adjustRightInd w:val="0"/>
        <w:spacing w:line="480" w:lineRule="auto"/>
      </w:pPr>
      <w:r>
        <w:rPr>
          <w:rStyle w:val="EndnoteReference"/>
        </w:rPr>
        <w:endnoteRef/>
      </w:r>
      <w:r>
        <w:t xml:space="preserve"> </w:t>
      </w:r>
      <w:r w:rsidRPr="00B6502B">
        <w:t>Gamble ER, McDonald PJ, Lichstein PR</w:t>
      </w:r>
      <w:r>
        <w:t xml:space="preserve">. </w:t>
      </w:r>
      <w:r w:rsidRPr="00B6502B">
        <w:t>Knowledge, attitudes,</w:t>
      </w:r>
      <w:r>
        <w:t xml:space="preserve"> and </w:t>
      </w:r>
      <w:r w:rsidRPr="00B6502B">
        <w:t xml:space="preserve">behavior of elderly persons regarding living wills. </w:t>
      </w:r>
      <w:r>
        <w:rPr>
          <w:i/>
        </w:rPr>
        <w:t xml:space="preserve">Arch Intern Med </w:t>
      </w:r>
      <w:r>
        <w:t>1991</w:t>
      </w:r>
      <w:r>
        <w:rPr>
          <w:i/>
        </w:rPr>
        <w:t>;</w:t>
      </w:r>
      <w:r w:rsidRPr="002322E5">
        <w:rPr>
          <w:b/>
        </w:rPr>
        <w:t>151</w:t>
      </w:r>
      <w:r>
        <w:t>:</w:t>
      </w:r>
      <w:r w:rsidRPr="00B6502B">
        <w:t>277–280</w:t>
      </w:r>
      <w:r>
        <w:t xml:space="preserve">. </w:t>
      </w:r>
    </w:p>
    <w:p w14:paraId="6DC6D602" w14:textId="77777777" w:rsidR="00752B8C" w:rsidRDefault="00752B8C" w:rsidP="00312C2A">
      <w:pPr>
        <w:pStyle w:val="EndnoteText"/>
        <w:spacing w:line="480" w:lineRule="auto"/>
      </w:pPr>
    </w:p>
  </w:endnote>
  <w:endnote w:id="7">
    <w:p w14:paraId="4602CEB1" w14:textId="7B13D096" w:rsidR="00752B8C" w:rsidRDefault="00752B8C" w:rsidP="000C7103">
      <w:pPr>
        <w:widowControl w:val="0"/>
        <w:autoSpaceDE w:val="0"/>
        <w:autoSpaceDN w:val="0"/>
        <w:adjustRightInd w:val="0"/>
        <w:spacing w:line="480" w:lineRule="auto"/>
      </w:pPr>
      <w:r>
        <w:rPr>
          <w:rStyle w:val="EndnoteReference"/>
        </w:rPr>
        <w:endnoteRef/>
      </w:r>
      <w:r>
        <w:t xml:space="preserve"> </w:t>
      </w:r>
      <w:r w:rsidRPr="00734DCC">
        <w:t>Silveira MJ, Kim SY, Langa</w:t>
      </w:r>
      <w:r>
        <w:t xml:space="preserve"> </w:t>
      </w:r>
      <w:r w:rsidRPr="00734DCC">
        <w:t>KM. Adv</w:t>
      </w:r>
      <w:r>
        <w:t xml:space="preserve">ance directives and outcomes of </w:t>
      </w:r>
      <w:r w:rsidRPr="00734DCC">
        <w:t>surrogate</w:t>
      </w:r>
      <w:r>
        <w:t xml:space="preserve"> </w:t>
      </w:r>
      <w:r w:rsidRPr="00734DCC">
        <w:t xml:space="preserve">decision making before death. </w:t>
      </w:r>
      <w:r>
        <w:rPr>
          <w:rStyle w:val="Emphasis"/>
        </w:rPr>
        <w:t>N Engl J Med</w:t>
      </w:r>
      <w:r>
        <w:rPr>
          <w:i/>
        </w:rPr>
        <w:t xml:space="preserve"> </w:t>
      </w:r>
      <w:r>
        <w:t>2010</w:t>
      </w:r>
      <w:proofErr w:type="gramStart"/>
      <w:r>
        <w:t>;</w:t>
      </w:r>
      <w:r w:rsidRPr="002322E5">
        <w:rPr>
          <w:b/>
        </w:rPr>
        <w:t>362</w:t>
      </w:r>
      <w:r>
        <w:t>:</w:t>
      </w:r>
      <w:r w:rsidRPr="00734DCC">
        <w:t>1211</w:t>
      </w:r>
      <w:proofErr w:type="gramEnd"/>
      <w:r w:rsidRPr="00734DCC">
        <w:t>–</w:t>
      </w:r>
      <w:r>
        <w:t>121</w:t>
      </w:r>
      <w:r w:rsidRPr="00734DCC">
        <w:t>8.</w:t>
      </w:r>
    </w:p>
    <w:p w14:paraId="423602E7" w14:textId="77777777" w:rsidR="00F771EA" w:rsidRDefault="00F771EA" w:rsidP="000C7103">
      <w:pPr>
        <w:widowControl w:val="0"/>
        <w:autoSpaceDE w:val="0"/>
        <w:autoSpaceDN w:val="0"/>
        <w:adjustRightInd w:val="0"/>
        <w:spacing w:line="480" w:lineRule="auto"/>
      </w:pPr>
    </w:p>
    <w:p w14:paraId="2D1A2DDD" w14:textId="77777777" w:rsidR="00F771EA" w:rsidRDefault="00F771EA" w:rsidP="000C7103">
      <w:pPr>
        <w:widowControl w:val="0"/>
        <w:autoSpaceDE w:val="0"/>
        <w:autoSpaceDN w:val="0"/>
        <w:adjustRightInd w:val="0"/>
        <w:spacing w:line="480" w:lineRule="auto"/>
      </w:pPr>
    </w:p>
  </w:endnote>
  <w:endnote w:id="8">
    <w:p w14:paraId="1AC79821" w14:textId="77777777" w:rsidR="00752B8C" w:rsidRDefault="00752B8C" w:rsidP="00312C2A">
      <w:pPr>
        <w:widowControl w:val="0"/>
        <w:autoSpaceDE w:val="0"/>
        <w:autoSpaceDN w:val="0"/>
        <w:adjustRightInd w:val="0"/>
        <w:spacing w:line="480" w:lineRule="auto"/>
      </w:pPr>
      <w:r>
        <w:rPr>
          <w:rStyle w:val="EndnoteReference"/>
        </w:rPr>
        <w:endnoteRef/>
      </w:r>
      <w:r>
        <w:t xml:space="preserve"> </w:t>
      </w:r>
      <w:r w:rsidRPr="00CF3CFC">
        <w:rPr>
          <w:rFonts w:ascii="Times-Roman" w:hAnsi="Times-Roman" w:cs="Times-Roman"/>
        </w:rPr>
        <w:t>Black</w:t>
      </w:r>
      <w:r>
        <w:rPr>
          <w:rFonts w:ascii="Times-Roman" w:hAnsi="Times-Roman" w:cs="Times-Roman"/>
        </w:rPr>
        <w:t xml:space="preserve"> </w:t>
      </w:r>
      <w:r w:rsidRPr="00CF3CFC">
        <w:rPr>
          <w:rFonts w:ascii="Times-Roman" w:hAnsi="Times-Roman" w:cs="Times-Roman"/>
        </w:rPr>
        <w:t>BS, Fogarty LA, Phillips</w:t>
      </w:r>
      <w:r>
        <w:rPr>
          <w:rFonts w:ascii="Times-Roman" w:hAnsi="Times-Roman" w:cs="Times-Roman"/>
        </w:rPr>
        <w:t xml:space="preserve"> </w:t>
      </w:r>
      <w:r w:rsidRPr="00CF3CFC">
        <w:rPr>
          <w:rFonts w:ascii="Times-Roman" w:hAnsi="Times-Roman" w:cs="Times-Roman"/>
        </w:rPr>
        <w:t>H,</w:t>
      </w:r>
      <w:r>
        <w:rPr>
          <w:rFonts w:ascii="Times-Roman" w:hAnsi="Times-Roman" w:cs="Times-Roman"/>
        </w:rPr>
        <w:t xml:space="preserve"> et al. </w:t>
      </w:r>
      <w:r w:rsidRPr="00CF3CFC">
        <w:rPr>
          <w:rFonts w:ascii="Times-Roman" w:hAnsi="Times-Roman" w:cs="Times-Roman"/>
        </w:rPr>
        <w:t>Surrogate decision</w:t>
      </w:r>
      <w:r>
        <w:rPr>
          <w:rFonts w:ascii="Times-Roman" w:hAnsi="Times-Roman" w:cs="Times-Roman"/>
        </w:rPr>
        <w:t xml:space="preserve"> </w:t>
      </w:r>
      <w:r w:rsidRPr="00CF3CFC">
        <w:rPr>
          <w:rFonts w:ascii="Times-Roman" w:hAnsi="Times-Roman" w:cs="Times-Roman"/>
        </w:rPr>
        <w:t>makers’</w:t>
      </w:r>
      <w:r>
        <w:rPr>
          <w:rFonts w:ascii="Times-Roman" w:hAnsi="Times-Roman" w:cs="Times-Roman"/>
        </w:rPr>
        <w:t xml:space="preserve"> understanding of dementia </w:t>
      </w:r>
      <w:r w:rsidRPr="00CF3CFC">
        <w:rPr>
          <w:rFonts w:ascii="Times-Roman" w:hAnsi="Times-Roman" w:cs="Times-Roman"/>
        </w:rPr>
        <w:t>patients’</w:t>
      </w:r>
      <w:r>
        <w:rPr>
          <w:rFonts w:ascii="Times-Roman" w:hAnsi="Times-Roman" w:cs="Times-Roman"/>
        </w:rPr>
        <w:t xml:space="preserve"> prior </w:t>
      </w:r>
      <w:r w:rsidRPr="00CF3CFC">
        <w:rPr>
          <w:rFonts w:ascii="Times-Roman" w:hAnsi="Times-Roman" w:cs="Times-Roman"/>
        </w:rPr>
        <w:t>wishes for</w:t>
      </w:r>
      <w:r>
        <w:rPr>
          <w:rFonts w:ascii="Times-Roman" w:hAnsi="Times-Roman" w:cs="Times-Roman"/>
        </w:rPr>
        <w:t xml:space="preserve"> E</w:t>
      </w:r>
      <w:r w:rsidRPr="00CF3CFC">
        <w:rPr>
          <w:rFonts w:ascii="Times-Roman" w:hAnsi="Times-Roman" w:cs="Times-Roman"/>
        </w:rPr>
        <w:t>nd</w:t>
      </w:r>
      <w:r>
        <w:rPr>
          <w:rFonts w:ascii="Times-Roman" w:hAnsi="Times-Roman" w:cs="Times-Roman"/>
        </w:rPr>
        <w:t>-</w:t>
      </w:r>
      <w:r w:rsidRPr="00CF3CFC">
        <w:rPr>
          <w:rFonts w:ascii="Times-Roman" w:hAnsi="Times-Roman" w:cs="Times-Roman"/>
        </w:rPr>
        <w:t>of</w:t>
      </w:r>
      <w:r>
        <w:rPr>
          <w:rFonts w:ascii="Times-Roman" w:hAnsi="Times-Roman" w:cs="Times-Roman"/>
        </w:rPr>
        <w:t>-L</w:t>
      </w:r>
      <w:r w:rsidRPr="00CF3CFC">
        <w:rPr>
          <w:rFonts w:ascii="Times-Roman" w:hAnsi="Times-Roman" w:cs="Times-Roman"/>
        </w:rPr>
        <w:t>ife</w:t>
      </w:r>
      <w:r>
        <w:rPr>
          <w:rFonts w:ascii="Times-Roman" w:hAnsi="Times-Roman" w:cs="Times-Roman"/>
        </w:rPr>
        <w:t xml:space="preserve"> </w:t>
      </w:r>
      <w:r w:rsidRPr="00CF3CFC">
        <w:rPr>
          <w:rFonts w:ascii="Times-Roman" w:hAnsi="Times-Roman" w:cs="Times-Roman"/>
        </w:rPr>
        <w:t xml:space="preserve">care. </w:t>
      </w:r>
      <w:r w:rsidRPr="00CF3CFC">
        <w:rPr>
          <w:rFonts w:ascii="Times-Roman" w:hAnsi="Times-Roman" w:cs="Times-Roman"/>
          <w:i/>
          <w:iCs/>
        </w:rPr>
        <w:t>J Aging Health</w:t>
      </w:r>
      <w:r>
        <w:rPr>
          <w:rFonts w:ascii="Times-Roman" w:hAnsi="Times-Roman" w:cs="Times-Roman"/>
          <w:i/>
          <w:iCs/>
        </w:rPr>
        <w:t xml:space="preserve"> </w:t>
      </w:r>
      <w:r>
        <w:rPr>
          <w:rFonts w:ascii="Times-Roman" w:hAnsi="Times-Roman" w:cs="Times-Roman"/>
          <w:iCs/>
        </w:rPr>
        <w:t>2009;</w:t>
      </w:r>
      <w:r w:rsidRPr="002322E5">
        <w:rPr>
          <w:rFonts w:ascii="Times-Roman" w:hAnsi="Times-Roman" w:cs="Times-Roman"/>
          <w:b/>
          <w:bCs/>
        </w:rPr>
        <w:t>21</w:t>
      </w:r>
      <w:r>
        <w:rPr>
          <w:rFonts w:ascii="Times-Roman" w:hAnsi="Times-Roman" w:cs="Times-Roman"/>
        </w:rPr>
        <w:t>:</w:t>
      </w:r>
      <w:r w:rsidRPr="00CF3CFC">
        <w:rPr>
          <w:rFonts w:ascii="Times-Roman" w:hAnsi="Times-Roman" w:cs="Times-Roman"/>
        </w:rPr>
        <w:t>627</w:t>
      </w:r>
      <w:r w:rsidRPr="00BC67D2">
        <w:t>–</w:t>
      </w:r>
      <w:r w:rsidRPr="00CF3CFC">
        <w:rPr>
          <w:rFonts w:ascii="Times-Roman" w:hAnsi="Times-Roman" w:cs="Times-Roman"/>
        </w:rPr>
        <w:t>650.</w:t>
      </w:r>
    </w:p>
    <w:p w14:paraId="7623DB5D" w14:textId="77777777" w:rsidR="00752B8C" w:rsidRDefault="00752B8C" w:rsidP="00312C2A">
      <w:pPr>
        <w:pStyle w:val="EndnoteText"/>
        <w:spacing w:line="480" w:lineRule="auto"/>
      </w:pPr>
    </w:p>
  </w:endnote>
  <w:endnote w:id="9">
    <w:p w14:paraId="58A37386" w14:textId="77777777" w:rsidR="00752B8C" w:rsidRPr="009D1C5E" w:rsidRDefault="00752B8C" w:rsidP="00312C2A">
      <w:pPr>
        <w:widowControl w:val="0"/>
        <w:autoSpaceDE w:val="0"/>
        <w:autoSpaceDN w:val="0"/>
        <w:adjustRightInd w:val="0"/>
        <w:spacing w:line="480" w:lineRule="auto"/>
        <w:rPr>
          <w:rStyle w:val="slug-doi"/>
        </w:rPr>
      </w:pPr>
      <w:r>
        <w:rPr>
          <w:rStyle w:val="EndnoteReference"/>
        </w:rPr>
        <w:endnoteRef/>
      </w:r>
      <w:r>
        <w:t xml:space="preserve"> </w:t>
      </w:r>
      <w:r w:rsidRPr="008104BB">
        <w:t>Lingler JH, Hirschman KB, Garand L</w:t>
      </w:r>
      <w:r>
        <w:t>, et al.</w:t>
      </w:r>
      <w:r w:rsidRPr="008104BB">
        <w:t xml:space="preserve"> Frequency and correlates of advanced planning among</w:t>
      </w:r>
      <w:r>
        <w:tab/>
      </w:r>
      <w:r w:rsidRPr="008104BB">
        <w:t xml:space="preserve">cognitively impaired older adults. </w:t>
      </w:r>
      <w:r>
        <w:rPr>
          <w:i/>
        </w:rPr>
        <w:t>Am J Geriatr Psychiatry</w:t>
      </w:r>
      <w:r>
        <w:t xml:space="preserve"> 2008;</w:t>
      </w:r>
      <w:r w:rsidRPr="002322E5">
        <w:rPr>
          <w:b/>
        </w:rPr>
        <w:t>16</w:t>
      </w:r>
      <w:r>
        <w:t>:</w:t>
      </w:r>
      <w:r w:rsidRPr="008104BB">
        <w:t>643–649.</w:t>
      </w:r>
      <w:r>
        <w:t xml:space="preserve"> </w:t>
      </w:r>
    </w:p>
    <w:p w14:paraId="1193B586" w14:textId="77777777" w:rsidR="00752B8C" w:rsidRDefault="00752B8C" w:rsidP="00312C2A">
      <w:pPr>
        <w:pStyle w:val="EndnoteText"/>
        <w:spacing w:line="480" w:lineRule="auto"/>
      </w:pPr>
    </w:p>
  </w:endnote>
  <w:endnote w:id="10">
    <w:p w14:paraId="6AA780FC" w14:textId="77777777" w:rsidR="00752B8C" w:rsidRDefault="00752B8C" w:rsidP="00312C2A">
      <w:pPr>
        <w:widowControl w:val="0"/>
        <w:autoSpaceDE w:val="0"/>
        <w:autoSpaceDN w:val="0"/>
        <w:adjustRightInd w:val="0"/>
        <w:spacing w:line="480" w:lineRule="auto"/>
        <w:rPr>
          <w:rFonts w:ascii="TimesNewRomanPSMT" w:hAnsi="TimesNewRomanPSMT" w:cs="TimesNewRomanPSMT"/>
        </w:rPr>
      </w:pPr>
      <w:r>
        <w:rPr>
          <w:rStyle w:val="EndnoteReference"/>
        </w:rPr>
        <w:endnoteRef/>
      </w:r>
      <w:r>
        <w:t xml:space="preserve"> </w:t>
      </w:r>
      <w:r w:rsidRPr="005C57A5">
        <w:rPr>
          <w:rFonts w:ascii="TimesNewRomanPSMT" w:hAnsi="TimesNewRomanPSMT" w:cs="TimesNewRomanPSMT"/>
        </w:rPr>
        <w:t>Low JA, Ng</w:t>
      </w:r>
      <w:r>
        <w:rPr>
          <w:rFonts w:ascii="TimesNewRomanPSMT" w:hAnsi="TimesNewRomanPSMT" w:cs="TimesNewRomanPSMT"/>
        </w:rPr>
        <w:t xml:space="preserve"> W</w:t>
      </w:r>
      <w:r w:rsidRPr="005C57A5">
        <w:rPr>
          <w:rFonts w:ascii="TimesNewRomanPSMT" w:hAnsi="TimesNewRomanPSMT" w:cs="TimesNewRomanPSMT"/>
        </w:rPr>
        <w:t>C, Yap</w:t>
      </w:r>
      <w:r>
        <w:rPr>
          <w:rFonts w:ascii="TimesNewRomanPSMT" w:hAnsi="TimesNewRomanPSMT" w:cs="TimesNewRomanPSMT"/>
        </w:rPr>
        <w:t xml:space="preserve"> </w:t>
      </w:r>
      <w:r w:rsidRPr="005C57A5">
        <w:rPr>
          <w:rFonts w:ascii="TimesNewRomanPSMT" w:hAnsi="TimesNewRomanPSMT" w:cs="TimesNewRomanPSMT"/>
        </w:rPr>
        <w:t>KB,</w:t>
      </w:r>
      <w:r>
        <w:rPr>
          <w:rFonts w:ascii="TimesNewRomanPSMT" w:hAnsi="TimesNewRomanPSMT" w:cs="TimesNewRomanPSMT"/>
        </w:rPr>
        <w:t xml:space="preserve"> et al.</w:t>
      </w:r>
      <w:r w:rsidRPr="005C57A5">
        <w:rPr>
          <w:rFonts w:ascii="TimesNewRomanPSMT" w:hAnsi="TimesNewRomanPSMT" w:cs="TimesNewRomanPSMT"/>
        </w:rPr>
        <w:t xml:space="preserve"> End-of-life issues—preferences</w:t>
      </w:r>
      <w:r>
        <w:rPr>
          <w:rFonts w:ascii="TimesNewRomanPSMT" w:hAnsi="TimesNewRomanPSMT" w:cs="TimesNewRomanPSMT"/>
        </w:rPr>
        <w:tab/>
      </w:r>
      <w:r w:rsidRPr="005C57A5">
        <w:rPr>
          <w:rFonts w:ascii="TimesNewRomanPSMT" w:hAnsi="TimesNewRomanPSMT" w:cs="TimesNewRomanPSMT"/>
        </w:rPr>
        <w:t>and choices of a group of elderly Chinese subjects attending a day care</w:t>
      </w:r>
      <w:r>
        <w:rPr>
          <w:rFonts w:ascii="TimesNewRomanPSMT" w:hAnsi="TimesNewRomanPSMT" w:cs="TimesNewRomanPSMT"/>
        </w:rPr>
        <w:t xml:space="preserve"> centre in </w:t>
      </w:r>
      <w:r w:rsidRPr="005C57A5">
        <w:rPr>
          <w:rFonts w:ascii="TimesNewRomanPSMT" w:hAnsi="TimesNewRomanPSMT" w:cs="TimesNewRomanPSMT"/>
        </w:rPr>
        <w:t xml:space="preserve">Singapore. </w:t>
      </w:r>
      <w:r>
        <w:rPr>
          <w:rFonts w:ascii="TimesNewRomanPSMT" w:hAnsi="TimesNewRomanPSMT" w:cs="TimesNewRomanPSMT"/>
          <w:i/>
        </w:rPr>
        <w:t>Ann Acad Med Singapore</w:t>
      </w:r>
      <w:r w:rsidRPr="00F831A4">
        <w:rPr>
          <w:rFonts w:ascii="TimesNewRomanPSMT" w:hAnsi="TimesNewRomanPSMT" w:cs="TimesNewRomanPSMT"/>
          <w:i/>
        </w:rPr>
        <w:t xml:space="preserve"> </w:t>
      </w:r>
      <w:r>
        <w:rPr>
          <w:rFonts w:ascii="TimesNewRomanPSMT" w:hAnsi="TimesNewRomanPSMT" w:cs="TimesNewRomanPSMT"/>
        </w:rPr>
        <w:t>2000;</w:t>
      </w:r>
      <w:r w:rsidRPr="002322E5">
        <w:rPr>
          <w:rFonts w:ascii="TimesNewRomanPSMT" w:hAnsi="TimesNewRomanPSMT" w:cs="TimesNewRomanPSMT"/>
          <w:b/>
        </w:rPr>
        <w:t>29</w:t>
      </w:r>
      <w:r>
        <w:rPr>
          <w:rFonts w:ascii="TimesNewRomanPSMT" w:hAnsi="TimesNewRomanPSMT" w:cs="TimesNewRomanPSMT"/>
        </w:rPr>
        <w:t>:</w:t>
      </w:r>
      <w:r w:rsidRPr="005C57A5">
        <w:rPr>
          <w:rFonts w:ascii="TimesNewRomanPSMT" w:hAnsi="TimesNewRomanPSMT" w:cs="TimesNewRomanPSMT"/>
        </w:rPr>
        <w:t>50</w:t>
      </w:r>
      <w:r w:rsidRPr="00BC67D2">
        <w:t>–</w:t>
      </w:r>
      <w:r>
        <w:rPr>
          <w:rFonts w:ascii="TimesNewRomanPSMT" w:hAnsi="TimesNewRomanPSMT" w:cs="TimesNewRomanPSMT"/>
        </w:rPr>
        <w:t>5</w:t>
      </w:r>
      <w:r w:rsidRPr="005C57A5">
        <w:rPr>
          <w:rFonts w:ascii="TimesNewRomanPSMT" w:hAnsi="TimesNewRomanPSMT" w:cs="TimesNewRomanPSMT"/>
        </w:rPr>
        <w:t>6.</w:t>
      </w:r>
    </w:p>
    <w:p w14:paraId="370C434D" w14:textId="77777777" w:rsidR="00752B8C" w:rsidRDefault="00752B8C" w:rsidP="00312C2A">
      <w:pPr>
        <w:pStyle w:val="EndnoteText"/>
        <w:spacing w:line="480" w:lineRule="auto"/>
      </w:pPr>
    </w:p>
  </w:endnote>
  <w:endnote w:id="11">
    <w:p w14:paraId="6C7EAF32" w14:textId="0A1B50F9" w:rsidR="00752B8C" w:rsidRDefault="00752B8C" w:rsidP="00312C2A">
      <w:pPr>
        <w:widowControl w:val="0"/>
        <w:autoSpaceDE w:val="0"/>
        <w:autoSpaceDN w:val="0"/>
        <w:adjustRightInd w:val="0"/>
        <w:spacing w:line="480" w:lineRule="auto"/>
        <w:rPr>
          <w:color w:val="231F20"/>
        </w:rPr>
      </w:pPr>
      <w:r>
        <w:rPr>
          <w:rStyle w:val="EndnoteReference"/>
        </w:rPr>
        <w:endnoteRef/>
      </w:r>
      <w:r>
        <w:t xml:space="preserve"> </w:t>
      </w:r>
      <w:r>
        <w:rPr>
          <w:color w:val="231F20"/>
        </w:rPr>
        <w:t xml:space="preserve">Tay M, Chia SE, &amp; Sng J. Knowledge, attitudes and practices of the advance medical directive in a residential estate in Singapore. </w:t>
      </w:r>
      <w:r>
        <w:rPr>
          <w:i/>
          <w:color w:val="231F20"/>
        </w:rPr>
        <w:t xml:space="preserve">Ann Acad Med Singapore </w:t>
      </w:r>
      <w:r w:rsidRPr="002353DA">
        <w:rPr>
          <w:color w:val="231F20"/>
        </w:rPr>
        <w:t>2010</w:t>
      </w:r>
      <w:r>
        <w:rPr>
          <w:color w:val="231F20"/>
        </w:rPr>
        <w:t>;</w:t>
      </w:r>
      <w:r w:rsidRPr="002322E5">
        <w:rPr>
          <w:b/>
          <w:color w:val="231F20"/>
        </w:rPr>
        <w:t>39</w:t>
      </w:r>
      <w:r>
        <w:rPr>
          <w:color w:val="231F20"/>
        </w:rPr>
        <w:t>:424–428.</w:t>
      </w:r>
    </w:p>
    <w:p w14:paraId="53140347" w14:textId="77777777" w:rsidR="00752B8C" w:rsidRDefault="00752B8C" w:rsidP="00312C2A">
      <w:pPr>
        <w:pStyle w:val="EndnoteText"/>
        <w:spacing w:line="480" w:lineRule="auto"/>
      </w:pPr>
    </w:p>
  </w:endnote>
  <w:endnote w:id="12">
    <w:p w14:paraId="41CEAD35" w14:textId="2A6DBC77" w:rsidR="00752B8C" w:rsidRDefault="00752B8C" w:rsidP="00312C2A">
      <w:pPr>
        <w:pStyle w:val="EndnoteText"/>
        <w:spacing w:line="480" w:lineRule="auto"/>
      </w:pPr>
      <w:r>
        <w:rPr>
          <w:rStyle w:val="EndnoteReference"/>
        </w:rPr>
        <w:endnoteRef/>
      </w:r>
      <w:r>
        <w:t xml:space="preserve"> Ng R, Chan S, Ng TW, et al. An exploratory study of the knowledge, attitudes and perceptions of advance care planning in family caregivers of patients with advanced illness in Singapore. </w:t>
      </w:r>
      <w:r w:rsidRPr="002322E5">
        <w:rPr>
          <w:i/>
        </w:rPr>
        <w:t>BMJ Supportive &amp; Palliative Care</w:t>
      </w:r>
      <w:r>
        <w:t xml:space="preserve"> 2013;</w:t>
      </w:r>
      <w:r w:rsidRPr="002322E5">
        <w:rPr>
          <w:b/>
        </w:rPr>
        <w:t>3</w:t>
      </w:r>
      <w:r>
        <w:t xml:space="preserve">:343–348. </w:t>
      </w:r>
    </w:p>
    <w:p w14:paraId="30D7B21B" w14:textId="77777777" w:rsidR="00752B8C" w:rsidRDefault="00752B8C" w:rsidP="00312C2A">
      <w:pPr>
        <w:pStyle w:val="EndnoteText"/>
        <w:spacing w:line="480" w:lineRule="auto"/>
      </w:pPr>
    </w:p>
  </w:endnote>
  <w:endnote w:id="13">
    <w:p w14:paraId="5DD88635" w14:textId="7C398727" w:rsidR="00752B8C" w:rsidRDefault="00752B8C" w:rsidP="00312C2A">
      <w:pPr>
        <w:pStyle w:val="EndnoteText"/>
        <w:spacing w:line="480" w:lineRule="auto"/>
      </w:pPr>
      <w:r>
        <w:rPr>
          <w:rStyle w:val="EndnoteReference"/>
        </w:rPr>
        <w:endnoteRef/>
      </w:r>
      <w:r>
        <w:t xml:space="preserve"> Chung I, Wong C, Oh C, et al. Implementing a national advance care planning (ACP) programme in Singapore. </w:t>
      </w:r>
      <w:r w:rsidRPr="002322E5">
        <w:rPr>
          <w:i/>
        </w:rPr>
        <w:t>BMJ Supportive &amp; Palliative Care</w:t>
      </w:r>
      <w:r>
        <w:t xml:space="preserve"> 2013;</w:t>
      </w:r>
      <w:r w:rsidRPr="002322E5">
        <w:rPr>
          <w:b/>
        </w:rPr>
        <w:t>3</w:t>
      </w:r>
      <w:r>
        <w:t>:256–257.</w:t>
      </w:r>
    </w:p>
    <w:p w14:paraId="56A17545" w14:textId="77777777" w:rsidR="00752B8C" w:rsidRDefault="00752B8C" w:rsidP="00312C2A">
      <w:pPr>
        <w:pStyle w:val="EndnoteText"/>
        <w:spacing w:line="480" w:lineRule="auto"/>
      </w:pPr>
    </w:p>
  </w:endnote>
  <w:endnote w:id="14">
    <w:p w14:paraId="0B1CC5FD" w14:textId="77777777" w:rsidR="00752B8C" w:rsidRPr="00621105" w:rsidRDefault="00752B8C" w:rsidP="00312C2A">
      <w:pPr>
        <w:widowControl w:val="0"/>
        <w:autoSpaceDE w:val="0"/>
        <w:autoSpaceDN w:val="0"/>
        <w:adjustRightInd w:val="0"/>
        <w:spacing w:line="480" w:lineRule="auto"/>
        <w:rPr>
          <w:color w:val="000000"/>
        </w:rPr>
      </w:pPr>
      <w:r>
        <w:rPr>
          <w:rStyle w:val="EndnoteReference"/>
        </w:rPr>
        <w:endnoteRef/>
      </w:r>
      <w:r>
        <w:t xml:space="preserve"> </w:t>
      </w:r>
      <w:r>
        <w:rPr>
          <w:iCs/>
          <w:lang w:bidi="en-US"/>
        </w:rPr>
        <w:t>Folstein MF, Folstein SE</w:t>
      </w:r>
      <w:r w:rsidRPr="00621105">
        <w:rPr>
          <w:iCs/>
          <w:lang w:bidi="en-US"/>
        </w:rPr>
        <w:t xml:space="preserve">, </w:t>
      </w:r>
      <w:r>
        <w:rPr>
          <w:iCs/>
          <w:lang w:bidi="en-US"/>
        </w:rPr>
        <w:t>&amp; McHugh PR.</w:t>
      </w:r>
      <w:r w:rsidRPr="00621105">
        <w:rPr>
          <w:iCs/>
          <w:lang w:bidi="en-US"/>
        </w:rPr>
        <w:t xml:space="preserve"> "Mini-me</w:t>
      </w:r>
      <w:r>
        <w:rPr>
          <w:iCs/>
          <w:lang w:bidi="en-US"/>
        </w:rPr>
        <w:t xml:space="preserve">ntal state". A practical method </w:t>
      </w:r>
      <w:r w:rsidRPr="00621105">
        <w:rPr>
          <w:iCs/>
          <w:lang w:bidi="en-US"/>
        </w:rPr>
        <w:t xml:space="preserve">for grading the cognitive state of patients for the clinician. </w:t>
      </w:r>
      <w:r>
        <w:rPr>
          <w:i/>
          <w:iCs/>
          <w:lang w:bidi="en-US"/>
        </w:rPr>
        <w:t>J Psychiatr R</w:t>
      </w:r>
      <w:r w:rsidRPr="00621105">
        <w:rPr>
          <w:i/>
          <w:iCs/>
          <w:lang w:bidi="en-US"/>
        </w:rPr>
        <w:t>es</w:t>
      </w:r>
      <w:r>
        <w:rPr>
          <w:i/>
          <w:iCs/>
          <w:lang w:bidi="en-US"/>
        </w:rPr>
        <w:t xml:space="preserve"> </w:t>
      </w:r>
      <w:r>
        <w:rPr>
          <w:iCs/>
          <w:lang w:bidi="en-US"/>
        </w:rPr>
        <w:t>1975;</w:t>
      </w:r>
      <w:r w:rsidRPr="002322E5">
        <w:rPr>
          <w:b/>
          <w:iCs/>
          <w:lang w:bidi="en-US"/>
        </w:rPr>
        <w:t>12</w:t>
      </w:r>
      <w:r>
        <w:rPr>
          <w:iCs/>
          <w:lang w:bidi="en-US"/>
        </w:rPr>
        <w:t>:</w:t>
      </w:r>
      <w:r w:rsidRPr="00621105">
        <w:rPr>
          <w:iCs/>
          <w:lang w:bidi="en-US"/>
        </w:rPr>
        <w:t>189–</w:t>
      </w:r>
      <w:r>
        <w:rPr>
          <w:iCs/>
          <w:lang w:bidi="en-US"/>
        </w:rPr>
        <w:t>1</w:t>
      </w:r>
      <w:r w:rsidRPr="00621105">
        <w:rPr>
          <w:iCs/>
          <w:lang w:bidi="en-US"/>
        </w:rPr>
        <w:t>98.</w:t>
      </w:r>
    </w:p>
    <w:p w14:paraId="69E4404B" w14:textId="77777777" w:rsidR="00752B8C" w:rsidRDefault="00752B8C" w:rsidP="00312C2A">
      <w:pPr>
        <w:pStyle w:val="EndnoteText"/>
        <w:spacing w:line="480" w:lineRule="auto"/>
      </w:pPr>
    </w:p>
  </w:endnote>
  <w:endnote w:id="15">
    <w:p w14:paraId="6ED5EB78" w14:textId="54FE1C06" w:rsidR="00752B8C" w:rsidRDefault="00752B8C" w:rsidP="001C7120">
      <w:pPr>
        <w:widowControl w:val="0"/>
        <w:autoSpaceDE w:val="0"/>
        <w:autoSpaceDN w:val="0"/>
        <w:adjustRightInd w:val="0"/>
        <w:spacing w:line="480" w:lineRule="auto"/>
      </w:pPr>
      <w:r>
        <w:rPr>
          <w:rStyle w:val="EndnoteReference"/>
        </w:rPr>
        <w:endnoteRef/>
      </w:r>
      <w:r>
        <w:t xml:space="preserve"> </w:t>
      </w:r>
      <w:r w:rsidRPr="00621105">
        <w:t>Hughes CP, Berg</w:t>
      </w:r>
      <w:r>
        <w:t xml:space="preserve"> </w:t>
      </w:r>
      <w:r w:rsidRPr="00621105">
        <w:t>L, Danziger</w:t>
      </w:r>
      <w:r>
        <w:t>,</w:t>
      </w:r>
      <w:r w:rsidRPr="00621105">
        <w:t xml:space="preserve"> WL</w:t>
      </w:r>
      <w:r>
        <w:t xml:space="preserve">, et al. A new </w:t>
      </w:r>
      <w:r w:rsidRPr="00621105">
        <w:t xml:space="preserve">clinical scale for the staging of dementia. </w:t>
      </w:r>
      <w:r>
        <w:rPr>
          <w:i/>
        </w:rPr>
        <w:t xml:space="preserve">Br J Psychiatry </w:t>
      </w:r>
      <w:r>
        <w:t>1982;</w:t>
      </w:r>
      <w:r w:rsidRPr="002322E5">
        <w:rPr>
          <w:b/>
        </w:rPr>
        <w:t>140</w:t>
      </w:r>
      <w:r>
        <w:t>:566</w:t>
      </w:r>
      <w:r w:rsidRPr="00BC67D2">
        <w:t>–</w:t>
      </w:r>
      <w:r w:rsidRPr="00621105">
        <w:t>572.</w:t>
      </w:r>
    </w:p>
  </w:endnote>
  <w:endnote w:id="16">
    <w:p w14:paraId="1FB75BFF" w14:textId="77777777" w:rsidR="00752B8C" w:rsidRDefault="00752B8C" w:rsidP="00135E6C">
      <w:pPr>
        <w:widowControl w:val="0"/>
        <w:autoSpaceDE w:val="0"/>
        <w:autoSpaceDN w:val="0"/>
        <w:adjustRightInd w:val="0"/>
        <w:spacing w:line="480" w:lineRule="auto"/>
      </w:pPr>
      <w:r>
        <w:rPr>
          <w:rStyle w:val="EndnoteReference"/>
        </w:rPr>
        <w:endnoteRef/>
      </w:r>
      <w:r>
        <w:t xml:space="preserve"> Verhey FRJ, Rozentaal N, Ponds RWHM, et al.</w:t>
      </w:r>
      <w:r w:rsidRPr="00EE7DD1">
        <w:t xml:space="preserve"> Dementia,</w:t>
      </w:r>
      <w:r>
        <w:t xml:space="preserve"> </w:t>
      </w:r>
      <w:r w:rsidRPr="00EE7DD1">
        <w:t xml:space="preserve">awareness and depression. </w:t>
      </w:r>
      <w:r>
        <w:rPr>
          <w:i/>
          <w:iCs/>
        </w:rPr>
        <w:t xml:space="preserve">Int J Geriatr Psychiatry </w:t>
      </w:r>
      <w:r>
        <w:rPr>
          <w:iCs/>
        </w:rPr>
        <w:t>1993;</w:t>
      </w:r>
      <w:r w:rsidRPr="009C7852">
        <w:rPr>
          <w:b/>
          <w:iCs/>
        </w:rPr>
        <w:t>8</w:t>
      </w:r>
      <w:r w:rsidRPr="009C7852">
        <w:rPr>
          <w:iCs/>
        </w:rPr>
        <w:t>:</w:t>
      </w:r>
      <w:r w:rsidRPr="00EE7DD1">
        <w:t>851</w:t>
      </w:r>
      <w:r w:rsidRPr="00BC67D2">
        <w:t>–</w:t>
      </w:r>
      <w:r w:rsidRPr="00EE7DD1">
        <w:t>856.</w:t>
      </w:r>
    </w:p>
    <w:p w14:paraId="3385FB88" w14:textId="77777777" w:rsidR="00752B8C" w:rsidRDefault="00752B8C" w:rsidP="00135E6C">
      <w:pPr>
        <w:widowControl w:val="0"/>
        <w:autoSpaceDE w:val="0"/>
        <w:autoSpaceDN w:val="0"/>
        <w:adjustRightInd w:val="0"/>
        <w:spacing w:line="480" w:lineRule="auto"/>
      </w:pPr>
    </w:p>
  </w:endnote>
  <w:endnote w:id="17">
    <w:p w14:paraId="585113C9" w14:textId="77777777" w:rsidR="00752B8C" w:rsidRDefault="00752B8C" w:rsidP="00135E6C">
      <w:pPr>
        <w:pStyle w:val="EndnoteText"/>
        <w:spacing w:line="480" w:lineRule="auto"/>
      </w:pPr>
      <w:r>
        <w:rPr>
          <w:rStyle w:val="EndnoteReference"/>
        </w:rPr>
        <w:endnoteRef/>
      </w:r>
      <w:r>
        <w:t xml:space="preserve"> Gundersen Health System. Respecting Choices: Advance Care Planning. </w:t>
      </w:r>
      <w:r w:rsidRPr="00135E6C">
        <w:t>http://www.gundersenhealth.org/respecting-choices</w:t>
      </w:r>
      <w:r>
        <w:t xml:space="preserve"> (accessed 30 December 2013).</w:t>
      </w:r>
    </w:p>
    <w:p w14:paraId="3970F12B" w14:textId="77777777" w:rsidR="00752B8C" w:rsidRDefault="00752B8C" w:rsidP="00135E6C">
      <w:pPr>
        <w:pStyle w:val="EndnoteText"/>
        <w:spacing w:line="480" w:lineRule="auto"/>
      </w:pPr>
    </w:p>
  </w:endnote>
  <w:endnote w:id="18">
    <w:p w14:paraId="3CE0CEB8" w14:textId="77777777" w:rsidR="00752B8C" w:rsidRPr="00667196" w:rsidRDefault="00752B8C" w:rsidP="00312C2A">
      <w:pPr>
        <w:widowControl w:val="0"/>
        <w:autoSpaceDE w:val="0"/>
        <w:autoSpaceDN w:val="0"/>
        <w:adjustRightInd w:val="0"/>
        <w:spacing w:line="480" w:lineRule="auto"/>
      </w:pPr>
      <w:r>
        <w:rPr>
          <w:rStyle w:val="EndnoteReference"/>
        </w:rPr>
        <w:endnoteRef/>
      </w:r>
      <w:r>
        <w:t xml:space="preserve"> Zanetti O, Vallotti B, Frisoni, GB, et al.</w:t>
      </w:r>
      <w:r w:rsidRPr="00667196">
        <w:t xml:space="preserve"> Insight in dementia: whe</w:t>
      </w:r>
      <w:r>
        <w:t xml:space="preserve">n does it occur? Evidence for a </w:t>
      </w:r>
      <w:r w:rsidRPr="00667196">
        <w:t xml:space="preserve">nonlinear relationship between insight and cognitive status. </w:t>
      </w:r>
      <w:r>
        <w:rPr>
          <w:i/>
          <w:iCs/>
        </w:rPr>
        <w:t xml:space="preserve">J Gerontol B Psychol Sci Soc Sci </w:t>
      </w:r>
      <w:r>
        <w:rPr>
          <w:iCs/>
        </w:rPr>
        <w:t>1999;</w:t>
      </w:r>
      <w:r w:rsidRPr="009C7852">
        <w:rPr>
          <w:b/>
          <w:iCs/>
        </w:rPr>
        <w:t>54B</w:t>
      </w:r>
      <w:r>
        <w:rPr>
          <w:iCs/>
        </w:rPr>
        <w:t>:</w:t>
      </w:r>
      <w:r w:rsidRPr="00667196">
        <w:rPr>
          <w:iCs/>
        </w:rPr>
        <w:t>100</w:t>
      </w:r>
      <w:r w:rsidRPr="00BC67D2">
        <w:t>–</w:t>
      </w:r>
      <w:r w:rsidRPr="00667196">
        <w:rPr>
          <w:iCs/>
        </w:rPr>
        <w:t xml:space="preserve">106. </w:t>
      </w:r>
    </w:p>
    <w:p w14:paraId="1767495B" w14:textId="77777777" w:rsidR="00752B8C" w:rsidRDefault="00752B8C" w:rsidP="00312C2A">
      <w:pPr>
        <w:pStyle w:val="EndnoteText"/>
        <w:spacing w:line="480" w:lineRule="auto"/>
      </w:pPr>
    </w:p>
  </w:endnote>
  <w:endnote w:id="19">
    <w:p w14:paraId="7075D9BC" w14:textId="77777777" w:rsidR="00752B8C" w:rsidRDefault="00752B8C" w:rsidP="00312C2A">
      <w:pPr>
        <w:widowControl w:val="0"/>
        <w:autoSpaceDE w:val="0"/>
        <w:autoSpaceDN w:val="0"/>
        <w:adjustRightInd w:val="0"/>
        <w:spacing w:line="480" w:lineRule="auto"/>
      </w:pPr>
      <w:r>
        <w:rPr>
          <w:rStyle w:val="EndnoteReference"/>
        </w:rPr>
        <w:endnoteRef/>
      </w:r>
      <w:r>
        <w:t xml:space="preserve"> Vallotti B, Zanetti O</w:t>
      </w:r>
      <w:r w:rsidRPr="00EE7DD1">
        <w:t>, Bianche</w:t>
      </w:r>
      <w:r>
        <w:t>tti A, et al.</w:t>
      </w:r>
      <w:r w:rsidRPr="00EE7DD1">
        <w:t xml:space="preserve"> L'insight nel</w:t>
      </w:r>
      <w:r>
        <w:t xml:space="preserve"> paziente </w:t>
      </w:r>
      <w:r w:rsidRPr="00EE7DD1">
        <w:t>demente: Riproducibilita di due strumenti di valutazione</w:t>
      </w:r>
      <w:r>
        <w:t xml:space="preserve"> </w:t>
      </w:r>
      <w:r w:rsidRPr="00EE7DD1">
        <w:t>[Reproducibility of two</w:t>
      </w:r>
      <w:r>
        <w:t xml:space="preserve"> </w:t>
      </w:r>
      <w:r w:rsidRPr="00EE7DD1">
        <w:t>scales to rate the insight in demented patients].</w:t>
      </w:r>
      <w:r>
        <w:t xml:space="preserve"> </w:t>
      </w:r>
      <w:r>
        <w:rPr>
          <w:i/>
          <w:iCs/>
        </w:rPr>
        <w:t xml:space="preserve">G Gerontol </w:t>
      </w:r>
      <w:r>
        <w:rPr>
          <w:iCs/>
        </w:rPr>
        <w:t>1997;</w:t>
      </w:r>
      <w:r w:rsidRPr="009C7852">
        <w:rPr>
          <w:b/>
          <w:iCs/>
        </w:rPr>
        <w:t>45</w:t>
      </w:r>
      <w:r w:rsidRPr="009C7852">
        <w:rPr>
          <w:iCs/>
        </w:rPr>
        <w:t>:</w:t>
      </w:r>
      <w:r w:rsidRPr="00EE7DD1">
        <w:t>341</w:t>
      </w:r>
      <w:r w:rsidRPr="00BC67D2">
        <w:t>–</w:t>
      </w:r>
      <w:r>
        <w:t>345.</w:t>
      </w:r>
    </w:p>
    <w:p w14:paraId="742EEB8B" w14:textId="77777777" w:rsidR="00752B8C" w:rsidRDefault="00752B8C" w:rsidP="00312C2A">
      <w:pPr>
        <w:pStyle w:val="EndnoteText"/>
        <w:spacing w:line="480" w:lineRule="auto"/>
      </w:pPr>
    </w:p>
  </w:endnote>
  <w:endnote w:id="20">
    <w:p w14:paraId="470F2337" w14:textId="77777777" w:rsidR="00752B8C" w:rsidRDefault="00752B8C" w:rsidP="00312C2A">
      <w:pPr>
        <w:widowControl w:val="0"/>
        <w:autoSpaceDE w:val="0"/>
        <w:autoSpaceDN w:val="0"/>
        <w:adjustRightInd w:val="0"/>
        <w:spacing w:line="480" w:lineRule="auto"/>
      </w:pPr>
      <w:r>
        <w:rPr>
          <w:rStyle w:val="EndnoteReference"/>
        </w:rPr>
        <w:endnoteRef/>
      </w:r>
      <w:r>
        <w:t xml:space="preserve"> </w:t>
      </w:r>
      <w:r>
        <w:rPr>
          <w:rStyle w:val="personname"/>
        </w:rPr>
        <w:t>Braun V,</w:t>
      </w:r>
      <w:r>
        <w:t xml:space="preserve"> </w:t>
      </w:r>
      <w:r>
        <w:rPr>
          <w:rStyle w:val="personname"/>
        </w:rPr>
        <w:t>Clarke V.</w:t>
      </w:r>
      <w:r>
        <w:t xml:space="preserve"> Using thematic analysis in psychology. </w:t>
      </w:r>
      <w:r>
        <w:rPr>
          <w:rStyle w:val="Emphasis"/>
        </w:rPr>
        <w:t>Qual Res Psychol</w:t>
      </w:r>
      <w:r>
        <w:t xml:space="preserve"> 2006;</w:t>
      </w:r>
      <w:r w:rsidRPr="009C7852">
        <w:rPr>
          <w:b/>
        </w:rPr>
        <w:t>3</w:t>
      </w:r>
      <w:r>
        <w:t>:77</w:t>
      </w:r>
      <w:r w:rsidRPr="00BC67D2">
        <w:t>–</w:t>
      </w:r>
      <w:r>
        <w:t xml:space="preserve">101. </w:t>
      </w:r>
    </w:p>
    <w:p w14:paraId="2AC6C83A" w14:textId="77777777" w:rsidR="00752B8C" w:rsidRDefault="00752B8C" w:rsidP="00312C2A">
      <w:pPr>
        <w:pStyle w:val="EndnoteText"/>
        <w:spacing w:line="480" w:lineRule="auto"/>
      </w:pPr>
    </w:p>
  </w:endnote>
  <w:endnote w:id="21">
    <w:p w14:paraId="26FC2B58" w14:textId="77777777" w:rsidR="00752B8C" w:rsidRDefault="00752B8C" w:rsidP="00312C2A">
      <w:pPr>
        <w:widowControl w:val="0"/>
        <w:autoSpaceDE w:val="0"/>
        <w:autoSpaceDN w:val="0"/>
        <w:adjustRightInd w:val="0"/>
        <w:spacing w:line="480" w:lineRule="auto"/>
      </w:pPr>
      <w:r>
        <w:rPr>
          <w:rStyle w:val="EndnoteReference"/>
        </w:rPr>
        <w:endnoteRef/>
      </w:r>
      <w:r>
        <w:t xml:space="preserve"> </w:t>
      </w:r>
      <w:r>
        <w:rPr>
          <w:color w:val="000000"/>
        </w:rPr>
        <w:t xml:space="preserve">Firth H, Gleeson, K. Clothing and embodiment: Men managing body image and appearance. </w:t>
      </w:r>
      <w:r>
        <w:rPr>
          <w:i/>
          <w:color w:val="000000"/>
        </w:rPr>
        <w:t xml:space="preserve">Psychol Men Masc </w:t>
      </w:r>
      <w:r>
        <w:rPr>
          <w:color w:val="000000"/>
        </w:rPr>
        <w:t>2004;</w:t>
      </w:r>
      <w:r w:rsidRPr="009C7852">
        <w:rPr>
          <w:b/>
          <w:color w:val="000000"/>
        </w:rPr>
        <w:t>5</w:t>
      </w:r>
      <w:r>
        <w:rPr>
          <w:color w:val="000000"/>
        </w:rPr>
        <w:t>:40</w:t>
      </w:r>
      <w:r w:rsidRPr="00BC67D2">
        <w:t>–</w:t>
      </w:r>
      <w:r>
        <w:rPr>
          <w:color w:val="000000"/>
        </w:rPr>
        <w:t>48.</w:t>
      </w:r>
    </w:p>
    <w:p w14:paraId="33179361" w14:textId="77777777" w:rsidR="00752B8C" w:rsidRDefault="00752B8C" w:rsidP="00312C2A">
      <w:pPr>
        <w:pStyle w:val="EndnoteText"/>
        <w:spacing w:line="480" w:lineRule="auto"/>
      </w:pPr>
    </w:p>
  </w:endnote>
  <w:endnote w:id="22">
    <w:p w14:paraId="2A7DC3DC" w14:textId="77777777" w:rsidR="00752B8C" w:rsidRDefault="00752B8C" w:rsidP="00312C2A">
      <w:pPr>
        <w:widowControl w:val="0"/>
        <w:autoSpaceDE w:val="0"/>
        <w:autoSpaceDN w:val="0"/>
        <w:adjustRightInd w:val="0"/>
        <w:spacing w:line="480" w:lineRule="auto"/>
      </w:pPr>
      <w:r>
        <w:rPr>
          <w:rStyle w:val="EndnoteReference"/>
        </w:rPr>
        <w:endnoteRef/>
      </w:r>
      <w:r>
        <w:t xml:space="preserve"> </w:t>
      </w:r>
      <w:r w:rsidRPr="00203212">
        <w:t>Schickedanz</w:t>
      </w:r>
      <w:r>
        <w:t xml:space="preserve"> </w:t>
      </w:r>
      <w:r w:rsidRPr="00203212">
        <w:t>AD, Schillinger D, Landefeld CS</w:t>
      </w:r>
      <w:r>
        <w:t xml:space="preserve">, et al. </w:t>
      </w:r>
      <w:r w:rsidRPr="00203212">
        <w:t>A clinical</w:t>
      </w:r>
      <w:r>
        <w:t xml:space="preserve"> </w:t>
      </w:r>
      <w:r w:rsidRPr="00203212">
        <w:t>framework for impr</w:t>
      </w:r>
      <w:r>
        <w:t xml:space="preserve">oving the advance care planning </w:t>
      </w:r>
      <w:r w:rsidRPr="00203212">
        <w:t>process:</w:t>
      </w:r>
      <w:r>
        <w:t xml:space="preserve"> </w:t>
      </w:r>
      <w:r w:rsidRPr="00203212">
        <w:t xml:space="preserve">start with patient’s self-identified barriers. </w:t>
      </w:r>
      <w:r>
        <w:rPr>
          <w:i/>
        </w:rPr>
        <w:t xml:space="preserve">J Am Geriatr Soc </w:t>
      </w:r>
      <w:r>
        <w:t>2009</w:t>
      </w:r>
      <w:proofErr w:type="gramStart"/>
      <w:r>
        <w:t>;</w:t>
      </w:r>
      <w:r w:rsidRPr="004B3B69">
        <w:rPr>
          <w:b/>
        </w:rPr>
        <w:t>57</w:t>
      </w:r>
      <w:r>
        <w:t>:</w:t>
      </w:r>
      <w:r w:rsidRPr="00203212">
        <w:t>31</w:t>
      </w:r>
      <w:proofErr w:type="gramEnd"/>
      <w:r w:rsidRPr="00203212">
        <w:t>–39</w:t>
      </w:r>
      <w:r>
        <w:t>.</w:t>
      </w:r>
    </w:p>
    <w:p w14:paraId="35CF9DAC" w14:textId="77777777" w:rsidR="00752B8C" w:rsidRDefault="00752B8C" w:rsidP="00312C2A">
      <w:pPr>
        <w:pStyle w:val="EndnoteText"/>
        <w:spacing w:line="480" w:lineRule="auto"/>
      </w:pPr>
    </w:p>
    <w:p w14:paraId="605E37DF" w14:textId="77777777" w:rsidR="00F771EA" w:rsidRDefault="00F771EA" w:rsidP="00312C2A">
      <w:pPr>
        <w:pStyle w:val="EndnoteText"/>
        <w:spacing w:line="480" w:lineRule="auto"/>
      </w:pPr>
    </w:p>
  </w:endnote>
  <w:endnote w:id="23">
    <w:p w14:paraId="78E0A5A6" w14:textId="77777777" w:rsidR="00752B8C" w:rsidRDefault="00752B8C" w:rsidP="00312C2A">
      <w:pPr>
        <w:widowControl w:val="0"/>
        <w:autoSpaceDE w:val="0"/>
        <w:autoSpaceDN w:val="0"/>
        <w:adjustRightInd w:val="0"/>
        <w:spacing w:line="480" w:lineRule="auto"/>
        <w:rPr>
          <w:color w:val="231F20"/>
        </w:rPr>
      </w:pPr>
      <w:r>
        <w:rPr>
          <w:rStyle w:val="EndnoteReference"/>
        </w:rPr>
        <w:endnoteRef/>
      </w:r>
      <w:r>
        <w:t xml:space="preserve"> </w:t>
      </w:r>
      <w:r>
        <w:rPr>
          <w:color w:val="231F20"/>
        </w:rPr>
        <w:t xml:space="preserve">Doukas DJ, Hardwig J. </w:t>
      </w:r>
      <w:r w:rsidRPr="001F4F34">
        <w:rPr>
          <w:color w:val="231F20"/>
        </w:rPr>
        <w:t>Using the family covenant in planning</w:t>
      </w:r>
      <w:r>
        <w:rPr>
          <w:color w:val="231F20"/>
        </w:rPr>
        <w:t xml:space="preserve"> end-of-life care: </w:t>
      </w:r>
      <w:r w:rsidRPr="001F4F34">
        <w:rPr>
          <w:color w:val="231F20"/>
        </w:rPr>
        <w:t>Obligations and promises of patients, families, and</w:t>
      </w:r>
      <w:r>
        <w:rPr>
          <w:color w:val="231F20"/>
        </w:rPr>
        <w:t xml:space="preserve"> physicians. </w:t>
      </w:r>
      <w:r>
        <w:rPr>
          <w:i/>
          <w:color w:val="231F20"/>
        </w:rPr>
        <w:t xml:space="preserve">J Am Geriatr Soc </w:t>
      </w:r>
      <w:r w:rsidRPr="004B3B69">
        <w:rPr>
          <w:color w:val="231F20"/>
        </w:rPr>
        <w:t>2003;</w:t>
      </w:r>
      <w:r w:rsidRPr="004B3B69">
        <w:rPr>
          <w:b/>
          <w:color w:val="231F20"/>
        </w:rPr>
        <w:t>51</w:t>
      </w:r>
      <w:r w:rsidRPr="004B3B69">
        <w:rPr>
          <w:color w:val="231F20"/>
        </w:rPr>
        <w:t>:</w:t>
      </w:r>
      <w:r w:rsidRPr="001F4F34">
        <w:rPr>
          <w:color w:val="231F20"/>
        </w:rPr>
        <w:t xml:space="preserve">1155–1158. </w:t>
      </w:r>
    </w:p>
    <w:p w14:paraId="73AE8179" w14:textId="77777777" w:rsidR="00752B8C" w:rsidRDefault="00752B8C" w:rsidP="00312C2A">
      <w:pPr>
        <w:pStyle w:val="EndnoteText"/>
        <w:spacing w:line="480" w:lineRule="auto"/>
      </w:pPr>
    </w:p>
  </w:endnote>
  <w:endnote w:id="24">
    <w:p w14:paraId="08A9E829" w14:textId="77777777" w:rsidR="00752B8C" w:rsidRDefault="00752B8C" w:rsidP="00312C2A">
      <w:pPr>
        <w:widowControl w:val="0"/>
        <w:autoSpaceDE w:val="0"/>
        <w:autoSpaceDN w:val="0"/>
        <w:adjustRightInd w:val="0"/>
        <w:spacing w:line="480" w:lineRule="auto"/>
      </w:pPr>
      <w:r>
        <w:rPr>
          <w:rStyle w:val="EndnoteReference"/>
        </w:rPr>
        <w:endnoteRef/>
      </w:r>
      <w:r>
        <w:t xml:space="preserve"> </w:t>
      </w:r>
      <w:r w:rsidRPr="00F34D3C">
        <w:rPr>
          <w:rFonts w:ascii="TimesNewRomanPSMT" w:hAnsi="TimesNewRomanPSMT" w:cs="TimesNewRomanPSMT"/>
        </w:rPr>
        <w:t xml:space="preserve">Fagerlin A, Ditto PH, Danks JH, </w:t>
      </w:r>
      <w:r>
        <w:rPr>
          <w:rFonts w:ascii="TimesNewRomanPSMT" w:hAnsi="TimesNewRomanPSMT" w:cs="TimesNewRomanPSMT"/>
        </w:rPr>
        <w:t xml:space="preserve">et al. Projection in </w:t>
      </w:r>
      <w:r w:rsidRPr="00F34D3C">
        <w:rPr>
          <w:rFonts w:ascii="TimesNewRomanPSMT" w:hAnsi="TimesNewRomanPSMT" w:cs="TimesNewRomanPSMT"/>
        </w:rPr>
        <w:t>surrogate decisions about life</w:t>
      </w:r>
      <w:r>
        <w:rPr>
          <w:rFonts w:ascii="TimesNewRomanPSMT" w:hAnsi="TimesNewRomanPSMT" w:cs="TimesNewRomanPSMT"/>
        </w:rPr>
        <w:t>-</w:t>
      </w:r>
      <w:r w:rsidRPr="00F34D3C">
        <w:rPr>
          <w:rFonts w:ascii="TimesNewRomanPSMT" w:hAnsi="TimesNewRomanPSMT" w:cs="TimesNewRomanPSMT"/>
        </w:rPr>
        <w:t>sustaining</w:t>
      </w:r>
      <w:r>
        <w:rPr>
          <w:rFonts w:ascii="TimesNewRomanPSMT" w:hAnsi="TimesNewRomanPSMT" w:cs="TimesNewRomanPSMT"/>
        </w:rPr>
        <w:t xml:space="preserve"> </w:t>
      </w:r>
      <w:r w:rsidRPr="00F34D3C">
        <w:rPr>
          <w:rFonts w:ascii="TimesNewRomanPSMT" w:hAnsi="TimesNewRomanPSMT" w:cs="TimesNewRomanPSMT"/>
        </w:rPr>
        <w:t>medica</w:t>
      </w:r>
      <w:r>
        <w:rPr>
          <w:rFonts w:ascii="TimesNewRomanPSMT" w:hAnsi="TimesNewRomanPSMT" w:cs="TimesNewRomanPSMT"/>
        </w:rPr>
        <w:t xml:space="preserve">l treatments. </w:t>
      </w:r>
      <w:r>
        <w:rPr>
          <w:rFonts w:ascii="TimesNewRomanPSMT" w:hAnsi="TimesNewRomanPSMT" w:cs="TimesNewRomanPSMT"/>
          <w:i/>
        </w:rPr>
        <w:t xml:space="preserve">Health Psychol </w:t>
      </w:r>
      <w:r>
        <w:rPr>
          <w:rFonts w:ascii="TimesNewRomanPSMT" w:hAnsi="TimesNewRomanPSMT" w:cs="TimesNewRomanPSMT"/>
        </w:rPr>
        <w:t>2001;</w:t>
      </w:r>
      <w:r>
        <w:rPr>
          <w:rFonts w:ascii="TimesNewRomanPSMT" w:hAnsi="TimesNewRomanPSMT" w:cs="TimesNewRomanPSMT"/>
          <w:i/>
        </w:rPr>
        <w:t xml:space="preserve"> </w:t>
      </w:r>
      <w:r w:rsidRPr="004B3B69">
        <w:rPr>
          <w:rFonts w:ascii="TimesNewRomanPSMT" w:hAnsi="TimesNewRomanPSMT" w:cs="TimesNewRomanPSMT"/>
          <w:b/>
        </w:rPr>
        <w:t>20</w:t>
      </w:r>
      <w:r w:rsidRPr="004B3B69">
        <w:rPr>
          <w:rFonts w:ascii="TimesNewRomanPSMT" w:hAnsi="TimesNewRomanPSMT" w:cs="TimesNewRomanPSMT"/>
        </w:rPr>
        <w:t>:</w:t>
      </w:r>
      <w:r w:rsidRPr="00F34D3C">
        <w:rPr>
          <w:rFonts w:ascii="TimesNewRomanPSMT" w:hAnsi="TimesNewRomanPSMT" w:cs="TimesNewRomanPSMT"/>
        </w:rPr>
        <w:t>166–175.</w:t>
      </w:r>
    </w:p>
    <w:p w14:paraId="793C2144" w14:textId="77777777" w:rsidR="00752B8C" w:rsidRDefault="00752B8C" w:rsidP="00312C2A">
      <w:pPr>
        <w:pStyle w:val="EndnoteText"/>
        <w:spacing w:line="480" w:lineRule="auto"/>
      </w:pPr>
    </w:p>
  </w:endnote>
  <w:endnote w:id="25">
    <w:p w14:paraId="12D52CA2" w14:textId="77777777" w:rsidR="00752B8C" w:rsidRDefault="00752B8C" w:rsidP="00312C2A">
      <w:pPr>
        <w:widowControl w:val="0"/>
        <w:autoSpaceDE w:val="0"/>
        <w:autoSpaceDN w:val="0"/>
        <w:adjustRightInd w:val="0"/>
        <w:spacing w:line="480" w:lineRule="auto"/>
        <w:rPr>
          <w:rStyle w:val="slug-doi"/>
        </w:rPr>
      </w:pPr>
      <w:r>
        <w:rPr>
          <w:rStyle w:val="EndnoteReference"/>
        </w:rPr>
        <w:endnoteRef/>
      </w:r>
      <w:r>
        <w:t xml:space="preserve"> Ng HPR. </w:t>
      </w:r>
      <w:r w:rsidRPr="00BC67D2">
        <w:t>Advance Care Planning: Let’s talk about y</w:t>
      </w:r>
      <w:r>
        <w:t xml:space="preserve">our preferences for care at the </w:t>
      </w:r>
      <w:r w:rsidRPr="00BC67D2">
        <w:t xml:space="preserve">end of life. </w:t>
      </w:r>
      <w:r>
        <w:rPr>
          <w:i/>
        </w:rPr>
        <w:t xml:space="preserve">Singapore Fam Physician </w:t>
      </w:r>
      <w:r>
        <w:t>2009;</w:t>
      </w:r>
      <w:r w:rsidRPr="00BC67D2">
        <w:rPr>
          <w:i/>
        </w:rPr>
        <w:t xml:space="preserve"> </w:t>
      </w:r>
      <w:r w:rsidRPr="004B3B69">
        <w:rPr>
          <w:b/>
        </w:rPr>
        <w:t>35</w:t>
      </w:r>
      <w:r>
        <w:t>:</w:t>
      </w:r>
      <w:r w:rsidRPr="00BC67D2">
        <w:t xml:space="preserve">93–99. </w:t>
      </w:r>
    </w:p>
    <w:p w14:paraId="171E114E" w14:textId="77777777" w:rsidR="00752B8C" w:rsidRDefault="00752B8C" w:rsidP="00312C2A">
      <w:pPr>
        <w:spacing w:line="480" w:lineRule="auto"/>
        <w:rPr>
          <w:rFonts w:eastAsia="MS Mincho"/>
          <w:lang w:eastAsia="ja-JP"/>
        </w:rPr>
      </w:pPr>
    </w:p>
    <w:p w14:paraId="778A97A1" w14:textId="77777777" w:rsidR="00752B8C" w:rsidRDefault="00752B8C" w:rsidP="0021616A">
      <w:pPr>
        <w:spacing w:line="480" w:lineRule="auto"/>
        <w:rPr>
          <w:rFonts w:eastAsia="MS Mincho"/>
          <w:lang w:eastAsia="ja-JP"/>
        </w:rPr>
      </w:pPr>
    </w:p>
    <w:p w14:paraId="1AE7E178" w14:textId="77777777" w:rsidR="00752B8C" w:rsidRDefault="00752B8C" w:rsidP="0021616A">
      <w:pPr>
        <w:spacing w:line="480" w:lineRule="auto"/>
        <w:rPr>
          <w:rFonts w:eastAsia="MS Mincho"/>
          <w:lang w:eastAsia="ja-JP"/>
        </w:rPr>
      </w:pPr>
    </w:p>
    <w:p w14:paraId="4CC17450" w14:textId="77777777" w:rsidR="00752B8C" w:rsidRDefault="00752B8C" w:rsidP="0021616A">
      <w:pPr>
        <w:spacing w:line="480" w:lineRule="auto"/>
        <w:rPr>
          <w:rFonts w:eastAsia="MS Mincho"/>
          <w:lang w:eastAsia="ja-JP"/>
        </w:rPr>
      </w:pPr>
    </w:p>
    <w:p w14:paraId="3497F1FC" w14:textId="77777777" w:rsidR="00752B8C" w:rsidRDefault="00752B8C" w:rsidP="0021616A">
      <w:pPr>
        <w:spacing w:line="480" w:lineRule="auto"/>
        <w:rPr>
          <w:rFonts w:eastAsia="MS Mincho"/>
          <w:lang w:eastAsia="ja-JP"/>
        </w:rPr>
      </w:pPr>
    </w:p>
    <w:p w14:paraId="442B30FB" w14:textId="77777777" w:rsidR="00752B8C" w:rsidRDefault="00752B8C" w:rsidP="0021616A">
      <w:pPr>
        <w:spacing w:line="480" w:lineRule="auto"/>
        <w:rPr>
          <w:rFonts w:eastAsia="MS Mincho"/>
          <w:lang w:eastAsia="ja-JP"/>
        </w:rPr>
      </w:pPr>
    </w:p>
    <w:p w14:paraId="4802DE41" w14:textId="77777777" w:rsidR="00752B8C" w:rsidRDefault="00752B8C" w:rsidP="0021616A">
      <w:pPr>
        <w:spacing w:line="480" w:lineRule="auto"/>
        <w:rPr>
          <w:rFonts w:eastAsia="MS Mincho"/>
          <w:lang w:eastAsia="ja-JP"/>
        </w:rPr>
      </w:pPr>
    </w:p>
    <w:p w14:paraId="311551FC" w14:textId="77777777" w:rsidR="00752B8C" w:rsidRDefault="00752B8C" w:rsidP="0021616A">
      <w:pPr>
        <w:spacing w:line="480" w:lineRule="auto"/>
        <w:rPr>
          <w:rFonts w:eastAsia="MS Mincho"/>
          <w:lang w:eastAsia="ja-JP"/>
        </w:rPr>
      </w:pPr>
    </w:p>
    <w:p w14:paraId="19F6F961" w14:textId="77777777" w:rsidR="00752B8C" w:rsidRDefault="00752B8C" w:rsidP="0021616A">
      <w:pPr>
        <w:spacing w:line="480" w:lineRule="auto"/>
        <w:rPr>
          <w:rFonts w:eastAsia="MS Mincho"/>
          <w:lang w:eastAsia="ja-JP"/>
        </w:rPr>
      </w:pPr>
    </w:p>
    <w:p w14:paraId="32C9C6FF" w14:textId="77777777" w:rsidR="00752B8C" w:rsidRDefault="00752B8C" w:rsidP="0021616A">
      <w:pPr>
        <w:pStyle w:val="EndnoteText"/>
      </w:pPr>
    </w:p>
    <w:p w14:paraId="01E3E66E" w14:textId="77777777" w:rsidR="00752B8C" w:rsidRDefault="00752B8C" w:rsidP="0021616A">
      <w:pPr>
        <w:spacing w:line="480" w:lineRule="auto"/>
      </w:pPr>
    </w:p>
    <w:p w14:paraId="1F0BA982" w14:textId="77777777" w:rsidR="00752B8C" w:rsidRDefault="00752B8C" w:rsidP="0021616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Times-Roman">
    <w:altName w:val="Times"/>
    <w:panose1 w:val="00000000000000000000"/>
    <w:charset w:val="4D"/>
    <w:family w:val="roman"/>
    <w:notTrueType/>
    <w:pitch w:val="default"/>
    <w:sig w:usb0="00000003" w:usb1="00000000" w:usb2="00000000" w:usb3="00000000" w:csb0="00000001" w:csb1="00000000"/>
  </w:font>
  <w:font w:name="TimesNewRomanPSMT">
    <w:altName w:val="Times New Roman"/>
    <w:panose1 w:val="00000000000000000000"/>
    <w:charset w:val="4D"/>
    <w:family w:val="script"/>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D4396" w14:textId="77777777" w:rsidR="00752B8C" w:rsidRDefault="00752B8C" w:rsidP="00CD24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19B839" w14:textId="77777777" w:rsidR="00752B8C" w:rsidRDefault="00752B8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63D65" w14:textId="77777777" w:rsidR="00752B8C" w:rsidRDefault="00752B8C" w:rsidP="00CD24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6FA0">
      <w:rPr>
        <w:rStyle w:val="PageNumber"/>
        <w:noProof/>
      </w:rPr>
      <w:t>18</w:t>
    </w:r>
    <w:r>
      <w:rPr>
        <w:rStyle w:val="PageNumber"/>
      </w:rPr>
      <w:fldChar w:fldCharType="end"/>
    </w:r>
  </w:p>
  <w:p w14:paraId="196B5485" w14:textId="77777777" w:rsidR="00752B8C" w:rsidRDefault="00752B8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FC4AE" w14:textId="77777777" w:rsidR="00752B8C" w:rsidRDefault="00752B8C">
      <w:r>
        <w:separator/>
      </w:r>
    </w:p>
  </w:footnote>
  <w:footnote w:type="continuationSeparator" w:id="0">
    <w:p w14:paraId="0D133CCC" w14:textId="77777777" w:rsidR="00752B8C" w:rsidRDefault="00752B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E6E2F" w14:textId="77777777" w:rsidR="00752B8C" w:rsidRDefault="00752B8C" w:rsidP="0051690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95CA93" w14:textId="77777777" w:rsidR="00752B8C" w:rsidRDefault="00752B8C" w:rsidP="0051690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C046F" w14:textId="77777777" w:rsidR="00752B8C" w:rsidRDefault="00752B8C" w:rsidP="0051690C">
    <w:pP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22AB3"/>
    <w:multiLevelType w:val="hybridMultilevel"/>
    <w:tmpl w:val="9FF29E00"/>
    <w:lvl w:ilvl="0" w:tplc="4270B842">
      <w:start w:val="1"/>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57046BAD"/>
    <w:multiLevelType w:val="hybridMultilevel"/>
    <w:tmpl w:val="560EF07C"/>
    <w:lvl w:ilvl="0" w:tplc="4270B842">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proofState w:spelling="clean" w:grammar="clean"/>
  <w:defaultTabStop w:val="720"/>
  <w:displayHorizontalDrawingGridEvery w:val="0"/>
  <w:displayVerticalDrawingGridEvery w:val="0"/>
  <w:doNotUseMarginsForDrawingGridOrigin/>
  <w:noPunctuationKerning/>
  <w:characterSpacingControl w:val="doNotCompress"/>
  <w:footnotePr>
    <w:numFmt w:val="lowerLette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93F"/>
    <w:rsid w:val="00005966"/>
    <w:rsid w:val="00007343"/>
    <w:rsid w:val="000123EA"/>
    <w:rsid w:val="00015284"/>
    <w:rsid w:val="000206E0"/>
    <w:rsid w:val="00021CB0"/>
    <w:rsid w:val="0002262E"/>
    <w:rsid w:val="00026552"/>
    <w:rsid w:val="00026EB9"/>
    <w:rsid w:val="00031CD1"/>
    <w:rsid w:val="00032FBD"/>
    <w:rsid w:val="0004267A"/>
    <w:rsid w:val="00046A30"/>
    <w:rsid w:val="000502F1"/>
    <w:rsid w:val="00050587"/>
    <w:rsid w:val="000541B5"/>
    <w:rsid w:val="000542E0"/>
    <w:rsid w:val="00062708"/>
    <w:rsid w:val="00063CEB"/>
    <w:rsid w:val="00064714"/>
    <w:rsid w:val="00064C9F"/>
    <w:rsid w:val="0006647F"/>
    <w:rsid w:val="000723E8"/>
    <w:rsid w:val="00076FA0"/>
    <w:rsid w:val="00085266"/>
    <w:rsid w:val="00086B75"/>
    <w:rsid w:val="00092E92"/>
    <w:rsid w:val="000A45BB"/>
    <w:rsid w:val="000A529E"/>
    <w:rsid w:val="000B2FA9"/>
    <w:rsid w:val="000B3676"/>
    <w:rsid w:val="000C229F"/>
    <w:rsid w:val="000C4E5C"/>
    <w:rsid w:val="000C7103"/>
    <w:rsid w:val="000C7C02"/>
    <w:rsid w:val="000C7D65"/>
    <w:rsid w:val="000D293F"/>
    <w:rsid w:val="000D3B43"/>
    <w:rsid w:val="000D5A5C"/>
    <w:rsid w:val="000E58AD"/>
    <w:rsid w:val="000E6464"/>
    <w:rsid w:val="000F5B6F"/>
    <w:rsid w:val="00101B43"/>
    <w:rsid w:val="00105DE5"/>
    <w:rsid w:val="0010751C"/>
    <w:rsid w:val="0011264E"/>
    <w:rsid w:val="00112B54"/>
    <w:rsid w:val="001163DD"/>
    <w:rsid w:val="0011643B"/>
    <w:rsid w:val="00117192"/>
    <w:rsid w:val="00120271"/>
    <w:rsid w:val="001207CC"/>
    <w:rsid w:val="00120C3E"/>
    <w:rsid w:val="00124629"/>
    <w:rsid w:val="00125489"/>
    <w:rsid w:val="00133E9D"/>
    <w:rsid w:val="001358BE"/>
    <w:rsid w:val="00135AD4"/>
    <w:rsid w:val="00135E6C"/>
    <w:rsid w:val="00141146"/>
    <w:rsid w:val="0015710C"/>
    <w:rsid w:val="0017196E"/>
    <w:rsid w:val="00173934"/>
    <w:rsid w:val="001756FB"/>
    <w:rsid w:val="001765AE"/>
    <w:rsid w:val="00180711"/>
    <w:rsid w:val="0018110B"/>
    <w:rsid w:val="001903A5"/>
    <w:rsid w:val="001A0403"/>
    <w:rsid w:val="001A0C74"/>
    <w:rsid w:val="001A3518"/>
    <w:rsid w:val="001A3FE5"/>
    <w:rsid w:val="001B3C20"/>
    <w:rsid w:val="001C5660"/>
    <w:rsid w:val="001C5DDE"/>
    <w:rsid w:val="001C7120"/>
    <w:rsid w:val="001C76E3"/>
    <w:rsid w:val="001D026B"/>
    <w:rsid w:val="001D1B6C"/>
    <w:rsid w:val="001D5B65"/>
    <w:rsid w:val="001E0E08"/>
    <w:rsid w:val="001E3DC4"/>
    <w:rsid w:val="001E73FD"/>
    <w:rsid w:val="001F25B5"/>
    <w:rsid w:val="001F352A"/>
    <w:rsid w:val="001F7231"/>
    <w:rsid w:val="00201454"/>
    <w:rsid w:val="002038CD"/>
    <w:rsid w:val="00213AA9"/>
    <w:rsid w:val="00214EB8"/>
    <w:rsid w:val="0021616A"/>
    <w:rsid w:val="002166AB"/>
    <w:rsid w:val="002168AE"/>
    <w:rsid w:val="0022310D"/>
    <w:rsid w:val="00223AAD"/>
    <w:rsid w:val="002322E5"/>
    <w:rsid w:val="00234ED0"/>
    <w:rsid w:val="002353DA"/>
    <w:rsid w:val="002358CD"/>
    <w:rsid w:val="00235EF9"/>
    <w:rsid w:val="002362FD"/>
    <w:rsid w:val="00240D65"/>
    <w:rsid w:val="0024214A"/>
    <w:rsid w:val="00242D81"/>
    <w:rsid w:val="00243D7C"/>
    <w:rsid w:val="0026550B"/>
    <w:rsid w:val="00272B00"/>
    <w:rsid w:val="002807FF"/>
    <w:rsid w:val="00284633"/>
    <w:rsid w:val="0029300E"/>
    <w:rsid w:val="002A08DC"/>
    <w:rsid w:val="002A5B71"/>
    <w:rsid w:val="002A782A"/>
    <w:rsid w:val="002B3E0D"/>
    <w:rsid w:val="002C01FC"/>
    <w:rsid w:val="002C1888"/>
    <w:rsid w:val="002C40F0"/>
    <w:rsid w:val="002C62E0"/>
    <w:rsid w:val="002D21B5"/>
    <w:rsid w:val="002D470C"/>
    <w:rsid w:val="002D6145"/>
    <w:rsid w:val="002D66A5"/>
    <w:rsid w:val="002E0708"/>
    <w:rsid w:val="002E7BD9"/>
    <w:rsid w:val="002F2570"/>
    <w:rsid w:val="002F573B"/>
    <w:rsid w:val="002F7A89"/>
    <w:rsid w:val="00304358"/>
    <w:rsid w:val="003060DE"/>
    <w:rsid w:val="00310ED9"/>
    <w:rsid w:val="00312C2A"/>
    <w:rsid w:val="003141AC"/>
    <w:rsid w:val="0031666F"/>
    <w:rsid w:val="00317AE5"/>
    <w:rsid w:val="00320ACF"/>
    <w:rsid w:val="00323BB5"/>
    <w:rsid w:val="003277F0"/>
    <w:rsid w:val="0033114D"/>
    <w:rsid w:val="003321CA"/>
    <w:rsid w:val="00337671"/>
    <w:rsid w:val="00344B7F"/>
    <w:rsid w:val="00344F11"/>
    <w:rsid w:val="0035265D"/>
    <w:rsid w:val="003528F0"/>
    <w:rsid w:val="00354132"/>
    <w:rsid w:val="0035657C"/>
    <w:rsid w:val="003635B5"/>
    <w:rsid w:val="00370AB1"/>
    <w:rsid w:val="00376791"/>
    <w:rsid w:val="00396A47"/>
    <w:rsid w:val="003A0C79"/>
    <w:rsid w:val="003A7206"/>
    <w:rsid w:val="003A7AAF"/>
    <w:rsid w:val="003C2F9A"/>
    <w:rsid w:val="003C6EDF"/>
    <w:rsid w:val="003D40E3"/>
    <w:rsid w:val="003D4A12"/>
    <w:rsid w:val="003D6552"/>
    <w:rsid w:val="003E20BD"/>
    <w:rsid w:val="003E3297"/>
    <w:rsid w:val="003E74A8"/>
    <w:rsid w:val="003E7941"/>
    <w:rsid w:val="003F11A5"/>
    <w:rsid w:val="003F2809"/>
    <w:rsid w:val="00402EAD"/>
    <w:rsid w:val="00403B5B"/>
    <w:rsid w:val="00406136"/>
    <w:rsid w:val="00413C75"/>
    <w:rsid w:val="00420F84"/>
    <w:rsid w:val="0042386C"/>
    <w:rsid w:val="00425231"/>
    <w:rsid w:val="004305C3"/>
    <w:rsid w:val="0043303C"/>
    <w:rsid w:val="0043479F"/>
    <w:rsid w:val="00441263"/>
    <w:rsid w:val="004419E4"/>
    <w:rsid w:val="00441AB7"/>
    <w:rsid w:val="00446C6C"/>
    <w:rsid w:val="00447D20"/>
    <w:rsid w:val="004508C4"/>
    <w:rsid w:val="00451633"/>
    <w:rsid w:val="004522D9"/>
    <w:rsid w:val="004575F0"/>
    <w:rsid w:val="0047240A"/>
    <w:rsid w:val="004727DC"/>
    <w:rsid w:val="004835CE"/>
    <w:rsid w:val="00483FD4"/>
    <w:rsid w:val="0048683F"/>
    <w:rsid w:val="00486A5D"/>
    <w:rsid w:val="00486DF3"/>
    <w:rsid w:val="00491FAD"/>
    <w:rsid w:val="004A4481"/>
    <w:rsid w:val="004A5F4C"/>
    <w:rsid w:val="004B07AF"/>
    <w:rsid w:val="004B11DD"/>
    <w:rsid w:val="004B1DDA"/>
    <w:rsid w:val="004B3B69"/>
    <w:rsid w:val="004C0CF0"/>
    <w:rsid w:val="004C64FF"/>
    <w:rsid w:val="004D1316"/>
    <w:rsid w:val="004D735E"/>
    <w:rsid w:val="004E3405"/>
    <w:rsid w:val="004F3A3C"/>
    <w:rsid w:val="0050116D"/>
    <w:rsid w:val="005023EC"/>
    <w:rsid w:val="00502631"/>
    <w:rsid w:val="0050399C"/>
    <w:rsid w:val="005158C4"/>
    <w:rsid w:val="0051690C"/>
    <w:rsid w:val="00516AEB"/>
    <w:rsid w:val="00522277"/>
    <w:rsid w:val="00523458"/>
    <w:rsid w:val="00526FDE"/>
    <w:rsid w:val="00534A7E"/>
    <w:rsid w:val="00536E25"/>
    <w:rsid w:val="0053780E"/>
    <w:rsid w:val="005505E8"/>
    <w:rsid w:val="0055203A"/>
    <w:rsid w:val="00555EE1"/>
    <w:rsid w:val="005567DC"/>
    <w:rsid w:val="0056026C"/>
    <w:rsid w:val="00561A30"/>
    <w:rsid w:val="00563836"/>
    <w:rsid w:val="00567073"/>
    <w:rsid w:val="005737AF"/>
    <w:rsid w:val="00574DC2"/>
    <w:rsid w:val="005752E8"/>
    <w:rsid w:val="00575ACD"/>
    <w:rsid w:val="00575E80"/>
    <w:rsid w:val="00582983"/>
    <w:rsid w:val="005874CE"/>
    <w:rsid w:val="00591DA5"/>
    <w:rsid w:val="0059427E"/>
    <w:rsid w:val="00596E55"/>
    <w:rsid w:val="005A102B"/>
    <w:rsid w:val="005A2219"/>
    <w:rsid w:val="005A37F0"/>
    <w:rsid w:val="005B2AFA"/>
    <w:rsid w:val="005B5C3A"/>
    <w:rsid w:val="005C1C0C"/>
    <w:rsid w:val="005C4F5D"/>
    <w:rsid w:val="005D0BBC"/>
    <w:rsid w:val="005D0FE8"/>
    <w:rsid w:val="005D1755"/>
    <w:rsid w:val="005D1885"/>
    <w:rsid w:val="005D2A06"/>
    <w:rsid w:val="005D4C95"/>
    <w:rsid w:val="005D6BF2"/>
    <w:rsid w:val="005E1BD2"/>
    <w:rsid w:val="005E6054"/>
    <w:rsid w:val="005F61A9"/>
    <w:rsid w:val="005F7A22"/>
    <w:rsid w:val="0061059E"/>
    <w:rsid w:val="00617037"/>
    <w:rsid w:val="0062020B"/>
    <w:rsid w:val="00621105"/>
    <w:rsid w:val="006224D2"/>
    <w:rsid w:val="006231F7"/>
    <w:rsid w:val="00624D78"/>
    <w:rsid w:val="00624D8A"/>
    <w:rsid w:val="0063087F"/>
    <w:rsid w:val="00631B91"/>
    <w:rsid w:val="00641B4A"/>
    <w:rsid w:val="00641DBC"/>
    <w:rsid w:val="0064231D"/>
    <w:rsid w:val="00644E0E"/>
    <w:rsid w:val="006501B7"/>
    <w:rsid w:val="006520F4"/>
    <w:rsid w:val="006547E0"/>
    <w:rsid w:val="0065730F"/>
    <w:rsid w:val="006600FC"/>
    <w:rsid w:val="00663ADC"/>
    <w:rsid w:val="00667196"/>
    <w:rsid w:val="006703DE"/>
    <w:rsid w:val="00676B52"/>
    <w:rsid w:val="00680CC7"/>
    <w:rsid w:val="0068121C"/>
    <w:rsid w:val="00687899"/>
    <w:rsid w:val="00690C5A"/>
    <w:rsid w:val="00694272"/>
    <w:rsid w:val="006A1245"/>
    <w:rsid w:val="006A1401"/>
    <w:rsid w:val="006B475A"/>
    <w:rsid w:val="006C060A"/>
    <w:rsid w:val="006D0183"/>
    <w:rsid w:val="006D071B"/>
    <w:rsid w:val="006D202E"/>
    <w:rsid w:val="006E7335"/>
    <w:rsid w:val="006E73CC"/>
    <w:rsid w:val="006E7E6D"/>
    <w:rsid w:val="006F447D"/>
    <w:rsid w:val="00704EAE"/>
    <w:rsid w:val="0070617C"/>
    <w:rsid w:val="00710421"/>
    <w:rsid w:val="0071759A"/>
    <w:rsid w:val="00727F89"/>
    <w:rsid w:val="007302EF"/>
    <w:rsid w:val="00733E49"/>
    <w:rsid w:val="007373D9"/>
    <w:rsid w:val="00747030"/>
    <w:rsid w:val="00751A5E"/>
    <w:rsid w:val="00752B8C"/>
    <w:rsid w:val="007575DF"/>
    <w:rsid w:val="007615B7"/>
    <w:rsid w:val="00767302"/>
    <w:rsid w:val="007756F9"/>
    <w:rsid w:val="00784037"/>
    <w:rsid w:val="007931F6"/>
    <w:rsid w:val="0079458F"/>
    <w:rsid w:val="00796A46"/>
    <w:rsid w:val="007A03D2"/>
    <w:rsid w:val="007A0BA8"/>
    <w:rsid w:val="007A25CB"/>
    <w:rsid w:val="007B487E"/>
    <w:rsid w:val="007B670E"/>
    <w:rsid w:val="007D002B"/>
    <w:rsid w:val="007D2252"/>
    <w:rsid w:val="007D40C7"/>
    <w:rsid w:val="007D5712"/>
    <w:rsid w:val="007D60C3"/>
    <w:rsid w:val="007D6FF6"/>
    <w:rsid w:val="007D75F9"/>
    <w:rsid w:val="007E22CC"/>
    <w:rsid w:val="007F3311"/>
    <w:rsid w:val="008010E7"/>
    <w:rsid w:val="00801770"/>
    <w:rsid w:val="008167C2"/>
    <w:rsid w:val="00820D72"/>
    <w:rsid w:val="00825758"/>
    <w:rsid w:val="00831EB1"/>
    <w:rsid w:val="00831F07"/>
    <w:rsid w:val="00832F89"/>
    <w:rsid w:val="008340D2"/>
    <w:rsid w:val="00840232"/>
    <w:rsid w:val="00843000"/>
    <w:rsid w:val="00845213"/>
    <w:rsid w:val="00850390"/>
    <w:rsid w:val="008513CE"/>
    <w:rsid w:val="00853C9B"/>
    <w:rsid w:val="0085489D"/>
    <w:rsid w:val="008625E0"/>
    <w:rsid w:val="008662B1"/>
    <w:rsid w:val="00881061"/>
    <w:rsid w:val="00883210"/>
    <w:rsid w:val="00886218"/>
    <w:rsid w:val="008869A2"/>
    <w:rsid w:val="0089109C"/>
    <w:rsid w:val="00891F95"/>
    <w:rsid w:val="008955D6"/>
    <w:rsid w:val="00897726"/>
    <w:rsid w:val="008A01FD"/>
    <w:rsid w:val="008A346A"/>
    <w:rsid w:val="008A368C"/>
    <w:rsid w:val="008A6B49"/>
    <w:rsid w:val="008B0B9F"/>
    <w:rsid w:val="008B5351"/>
    <w:rsid w:val="008B5600"/>
    <w:rsid w:val="008B5D94"/>
    <w:rsid w:val="008B6F21"/>
    <w:rsid w:val="008C1DF5"/>
    <w:rsid w:val="008C44DD"/>
    <w:rsid w:val="008C5E7F"/>
    <w:rsid w:val="008C6277"/>
    <w:rsid w:val="008D784A"/>
    <w:rsid w:val="008E000E"/>
    <w:rsid w:val="008E05B3"/>
    <w:rsid w:val="008F37CD"/>
    <w:rsid w:val="00903134"/>
    <w:rsid w:val="009124B5"/>
    <w:rsid w:val="00914E55"/>
    <w:rsid w:val="0091540D"/>
    <w:rsid w:val="009155BC"/>
    <w:rsid w:val="00916775"/>
    <w:rsid w:val="0092413E"/>
    <w:rsid w:val="00930771"/>
    <w:rsid w:val="00937267"/>
    <w:rsid w:val="00937F49"/>
    <w:rsid w:val="009429E6"/>
    <w:rsid w:val="009442B1"/>
    <w:rsid w:val="00945486"/>
    <w:rsid w:val="00946E80"/>
    <w:rsid w:val="0095464D"/>
    <w:rsid w:val="009546D4"/>
    <w:rsid w:val="009637A5"/>
    <w:rsid w:val="009669E1"/>
    <w:rsid w:val="00966AD2"/>
    <w:rsid w:val="00967134"/>
    <w:rsid w:val="0096743A"/>
    <w:rsid w:val="0097515D"/>
    <w:rsid w:val="00980CB6"/>
    <w:rsid w:val="0098156F"/>
    <w:rsid w:val="00983347"/>
    <w:rsid w:val="00983D02"/>
    <w:rsid w:val="009875B0"/>
    <w:rsid w:val="00987A5B"/>
    <w:rsid w:val="0099363D"/>
    <w:rsid w:val="009A0589"/>
    <w:rsid w:val="009A1496"/>
    <w:rsid w:val="009B3D07"/>
    <w:rsid w:val="009C0D19"/>
    <w:rsid w:val="009C1588"/>
    <w:rsid w:val="009C34D9"/>
    <w:rsid w:val="009C4343"/>
    <w:rsid w:val="009C62F5"/>
    <w:rsid w:val="009C7159"/>
    <w:rsid w:val="009C7852"/>
    <w:rsid w:val="009D098F"/>
    <w:rsid w:val="009D1C5E"/>
    <w:rsid w:val="009D577A"/>
    <w:rsid w:val="009D7BC8"/>
    <w:rsid w:val="009E24B0"/>
    <w:rsid w:val="009E3AFC"/>
    <w:rsid w:val="009F54A8"/>
    <w:rsid w:val="009F5AB6"/>
    <w:rsid w:val="009F677C"/>
    <w:rsid w:val="00A04576"/>
    <w:rsid w:val="00A139B6"/>
    <w:rsid w:val="00A1556F"/>
    <w:rsid w:val="00A20CA3"/>
    <w:rsid w:val="00A27ABB"/>
    <w:rsid w:val="00A3153F"/>
    <w:rsid w:val="00A3334A"/>
    <w:rsid w:val="00A4370A"/>
    <w:rsid w:val="00A5417A"/>
    <w:rsid w:val="00A54A78"/>
    <w:rsid w:val="00A57C50"/>
    <w:rsid w:val="00A70385"/>
    <w:rsid w:val="00A837D5"/>
    <w:rsid w:val="00A86FD2"/>
    <w:rsid w:val="00A872BF"/>
    <w:rsid w:val="00A90233"/>
    <w:rsid w:val="00A9318B"/>
    <w:rsid w:val="00A93994"/>
    <w:rsid w:val="00A93F37"/>
    <w:rsid w:val="00AA48EF"/>
    <w:rsid w:val="00AA6B48"/>
    <w:rsid w:val="00AC71D2"/>
    <w:rsid w:val="00AD24C0"/>
    <w:rsid w:val="00AD49D5"/>
    <w:rsid w:val="00AD5EF5"/>
    <w:rsid w:val="00AD64E2"/>
    <w:rsid w:val="00AE6C29"/>
    <w:rsid w:val="00AF15C8"/>
    <w:rsid w:val="00AF214E"/>
    <w:rsid w:val="00AF2FF8"/>
    <w:rsid w:val="00AF4B5F"/>
    <w:rsid w:val="00AF7861"/>
    <w:rsid w:val="00B021EE"/>
    <w:rsid w:val="00B039EB"/>
    <w:rsid w:val="00B05B33"/>
    <w:rsid w:val="00B069E8"/>
    <w:rsid w:val="00B11825"/>
    <w:rsid w:val="00B120E9"/>
    <w:rsid w:val="00B17F92"/>
    <w:rsid w:val="00B228FF"/>
    <w:rsid w:val="00B25005"/>
    <w:rsid w:val="00B26215"/>
    <w:rsid w:val="00B269EC"/>
    <w:rsid w:val="00B2725F"/>
    <w:rsid w:val="00B27BCC"/>
    <w:rsid w:val="00B34D86"/>
    <w:rsid w:val="00B372C4"/>
    <w:rsid w:val="00B41311"/>
    <w:rsid w:val="00B42261"/>
    <w:rsid w:val="00B45E2B"/>
    <w:rsid w:val="00B602ED"/>
    <w:rsid w:val="00B6092E"/>
    <w:rsid w:val="00B74F64"/>
    <w:rsid w:val="00B83E49"/>
    <w:rsid w:val="00B85AD9"/>
    <w:rsid w:val="00B90544"/>
    <w:rsid w:val="00BA09B8"/>
    <w:rsid w:val="00BA693C"/>
    <w:rsid w:val="00BA70DE"/>
    <w:rsid w:val="00BB1603"/>
    <w:rsid w:val="00BB2113"/>
    <w:rsid w:val="00BB36AC"/>
    <w:rsid w:val="00BB5D48"/>
    <w:rsid w:val="00BC5732"/>
    <w:rsid w:val="00BC617F"/>
    <w:rsid w:val="00BD19EA"/>
    <w:rsid w:val="00BD2304"/>
    <w:rsid w:val="00BD7C22"/>
    <w:rsid w:val="00BE401B"/>
    <w:rsid w:val="00BE5252"/>
    <w:rsid w:val="00BF1072"/>
    <w:rsid w:val="00BF30ED"/>
    <w:rsid w:val="00C00500"/>
    <w:rsid w:val="00C02F8D"/>
    <w:rsid w:val="00C12475"/>
    <w:rsid w:val="00C146B3"/>
    <w:rsid w:val="00C15B14"/>
    <w:rsid w:val="00C1684D"/>
    <w:rsid w:val="00C26A45"/>
    <w:rsid w:val="00C31231"/>
    <w:rsid w:val="00C340A7"/>
    <w:rsid w:val="00C41AF7"/>
    <w:rsid w:val="00C43A61"/>
    <w:rsid w:val="00C442D2"/>
    <w:rsid w:val="00C46CDD"/>
    <w:rsid w:val="00C5715F"/>
    <w:rsid w:val="00C575D5"/>
    <w:rsid w:val="00C6474A"/>
    <w:rsid w:val="00C65ECC"/>
    <w:rsid w:val="00C67567"/>
    <w:rsid w:val="00C721E5"/>
    <w:rsid w:val="00C877A6"/>
    <w:rsid w:val="00C87BBC"/>
    <w:rsid w:val="00C95614"/>
    <w:rsid w:val="00C96CFE"/>
    <w:rsid w:val="00C97730"/>
    <w:rsid w:val="00CA0FCD"/>
    <w:rsid w:val="00CA32BA"/>
    <w:rsid w:val="00CA638D"/>
    <w:rsid w:val="00CB13B6"/>
    <w:rsid w:val="00CB30EC"/>
    <w:rsid w:val="00CC09DF"/>
    <w:rsid w:val="00CC57D0"/>
    <w:rsid w:val="00CC5B00"/>
    <w:rsid w:val="00CC7FF9"/>
    <w:rsid w:val="00CD24C0"/>
    <w:rsid w:val="00CD26D5"/>
    <w:rsid w:val="00CD4675"/>
    <w:rsid w:val="00CD7869"/>
    <w:rsid w:val="00CE2AAD"/>
    <w:rsid w:val="00CF51D0"/>
    <w:rsid w:val="00CF6155"/>
    <w:rsid w:val="00CF6D9A"/>
    <w:rsid w:val="00D0005C"/>
    <w:rsid w:val="00D00541"/>
    <w:rsid w:val="00D047E8"/>
    <w:rsid w:val="00D10790"/>
    <w:rsid w:val="00D160EA"/>
    <w:rsid w:val="00D20DE4"/>
    <w:rsid w:val="00D27403"/>
    <w:rsid w:val="00D3257B"/>
    <w:rsid w:val="00D35BA8"/>
    <w:rsid w:val="00D42F1D"/>
    <w:rsid w:val="00D50928"/>
    <w:rsid w:val="00D55E83"/>
    <w:rsid w:val="00D65E6D"/>
    <w:rsid w:val="00D7317F"/>
    <w:rsid w:val="00D80D11"/>
    <w:rsid w:val="00D814B7"/>
    <w:rsid w:val="00D96511"/>
    <w:rsid w:val="00D97162"/>
    <w:rsid w:val="00D973C2"/>
    <w:rsid w:val="00DA0F36"/>
    <w:rsid w:val="00DA30B5"/>
    <w:rsid w:val="00DA7DD4"/>
    <w:rsid w:val="00DB2516"/>
    <w:rsid w:val="00DB2644"/>
    <w:rsid w:val="00DC07D5"/>
    <w:rsid w:val="00DC4CDC"/>
    <w:rsid w:val="00DC63DA"/>
    <w:rsid w:val="00DD1443"/>
    <w:rsid w:val="00DD30CE"/>
    <w:rsid w:val="00DE0BCD"/>
    <w:rsid w:val="00DE26D8"/>
    <w:rsid w:val="00DE6049"/>
    <w:rsid w:val="00DE67C6"/>
    <w:rsid w:val="00DE6E2E"/>
    <w:rsid w:val="00DF7783"/>
    <w:rsid w:val="00E01A17"/>
    <w:rsid w:val="00E1321D"/>
    <w:rsid w:val="00E13724"/>
    <w:rsid w:val="00E14FE7"/>
    <w:rsid w:val="00E2264F"/>
    <w:rsid w:val="00E25286"/>
    <w:rsid w:val="00E33875"/>
    <w:rsid w:val="00E44E76"/>
    <w:rsid w:val="00E47D2B"/>
    <w:rsid w:val="00E5198C"/>
    <w:rsid w:val="00E53CDF"/>
    <w:rsid w:val="00E53D0E"/>
    <w:rsid w:val="00E5462E"/>
    <w:rsid w:val="00E569FA"/>
    <w:rsid w:val="00E56D2D"/>
    <w:rsid w:val="00E62C45"/>
    <w:rsid w:val="00E63C21"/>
    <w:rsid w:val="00E65B39"/>
    <w:rsid w:val="00E67E02"/>
    <w:rsid w:val="00E70841"/>
    <w:rsid w:val="00E74F6D"/>
    <w:rsid w:val="00E77824"/>
    <w:rsid w:val="00E90AE3"/>
    <w:rsid w:val="00EA1C52"/>
    <w:rsid w:val="00EB17A0"/>
    <w:rsid w:val="00EB2B09"/>
    <w:rsid w:val="00EC3F6C"/>
    <w:rsid w:val="00EC70DA"/>
    <w:rsid w:val="00ED197F"/>
    <w:rsid w:val="00ED6C4B"/>
    <w:rsid w:val="00EE7DD1"/>
    <w:rsid w:val="00EF7C9E"/>
    <w:rsid w:val="00F00C91"/>
    <w:rsid w:val="00F048CB"/>
    <w:rsid w:val="00F05C49"/>
    <w:rsid w:val="00F119EF"/>
    <w:rsid w:val="00F1541C"/>
    <w:rsid w:val="00F25521"/>
    <w:rsid w:val="00F25FD2"/>
    <w:rsid w:val="00F260FE"/>
    <w:rsid w:val="00F313F7"/>
    <w:rsid w:val="00F37942"/>
    <w:rsid w:val="00F40466"/>
    <w:rsid w:val="00F404D1"/>
    <w:rsid w:val="00F40C34"/>
    <w:rsid w:val="00F47922"/>
    <w:rsid w:val="00F47983"/>
    <w:rsid w:val="00F52DC5"/>
    <w:rsid w:val="00F53BEB"/>
    <w:rsid w:val="00F5488C"/>
    <w:rsid w:val="00F564A2"/>
    <w:rsid w:val="00F571E3"/>
    <w:rsid w:val="00F6264E"/>
    <w:rsid w:val="00F64987"/>
    <w:rsid w:val="00F7229C"/>
    <w:rsid w:val="00F72496"/>
    <w:rsid w:val="00F769AE"/>
    <w:rsid w:val="00F771EA"/>
    <w:rsid w:val="00F775DB"/>
    <w:rsid w:val="00F83228"/>
    <w:rsid w:val="00F8617F"/>
    <w:rsid w:val="00FB45F2"/>
    <w:rsid w:val="00FB6D0A"/>
    <w:rsid w:val="00FB77D4"/>
    <w:rsid w:val="00FC2D8D"/>
    <w:rsid w:val="00FC3859"/>
    <w:rsid w:val="00FE2D9E"/>
    <w:rsid w:val="00FE42EC"/>
    <w:rsid w:val="00FE5DA3"/>
    <w:rsid w:val="00FF7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6DE9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063CE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034D"/>
    <w:pPr>
      <w:tabs>
        <w:tab w:val="center" w:pos="4320"/>
        <w:tab w:val="right" w:pos="8640"/>
      </w:tabs>
    </w:pPr>
  </w:style>
  <w:style w:type="paragraph" w:styleId="Footer">
    <w:name w:val="footer"/>
    <w:basedOn w:val="Normal"/>
    <w:semiHidden/>
    <w:rsid w:val="002B034D"/>
    <w:pPr>
      <w:tabs>
        <w:tab w:val="center" w:pos="4320"/>
        <w:tab w:val="right" w:pos="8640"/>
      </w:tabs>
    </w:pPr>
  </w:style>
  <w:style w:type="character" w:styleId="PageNumber">
    <w:name w:val="page number"/>
    <w:basedOn w:val="DefaultParagraphFont"/>
    <w:rsid w:val="002B034D"/>
  </w:style>
  <w:style w:type="table" w:styleId="TableGrid">
    <w:name w:val="Table Grid"/>
    <w:basedOn w:val="TableNormal"/>
    <w:rsid w:val="00D7465F"/>
    <w:rPr>
      <w:rFonts w:ascii="Calibri" w:hAnsi="Calibri"/>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s">
    <w:name w:val="authors"/>
    <w:basedOn w:val="Normal"/>
    <w:rsid w:val="00D7465F"/>
    <w:pPr>
      <w:spacing w:before="100" w:beforeAutospacing="1" w:after="100" w:afterAutospacing="1"/>
    </w:pPr>
    <w:rPr>
      <w:rFonts w:ascii="Times" w:hAnsi="Times"/>
      <w:sz w:val="20"/>
      <w:szCs w:val="20"/>
    </w:rPr>
  </w:style>
  <w:style w:type="character" w:styleId="Hyperlink">
    <w:name w:val="Hyperlink"/>
    <w:rsid w:val="00D7465F"/>
    <w:rPr>
      <w:color w:val="0000FF"/>
      <w:u w:val="single"/>
    </w:rPr>
  </w:style>
  <w:style w:type="paragraph" w:customStyle="1" w:styleId="details">
    <w:name w:val="details"/>
    <w:basedOn w:val="Normal"/>
    <w:rsid w:val="00D7465F"/>
    <w:pPr>
      <w:spacing w:before="100" w:beforeAutospacing="1" w:after="100" w:afterAutospacing="1"/>
    </w:pPr>
    <w:rPr>
      <w:rFonts w:ascii="Times" w:hAnsi="Times"/>
      <w:sz w:val="20"/>
      <w:szCs w:val="20"/>
    </w:rPr>
  </w:style>
  <w:style w:type="character" w:styleId="FollowedHyperlink">
    <w:name w:val="FollowedHyperlink"/>
    <w:rsid w:val="00D7465F"/>
    <w:rPr>
      <w:color w:val="800080"/>
      <w:u w:val="single"/>
    </w:rPr>
  </w:style>
  <w:style w:type="character" w:styleId="CommentReference">
    <w:name w:val="annotation reference"/>
    <w:semiHidden/>
    <w:rsid w:val="00993118"/>
    <w:rPr>
      <w:sz w:val="18"/>
    </w:rPr>
  </w:style>
  <w:style w:type="paragraph" w:styleId="CommentText">
    <w:name w:val="annotation text"/>
    <w:basedOn w:val="Normal"/>
    <w:semiHidden/>
    <w:rsid w:val="00993118"/>
  </w:style>
  <w:style w:type="paragraph" w:styleId="CommentSubject">
    <w:name w:val="annotation subject"/>
    <w:basedOn w:val="CommentText"/>
    <w:next w:val="CommentText"/>
    <w:semiHidden/>
    <w:rsid w:val="00993118"/>
  </w:style>
  <w:style w:type="paragraph" w:styleId="BalloonText">
    <w:name w:val="Balloon Text"/>
    <w:basedOn w:val="Normal"/>
    <w:semiHidden/>
    <w:rsid w:val="00993118"/>
    <w:rPr>
      <w:rFonts w:ascii="Lucida Grande" w:hAnsi="Lucida Grande"/>
      <w:sz w:val="18"/>
      <w:szCs w:val="18"/>
    </w:rPr>
  </w:style>
  <w:style w:type="character" w:customStyle="1" w:styleId="st">
    <w:name w:val="st"/>
    <w:basedOn w:val="DefaultParagraphFont"/>
    <w:rsid w:val="00F64987"/>
  </w:style>
  <w:style w:type="paragraph" w:styleId="FootnoteText">
    <w:name w:val="footnote text"/>
    <w:basedOn w:val="Normal"/>
    <w:link w:val="FootnoteTextChar"/>
    <w:uiPriority w:val="99"/>
    <w:unhideWhenUsed/>
    <w:rsid w:val="00704EAE"/>
  </w:style>
  <w:style w:type="character" w:customStyle="1" w:styleId="FootnoteTextChar">
    <w:name w:val="Footnote Text Char"/>
    <w:basedOn w:val="DefaultParagraphFont"/>
    <w:link w:val="FootnoteText"/>
    <w:uiPriority w:val="99"/>
    <w:rsid w:val="00704EAE"/>
    <w:rPr>
      <w:sz w:val="24"/>
      <w:szCs w:val="24"/>
    </w:rPr>
  </w:style>
  <w:style w:type="character" w:styleId="FootnoteReference">
    <w:name w:val="footnote reference"/>
    <w:basedOn w:val="DefaultParagraphFont"/>
    <w:uiPriority w:val="99"/>
    <w:unhideWhenUsed/>
    <w:rsid w:val="00704EAE"/>
    <w:rPr>
      <w:vertAlign w:val="superscript"/>
    </w:rPr>
  </w:style>
  <w:style w:type="paragraph" w:styleId="EndnoteText">
    <w:name w:val="endnote text"/>
    <w:basedOn w:val="Normal"/>
    <w:link w:val="EndnoteTextChar"/>
    <w:uiPriority w:val="99"/>
    <w:unhideWhenUsed/>
    <w:rsid w:val="00704EAE"/>
  </w:style>
  <w:style w:type="character" w:customStyle="1" w:styleId="EndnoteTextChar">
    <w:name w:val="Endnote Text Char"/>
    <w:basedOn w:val="DefaultParagraphFont"/>
    <w:link w:val="EndnoteText"/>
    <w:uiPriority w:val="99"/>
    <w:rsid w:val="00704EAE"/>
    <w:rPr>
      <w:sz w:val="24"/>
      <w:szCs w:val="24"/>
    </w:rPr>
  </w:style>
  <w:style w:type="character" w:styleId="EndnoteReference">
    <w:name w:val="endnote reference"/>
    <w:basedOn w:val="DefaultParagraphFont"/>
    <w:uiPriority w:val="99"/>
    <w:unhideWhenUsed/>
    <w:rsid w:val="00704EAE"/>
    <w:rPr>
      <w:vertAlign w:val="superscript"/>
    </w:rPr>
  </w:style>
  <w:style w:type="character" w:customStyle="1" w:styleId="texhtml">
    <w:name w:val="texhtml"/>
    <w:basedOn w:val="DefaultParagraphFont"/>
    <w:rsid w:val="000A529E"/>
  </w:style>
  <w:style w:type="character" w:customStyle="1" w:styleId="slug-doi-wrapper">
    <w:name w:val="slug-doi-wrapper"/>
    <w:basedOn w:val="DefaultParagraphFont"/>
    <w:rsid w:val="00641DBC"/>
  </w:style>
  <w:style w:type="character" w:customStyle="1" w:styleId="slug-doi">
    <w:name w:val="slug-doi"/>
    <w:basedOn w:val="DefaultParagraphFont"/>
    <w:rsid w:val="00641DBC"/>
  </w:style>
  <w:style w:type="character" w:customStyle="1" w:styleId="doi">
    <w:name w:val="doi"/>
    <w:basedOn w:val="DefaultParagraphFont"/>
    <w:rsid w:val="00641DBC"/>
  </w:style>
  <w:style w:type="character" w:customStyle="1" w:styleId="Heading1Char">
    <w:name w:val="Heading 1 Char"/>
    <w:basedOn w:val="DefaultParagraphFont"/>
    <w:link w:val="Heading1"/>
    <w:uiPriority w:val="9"/>
    <w:rsid w:val="00063CEB"/>
    <w:rPr>
      <w:rFonts w:ascii="Times" w:hAnsi="Times"/>
      <w:b/>
      <w:bCs/>
      <w:kern w:val="36"/>
      <w:sz w:val="48"/>
      <w:szCs w:val="48"/>
    </w:rPr>
  </w:style>
  <w:style w:type="character" w:customStyle="1" w:styleId="titleseparator">
    <w:name w:val="titleseparator"/>
    <w:basedOn w:val="DefaultParagraphFont"/>
    <w:rsid w:val="00063CEB"/>
  </w:style>
  <w:style w:type="character" w:customStyle="1" w:styleId="subtitle1">
    <w:name w:val="subtitle1"/>
    <w:basedOn w:val="DefaultParagraphFont"/>
    <w:rsid w:val="00063CEB"/>
  </w:style>
  <w:style w:type="character" w:styleId="Strong">
    <w:name w:val="Strong"/>
    <w:uiPriority w:val="22"/>
    <w:qFormat/>
    <w:rsid w:val="00063CEB"/>
    <w:rPr>
      <w:b/>
      <w:bCs/>
    </w:rPr>
  </w:style>
  <w:style w:type="character" w:styleId="Emphasis">
    <w:name w:val="Emphasis"/>
    <w:uiPriority w:val="20"/>
    <w:qFormat/>
    <w:rsid w:val="00063CEB"/>
    <w:rPr>
      <w:i/>
      <w:iCs/>
    </w:rPr>
  </w:style>
  <w:style w:type="character" w:customStyle="1" w:styleId="sb-pages">
    <w:name w:val="sb-pages"/>
    <w:rsid w:val="00063CEB"/>
  </w:style>
  <w:style w:type="character" w:customStyle="1" w:styleId="ref-journal">
    <w:name w:val="ref-journal"/>
    <w:rsid w:val="009D1C5E"/>
  </w:style>
  <w:style w:type="character" w:customStyle="1" w:styleId="ref-vol">
    <w:name w:val="ref-vol"/>
    <w:rsid w:val="009D1C5E"/>
  </w:style>
  <w:style w:type="character" w:customStyle="1" w:styleId="personname">
    <w:name w:val="person_name"/>
    <w:basedOn w:val="DefaultParagraphFont"/>
    <w:rsid w:val="00667196"/>
  </w:style>
  <w:style w:type="paragraph" w:styleId="Revision">
    <w:name w:val="Revision"/>
    <w:hidden/>
    <w:uiPriority w:val="99"/>
    <w:semiHidden/>
    <w:rsid w:val="00987A5B"/>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063CE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034D"/>
    <w:pPr>
      <w:tabs>
        <w:tab w:val="center" w:pos="4320"/>
        <w:tab w:val="right" w:pos="8640"/>
      </w:tabs>
    </w:pPr>
  </w:style>
  <w:style w:type="paragraph" w:styleId="Footer">
    <w:name w:val="footer"/>
    <w:basedOn w:val="Normal"/>
    <w:semiHidden/>
    <w:rsid w:val="002B034D"/>
    <w:pPr>
      <w:tabs>
        <w:tab w:val="center" w:pos="4320"/>
        <w:tab w:val="right" w:pos="8640"/>
      </w:tabs>
    </w:pPr>
  </w:style>
  <w:style w:type="character" w:styleId="PageNumber">
    <w:name w:val="page number"/>
    <w:basedOn w:val="DefaultParagraphFont"/>
    <w:rsid w:val="002B034D"/>
  </w:style>
  <w:style w:type="table" w:styleId="TableGrid">
    <w:name w:val="Table Grid"/>
    <w:basedOn w:val="TableNormal"/>
    <w:rsid w:val="00D7465F"/>
    <w:rPr>
      <w:rFonts w:ascii="Calibri" w:hAnsi="Calibri"/>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s">
    <w:name w:val="authors"/>
    <w:basedOn w:val="Normal"/>
    <w:rsid w:val="00D7465F"/>
    <w:pPr>
      <w:spacing w:before="100" w:beforeAutospacing="1" w:after="100" w:afterAutospacing="1"/>
    </w:pPr>
    <w:rPr>
      <w:rFonts w:ascii="Times" w:hAnsi="Times"/>
      <w:sz w:val="20"/>
      <w:szCs w:val="20"/>
    </w:rPr>
  </w:style>
  <w:style w:type="character" w:styleId="Hyperlink">
    <w:name w:val="Hyperlink"/>
    <w:rsid w:val="00D7465F"/>
    <w:rPr>
      <w:color w:val="0000FF"/>
      <w:u w:val="single"/>
    </w:rPr>
  </w:style>
  <w:style w:type="paragraph" w:customStyle="1" w:styleId="details">
    <w:name w:val="details"/>
    <w:basedOn w:val="Normal"/>
    <w:rsid w:val="00D7465F"/>
    <w:pPr>
      <w:spacing w:before="100" w:beforeAutospacing="1" w:after="100" w:afterAutospacing="1"/>
    </w:pPr>
    <w:rPr>
      <w:rFonts w:ascii="Times" w:hAnsi="Times"/>
      <w:sz w:val="20"/>
      <w:szCs w:val="20"/>
    </w:rPr>
  </w:style>
  <w:style w:type="character" w:styleId="FollowedHyperlink">
    <w:name w:val="FollowedHyperlink"/>
    <w:rsid w:val="00D7465F"/>
    <w:rPr>
      <w:color w:val="800080"/>
      <w:u w:val="single"/>
    </w:rPr>
  </w:style>
  <w:style w:type="character" w:styleId="CommentReference">
    <w:name w:val="annotation reference"/>
    <w:semiHidden/>
    <w:rsid w:val="00993118"/>
    <w:rPr>
      <w:sz w:val="18"/>
    </w:rPr>
  </w:style>
  <w:style w:type="paragraph" w:styleId="CommentText">
    <w:name w:val="annotation text"/>
    <w:basedOn w:val="Normal"/>
    <w:semiHidden/>
    <w:rsid w:val="00993118"/>
  </w:style>
  <w:style w:type="paragraph" w:styleId="CommentSubject">
    <w:name w:val="annotation subject"/>
    <w:basedOn w:val="CommentText"/>
    <w:next w:val="CommentText"/>
    <w:semiHidden/>
    <w:rsid w:val="00993118"/>
  </w:style>
  <w:style w:type="paragraph" w:styleId="BalloonText">
    <w:name w:val="Balloon Text"/>
    <w:basedOn w:val="Normal"/>
    <w:semiHidden/>
    <w:rsid w:val="00993118"/>
    <w:rPr>
      <w:rFonts w:ascii="Lucida Grande" w:hAnsi="Lucida Grande"/>
      <w:sz w:val="18"/>
      <w:szCs w:val="18"/>
    </w:rPr>
  </w:style>
  <w:style w:type="character" w:customStyle="1" w:styleId="st">
    <w:name w:val="st"/>
    <w:basedOn w:val="DefaultParagraphFont"/>
    <w:rsid w:val="00F64987"/>
  </w:style>
  <w:style w:type="paragraph" w:styleId="FootnoteText">
    <w:name w:val="footnote text"/>
    <w:basedOn w:val="Normal"/>
    <w:link w:val="FootnoteTextChar"/>
    <w:uiPriority w:val="99"/>
    <w:unhideWhenUsed/>
    <w:rsid w:val="00704EAE"/>
  </w:style>
  <w:style w:type="character" w:customStyle="1" w:styleId="FootnoteTextChar">
    <w:name w:val="Footnote Text Char"/>
    <w:basedOn w:val="DefaultParagraphFont"/>
    <w:link w:val="FootnoteText"/>
    <w:uiPriority w:val="99"/>
    <w:rsid w:val="00704EAE"/>
    <w:rPr>
      <w:sz w:val="24"/>
      <w:szCs w:val="24"/>
    </w:rPr>
  </w:style>
  <w:style w:type="character" w:styleId="FootnoteReference">
    <w:name w:val="footnote reference"/>
    <w:basedOn w:val="DefaultParagraphFont"/>
    <w:uiPriority w:val="99"/>
    <w:unhideWhenUsed/>
    <w:rsid w:val="00704EAE"/>
    <w:rPr>
      <w:vertAlign w:val="superscript"/>
    </w:rPr>
  </w:style>
  <w:style w:type="paragraph" w:styleId="EndnoteText">
    <w:name w:val="endnote text"/>
    <w:basedOn w:val="Normal"/>
    <w:link w:val="EndnoteTextChar"/>
    <w:uiPriority w:val="99"/>
    <w:unhideWhenUsed/>
    <w:rsid w:val="00704EAE"/>
  </w:style>
  <w:style w:type="character" w:customStyle="1" w:styleId="EndnoteTextChar">
    <w:name w:val="Endnote Text Char"/>
    <w:basedOn w:val="DefaultParagraphFont"/>
    <w:link w:val="EndnoteText"/>
    <w:uiPriority w:val="99"/>
    <w:rsid w:val="00704EAE"/>
    <w:rPr>
      <w:sz w:val="24"/>
      <w:szCs w:val="24"/>
    </w:rPr>
  </w:style>
  <w:style w:type="character" w:styleId="EndnoteReference">
    <w:name w:val="endnote reference"/>
    <w:basedOn w:val="DefaultParagraphFont"/>
    <w:uiPriority w:val="99"/>
    <w:unhideWhenUsed/>
    <w:rsid w:val="00704EAE"/>
    <w:rPr>
      <w:vertAlign w:val="superscript"/>
    </w:rPr>
  </w:style>
  <w:style w:type="character" w:customStyle="1" w:styleId="texhtml">
    <w:name w:val="texhtml"/>
    <w:basedOn w:val="DefaultParagraphFont"/>
    <w:rsid w:val="000A529E"/>
  </w:style>
  <w:style w:type="character" w:customStyle="1" w:styleId="slug-doi-wrapper">
    <w:name w:val="slug-doi-wrapper"/>
    <w:basedOn w:val="DefaultParagraphFont"/>
    <w:rsid w:val="00641DBC"/>
  </w:style>
  <w:style w:type="character" w:customStyle="1" w:styleId="slug-doi">
    <w:name w:val="slug-doi"/>
    <w:basedOn w:val="DefaultParagraphFont"/>
    <w:rsid w:val="00641DBC"/>
  </w:style>
  <w:style w:type="character" w:customStyle="1" w:styleId="doi">
    <w:name w:val="doi"/>
    <w:basedOn w:val="DefaultParagraphFont"/>
    <w:rsid w:val="00641DBC"/>
  </w:style>
  <w:style w:type="character" w:customStyle="1" w:styleId="Heading1Char">
    <w:name w:val="Heading 1 Char"/>
    <w:basedOn w:val="DefaultParagraphFont"/>
    <w:link w:val="Heading1"/>
    <w:uiPriority w:val="9"/>
    <w:rsid w:val="00063CEB"/>
    <w:rPr>
      <w:rFonts w:ascii="Times" w:hAnsi="Times"/>
      <w:b/>
      <w:bCs/>
      <w:kern w:val="36"/>
      <w:sz w:val="48"/>
      <w:szCs w:val="48"/>
    </w:rPr>
  </w:style>
  <w:style w:type="character" w:customStyle="1" w:styleId="titleseparator">
    <w:name w:val="titleseparator"/>
    <w:basedOn w:val="DefaultParagraphFont"/>
    <w:rsid w:val="00063CEB"/>
  </w:style>
  <w:style w:type="character" w:customStyle="1" w:styleId="subtitle1">
    <w:name w:val="subtitle1"/>
    <w:basedOn w:val="DefaultParagraphFont"/>
    <w:rsid w:val="00063CEB"/>
  </w:style>
  <w:style w:type="character" w:styleId="Strong">
    <w:name w:val="Strong"/>
    <w:uiPriority w:val="22"/>
    <w:qFormat/>
    <w:rsid w:val="00063CEB"/>
    <w:rPr>
      <w:b/>
      <w:bCs/>
    </w:rPr>
  </w:style>
  <w:style w:type="character" w:styleId="Emphasis">
    <w:name w:val="Emphasis"/>
    <w:uiPriority w:val="20"/>
    <w:qFormat/>
    <w:rsid w:val="00063CEB"/>
    <w:rPr>
      <w:i/>
      <w:iCs/>
    </w:rPr>
  </w:style>
  <w:style w:type="character" w:customStyle="1" w:styleId="sb-pages">
    <w:name w:val="sb-pages"/>
    <w:rsid w:val="00063CEB"/>
  </w:style>
  <w:style w:type="character" w:customStyle="1" w:styleId="ref-journal">
    <w:name w:val="ref-journal"/>
    <w:rsid w:val="009D1C5E"/>
  </w:style>
  <w:style w:type="character" w:customStyle="1" w:styleId="ref-vol">
    <w:name w:val="ref-vol"/>
    <w:rsid w:val="009D1C5E"/>
  </w:style>
  <w:style w:type="character" w:customStyle="1" w:styleId="personname">
    <w:name w:val="person_name"/>
    <w:basedOn w:val="DefaultParagraphFont"/>
    <w:rsid w:val="00667196"/>
  </w:style>
  <w:style w:type="paragraph" w:styleId="Revision">
    <w:name w:val="Revision"/>
    <w:hidden/>
    <w:uiPriority w:val="99"/>
    <w:semiHidden/>
    <w:rsid w:val="00987A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369527">
      <w:bodyDiv w:val="1"/>
      <w:marLeft w:val="0"/>
      <w:marRight w:val="0"/>
      <w:marTop w:val="0"/>
      <w:marBottom w:val="0"/>
      <w:divBdr>
        <w:top w:val="none" w:sz="0" w:space="0" w:color="auto"/>
        <w:left w:val="none" w:sz="0" w:space="0" w:color="auto"/>
        <w:bottom w:val="none" w:sz="0" w:space="0" w:color="auto"/>
        <w:right w:val="none" w:sz="0" w:space="0" w:color="auto"/>
      </w:divBdr>
    </w:div>
    <w:div w:id="1758087258">
      <w:bodyDiv w:val="1"/>
      <w:marLeft w:val="0"/>
      <w:marRight w:val="0"/>
      <w:marTop w:val="0"/>
      <w:marBottom w:val="0"/>
      <w:divBdr>
        <w:top w:val="none" w:sz="0" w:space="0" w:color="auto"/>
        <w:left w:val="none" w:sz="0" w:space="0" w:color="auto"/>
        <w:bottom w:val="none" w:sz="0" w:space="0" w:color="auto"/>
        <w:right w:val="none" w:sz="0" w:space="0" w:color="auto"/>
      </w:divBdr>
    </w:div>
    <w:div w:id="19912061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D32D3-0DA5-D141-8DFB-23F0E22B8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21</Pages>
  <Words>4272</Words>
  <Characters>24353</Characters>
  <Application>Microsoft Macintosh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Running head: EXTRAVERSION AND PERCEIVED HEALTH</vt:lpstr>
    </vt:vector>
  </TitlesOfParts>
  <Company/>
  <LinksUpToDate>false</LinksUpToDate>
  <CharactersWithSpaces>28568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EXTRAVERSION AND PERCEIVED HEALTH</dc:title>
  <dc:subject/>
  <dc:creator>tan ming hui</dc:creator>
  <cp:keywords/>
  <cp:lastModifiedBy>Kenny Cheong</cp:lastModifiedBy>
  <cp:revision>5</cp:revision>
  <cp:lastPrinted>2013-09-06T08:10:00Z</cp:lastPrinted>
  <dcterms:created xsi:type="dcterms:W3CDTF">2014-01-02T15:22:00Z</dcterms:created>
  <dcterms:modified xsi:type="dcterms:W3CDTF">2014-01-03T09:18:00Z</dcterms:modified>
</cp:coreProperties>
</file>