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849" w:rsidRPr="00D044A8" w:rsidRDefault="00CF0849" w:rsidP="00313124">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This is the author’s final version of the work, as accepted for publication </w:t>
      </w:r>
    </w:p>
    <w:p w:rsidR="00CF0849" w:rsidRPr="00D044A8" w:rsidRDefault="00CF0849" w:rsidP="00313124">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following peer review but without the publisher’s layout or pagination. </w:t>
      </w:r>
    </w:p>
    <w:p w:rsidR="00CF0849" w:rsidRPr="00D044A8" w:rsidRDefault="00CF0849" w:rsidP="00313124">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The definitive version is available at </w:t>
      </w:r>
    </w:p>
    <w:p w:rsidR="00CF0849" w:rsidRPr="00D94C79" w:rsidRDefault="00CF0849" w:rsidP="00313124">
      <w:pPr>
        <w:autoSpaceDE w:val="0"/>
        <w:autoSpaceDN w:val="0"/>
        <w:adjustRightInd w:val="0"/>
        <w:ind w:left="720" w:hanging="720"/>
        <w:jc w:val="center"/>
        <w:rPr>
          <w:rFonts w:ascii="Verdana" w:hAnsi="Verdana" w:cs="Helvetica"/>
          <w:i/>
          <w:sz w:val="23"/>
          <w:szCs w:val="23"/>
        </w:rPr>
      </w:pPr>
      <w:hyperlink r:id="rId7" w:history="1">
        <w:r w:rsidRPr="008D111F">
          <w:rPr>
            <w:rStyle w:val="Hyperlink"/>
            <w:rFonts w:ascii="Verdana" w:hAnsi="Verdana"/>
            <w:i/>
            <w:sz w:val="23"/>
            <w:szCs w:val="23"/>
          </w:rPr>
          <w:t>http://dx.doi.org/10.1016/j.jenvman.2014.12.030</w:t>
        </w:r>
      </w:hyperlink>
      <w:r>
        <w:rPr>
          <w:rFonts w:ascii="Verdana" w:hAnsi="Verdana"/>
          <w:i/>
          <w:sz w:val="23"/>
          <w:szCs w:val="23"/>
        </w:rPr>
        <w:t xml:space="preserve"> </w:t>
      </w:r>
    </w:p>
    <w:p w:rsidR="00CF0849" w:rsidRDefault="00CF0849" w:rsidP="00313124">
      <w:pPr>
        <w:autoSpaceDE w:val="0"/>
        <w:autoSpaceDN w:val="0"/>
        <w:adjustRightInd w:val="0"/>
        <w:ind w:left="720" w:hanging="720"/>
        <w:rPr>
          <w:rFonts w:ascii="Helvetica" w:hAnsi="Helvetica" w:cs="Helvetica"/>
          <w:szCs w:val="24"/>
        </w:rPr>
      </w:pPr>
    </w:p>
    <w:p w:rsidR="00CF0849" w:rsidRDefault="00CF0849" w:rsidP="00313124">
      <w:pPr>
        <w:autoSpaceDE w:val="0"/>
        <w:autoSpaceDN w:val="0"/>
        <w:adjustRightInd w:val="0"/>
        <w:ind w:left="720" w:hanging="720"/>
        <w:rPr>
          <w:rFonts w:ascii="Helvetica" w:hAnsi="Helvetica" w:cs="Helvetica"/>
          <w:szCs w:val="24"/>
        </w:rPr>
      </w:pPr>
    </w:p>
    <w:p w:rsidR="00CF0849" w:rsidRDefault="00CF0849" w:rsidP="00313124">
      <w:pPr>
        <w:jc w:val="center"/>
        <w:rPr>
          <w:b/>
        </w:rPr>
      </w:pPr>
    </w:p>
    <w:p w:rsidR="00CF0849" w:rsidRDefault="00CF0849" w:rsidP="00313124">
      <w:pPr>
        <w:jc w:val="center"/>
        <w:rPr>
          <w:b/>
        </w:rPr>
      </w:pPr>
    </w:p>
    <w:p w:rsidR="00CF0849" w:rsidRPr="00D94C79" w:rsidRDefault="00CF0849" w:rsidP="00313124">
      <w:pPr>
        <w:jc w:val="center"/>
        <w:rPr>
          <w:rFonts w:asciiTheme="majorHAnsi" w:hAnsiTheme="majorHAnsi"/>
          <w:b/>
        </w:rPr>
      </w:pPr>
      <w:r w:rsidRPr="00D94C79">
        <w:rPr>
          <w:rFonts w:asciiTheme="majorHAnsi" w:hAnsiTheme="majorHAnsi"/>
          <w:b/>
          <w:sz w:val="24"/>
          <w:szCs w:val="24"/>
        </w:rPr>
        <w:t>Managing uncertainty, ambiguity and ignorance in impact assessment by embedding evolutionary resilience, participatory modelling and adaptive management</w:t>
      </w:r>
    </w:p>
    <w:p w:rsidR="00CF0849" w:rsidRDefault="00CF0849" w:rsidP="00313124">
      <w:pPr>
        <w:rPr>
          <w:rFonts w:ascii="Calibri Light" w:hAnsi="Calibri Light"/>
        </w:rPr>
      </w:pPr>
    </w:p>
    <w:p w:rsidR="00CF0849" w:rsidRDefault="00CF0849" w:rsidP="00313124">
      <w:pPr>
        <w:rPr>
          <w:rFonts w:ascii="Calibri Light" w:hAnsi="Calibri Light"/>
        </w:rPr>
      </w:pPr>
    </w:p>
    <w:p w:rsidR="00CF0849" w:rsidRDefault="00CF0849" w:rsidP="00313124">
      <w:pPr>
        <w:rPr>
          <w:rFonts w:ascii="Calibri Light" w:hAnsi="Calibri Light"/>
        </w:rPr>
      </w:pPr>
    </w:p>
    <w:p w:rsidR="00CF0849" w:rsidRDefault="00CF0849" w:rsidP="00313124">
      <w:pPr>
        <w:rPr>
          <w:rFonts w:ascii="Calibri Light" w:hAnsi="Calibri Light"/>
        </w:rPr>
      </w:pPr>
    </w:p>
    <w:p w:rsidR="00CF0849" w:rsidRDefault="00CF0849" w:rsidP="00313124">
      <w:pPr>
        <w:rPr>
          <w:rFonts w:ascii="Calibri Light" w:hAnsi="Calibri Light"/>
        </w:rPr>
      </w:pPr>
    </w:p>
    <w:p w:rsidR="00CF0849" w:rsidRDefault="00CF0849" w:rsidP="00313124">
      <w:pPr>
        <w:rPr>
          <w:rFonts w:ascii="Calibri Light" w:hAnsi="Calibri Light"/>
        </w:rPr>
      </w:pPr>
    </w:p>
    <w:p w:rsidR="00CF0849" w:rsidRPr="00A70DE4" w:rsidRDefault="00CF0849" w:rsidP="00313124">
      <w:pPr>
        <w:rPr>
          <w:rFonts w:ascii="Calibri Light" w:hAnsi="Calibri Light"/>
        </w:rPr>
      </w:pPr>
    </w:p>
    <w:p w:rsidR="00CF0849" w:rsidRPr="00D94C79" w:rsidRDefault="00CF0849" w:rsidP="00313124">
      <w:pPr>
        <w:spacing w:after="120" w:line="240" w:lineRule="auto"/>
        <w:rPr>
          <w:rFonts w:asciiTheme="majorHAnsi" w:hAnsiTheme="majorHAnsi"/>
          <w:sz w:val="24"/>
          <w:szCs w:val="24"/>
        </w:rPr>
      </w:pPr>
      <w:r w:rsidRPr="00D94C79">
        <w:rPr>
          <w:rFonts w:asciiTheme="majorHAnsi" w:hAnsiTheme="majorHAnsi"/>
          <w:b/>
          <w:sz w:val="24"/>
          <w:szCs w:val="24"/>
        </w:rPr>
        <w:t>Alan Bond</w:t>
      </w:r>
      <w:r w:rsidRPr="00D94C79">
        <w:rPr>
          <w:rStyle w:val="FootnoteReference"/>
          <w:rFonts w:asciiTheme="majorHAnsi" w:hAnsiTheme="majorHAnsi"/>
          <w:sz w:val="24"/>
          <w:szCs w:val="24"/>
        </w:rPr>
        <w:footnoteReference w:customMarkFollows="1" w:id="1"/>
        <w:t>*</w:t>
      </w:r>
      <w:r w:rsidRPr="00D94C79">
        <w:rPr>
          <w:rFonts w:asciiTheme="majorHAnsi" w:hAnsiTheme="majorHAnsi"/>
          <w:sz w:val="24"/>
          <w:szCs w:val="24"/>
        </w:rPr>
        <w:t xml:space="preserve"> – School of Environmental Sciences, University of East Anglia, UK; </w:t>
      </w:r>
      <w:r w:rsidRPr="00D94C79">
        <w:rPr>
          <w:rFonts w:asciiTheme="majorHAnsi" w:hAnsiTheme="majorHAnsi" w:cs="Times"/>
          <w:color w:val="141413"/>
          <w:sz w:val="24"/>
          <w:szCs w:val="24"/>
          <w:lang w:val="en-US"/>
        </w:rPr>
        <w:t xml:space="preserve">School of Geo and Spatial Sciences, </w:t>
      </w:r>
      <w:r w:rsidRPr="00D94C79">
        <w:rPr>
          <w:rFonts w:asciiTheme="majorHAnsi" w:hAnsiTheme="majorHAnsi"/>
          <w:sz w:val="24"/>
          <w:szCs w:val="24"/>
        </w:rPr>
        <w:t xml:space="preserve">North-West University, South Africa. Email </w:t>
      </w:r>
      <w:hyperlink r:id="rId8" w:history="1">
        <w:r w:rsidRPr="00D94C79">
          <w:rPr>
            <w:rStyle w:val="Hyperlink"/>
            <w:rFonts w:asciiTheme="majorHAnsi" w:hAnsiTheme="majorHAnsi"/>
            <w:sz w:val="24"/>
            <w:szCs w:val="24"/>
          </w:rPr>
          <w:t>alan.bond@uea.ac.uk</w:t>
        </w:r>
      </w:hyperlink>
      <w:r w:rsidRPr="00D94C79">
        <w:rPr>
          <w:rFonts w:asciiTheme="majorHAnsi" w:hAnsiTheme="majorHAnsi"/>
          <w:sz w:val="24"/>
          <w:szCs w:val="24"/>
        </w:rPr>
        <w:t xml:space="preserve"> </w:t>
      </w:r>
    </w:p>
    <w:p w:rsidR="00CF0849" w:rsidRPr="00D94C79" w:rsidRDefault="00CF0849" w:rsidP="00313124">
      <w:pPr>
        <w:pStyle w:val="Default"/>
        <w:spacing w:after="120"/>
        <w:rPr>
          <w:rFonts w:asciiTheme="majorHAnsi" w:hAnsiTheme="majorHAnsi"/>
        </w:rPr>
      </w:pPr>
      <w:r w:rsidRPr="00D94C79">
        <w:rPr>
          <w:rFonts w:asciiTheme="majorHAnsi" w:hAnsiTheme="majorHAnsi"/>
          <w:b/>
        </w:rPr>
        <w:t>Angus Morrison-Saunders</w:t>
      </w:r>
      <w:r w:rsidRPr="00D94C79">
        <w:rPr>
          <w:rFonts w:asciiTheme="majorHAnsi" w:hAnsiTheme="majorHAnsi"/>
        </w:rPr>
        <w:t xml:space="preserve"> - Environmental Science, Murdoch University, Australia and </w:t>
      </w:r>
      <w:r w:rsidRPr="00D94C79">
        <w:rPr>
          <w:rFonts w:asciiTheme="majorHAnsi" w:hAnsiTheme="majorHAnsi" w:cs="Times"/>
          <w:color w:val="141413"/>
          <w:lang w:val="en-US"/>
        </w:rPr>
        <w:t xml:space="preserve">School of Geo and Spatial Sciences, </w:t>
      </w:r>
      <w:r w:rsidRPr="00D94C79">
        <w:rPr>
          <w:rFonts w:asciiTheme="majorHAnsi" w:hAnsiTheme="majorHAnsi"/>
        </w:rPr>
        <w:t xml:space="preserve">North-West University, South Africa. Email </w:t>
      </w:r>
      <w:hyperlink r:id="rId9" w:history="1">
        <w:r w:rsidRPr="00D94C79">
          <w:rPr>
            <w:rStyle w:val="Hyperlink"/>
            <w:rFonts w:asciiTheme="majorHAnsi" w:hAnsiTheme="majorHAnsi" w:cs="Helvetica"/>
            <w:lang w:val="en-US"/>
          </w:rPr>
          <w:t>A.Morrison-Saunders@murdoch.edu.au</w:t>
        </w:r>
      </w:hyperlink>
      <w:r w:rsidRPr="00D94C79">
        <w:rPr>
          <w:rFonts w:asciiTheme="majorHAnsi" w:hAnsiTheme="majorHAnsi" w:cs="Helvetica"/>
          <w:color w:val="auto"/>
          <w:lang w:val="en-US"/>
        </w:rPr>
        <w:t xml:space="preserve"> </w:t>
      </w:r>
    </w:p>
    <w:p w:rsidR="00CF0849" w:rsidRPr="00D94C79" w:rsidRDefault="00CF0849" w:rsidP="00313124">
      <w:pPr>
        <w:spacing w:after="120" w:line="240" w:lineRule="auto"/>
        <w:rPr>
          <w:rFonts w:asciiTheme="majorHAnsi" w:hAnsiTheme="majorHAnsi"/>
          <w:b/>
          <w:bCs/>
          <w:sz w:val="24"/>
          <w:szCs w:val="24"/>
        </w:rPr>
      </w:pPr>
      <w:r w:rsidRPr="00D94C79">
        <w:rPr>
          <w:rFonts w:asciiTheme="majorHAnsi" w:hAnsiTheme="majorHAnsi"/>
          <w:b/>
          <w:sz w:val="24"/>
          <w:szCs w:val="24"/>
        </w:rPr>
        <w:t>Jill A.E. Gunn</w:t>
      </w:r>
      <w:r w:rsidRPr="00D94C79">
        <w:rPr>
          <w:rFonts w:asciiTheme="majorHAnsi" w:hAnsiTheme="majorHAnsi"/>
          <w:sz w:val="24"/>
          <w:szCs w:val="24"/>
        </w:rPr>
        <w:t xml:space="preserve"> – Department of Geography and Planning and School of Environment and Sustainability, University of Saskatchewan, Canada. Email </w:t>
      </w:r>
      <w:hyperlink r:id="rId10" w:history="1">
        <w:r w:rsidRPr="00D94C79">
          <w:rPr>
            <w:rStyle w:val="Hyperlink"/>
            <w:rFonts w:asciiTheme="majorHAnsi" w:hAnsiTheme="majorHAnsi"/>
            <w:sz w:val="24"/>
            <w:szCs w:val="24"/>
          </w:rPr>
          <w:t>j</w:t>
        </w:r>
        <w:r w:rsidRPr="00D94C79">
          <w:rPr>
            <w:rStyle w:val="Hyperlink"/>
            <w:rFonts w:asciiTheme="majorHAnsi" w:hAnsiTheme="majorHAnsi" w:cs="Helvetica"/>
            <w:sz w:val="24"/>
            <w:szCs w:val="24"/>
            <w:lang w:val="en-US"/>
          </w:rPr>
          <w:t>ill.gunn@usask.ca</w:t>
        </w:r>
      </w:hyperlink>
      <w:r w:rsidRPr="00D94C79">
        <w:rPr>
          <w:rFonts w:asciiTheme="majorHAnsi" w:hAnsiTheme="majorHAnsi" w:cs="Helvetica"/>
          <w:sz w:val="24"/>
          <w:szCs w:val="24"/>
          <w:lang w:val="en-US"/>
        </w:rPr>
        <w:t xml:space="preserve"> </w:t>
      </w:r>
    </w:p>
    <w:p w:rsidR="00CF0849" w:rsidRPr="00D94C79" w:rsidRDefault="00CF0849" w:rsidP="00313124">
      <w:pPr>
        <w:spacing w:after="120" w:line="240" w:lineRule="auto"/>
        <w:rPr>
          <w:rFonts w:asciiTheme="majorHAnsi" w:hAnsiTheme="majorHAnsi"/>
          <w:sz w:val="24"/>
          <w:szCs w:val="24"/>
        </w:rPr>
      </w:pPr>
      <w:r w:rsidRPr="00D94C79">
        <w:rPr>
          <w:rFonts w:asciiTheme="majorHAnsi" w:hAnsiTheme="majorHAnsi"/>
          <w:b/>
          <w:sz w:val="24"/>
          <w:szCs w:val="24"/>
        </w:rPr>
        <w:t>Jenny Pope</w:t>
      </w:r>
      <w:r w:rsidRPr="00D94C79">
        <w:rPr>
          <w:rFonts w:asciiTheme="majorHAnsi" w:hAnsiTheme="majorHAnsi"/>
          <w:sz w:val="24"/>
          <w:szCs w:val="24"/>
        </w:rPr>
        <w:t xml:space="preserve">, Integral Sustainability, Australia; </w:t>
      </w:r>
      <w:r w:rsidRPr="00D94C79">
        <w:rPr>
          <w:rFonts w:asciiTheme="majorHAnsi" w:hAnsiTheme="majorHAnsi" w:cs="Times"/>
          <w:color w:val="141413"/>
          <w:sz w:val="24"/>
          <w:szCs w:val="24"/>
          <w:lang w:val="en-US"/>
        </w:rPr>
        <w:t xml:space="preserve">School of Geo and Spatial Sciences, </w:t>
      </w:r>
      <w:r w:rsidRPr="00D94C79">
        <w:rPr>
          <w:rFonts w:asciiTheme="majorHAnsi" w:hAnsiTheme="majorHAnsi"/>
          <w:sz w:val="24"/>
          <w:szCs w:val="24"/>
        </w:rPr>
        <w:t xml:space="preserve">North-West University, South Africa. Email </w:t>
      </w:r>
      <w:hyperlink r:id="rId11" w:history="1">
        <w:r w:rsidRPr="00D94C79">
          <w:rPr>
            <w:rStyle w:val="Hyperlink"/>
            <w:rFonts w:asciiTheme="majorHAnsi" w:hAnsiTheme="majorHAnsi" w:cs="Helvetica"/>
            <w:sz w:val="24"/>
            <w:szCs w:val="24"/>
            <w:lang w:val="en-US"/>
          </w:rPr>
          <w:t>jenny@integral-sustainability.net</w:t>
        </w:r>
      </w:hyperlink>
      <w:r w:rsidRPr="00D94C79">
        <w:rPr>
          <w:rFonts w:asciiTheme="majorHAnsi" w:hAnsiTheme="majorHAnsi" w:cs="Helvetica"/>
          <w:sz w:val="24"/>
          <w:szCs w:val="24"/>
          <w:lang w:val="en-US"/>
        </w:rPr>
        <w:t xml:space="preserve"> </w:t>
      </w:r>
    </w:p>
    <w:p w:rsidR="00CF0849" w:rsidRDefault="00CF0849" w:rsidP="00313124">
      <w:pPr>
        <w:spacing w:after="0" w:line="240" w:lineRule="auto"/>
        <w:rPr>
          <w:rFonts w:ascii="Times New Roman" w:hAnsi="Times New Roman"/>
          <w:b/>
          <w:sz w:val="24"/>
          <w:szCs w:val="24"/>
        </w:rPr>
      </w:pPr>
      <w:r w:rsidRPr="00D94C79">
        <w:rPr>
          <w:rFonts w:asciiTheme="majorHAnsi" w:hAnsiTheme="majorHAnsi"/>
          <w:b/>
          <w:sz w:val="24"/>
          <w:szCs w:val="24"/>
        </w:rPr>
        <w:t>Francois Retief</w:t>
      </w:r>
      <w:r w:rsidRPr="00D94C79">
        <w:rPr>
          <w:rFonts w:asciiTheme="majorHAnsi" w:hAnsiTheme="majorHAnsi"/>
          <w:sz w:val="24"/>
          <w:szCs w:val="24"/>
        </w:rPr>
        <w:t xml:space="preserve"> - </w:t>
      </w:r>
      <w:r w:rsidRPr="00D94C79">
        <w:rPr>
          <w:rFonts w:asciiTheme="majorHAnsi" w:hAnsiTheme="majorHAnsi" w:cs="Times"/>
          <w:color w:val="141413"/>
          <w:sz w:val="24"/>
          <w:szCs w:val="24"/>
          <w:lang w:val="en-US"/>
        </w:rPr>
        <w:t xml:space="preserve">School of Geo and Spatial Sciences, </w:t>
      </w:r>
      <w:r w:rsidRPr="00D94C79">
        <w:rPr>
          <w:rFonts w:asciiTheme="majorHAnsi" w:hAnsiTheme="majorHAnsi"/>
          <w:sz w:val="24"/>
          <w:szCs w:val="24"/>
        </w:rPr>
        <w:t xml:space="preserve">North-West University, South Africa. Email </w:t>
      </w:r>
      <w:hyperlink r:id="rId12" w:history="1">
        <w:r w:rsidRPr="00D94C79">
          <w:rPr>
            <w:rStyle w:val="Hyperlink"/>
            <w:rFonts w:asciiTheme="majorHAnsi" w:hAnsiTheme="majorHAnsi" w:cs="Helvetica"/>
            <w:sz w:val="24"/>
            <w:szCs w:val="24"/>
            <w:lang w:val="en-US"/>
          </w:rPr>
          <w:t>francois.retief@nwu.ac.za</w:t>
        </w:r>
      </w:hyperlink>
      <w:r>
        <w:rPr>
          <w:rFonts w:ascii="Times New Roman" w:hAnsi="Times New Roman"/>
          <w:b/>
          <w:sz w:val="24"/>
          <w:szCs w:val="24"/>
        </w:rPr>
        <w:br w:type="page"/>
      </w:r>
    </w:p>
    <w:p w:rsidR="00CF0849" w:rsidRPr="005C7D2F" w:rsidRDefault="00CF0849" w:rsidP="009002D6">
      <w:pPr>
        <w:jc w:val="center"/>
        <w:rPr>
          <w:rFonts w:ascii="Times New Roman" w:hAnsi="Times New Roman"/>
          <w:b/>
          <w:sz w:val="24"/>
          <w:szCs w:val="24"/>
        </w:rPr>
      </w:pPr>
      <w:r>
        <w:rPr>
          <w:rFonts w:ascii="Times New Roman" w:hAnsi="Times New Roman"/>
          <w:b/>
          <w:sz w:val="24"/>
          <w:szCs w:val="24"/>
        </w:rPr>
        <w:t xml:space="preserve">Managing </w:t>
      </w:r>
      <w:r w:rsidRPr="005C7D2F">
        <w:rPr>
          <w:rFonts w:ascii="Times New Roman" w:hAnsi="Times New Roman"/>
          <w:b/>
          <w:sz w:val="24"/>
          <w:szCs w:val="24"/>
        </w:rPr>
        <w:t>uncertainty</w:t>
      </w:r>
      <w:r>
        <w:rPr>
          <w:rFonts w:ascii="Times New Roman" w:hAnsi="Times New Roman"/>
          <w:b/>
          <w:sz w:val="24"/>
          <w:szCs w:val="24"/>
        </w:rPr>
        <w:t>, ambiguity and ignorance</w:t>
      </w:r>
      <w:r w:rsidRPr="005C7D2F">
        <w:rPr>
          <w:rFonts w:ascii="Times New Roman" w:hAnsi="Times New Roman"/>
          <w:b/>
          <w:sz w:val="24"/>
          <w:szCs w:val="24"/>
        </w:rPr>
        <w:t xml:space="preserve"> in impact assessment by embedding evolutionary resilience</w:t>
      </w:r>
      <w:r>
        <w:rPr>
          <w:rFonts w:ascii="Times New Roman" w:hAnsi="Times New Roman"/>
          <w:b/>
          <w:sz w:val="24"/>
          <w:szCs w:val="24"/>
        </w:rPr>
        <w:t>, participatory modelling and adaptive management</w:t>
      </w:r>
    </w:p>
    <w:p w:rsidR="00CF0849" w:rsidRDefault="00CF0849" w:rsidP="005B4784">
      <w:pPr>
        <w:spacing w:after="120" w:line="240" w:lineRule="auto"/>
        <w:rPr>
          <w:rFonts w:ascii="Times New Roman" w:hAnsi="Times New Roman"/>
          <w:b/>
          <w:sz w:val="24"/>
        </w:rPr>
      </w:pPr>
    </w:p>
    <w:p w:rsidR="00CF0849" w:rsidRPr="009B2E08" w:rsidRDefault="00CF0849" w:rsidP="005B4784">
      <w:pPr>
        <w:spacing w:after="120" w:line="240" w:lineRule="auto"/>
        <w:rPr>
          <w:rFonts w:ascii="Times New Roman" w:hAnsi="Times New Roman"/>
          <w:sz w:val="24"/>
          <w:szCs w:val="24"/>
        </w:rPr>
      </w:pPr>
      <w:r w:rsidRPr="009B2E08">
        <w:rPr>
          <w:rFonts w:ascii="Times New Roman" w:hAnsi="Times New Roman"/>
          <w:b/>
          <w:sz w:val="24"/>
        </w:rPr>
        <w:t>Alan Bond</w:t>
      </w:r>
      <w:r>
        <w:rPr>
          <w:rStyle w:val="FootnoteReference"/>
          <w:rFonts w:ascii="Times New Roman" w:hAnsi="Times New Roman"/>
          <w:sz w:val="24"/>
        </w:rPr>
        <w:footnoteReference w:customMarkFollows="1" w:id="2"/>
        <w:t>*</w:t>
      </w:r>
      <w:r w:rsidRPr="009B2E08">
        <w:rPr>
          <w:rFonts w:ascii="Times New Roman" w:hAnsi="Times New Roman"/>
          <w:sz w:val="24"/>
        </w:rPr>
        <w:t xml:space="preserve"> – School of Environmental Sciences, University of East Anglia, </w:t>
      </w:r>
      <w:r>
        <w:rPr>
          <w:rFonts w:ascii="Times New Roman" w:hAnsi="Times New Roman"/>
          <w:sz w:val="24"/>
        </w:rPr>
        <w:t>UK</w:t>
      </w:r>
      <w:r w:rsidRPr="009B2E08">
        <w:rPr>
          <w:rFonts w:ascii="Times New Roman" w:hAnsi="Times New Roman"/>
          <w:sz w:val="24"/>
          <w:szCs w:val="24"/>
        </w:rPr>
        <w:t xml:space="preserve">; </w:t>
      </w:r>
      <w:r w:rsidRPr="009B2E08">
        <w:rPr>
          <w:rFonts w:ascii="Times New Roman" w:hAnsi="Times New Roman" w:cs="Times"/>
          <w:color w:val="141413"/>
          <w:sz w:val="24"/>
          <w:szCs w:val="12"/>
          <w:lang w:val="en-US"/>
        </w:rPr>
        <w:t xml:space="preserve">School of Geo and Spatial Sciences, </w:t>
      </w:r>
      <w:r w:rsidRPr="009B2E08">
        <w:rPr>
          <w:rFonts w:ascii="Times New Roman" w:hAnsi="Times New Roman"/>
          <w:sz w:val="24"/>
          <w:szCs w:val="24"/>
        </w:rPr>
        <w:t>North-West University, South Africa</w:t>
      </w:r>
      <w:r>
        <w:rPr>
          <w:rFonts w:ascii="Times New Roman" w:hAnsi="Times New Roman"/>
          <w:sz w:val="24"/>
          <w:szCs w:val="24"/>
        </w:rPr>
        <w:t xml:space="preserve">. Email </w:t>
      </w:r>
      <w:hyperlink r:id="rId13" w:history="1">
        <w:r w:rsidRPr="0073688A">
          <w:rPr>
            <w:rStyle w:val="Hyperlink"/>
            <w:rFonts w:ascii="Times New Roman" w:hAnsi="Times New Roman"/>
            <w:sz w:val="24"/>
            <w:szCs w:val="24"/>
          </w:rPr>
          <w:t>alan.bond@uea.ac.uk</w:t>
        </w:r>
      </w:hyperlink>
      <w:r>
        <w:rPr>
          <w:rFonts w:ascii="Times New Roman" w:hAnsi="Times New Roman"/>
          <w:sz w:val="24"/>
          <w:szCs w:val="24"/>
        </w:rPr>
        <w:t xml:space="preserve"> </w:t>
      </w:r>
    </w:p>
    <w:p w:rsidR="00CF0849" w:rsidRPr="009B2E08" w:rsidRDefault="00CF0849" w:rsidP="005B4784">
      <w:pPr>
        <w:pStyle w:val="Default"/>
        <w:spacing w:after="120"/>
      </w:pPr>
      <w:r w:rsidRPr="009B2E08">
        <w:rPr>
          <w:b/>
        </w:rPr>
        <w:t>Angus Morrison-Saunders</w:t>
      </w:r>
      <w:r w:rsidRPr="009B2E08">
        <w:t xml:space="preserve"> - </w:t>
      </w:r>
      <w:r>
        <w:t xml:space="preserve">Environmental Science, </w:t>
      </w:r>
      <w:r w:rsidRPr="009B2E08">
        <w:t xml:space="preserve">Murdoch University, Australia and </w:t>
      </w:r>
      <w:r w:rsidRPr="009B2E08">
        <w:rPr>
          <w:rFonts w:cs="Times"/>
          <w:color w:val="141413"/>
          <w:szCs w:val="12"/>
          <w:lang w:val="en-US"/>
        </w:rPr>
        <w:t xml:space="preserve">School of Geo and Spatial Sciences, </w:t>
      </w:r>
      <w:r w:rsidRPr="009B2E08">
        <w:t>Nort</w:t>
      </w:r>
      <w:r>
        <w:t xml:space="preserve">h-West University, South Africa. Email </w:t>
      </w:r>
      <w:hyperlink r:id="rId14" w:history="1">
        <w:r w:rsidRPr="0073688A">
          <w:rPr>
            <w:rStyle w:val="Hyperlink"/>
            <w:rFonts w:cs="Helvetica"/>
            <w:lang w:val="en-US"/>
          </w:rPr>
          <w:t>A.Morrison-Saunders@murdoch.edu.au</w:t>
        </w:r>
      </w:hyperlink>
      <w:r>
        <w:rPr>
          <w:rFonts w:cs="Helvetica"/>
          <w:color w:val="auto"/>
          <w:lang w:val="en-US"/>
        </w:rPr>
        <w:t xml:space="preserve"> </w:t>
      </w:r>
    </w:p>
    <w:p w:rsidR="00CF0849" w:rsidRPr="009B2E08" w:rsidRDefault="00CF0849" w:rsidP="005B4784">
      <w:pPr>
        <w:spacing w:after="120" w:line="240" w:lineRule="auto"/>
        <w:rPr>
          <w:rFonts w:ascii="Times New Roman" w:hAnsi="Times New Roman"/>
          <w:b/>
          <w:bCs/>
          <w:sz w:val="24"/>
        </w:rPr>
      </w:pPr>
      <w:r w:rsidRPr="009B2E08">
        <w:rPr>
          <w:rFonts w:ascii="Times New Roman" w:hAnsi="Times New Roman"/>
          <w:b/>
          <w:sz w:val="24"/>
        </w:rPr>
        <w:t>Jill A.E. Gunn</w:t>
      </w:r>
      <w:r w:rsidRPr="009B2E08">
        <w:rPr>
          <w:rFonts w:ascii="Times New Roman" w:hAnsi="Times New Roman"/>
          <w:sz w:val="24"/>
        </w:rPr>
        <w:t xml:space="preserve"> </w:t>
      </w:r>
      <w:r>
        <w:rPr>
          <w:rFonts w:ascii="Times New Roman" w:hAnsi="Times New Roman"/>
          <w:sz w:val="24"/>
        </w:rPr>
        <w:t>–</w:t>
      </w:r>
      <w:r w:rsidRPr="009B2E08">
        <w:rPr>
          <w:rFonts w:ascii="Times New Roman" w:hAnsi="Times New Roman"/>
          <w:sz w:val="24"/>
        </w:rPr>
        <w:t xml:space="preserve"> </w:t>
      </w:r>
      <w:r w:rsidRPr="004265DB">
        <w:rPr>
          <w:rFonts w:ascii="Times New Roman" w:hAnsi="Times New Roman"/>
          <w:sz w:val="24"/>
        </w:rPr>
        <w:t>Department of Geography and Planning and School of Environment and Sustainability,</w:t>
      </w:r>
      <w:r>
        <w:rPr>
          <w:rFonts w:ascii="Times New Roman" w:hAnsi="Times New Roman"/>
          <w:sz w:val="24"/>
        </w:rPr>
        <w:t xml:space="preserve"> University of Saskatchewan, Canada</w:t>
      </w:r>
      <w:r>
        <w:rPr>
          <w:rFonts w:ascii="Times New Roman" w:hAnsi="Times New Roman"/>
          <w:sz w:val="24"/>
          <w:szCs w:val="24"/>
        </w:rPr>
        <w:t xml:space="preserve">. Email </w:t>
      </w:r>
      <w:hyperlink r:id="rId15" w:history="1">
        <w:r w:rsidRPr="0073688A">
          <w:rPr>
            <w:rStyle w:val="Hyperlink"/>
            <w:rFonts w:ascii="Times New Roman" w:hAnsi="Times New Roman"/>
            <w:sz w:val="24"/>
            <w:szCs w:val="24"/>
          </w:rPr>
          <w:t>j</w:t>
        </w:r>
        <w:r w:rsidRPr="0073688A">
          <w:rPr>
            <w:rStyle w:val="Hyperlink"/>
            <w:rFonts w:ascii="Times New Roman" w:hAnsi="Times New Roman" w:cs="Helvetica"/>
            <w:sz w:val="24"/>
            <w:lang w:val="en-US"/>
          </w:rPr>
          <w:t>ill.gunn@usask.ca</w:t>
        </w:r>
      </w:hyperlink>
      <w:r>
        <w:rPr>
          <w:rFonts w:ascii="Times New Roman" w:hAnsi="Times New Roman" w:cs="Helvetica"/>
          <w:sz w:val="24"/>
          <w:lang w:val="en-US"/>
        </w:rPr>
        <w:t xml:space="preserve"> </w:t>
      </w:r>
    </w:p>
    <w:p w:rsidR="00CF0849" w:rsidRDefault="00CF0849" w:rsidP="005B4784">
      <w:pPr>
        <w:spacing w:after="120" w:line="240" w:lineRule="auto"/>
        <w:rPr>
          <w:rFonts w:ascii="Times New Roman" w:hAnsi="Times New Roman"/>
          <w:sz w:val="24"/>
          <w:szCs w:val="24"/>
        </w:rPr>
      </w:pPr>
      <w:r w:rsidRPr="009B2E08">
        <w:rPr>
          <w:rFonts w:ascii="Times New Roman" w:hAnsi="Times New Roman"/>
          <w:b/>
          <w:sz w:val="24"/>
          <w:szCs w:val="24"/>
        </w:rPr>
        <w:t>Jenny Pope</w:t>
      </w:r>
      <w:r w:rsidRPr="009B2E08">
        <w:rPr>
          <w:rFonts w:ascii="Times New Roman" w:hAnsi="Times New Roman"/>
          <w:sz w:val="24"/>
          <w:szCs w:val="24"/>
        </w:rPr>
        <w:t xml:space="preserve">, Integral Sustainability, Australia; </w:t>
      </w:r>
      <w:r w:rsidRPr="009B2E08">
        <w:rPr>
          <w:rFonts w:ascii="Times New Roman" w:hAnsi="Times New Roman" w:cs="Times"/>
          <w:color w:val="141413"/>
          <w:sz w:val="24"/>
          <w:szCs w:val="12"/>
          <w:lang w:val="en-US"/>
        </w:rPr>
        <w:t xml:space="preserve">School of Geo and Spatial Sciences, </w:t>
      </w:r>
      <w:r w:rsidRPr="009B2E08">
        <w:rPr>
          <w:rFonts w:ascii="Times New Roman" w:hAnsi="Times New Roman"/>
          <w:sz w:val="24"/>
          <w:szCs w:val="24"/>
        </w:rPr>
        <w:t>North-West University, South Africa</w:t>
      </w:r>
      <w:r>
        <w:rPr>
          <w:rFonts w:ascii="Times New Roman" w:hAnsi="Times New Roman"/>
          <w:sz w:val="24"/>
          <w:szCs w:val="24"/>
        </w:rPr>
        <w:t xml:space="preserve">. </w:t>
      </w:r>
      <w:r w:rsidRPr="0000025A">
        <w:rPr>
          <w:rFonts w:ascii="Times New Roman" w:hAnsi="Times New Roman"/>
          <w:sz w:val="24"/>
          <w:szCs w:val="24"/>
        </w:rPr>
        <w:t xml:space="preserve">Email </w:t>
      </w:r>
      <w:hyperlink r:id="rId16" w:history="1">
        <w:r w:rsidRPr="0073688A">
          <w:rPr>
            <w:rStyle w:val="Hyperlink"/>
            <w:rFonts w:ascii="Times New Roman" w:hAnsi="Times New Roman" w:cs="Helvetica"/>
            <w:sz w:val="24"/>
            <w:lang w:val="en-US"/>
          </w:rPr>
          <w:t>jenny@integral-sustainability.net</w:t>
        </w:r>
      </w:hyperlink>
      <w:r>
        <w:rPr>
          <w:rFonts w:ascii="Times New Roman" w:hAnsi="Times New Roman" w:cs="Helvetica"/>
          <w:sz w:val="24"/>
          <w:lang w:val="en-US"/>
        </w:rPr>
        <w:t xml:space="preserve"> </w:t>
      </w:r>
    </w:p>
    <w:p w:rsidR="00CF0849" w:rsidRPr="009B2E08" w:rsidRDefault="00CF0849" w:rsidP="005B4784">
      <w:pPr>
        <w:pStyle w:val="Default"/>
        <w:spacing w:after="120"/>
      </w:pPr>
      <w:r w:rsidRPr="009B2E08">
        <w:rPr>
          <w:b/>
        </w:rPr>
        <w:t>Francois Retief</w:t>
      </w:r>
      <w:r w:rsidRPr="009B2E08">
        <w:t xml:space="preserve"> - </w:t>
      </w:r>
      <w:r w:rsidRPr="009B2E08">
        <w:rPr>
          <w:rFonts w:cs="Times"/>
          <w:color w:val="141413"/>
          <w:szCs w:val="12"/>
          <w:lang w:val="en-US"/>
        </w:rPr>
        <w:t xml:space="preserve">School of Geo and Spatial Sciences, </w:t>
      </w:r>
      <w:r w:rsidRPr="009B2E08">
        <w:t>North-West University, South Africa</w:t>
      </w:r>
      <w:r>
        <w:t xml:space="preserve">. </w:t>
      </w:r>
      <w:r w:rsidRPr="0000025A">
        <w:rPr>
          <w:color w:val="auto"/>
        </w:rPr>
        <w:t xml:space="preserve">Email </w:t>
      </w:r>
      <w:hyperlink r:id="rId17" w:history="1">
        <w:r w:rsidRPr="0073688A">
          <w:rPr>
            <w:rStyle w:val="Hyperlink"/>
            <w:rFonts w:cs="Helvetica"/>
            <w:lang w:val="en-US"/>
          </w:rPr>
          <w:t>francois.retief@nwu.ac.za</w:t>
        </w:r>
      </w:hyperlink>
      <w:r>
        <w:rPr>
          <w:rFonts w:cs="Helvetica"/>
          <w:color w:val="auto"/>
          <w:lang w:val="en-US"/>
        </w:rPr>
        <w:t xml:space="preserve"> </w:t>
      </w:r>
    </w:p>
    <w:p w:rsidR="00CF0849" w:rsidRPr="009B2E08" w:rsidRDefault="00CF0849" w:rsidP="005B4784">
      <w:pPr>
        <w:spacing w:after="120" w:line="240" w:lineRule="auto"/>
        <w:rPr>
          <w:rFonts w:ascii="Times New Roman" w:hAnsi="Times New Roman"/>
          <w:sz w:val="24"/>
          <w:szCs w:val="24"/>
        </w:rPr>
      </w:pPr>
    </w:p>
    <w:p w:rsidR="00CF0849" w:rsidRDefault="00CF0849" w:rsidP="005B4784">
      <w:pPr>
        <w:spacing w:after="0" w:line="240" w:lineRule="auto"/>
        <w:jc w:val="center"/>
        <w:rPr>
          <w:rFonts w:ascii="Times New Roman" w:hAnsi="Times New Roman"/>
          <w:b/>
          <w:sz w:val="24"/>
          <w:szCs w:val="24"/>
        </w:rPr>
      </w:pPr>
    </w:p>
    <w:p w:rsidR="00CF0849" w:rsidRDefault="00CF0849" w:rsidP="005B4784">
      <w:pPr>
        <w:spacing w:after="0" w:line="240" w:lineRule="auto"/>
        <w:rPr>
          <w:rFonts w:ascii="Times New Roman" w:hAnsi="Times New Roman"/>
          <w:b/>
          <w:sz w:val="24"/>
          <w:szCs w:val="24"/>
        </w:rPr>
      </w:pPr>
      <w:r>
        <w:rPr>
          <w:rFonts w:ascii="Times New Roman" w:hAnsi="Times New Roman"/>
          <w:b/>
          <w:sz w:val="24"/>
          <w:szCs w:val="24"/>
        </w:rPr>
        <w:t>Key words</w:t>
      </w:r>
    </w:p>
    <w:p w:rsidR="00CF0849" w:rsidRDefault="00CF0849" w:rsidP="005B4784">
      <w:pPr>
        <w:spacing w:after="0" w:line="240" w:lineRule="auto"/>
        <w:rPr>
          <w:rFonts w:ascii="Times New Roman" w:hAnsi="Times New Roman"/>
          <w:sz w:val="24"/>
          <w:szCs w:val="24"/>
        </w:rPr>
      </w:pPr>
      <w:r>
        <w:rPr>
          <w:rFonts w:ascii="Times New Roman" w:hAnsi="Times New Roman"/>
          <w:sz w:val="24"/>
          <w:szCs w:val="24"/>
        </w:rPr>
        <w:t>Evolutionary resilience</w:t>
      </w:r>
    </w:p>
    <w:p w:rsidR="00CF0849" w:rsidRDefault="00CF0849" w:rsidP="005B4784">
      <w:pPr>
        <w:spacing w:after="0" w:line="240" w:lineRule="auto"/>
        <w:rPr>
          <w:rFonts w:ascii="Times New Roman" w:hAnsi="Times New Roman"/>
          <w:sz w:val="24"/>
          <w:szCs w:val="24"/>
        </w:rPr>
      </w:pPr>
      <w:r>
        <w:rPr>
          <w:rFonts w:ascii="Times New Roman" w:hAnsi="Times New Roman"/>
          <w:sz w:val="24"/>
          <w:szCs w:val="24"/>
        </w:rPr>
        <w:t>Adaptive management</w:t>
      </w:r>
    </w:p>
    <w:p w:rsidR="00CF0849" w:rsidRDefault="00CF0849" w:rsidP="005B4784">
      <w:pPr>
        <w:spacing w:after="0" w:line="240" w:lineRule="auto"/>
        <w:rPr>
          <w:rFonts w:ascii="Times New Roman" w:hAnsi="Times New Roman"/>
          <w:sz w:val="24"/>
          <w:szCs w:val="24"/>
        </w:rPr>
      </w:pPr>
      <w:r>
        <w:rPr>
          <w:rFonts w:ascii="Times New Roman" w:hAnsi="Times New Roman"/>
          <w:sz w:val="24"/>
          <w:szCs w:val="24"/>
        </w:rPr>
        <w:t>Uncertainty</w:t>
      </w:r>
    </w:p>
    <w:p w:rsidR="00CF0849" w:rsidRDefault="00CF0849" w:rsidP="005B4784">
      <w:pPr>
        <w:spacing w:after="0" w:line="240" w:lineRule="auto"/>
        <w:rPr>
          <w:rFonts w:ascii="Times New Roman" w:hAnsi="Times New Roman"/>
          <w:sz w:val="24"/>
          <w:szCs w:val="24"/>
        </w:rPr>
      </w:pPr>
      <w:r>
        <w:rPr>
          <w:rFonts w:ascii="Times New Roman" w:hAnsi="Times New Roman"/>
          <w:sz w:val="24"/>
          <w:szCs w:val="24"/>
        </w:rPr>
        <w:t>Ambiguity</w:t>
      </w:r>
    </w:p>
    <w:p w:rsidR="00CF0849" w:rsidRDefault="00CF0849" w:rsidP="005B4784">
      <w:pPr>
        <w:spacing w:after="0" w:line="240" w:lineRule="auto"/>
        <w:rPr>
          <w:rFonts w:ascii="Times New Roman" w:hAnsi="Times New Roman"/>
          <w:sz w:val="24"/>
          <w:szCs w:val="24"/>
        </w:rPr>
      </w:pPr>
      <w:r>
        <w:rPr>
          <w:rFonts w:ascii="Times New Roman" w:hAnsi="Times New Roman"/>
          <w:sz w:val="24"/>
          <w:szCs w:val="24"/>
        </w:rPr>
        <w:t>Ignorance</w:t>
      </w:r>
    </w:p>
    <w:p w:rsidR="00CF0849" w:rsidRDefault="00CF0849" w:rsidP="005B4784">
      <w:pPr>
        <w:spacing w:after="0" w:line="240" w:lineRule="auto"/>
        <w:rPr>
          <w:rFonts w:ascii="Times New Roman" w:hAnsi="Times New Roman"/>
          <w:sz w:val="24"/>
          <w:szCs w:val="24"/>
        </w:rPr>
      </w:pPr>
      <w:r>
        <w:rPr>
          <w:rFonts w:ascii="Times New Roman" w:hAnsi="Times New Roman"/>
          <w:sz w:val="24"/>
          <w:szCs w:val="24"/>
        </w:rPr>
        <w:t>Post-normal science</w:t>
      </w:r>
    </w:p>
    <w:p w:rsidR="00CF0849" w:rsidRDefault="00CF0849" w:rsidP="005B4784">
      <w:pPr>
        <w:spacing w:after="0" w:line="240" w:lineRule="auto"/>
        <w:rPr>
          <w:rFonts w:ascii="Times New Roman" w:hAnsi="Times New Roman"/>
          <w:sz w:val="24"/>
          <w:szCs w:val="24"/>
        </w:rPr>
      </w:pPr>
    </w:p>
    <w:p w:rsidR="00CF0849" w:rsidRPr="002827A7" w:rsidRDefault="00CF0849" w:rsidP="005B4784">
      <w:pPr>
        <w:spacing w:after="0" w:line="240" w:lineRule="auto"/>
        <w:rPr>
          <w:rFonts w:ascii="Times New Roman" w:hAnsi="Times New Roman"/>
          <w:sz w:val="24"/>
          <w:szCs w:val="24"/>
        </w:rPr>
      </w:pPr>
    </w:p>
    <w:p w:rsidR="00CF0849" w:rsidRPr="005C3554" w:rsidRDefault="00CF0849" w:rsidP="005B4784">
      <w:pPr>
        <w:rPr>
          <w:rFonts w:ascii="Times New Roman" w:hAnsi="Times New Roman"/>
          <w:b/>
          <w:sz w:val="24"/>
          <w:szCs w:val="24"/>
        </w:rPr>
      </w:pPr>
      <w:r>
        <w:rPr>
          <w:rFonts w:ascii="Times New Roman" w:hAnsi="Times New Roman"/>
          <w:b/>
          <w:sz w:val="24"/>
          <w:szCs w:val="24"/>
        </w:rPr>
        <w:t>Abstract</w:t>
      </w:r>
    </w:p>
    <w:p w:rsidR="00CF0849" w:rsidRPr="002760BC" w:rsidRDefault="00CF0849" w:rsidP="00FC609E">
      <w:pPr>
        <w:rPr>
          <w:rFonts w:ascii="Times New Roman" w:hAnsi="Times New Roman"/>
          <w:sz w:val="24"/>
          <w:szCs w:val="24"/>
        </w:rPr>
      </w:pPr>
      <w:r>
        <w:rPr>
          <w:rFonts w:ascii="Times New Roman" w:hAnsi="Times New Roman"/>
          <w:sz w:val="24"/>
          <w:szCs w:val="24"/>
        </w:rPr>
        <w:t>In the context of</w:t>
      </w:r>
      <w:r w:rsidRPr="000D1196">
        <w:rPr>
          <w:rFonts w:ascii="Times New Roman" w:hAnsi="Times New Roman"/>
          <w:sz w:val="24"/>
          <w:szCs w:val="24"/>
        </w:rPr>
        <w:t xml:space="preserve"> </w:t>
      </w:r>
      <w:r>
        <w:rPr>
          <w:rFonts w:ascii="Times New Roman" w:hAnsi="Times New Roman"/>
          <w:sz w:val="24"/>
          <w:szCs w:val="24"/>
        </w:rPr>
        <w:t xml:space="preserve">continuing uncertainty, ambiguity and ignorance in impact </w:t>
      </w:r>
      <w:r w:rsidRPr="002D569C">
        <w:rPr>
          <w:rFonts w:ascii="Times New Roman" w:hAnsi="Times New Roman"/>
          <w:sz w:val="24"/>
          <w:szCs w:val="24"/>
        </w:rPr>
        <w:t xml:space="preserve">assessment </w:t>
      </w:r>
      <w:r>
        <w:rPr>
          <w:rFonts w:ascii="Times New Roman" w:hAnsi="Times New Roman"/>
          <w:sz w:val="24"/>
          <w:szCs w:val="24"/>
        </w:rPr>
        <w:t>(IA) prediction, the case is made</w:t>
      </w:r>
      <w:r w:rsidRPr="002D569C">
        <w:rPr>
          <w:rFonts w:ascii="Times New Roman" w:hAnsi="Times New Roman"/>
          <w:sz w:val="24"/>
          <w:szCs w:val="24"/>
        </w:rPr>
        <w:t xml:space="preserve"> that existing </w:t>
      </w:r>
      <w:r>
        <w:rPr>
          <w:rFonts w:ascii="Times New Roman" w:hAnsi="Times New Roman"/>
          <w:sz w:val="24"/>
          <w:szCs w:val="24"/>
        </w:rPr>
        <w:t>IA</w:t>
      </w:r>
      <w:r w:rsidRPr="002D569C">
        <w:rPr>
          <w:rFonts w:ascii="Times New Roman" w:hAnsi="Times New Roman"/>
          <w:sz w:val="24"/>
          <w:szCs w:val="24"/>
        </w:rPr>
        <w:t xml:space="preserve"> processes are based on false ‘normal’ assumptions that science can solve problems and transfer knowledge into policy. Instead, a </w:t>
      </w:r>
      <w:r>
        <w:rPr>
          <w:rFonts w:ascii="Times New Roman" w:hAnsi="Times New Roman"/>
          <w:sz w:val="24"/>
          <w:szCs w:val="24"/>
        </w:rPr>
        <w:t>‘</w:t>
      </w:r>
      <w:r w:rsidRPr="002D569C">
        <w:rPr>
          <w:rFonts w:ascii="Times New Roman" w:hAnsi="Times New Roman"/>
          <w:sz w:val="24"/>
          <w:szCs w:val="24"/>
        </w:rPr>
        <w:t xml:space="preserve">post-normal </w:t>
      </w:r>
      <w:r>
        <w:rPr>
          <w:rFonts w:ascii="Times New Roman" w:hAnsi="Times New Roman"/>
          <w:sz w:val="24"/>
          <w:szCs w:val="24"/>
        </w:rPr>
        <w:t xml:space="preserve">science’ </w:t>
      </w:r>
      <w:r w:rsidRPr="002D569C">
        <w:rPr>
          <w:rFonts w:ascii="Times New Roman" w:hAnsi="Times New Roman"/>
          <w:sz w:val="24"/>
          <w:szCs w:val="24"/>
        </w:rPr>
        <w:t>approach is needed that acknowledges the limits of current levels of scientific</w:t>
      </w:r>
      <w:r>
        <w:rPr>
          <w:rFonts w:ascii="Times New Roman" w:hAnsi="Times New Roman"/>
          <w:sz w:val="24"/>
          <w:szCs w:val="24"/>
        </w:rPr>
        <w:t xml:space="preserve"> understanding. We argue that this can be achieved through embedding evolutionary resilience into IA; using</w:t>
      </w:r>
      <w:r w:rsidRPr="000D1196">
        <w:rPr>
          <w:rFonts w:ascii="Times New Roman" w:hAnsi="Times New Roman"/>
          <w:sz w:val="24"/>
          <w:szCs w:val="24"/>
        </w:rPr>
        <w:t xml:space="preserve"> participatory workshop</w:t>
      </w:r>
      <w:r>
        <w:rPr>
          <w:rFonts w:ascii="Times New Roman" w:hAnsi="Times New Roman"/>
          <w:sz w:val="24"/>
          <w:szCs w:val="24"/>
        </w:rPr>
        <w:t>s; and emphasizing adaptive management. The goal is an</w:t>
      </w:r>
      <w:r w:rsidRPr="000D1196">
        <w:rPr>
          <w:rFonts w:ascii="Times New Roman" w:hAnsi="Times New Roman"/>
          <w:sz w:val="24"/>
          <w:szCs w:val="24"/>
        </w:rPr>
        <w:t xml:space="preserve"> </w:t>
      </w:r>
      <w:r>
        <w:rPr>
          <w:rFonts w:ascii="Times New Roman" w:hAnsi="Times New Roman"/>
          <w:sz w:val="24"/>
          <w:szCs w:val="24"/>
        </w:rPr>
        <w:t>IA process capable of informing policy choices in the face of uncertain influences acting on socio-ecological systems. We propose a specific set of process steps to operationalise this post-normal science approach which draws on work undertaken by the Resilience Alliance. This process</w:t>
      </w:r>
      <w:r w:rsidRPr="006C79CB">
        <w:rPr>
          <w:rFonts w:ascii="Times New Roman" w:hAnsi="Times New Roman"/>
          <w:sz w:val="24"/>
          <w:szCs w:val="24"/>
        </w:rPr>
        <w:t xml:space="preserve"> differs significantly </w:t>
      </w:r>
      <w:r>
        <w:rPr>
          <w:rFonts w:ascii="Times New Roman" w:hAnsi="Times New Roman"/>
          <w:sz w:val="24"/>
          <w:szCs w:val="24"/>
        </w:rPr>
        <w:t>from current models of IA, as it has a far greater focus on avoidance of, or adaptation to (through incorporating adaptive management subsequent to decisions), unwanted future scenarios rather than a focus on the identification of the implications of a single preferred vision. Implementing s</w:t>
      </w:r>
      <w:r w:rsidRPr="002760BC">
        <w:rPr>
          <w:rFonts w:ascii="Times New Roman" w:hAnsi="Times New Roman"/>
          <w:sz w:val="24"/>
          <w:szCs w:val="24"/>
        </w:rPr>
        <w:t xml:space="preserve">uch a </w:t>
      </w:r>
      <w:r>
        <w:rPr>
          <w:rFonts w:ascii="Times New Roman" w:hAnsi="Times New Roman"/>
          <w:sz w:val="24"/>
          <w:szCs w:val="24"/>
        </w:rPr>
        <w:t>process</w:t>
      </w:r>
      <w:r w:rsidRPr="002760BC">
        <w:rPr>
          <w:rFonts w:ascii="Times New Roman" w:hAnsi="Times New Roman"/>
          <w:sz w:val="24"/>
          <w:szCs w:val="24"/>
        </w:rPr>
        <w:t xml:space="preserve"> </w:t>
      </w:r>
      <w:r>
        <w:rPr>
          <w:rFonts w:ascii="Times New Roman" w:hAnsi="Times New Roman"/>
          <w:sz w:val="24"/>
          <w:szCs w:val="24"/>
        </w:rPr>
        <w:t xml:space="preserve">would </w:t>
      </w:r>
      <w:r w:rsidRPr="002760BC">
        <w:rPr>
          <w:rFonts w:ascii="Times New Roman" w:hAnsi="Times New Roman"/>
          <w:sz w:val="24"/>
          <w:szCs w:val="24"/>
        </w:rPr>
        <w:t xml:space="preserve">represent a culture change in </w:t>
      </w:r>
      <w:r>
        <w:rPr>
          <w:rFonts w:ascii="Times New Roman" w:hAnsi="Times New Roman"/>
          <w:sz w:val="24"/>
          <w:szCs w:val="24"/>
        </w:rPr>
        <w:t>IA practice as a lack of knowledge is assumed and explicit, and forms the basis of future planning activity, rather than being ignored.</w:t>
      </w:r>
      <w:r w:rsidRPr="002760BC">
        <w:rPr>
          <w:rFonts w:ascii="Times New Roman" w:hAnsi="Times New Roman"/>
          <w:sz w:val="24"/>
          <w:szCs w:val="24"/>
        </w:rPr>
        <w:t xml:space="preserve"> </w:t>
      </w:r>
    </w:p>
    <w:p w:rsidR="00CF0849" w:rsidRPr="0082526D" w:rsidRDefault="00CF0849" w:rsidP="005B4784">
      <w:pPr>
        <w:rPr>
          <w:rFonts w:ascii="Times New Roman" w:hAnsi="Times New Roman"/>
          <w:color w:val="FF0000"/>
          <w:sz w:val="24"/>
          <w:szCs w:val="24"/>
        </w:rPr>
      </w:pPr>
    </w:p>
    <w:p w:rsidR="00CF0849" w:rsidRPr="00605948" w:rsidRDefault="00CF0849" w:rsidP="005B4784">
      <w:pPr>
        <w:rPr>
          <w:rFonts w:ascii="Times New Roman" w:hAnsi="Times New Roman"/>
          <w:b/>
          <w:bCs/>
          <w:sz w:val="24"/>
          <w:szCs w:val="24"/>
        </w:rPr>
      </w:pPr>
      <w:r>
        <w:rPr>
          <w:rFonts w:ascii="Times New Roman" w:hAnsi="Times New Roman"/>
          <w:b/>
          <w:bCs/>
          <w:sz w:val="24"/>
          <w:szCs w:val="24"/>
        </w:rPr>
        <w:t xml:space="preserve">1. </w:t>
      </w:r>
      <w:r w:rsidRPr="00605948">
        <w:rPr>
          <w:rFonts w:ascii="Times New Roman" w:hAnsi="Times New Roman"/>
          <w:b/>
          <w:bCs/>
          <w:sz w:val="24"/>
          <w:szCs w:val="24"/>
        </w:rPr>
        <w:t>Introduction</w:t>
      </w:r>
    </w:p>
    <w:p w:rsidR="00CF0849" w:rsidRDefault="00CF0849" w:rsidP="002B380F">
      <w:pPr>
        <w:rPr>
          <w:rFonts w:ascii="Times New Roman" w:hAnsi="Times New Roman"/>
          <w:sz w:val="24"/>
          <w:szCs w:val="24"/>
        </w:rPr>
      </w:pPr>
      <w:r>
        <w:rPr>
          <w:rFonts w:ascii="Times New Roman" w:hAnsi="Times New Roman"/>
          <w:sz w:val="24"/>
          <w:szCs w:val="24"/>
        </w:rPr>
        <w:t>This paper begins from the standpoint that the consideration of uncertainty (including ambiguity and ignorance) in impact assessment (IA) is a problem, leading to decisions which fail to accommodate the uncertain outcomes which may materialise as a result of planning and development decisions. The aim is to develop a process of IA which can better accommodate this uncertainty.</w:t>
      </w:r>
    </w:p>
    <w:p w:rsidR="00CF0849" w:rsidRDefault="00CF0849" w:rsidP="002B380F">
      <w:pPr>
        <w:rPr>
          <w:rFonts w:ascii="Times New Roman" w:hAnsi="Times New Roman"/>
          <w:sz w:val="24"/>
          <w:szCs w:val="24"/>
        </w:rPr>
      </w:pPr>
      <w:r>
        <w:rPr>
          <w:rFonts w:ascii="Times New Roman" w:hAnsi="Times New Roman"/>
          <w:sz w:val="24"/>
          <w:szCs w:val="24"/>
        </w:rPr>
        <w:t xml:space="preserve">To meet this aim, we argue for the adaptation of IA processes to accommodate ‘post-normal science’ (which assumes science is neither value-free nor certain, in contrast to ‘normal science’ </w:t>
      </w:r>
      <w:r>
        <w:rPr>
          <w:rFonts w:ascii="Times New Roman" w:hAnsi="Times New Roman"/>
          <w:noProof/>
          <w:sz w:val="24"/>
          <w:szCs w:val="24"/>
        </w:rPr>
        <w:t>(Ravetz,</w:t>
      </w:r>
      <w:bookmarkStart w:id="0" w:name="_GoBack"/>
      <w:bookmarkEnd w:id="0"/>
      <w:r>
        <w:rPr>
          <w:rFonts w:ascii="Times New Roman" w:hAnsi="Times New Roman"/>
          <w:noProof/>
          <w:sz w:val="24"/>
          <w:szCs w:val="24"/>
        </w:rPr>
        <w:t xml:space="preserve"> 1999)</w:t>
      </w:r>
      <w:r>
        <w:rPr>
          <w:rFonts w:ascii="Times New Roman" w:hAnsi="Times New Roman"/>
          <w:sz w:val="24"/>
          <w:szCs w:val="24"/>
        </w:rPr>
        <w:t xml:space="preserve">), so that it can improve decision-making in contexts characterised by ambiguity, uncertainty and ignorance. </w:t>
      </w:r>
      <w:r w:rsidRPr="006C79CB">
        <w:rPr>
          <w:rFonts w:ascii="Times New Roman" w:hAnsi="Times New Roman"/>
          <w:sz w:val="24"/>
          <w:szCs w:val="24"/>
        </w:rPr>
        <w:t xml:space="preserve">We </w:t>
      </w:r>
      <w:r>
        <w:rPr>
          <w:rFonts w:ascii="Times New Roman" w:hAnsi="Times New Roman"/>
          <w:sz w:val="24"/>
          <w:szCs w:val="24"/>
        </w:rPr>
        <w:t>propose</w:t>
      </w:r>
      <w:r w:rsidRPr="006C79CB">
        <w:rPr>
          <w:rFonts w:ascii="Times New Roman" w:hAnsi="Times New Roman"/>
          <w:sz w:val="24"/>
          <w:szCs w:val="24"/>
        </w:rPr>
        <w:t xml:space="preserve"> </w:t>
      </w:r>
      <w:r>
        <w:rPr>
          <w:rFonts w:ascii="Times New Roman" w:hAnsi="Times New Roman"/>
          <w:sz w:val="24"/>
          <w:szCs w:val="24"/>
        </w:rPr>
        <w:t xml:space="preserve">that </w:t>
      </w:r>
      <w:r w:rsidRPr="006C79CB">
        <w:rPr>
          <w:rFonts w:ascii="Times New Roman" w:hAnsi="Times New Roman"/>
          <w:sz w:val="24"/>
          <w:szCs w:val="24"/>
        </w:rPr>
        <w:t xml:space="preserve">embedding </w:t>
      </w:r>
      <w:r>
        <w:rPr>
          <w:rFonts w:ascii="Times New Roman" w:hAnsi="Times New Roman"/>
          <w:sz w:val="24"/>
          <w:szCs w:val="24"/>
        </w:rPr>
        <w:t xml:space="preserve">the concept of </w:t>
      </w:r>
      <w:r w:rsidRPr="006C79CB">
        <w:rPr>
          <w:rFonts w:ascii="Times New Roman" w:hAnsi="Times New Roman"/>
          <w:sz w:val="24"/>
          <w:szCs w:val="24"/>
        </w:rPr>
        <w:t xml:space="preserve">evolutionary resilience into </w:t>
      </w:r>
      <w:r>
        <w:rPr>
          <w:rFonts w:ascii="Times New Roman" w:hAnsi="Times New Roman"/>
          <w:sz w:val="24"/>
          <w:szCs w:val="24"/>
        </w:rPr>
        <w:t>IA through the use of participatory techniques combined with subsequent increased emphasis on adaptive management will provide an effective means of facilitating post-normal science</w:t>
      </w:r>
      <w:r w:rsidRPr="006C79CB">
        <w:rPr>
          <w:rFonts w:ascii="Times New Roman" w:hAnsi="Times New Roman"/>
          <w:sz w:val="24"/>
          <w:szCs w:val="24"/>
        </w:rPr>
        <w:t xml:space="preserve">. </w:t>
      </w:r>
    </w:p>
    <w:p w:rsidR="00CF0849" w:rsidRDefault="00CF0849" w:rsidP="002B380F">
      <w:pPr>
        <w:rPr>
          <w:rFonts w:ascii="Times New Roman" w:hAnsi="Times New Roman"/>
          <w:sz w:val="24"/>
          <w:szCs w:val="24"/>
        </w:rPr>
      </w:pPr>
      <w:r>
        <w:rPr>
          <w:rFonts w:ascii="Times New Roman" w:hAnsi="Times New Roman"/>
          <w:sz w:val="24"/>
          <w:szCs w:val="24"/>
        </w:rPr>
        <w:t xml:space="preserve">Thus, the paper introduces a new combination of ideas drawn from existing literature. It also adds to the literature on post-normal science, uncertainty, and ambiguity and ignorance, by proposing a new process that moves beyond the theoretical deliberations which currently typify that literature, by translating the theory into practice. </w:t>
      </w:r>
    </w:p>
    <w:p w:rsidR="00CF0849" w:rsidRDefault="00CF0849" w:rsidP="002B380F">
      <w:pPr>
        <w:rPr>
          <w:rFonts w:ascii="Times New Roman" w:hAnsi="Times New Roman"/>
          <w:sz w:val="24"/>
          <w:szCs w:val="24"/>
        </w:rPr>
      </w:pPr>
      <w:r>
        <w:rPr>
          <w:rFonts w:ascii="Times New Roman" w:hAnsi="Times New Roman"/>
          <w:sz w:val="24"/>
          <w:szCs w:val="24"/>
        </w:rPr>
        <w:t>We begin by explaining and justifying the problem statement (that uncertainty is inadequately accommodated in current IA process) in the remainder of this section, before introducing the structure of the paper, which is focussed around justifying, and then detailing, the new process proposal.</w:t>
      </w:r>
    </w:p>
    <w:p w:rsidR="00CF0849" w:rsidRDefault="00CF0849" w:rsidP="002B380F">
      <w:pPr>
        <w:rPr>
          <w:rFonts w:ascii="Times New Roman" w:hAnsi="Times New Roman"/>
          <w:sz w:val="24"/>
          <w:szCs w:val="24"/>
        </w:rPr>
      </w:pPr>
      <w:r>
        <w:rPr>
          <w:rFonts w:ascii="Times New Roman" w:hAnsi="Times New Roman"/>
          <w:sz w:val="24"/>
          <w:szCs w:val="24"/>
        </w:rPr>
        <w:t>We define IA after the International Association for Impact Assessment (IAIA) as the “</w:t>
      </w:r>
      <w:r w:rsidRPr="001F6779">
        <w:rPr>
          <w:rFonts w:ascii="Times New Roman" w:hAnsi="Times New Roman" w:cs="Helvetica"/>
          <w:i/>
          <w:color w:val="1A1818"/>
          <w:sz w:val="24"/>
          <w:szCs w:val="18"/>
          <w:lang w:val="en-US"/>
        </w:rPr>
        <w:t>process of identifying the future consequences of a current or proposed action. The “impact” is the difference between what would happen with the action and what would happen without it</w:t>
      </w:r>
      <w:r w:rsidRPr="001F6779">
        <w:rPr>
          <w:rFonts w:ascii="Times New Roman" w:hAnsi="Times New Roman"/>
          <w:sz w:val="24"/>
          <w:szCs w:val="24"/>
        </w:rPr>
        <w:t>”</w:t>
      </w:r>
      <w:r>
        <w:rPr>
          <w:rFonts w:ascii="Times New Roman" w:hAnsi="Times New Roman"/>
          <w:sz w:val="24"/>
          <w:szCs w:val="24"/>
        </w:rPr>
        <w:t xml:space="preserve"> </w:t>
      </w:r>
      <w:r>
        <w:rPr>
          <w:rFonts w:ascii="Times New Roman" w:hAnsi="Times New Roman"/>
          <w:noProof/>
          <w:sz w:val="24"/>
          <w:szCs w:val="24"/>
        </w:rPr>
        <w:t>(International Association for Impact Assessment, 2009, p.1)</w:t>
      </w:r>
      <w:r>
        <w:rPr>
          <w:rFonts w:ascii="Times New Roman" w:hAnsi="Times New Roman"/>
          <w:sz w:val="24"/>
          <w:szCs w:val="24"/>
        </w:rPr>
        <w:t xml:space="preserve">. We distinguish ambiguity, uncertainty and ignorance from risk after </w:t>
      </w:r>
      <w:r>
        <w:rPr>
          <w:rFonts w:ascii="Times New Roman" w:hAnsi="Times New Roman"/>
          <w:noProof/>
          <w:sz w:val="24"/>
          <w:szCs w:val="24"/>
        </w:rPr>
        <w:t>Stirling (2010)</w:t>
      </w:r>
      <w:r>
        <w:rPr>
          <w:rFonts w:ascii="Times New Roman" w:hAnsi="Times New Roman"/>
          <w:sz w:val="24"/>
          <w:szCs w:val="24"/>
        </w:rPr>
        <w:t xml:space="preserve"> as illustrated in Figure 1, which also suggests appropriate qualitative and quantitative methods for identifying and/or managing these types of knowledge. </w:t>
      </w:r>
    </w:p>
    <w:p w:rsidR="00CF0849" w:rsidRDefault="00CF0849" w:rsidP="002B380F">
      <w:pPr>
        <w:rPr>
          <w:rFonts w:ascii="Times New Roman" w:hAnsi="Times New Roman"/>
          <w:noProof/>
          <w:sz w:val="24"/>
          <w:szCs w:val="24"/>
          <w:lang w:eastAsia="zh-CN"/>
        </w:rPr>
      </w:pPr>
      <w:r>
        <w:rPr>
          <w:rFonts w:ascii="Times New Roman" w:hAnsi="Times New Roman"/>
          <w:noProof/>
          <w:sz w:val="24"/>
          <w:szCs w:val="24"/>
        </w:rPr>
        <w:t>Stirling (2010)</w:t>
      </w:r>
      <w:r>
        <w:rPr>
          <w:rFonts w:ascii="Times New Roman" w:hAnsi="Times New Roman"/>
          <w:sz w:val="24"/>
          <w:szCs w:val="24"/>
        </w:rPr>
        <w:t xml:space="preserve"> argues that a narrow focus on risk, which commonly informs many decision-making processes and often underpins IA processes in practice, inadequately considers incomplete knowledge and can therefore lead to decisions that ultimately prove to be poor. He recommends that attention be paid to more “</w:t>
      </w:r>
      <w:r w:rsidRPr="00082C96">
        <w:rPr>
          <w:rFonts w:ascii="Times New Roman" w:hAnsi="Times New Roman"/>
          <w:i/>
          <w:iCs/>
          <w:sz w:val="24"/>
          <w:szCs w:val="24"/>
        </w:rPr>
        <w:t>neglected areas of uncertainty</w:t>
      </w:r>
      <w:r>
        <w:rPr>
          <w:rFonts w:ascii="Times New Roman" w:hAnsi="Times New Roman"/>
          <w:sz w:val="24"/>
          <w:szCs w:val="24"/>
        </w:rPr>
        <w:t xml:space="preserve">” </w:t>
      </w:r>
      <w:r>
        <w:rPr>
          <w:rFonts w:ascii="Times New Roman" w:hAnsi="Times New Roman"/>
          <w:noProof/>
          <w:sz w:val="24"/>
          <w:szCs w:val="24"/>
        </w:rPr>
        <w:t>(Stirling, 2010, p.1030)</w:t>
      </w:r>
      <w:r>
        <w:rPr>
          <w:rFonts w:ascii="Times New Roman" w:hAnsi="Times New Roman"/>
          <w:sz w:val="24"/>
          <w:szCs w:val="24"/>
        </w:rPr>
        <w:t xml:space="preserve"> including ambiguity and ignorance (and this generic meaning for uncertainty, encompassing uncertainty, ambiguity and ignorance will be used in this paper); thus the focus of this paper will be on ambiguity, uncertainty and ignorance, and not on risk. In IA, uncertainty is a recognised problem </w:t>
      </w:r>
      <w:r>
        <w:rPr>
          <w:rFonts w:ascii="Times New Roman" w:hAnsi="Times New Roman"/>
          <w:noProof/>
          <w:sz w:val="24"/>
          <w:szCs w:val="24"/>
        </w:rPr>
        <w:t>(de Jongh, 1988; Geneletti</w:t>
      </w:r>
      <w:r w:rsidRPr="00184818">
        <w:rPr>
          <w:rFonts w:ascii="Times New Roman" w:hAnsi="Times New Roman"/>
          <w:i/>
          <w:noProof/>
          <w:sz w:val="24"/>
          <w:szCs w:val="24"/>
        </w:rPr>
        <w:t xml:space="preserve"> et al.</w:t>
      </w:r>
      <w:r>
        <w:rPr>
          <w:rFonts w:ascii="Times New Roman" w:hAnsi="Times New Roman"/>
          <w:noProof/>
          <w:sz w:val="24"/>
          <w:szCs w:val="24"/>
        </w:rPr>
        <w:t>, 2003; Liu</w:t>
      </w:r>
      <w:r w:rsidRPr="00184818">
        <w:rPr>
          <w:rFonts w:ascii="Times New Roman" w:hAnsi="Times New Roman"/>
          <w:i/>
          <w:noProof/>
          <w:sz w:val="24"/>
          <w:szCs w:val="24"/>
        </w:rPr>
        <w:t xml:space="preserve"> et al.</w:t>
      </w:r>
      <w:r>
        <w:rPr>
          <w:rFonts w:ascii="Times New Roman" w:hAnsi="Times New Roman"/>
          <w:noProof/>
          <w:sz w:val="24"/>
          <w:szCs w:val="24"/>
        </w:rPr>
        <w:t>, 2010)</w:t>
      </w:r>
      <w:r>
        <w:rPr>
          <w:rFonts w:ascii="Times New Roman" w:hAnsi="Times New Roman"/>
          <w:sz w:val="24"/>
          <w:szCs w:val="24"/>
        </w:rPr>
        <w:t xml:space="preserve">, although ambiguity and ignorance have received much less attention (a simple illustration is based on the number of results returned by the Scopus database at the time of writing considering the search terms “impact assessment” AND “uncertainty” (1,551), “ambiguity” (31) and “ignorance” (18) respectively), except where uncertainty is used as more of an umbrella term where ambiguity and ignorance are not distinguished. </w:t>
      </w:r>
    </w:p>
    <w:p w:rsidR="00CF0849" w:rsidRDefault="00CF0849" w:rsidP="005A7B1F">
      <w:pPr>
        <w:rPr>
          <w:rFonts w:ascii="Times New Roman" w:hAnsi="Times New Roman"/>
          <w:sz w:val="24"/>
          <w:szCs w:val="24"/>
        </w:rPr>
      </w:pPr>
      <w:r>
        <w:rPr>
          <w:rFonts w:ascii="Times New Roman" w:hAnsi="Times New Roman"/>
          <w:noProof/>
          <w:sz w:val="24"/>
          <w:szCs w:val="24"/>
          <w:lang w:eastAsia="en-GB"/>
        </w:rPr>
        <w:drawing>
          <wp:inline distT="0" distB="0" distL="0" distR="0" wp14:anchorId="02335589" wp14:editId="0665222B">
            <wp:extent cx="5248275" cy="38100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certainty grid#3.tif"/>
                    <pic:cNvPicPr/>
                  </pic:nvPicPr>
                  <pic:blipFill>
                    <a:blip r:embed="rId18">
                      <a:extLst>
                        <a:ext uri="{28A0092B-C50C-407E-A947-70E740481C1C}">
                          <a14:useLocalDpi xmlns:a14="http://schemas.microsoft.com/office/drawing/2010/main" val="0"/>
                        </a:ext>
                      </a:extLst>
                    </a:blip>
                    <a:stretch>
                      <a:fillRect/>
                    </a:stretch>
                  </pic:blipFill>
                  <pic:spPr>
                    <a:xfrm>
                      <a:off x="0" y="0"/>
                      <a:ext cx="5248275" cy="3810000"/>
                    </a:xfrm>
                    <a:prstGeom prst="rect">
                      <a:avLst/>
                    </a:prstGeom>
                  </pic:spPr>
                </pic:pic>
              </a:graphicData>
            </a:graphic>
          </wp:inline>
        </w:drawing>
      </w:r>
    </w:p>
    <w:p w:rsidR="00CF0849" w:rsidRPr="00A16D86" w:rsidRDefault="00CF0849" w:rsidP="002B380F">
      <w:pPr>
        <w:rPr>
          <w:rFonts w:ascii="Times New Roman" w:hAnsi="Times New Roman"/>
          <w:b/>
          <w:bCs/>
          <w:sz w:val="24"/>
          <w:szCs w:val="24"/>
        </w:rPr>
      </w:pPr>
      <w:r>
        <w:rPr>
          <w:rFonts w:ascii="Times New Roman" w:hAnsi="Times New Roman"/>
          <w:b/>
          <w:bCs/>
          <w:sz w:val="24"/>
          <w:szCs w:val="24"/>
        </w:rPr>
        <w:t>Figure 1</w:t>
      </w:r>
      <w:r>
        <w:rPr>
          <w:rFonts w:ascii="Times New Roman" w:hAnsi="Times New Roman"/>
          <w:b/>
          <w:bCs/>
          <w:sz w:val="24"/>
          <w:szCs w:val="24"/>
        </w:rPr>
        <w:tab/>
      </w:r>
      <w:r w:rsidRPr="00A16D86">
        <w:rPr>
          <w:rFonts w:ascii="Times New Roman" w:hAnsi="Times New Roman"/>
          <w:b/>
          <w:bCs/>
          <w:sz w:val="24"/>
          <w:szCs w:val="24"/>
        </w:rPr>
        <w:t xml:space="preserve">Uncertainty matrix </w:t>
      </w:r>
      <w:r w:rsidRPr="00A16D86">
        <w:rPr>
          <w:rFonts w:ascii="Times New Roman" w:hAnsi="Times New Roman"/>
          <w:b/>
          <w:bCs/>
          <w:noProof/>
          <w:sz w:val="24"/>
          <w:szCs w:val="24"/>
        </w:rPr>
        <w:t>(Adapted from Stirling, 2010)</w:t>
      </w:r>
    </w:p>
    <w:p w:rsidR="00CF0849" w:rsidRDefault="00CF0849" w:rsidP="002B380F">
      <w:pPr>
        <w:rPr>
          <w:rFonts w:ascii="Times New Roman" w:hAnsi="Times New Roman"/>
          <w:sz w:val="24"/>
          <w:szCs w:val="24"/>
        </w:rPr>
      </w:pPr>
    </w:p>
    <w:p w:rsidR="00CF0849" w:rsidRDefault="00CF0849" w:rsidP="005E3D5C">
      <w:pPr>
        <w:autoSpaceDE w:val="0"/>
        <w:autoSpaceDN w:val="0"/>
        <w:adjustRightInd w:val="0"/>
        <w:rPr>
          <w:rFonts w:ascii="Times New Roman" w:hAnsi="Times New Roman"/>
          <w:sz w:val="24"/>
          <w:szCs w:val="24"/>
          <w:lang w:eastAsia="en-AU"/>
        </w:rPr>
      </w:pPr>
      <w:r>
        <w:rPr>
          <w:rFonts w:ascii="Times New Roman" w:hAnsi="Times New Roman"/>
          <w:sz w:val="24"/>
          <w:szCs w:val="24"/>
        </w:rPr>
        <w:t>T</w:t>
      </w:r>
      <w:r w:rsidRPr="005E3D5C">
        <w:rPr>
          <w:rFonts w:ascii="Times New Roman" w:hAnsi="Times New Roman"/>
          <w:sz w:val="24"/>
          <w:szCs w:val="24"/>
        </w:rPr>
        <w:t xml:space="preserve">he first decade of </w:t>
      </w:r>
      <w:r>
        <w:rPr>
          <w:rFonts w:ascii="Times New Roman" w:hAnsi="Times New Roman"/>
          <w:sz w:val="24"/>
          <w:szCs w:val="24"/>
        </w:rPr>
        <w:t>IA</w:t>
      </w:r>
      <w:r w:rsidRPr="005E3D5C">
        <w:rPr>
          <w:rFonts w:ascii="Times New Roman" w:hAnsi="Times New Roman"/>
          <w:sz w:val="24"/>
          <w:szCs w:val="24"/>
        </w:rPr>
        <w:t xml:space="preserve"> practice</w:t>
      </w:r>
      <w:r>
        <w:rPr>
          <w:rFonts w:ascii="Times New Roman" w:hAnsi="Times New Roman"/>
          <w:sz w:val="24"/>
          <w:szCs w:val="24"/>
        </w:rPr>
        <w:t>, following the introduction</w:t>
      </w:r>
      <w:r w:rsidRPr="005E3D5C">
        <w:rPr>
          <w:rFonts w:ascii="Times New Roman" w:hAnsi="Times New Roman"/>
          <w:sz w:val="24"/>
          <w:szCs w:val="24"/>
        </w:rPr>
        <w:t xml:space="preserve"> </w:t>
      </w:r>
      <w:r>
        <w:rPr>
          <w:rFonts w:ascii="Times New Roman" w:hAnsi="Times New Roman"/>
          <w:sz w:val="24"/>
          <w:szCs w:val="24"/>
        </w:rPr>
        <w:t xml:space="preserve">of the National Environmental Policy Act in the United States, </w:t>
      </w:r>
      <w:r w:rsidRPr="005E3D5C">
        <w:rPr>
          <w:rFonts w:ascii="Times New Roman" w:hAnsi="Times New Roman"/>
          <w:sz w:val="24"/>
          <w:szCs w:val="24"/>
        </w:rPr>
        <w:t xml:space="preserve">largely ignored the issue of uncertainty </w:t>
      </w:r>
      <w:r w:rsidRPr="005E3D5C">
        <w:rPr>
          <w:rFonts w:ascii="Times New Roman" w:hAnsi="Times New Roman"/>
          <w:noProof/>
          <w:sz w:val="24"/>
          <w:szCs w:val="24"/>
        </w:rPr>
        <w:t>(de Jongh, 1988)</w:t>
      </w:r>
      <w:r w:rsidRPr="005E3D5C">
        <w:rPr>
          <w:rFonts w:ascii="Times New Roman" w:hAnsi="Times New Roman"/>
          <w:sz w:val="24"/>
          <w:szCs w:val="24"/>
        </w:rPr>
        <w:t xml:space="preserve"> and the theoretical underpinning of IA at that time, rationalism (i.e. better information leads to better decisions based on ‘normal science’ whereby uncertainty is not present) was not questioned. More recently, however, there has been significant debate about the appropriate theoretical basis for </w:t>
      </w:r>
      <w:r>
        <w:rPr>
          <w:rFonts w:ascii="Times New Roman" w:hAnsi="Times New Roman"/>
          <w:sz w:val="24"/>
          <w:szCs w:val="24"/>
        </w:rPr>
        <w:t>IA</w:t>
      </w:r>
      <w:r w:rsidRPr="005E3D5C">
        <w:rPr>
          <w:rFonts w:ascii="Times New Roman" w:hAnsi="Times New Roman"/>
          <w:sz w:val="24"/>
          <w:szCs w:val="24"/>
        </w:rPr>
        <w:t xml:space="preserve">, particularly in the light of uncertainty and different values of stakeholders </w:t>
      </w:r>
      <w:r>
        <w:rPr>
          <w:rFonts w:ascii="Times New Roman" w:hAnsi="Times New Roman"/>
          <w:noProof/>
          <w:sz w:val="24"/>
          <w:szCs w:val="24"/>
        </w:rPr>
        <w:t>(see, for example, Lawrence, 1997; Wallington</w:t>
      </w:r>
      <w:r w:rsidRPr="00C11CF8">
        <w:rPr>
          <w:rFonts w:ascii="Times New Roman" w:hAnsi="Times New Roman"/>
          <w:i/>
          <w:noProof/>
          <w:sz w:val="24"/>
          <w:szCs w:val="24"/>
        </w:rPr>
        <w:t xml:space="preserve"> et al.</w:t>
      </w:r>
      <w:r>
        <w:rPr>
          <w:rFonts w:ascii="Times New Roman" w:hAnsi="Times New Roman"/>
          <w:noProof/>
          <w:sz w:val="24"/>
          <w:szCs w:val="24"/>
        </w:rPr>
        <w:t>, 2007; Weston, 2010; Pope</w:t>
      </w:r>
      <w:r w:rsidRPr="00C11CF8">
        <w:rPr>
          <w:rFonts w:ascii="Times New Roman" w:hAnsi="Times New Roman"/>
          <w:i/>
          <w:noProof/>
          <w:sz w:val="24"/>
          <w:szCs w:val="24"/>
        </w:rPr>
        <w:t xml:space="preserve"> et al.</w:t>
      </w:r>
      <w:r>
        <w:rPr>
          <w:rFonts w:ascii="Times New Roman" w:hAnsi="Times New Roman"/>
          <w:noProof/>
          <w:sz w:val="24"/>
          <w:szCs w:val="24"/>
        </w:rPr>
        <w:t>, 2013)</w:t>
      </w:r>
      <w:r w:rsidRPr="005E3D5C">
        <w:rPr>
          <w:rFonts w:ascii="Times New Roman" w:hAnsi="Times New Roman"/>
          <w:sz w:val="24"/>
          <w:szCs w:val="24"/>
        </w:rPr>
        <w:t xml:space="preserve">. The argument is therefore that rational decision-making is neither typical of proposals subject to </w:t>
      </w:r>
      <w:r>
        <w:rPr>
          <w:rFonts w:ascii="Times New Roman" w:hAnsi="Times New Roman"/>
          <w:sz w:val="24"/>
          <w:szCs w:val="24"/>
        </w:rPr>
        <w:t>IA</w:t>
      </w:r>
      <w:r w:rsidRPr="005E3D5C">
        <w:rPr>
          <w:rFonts w:ascii="Times New Roman" w:hAnsi="Times New Roman"/>
          <w:sz w:val="24"/>
          <w:szCs w:val="24"/>
        </w:rPr>
        <w:t xml:space="preserve">, nor appropriate </w:t>
      </w:r>
      <w:r>
        <w:rPr>
          <w:rFonts w:ascii="Times New Roman" w:hAnsi="Times New Roman"/>
          <w:noProof/>
          <w:sz w:val="24"/>
          <w:szCs w:val="24"/>
        </w:rPr>
        <w:t>(Kørnøv and Thissen, 2000)</w:t>
      </w:r>
      <w:r w:rsidRPr="005E3D5C">
        <w:rPr>
          <w:rFonts w:ascii="Times New Roman" w:hAnsi="Times New Roman"/>
          <w:sz w:val="24"/>
          <w:szCs w:val="24"/>
        </w:rPr>
        <w:t xml:space="preserve">. Furthermore, </w:t>
      </w:r>
      <w:r>
        <w:rPr>
          <w:rFonts w:ascii="Times New Roman" w:hAnsi="Times New Roman"/>
          <w:noProof/>
          <w:sz w:val="24"/>
          <w:szCs w:val="24"/>
        </w:rPr>
        <w:t>Petersen</w:t>
      </w:r>
      <w:r w:rsidRPr="00C11CF8">
        <w:rPr>
          <w:rFonts w:ascii="Times New Roman" w:hAnsi="Times New Roman"/>
          <w:i/>
          <w:noProof/>
          <w:sz w:val="24"/>
          <w:szCs w:val="24"/>
        </w:rPr>
        <w:t xml:space="preserve"> et al.</w:t>
      </w:r>
      <w:r>
        <w:rPr>
          <w:rFonts w:ascii="Times New Roman" w:hAnsi="Times New Roman"/>
          <w:noProof/>
          <w:sz w:val="24"/>
          <w:szCs w:val="24"/>
        </w:rPr>
        <w:t xml:space="preserve"> (2011)</w:t>
      </w:r>
      <w:r w:rsidRPr="005E3D5C">
        <w:rPr>
          <w:rFonts w:ascii="Times New Roman" w:hAnsi="Times New Roman"/>
          <w:sz w:val="24"/>
          <w:szCs w:val="24"/>
        </w:rPr>
        <w:t xml:space="preserve"> describe </w:t>
      </w:r>
      <w:r w:rsidRPr="005E3D5C">
        <w:rPr>
          <w:rFonts w:ascii="Times New Roman" w:hAnsi="Times New Roman"/>
          <w:sz w:val="24"/>
          <w:szCs w:val="24"/>
          <w:lang w:eastAsia="en-AU"/>
        </w:rPr>
        <w:t xml:space="preserve">a </w:t>
      </w:r>
      <w:r>
        <w:rPr>
          <w:rFonts w:ascii="Times New Roman" w:hAnsi="Times New Roman"/>
          <w:sz w:val="24"/>
          <w:szCs w:val="24"/>
          <w:lang w:eastAsia="en-AU"/>
        </w:rPr>
        <w:t>“</w:t>
      </w:r>
      <w:r w:rsidRPr="005E3D5C">
        <w:rPr>
          <w:rFonts w:ascii="Times New Roman" w:hAnsi="Times New Roman"/>
          <w:i/>
          <w:sz w:val="24"/>
          <w:szCs w:val="24"/>
          <w:lang w:eastAsia="en-AU"/>
        </w:rPr>
        <w:t>scandal around uncertainty management in 1999</w:t>
      </w:r>
      <w:r w:rsidRPr="005E3D5C">
        <w:rPr>
          <w:rFonts w:ascii="Times New Roman" w:hAnsi="Times New Roman"/>
          <w:sz w:val="24"/>
          <w:szCs w:val="24"/>
          <w:lang w:eastAsia="en-AU"/>
        </w:rPr>
        <w:t xml:space="preserve">” </w:t>
      </w:r>
      <w:r>
        <w:rPr>
          <w:rFonts w:ascii="Times New Roman" w:hAnsi="Times New Roman"/>
          <w:noProof/>
          <w:sz w:val="24"/>
          <w:szCs w:val="24"/>
          <w:lang w:eastAsia="en-AU"/>
        </w:rPr>
        <w:t>(p. 362)</w:t>
      </w:r>
      <w:r>
        <w:rPr>
          <w:rFonts w:ascii="Times New Roman" w:hAnsi="Times New Roman"/>
          <w:sz w:val="24"/>
          <w:szCs w:val="24"/>
          <w:lang w:eastAsia="en-AU"/>
        </w:rPr>
        <w:t xml:space="preserve"> in the Netherlands Environmental Assessment Agency, whereby a senior statistician in the Agency published a national newspaper article criticising their approach of relying heavily on computer models without real measurements to back them up, providing unrealistic accuracy claims (i.e. hiding uncertainty). This threatened the Agency’s funding and resulted in them attempting to introduce a post-normal science approach to their work via guidance on uncertainty assessment and communication, and guidance on stakeholder participation; albeit they conclude that changing the mind-sets of their staff is a longer-term prospect. This example typifies the field of IA which is traditionally very technocratic, embedded in a utopian rationalist view of the role of science in policy </w:t>
      </w:r>
      <w:r>
        <w:rPr>
          <w:rFonts w:ascii="Times New Roman" w:hAnsi="Times New Roman"/>
          <w:noProof/>
          <w:sz w:val="24"/>
          <w:szCs w:val="24"/>
          <w:lang w:eastAsia="en-AU"/>
        </w:rPr>
        <w:t>(Petersen</w:t>
      </w:r>
      <w:r w:rsidRPr="00C11CF8">
        <w:rPr>
          <w:rFonts w:ascii="Times New Roman" w:hAnsi="Times New Roman"/>
          <w:i/>
          <w:noProof/>
          <w:sz w:val="24"/>
          <w:szCs w:val="24"/>
          <w:lang w:eastAsia="en-AU"/>
        </w:rPr>
        <w:t xml:space="preserve"> et al.</w:t>
      </w:r>
      <w:r>
        <w:rPr>
          <w:rFonts w:ascii="Times New Roman" w:hAnsi="Times New Roman"/>
          <w:noProof/>
          <w:sz w:val="24"/>
          <w:szCs w:val="24"/>
          <w:lang w:eastAsia="en-AU"/>
        </w:rPr>
        <w:t>, 2011)</w:t>
      </w:r>
      <w:r>
        <w:rPr>
          <w:rFonts w:ascii="Times New Roman" w:hAnsi="Times New Roman"/>
          <w:sz w:val="24"/>
          <w:szCs w:val="24"/>
          <w:lang w:eastAsia="en-AU"/>
        </w:rPr>
        <w:t xml:space="preserve"> which argues that the assimilation of scientific, value-free information, should influence policy outcomes – despite the evidence to the contrary. This view of IA is institutionalised which, as the Netherlands Environmental Assessment Agency found, makes any redirection a ‘scandal’.</w:t>
      </w:r>
    </w:p>
    <w:p w:rsidR="00CF0849" w:rsidRDefault="00CF0849" w:rsidP="00D06294">
      <w:pPr>
        <w:rPr>
          <w:rFonts w:asciiTheme="majorBidi" w:hAnsiTheme="majorBidi" w:cstheme="majorBidi"/>
          <w:sz w:val="24"/>
          <w:szCs w:val="24"/>
        </w:rPr>
      </w:pPr>
      <w:r>
        <w:rPr>
          <w:rFonts w:ascii="Times New Roman" w:hAnsi="Times New Roman"/>
          <w:sz w:val="24"/>
          <w:szCs w:val="24"/>
        </w:rPr>
        <w:t>Within IA, a</w:t>
      </w:r>
      <w:r w:rsidRPr="0013010C">
        <w:rPr>
          <w:rFonts w:asciiTheme="majorBidi" w:hAnsiTheme="majorBidi" w:cstheme="majorBidi"/>
          <w:sz w:val="24"/>
          <w:szCs w:val="24"/>
        </w:rPr>
        <w:t xml:space="preserve">ttempts to manage uncertainty generally focus on </w:t>
      </w:r>
      <w:r>
        <w:rPr>
          <w:rFonts w:asciiTheme="majorBidi" w:hAnsiTheme="majorBidi" w:cstheme="majorBidi"/>
          <w:sz w:val="24"/>
          <w:szCs w:val="24"/>
        </w:rPr>
        <w:t xml:space="preserve">transparent </w:t>
      </w:r>
      <w:r w:rsidRPr="0013010C">
        <w:rPr>
          <w:rFonts w:asciiTheme="majorBidi" w:hAnsiTheme="majorBidi" w:cstheme="majorBidi"/>
          <w:sz w:val="24"/>
          <w:szCs w:val="24"/>
        </w:rPr>
        <w:t xml:space="preserve">disclosure </w:t>
      </w:r>
      <w:r>
        <w:rPr>
          <w:rFonts w:asciiTheme="majorBidi" w:hAnsiTheme="majorBidi" w:cstheme="majorBidi"/>
          <w:sz w:val="24"/>
          <w:szCs w:val="24"/>
        </w:rPr>
        <w:t>of</w:t>
      </w:r>
      <w:r w:rsidRPr="0013010C">
        <w:rPr>
          <w:rFonts w:asciiTheme="majorBidi" w:hAnsiTheme="majorBidi" w:cstheme="majorBidi"/>
          <w:sz w:val="24"/>
          <w:szCs w:val="24"/>
        </w:rPr>
        <w:t xml:space="preserve"> </w:t>
      </w:r>
      <w:r>
        <w:rPr>
          <w:rFonts w:asciiTheme="majorBidi" w:hAnsiTheme="majorBidi" w:cstheme="majorBidi"/>
          <w:sz w:val="24"/>
          <w:szCs w:val="24"/>
        </w:rPr>
        <w:t xml:space="preserve">acknowledged areas of uncertainty </w:t>
      </w:r>
      <w:r>
        <w:rPr>
          <w:rFonts w:asciiTheme="majorBidi" w:hAnsiTheme="majorBidi" w:cstheme="majorBidi"/>
          <w:noProof/>
          <w:sz w:val="24"/>
          <w:szCs w:val="24"/>
        </w:rPr>
        <w:t>(see, for example, Tennøy</w:t>
      </w:r>
      <w:r w:rsidRPr="00C11CF8">
        <w:rPr>
          <w:rFonts w:asciiTheme="majorBidi" w:hAnsiTheme="majorBidi" w:cstheme="majorBidi"/>
          <w:i/>
          <w:noProof/>
          <w:sz w:val="24"/>
          <w:szCs w:val="24"/>
        </w:rPr>
        <w:t xml:space="preserve"> et al.</w:t>
      </w:r>
      <w:r>
        <w:rPr>
          <w:rFonts w:asciiTheme="majorBidi" w:hAnsiTheme="majorBidi" w:cstheme="majorBidi"/>
          <w:noProof/>
          <w:sz w:val="24"/>
          <w:szCs w:val="24"/>
        </w:rPr>
        <w:t>, 2006)</w:t>
      </w:r>
      <w:r>
        <w:rPr>
          <w:rFonts w:asciiTheme="majorBidi" w:hAnsiTheme="majorBidi" w:cstheme="majorBidi"/>
          <w:sz w:val="24"/>
          <w:szCs w:val="24"/>
        </w:rPr>
        <w:t>. This approach, however, is</w:t>
      </w:r>
      <w:r w:rsidRPr="0013010C">
        <w:rPr>
          <w:rFonts w:asciiTheme="majorBidi" w:hAnsiTheme="majorBidi" w:cstheme="majorBidi"/>
          <w:sz w:val="24"/>
          <w:szCs w:val="24"/>
        </w:rPr>
        <w:t xml:space="preserve"> </w:t>
      </w:r>
      <w:r>
        <w:rPr>
          <w:rFonts w:asciiTheme="majorBidi" w:hAnsiTheme="majorBidi" w:cstheme="majorBidi"/>
          <w:sz w:val="24"/>
          <w:szCs w:val="24"/>
        </w:rPr>
        <w:t xml:space="preserve">typically </w:t>
      </w:r>
      <w:r w:rsidRPr="0013010C">
        <w:rPr>
          <w:rFonts w:asciiTheme="majorBidi" w:hAnsiTheme="majorBidi" w:cstheme="majorBidi"/>
          <w:sz w:val="24"/>
          <w:szCs w:val="24"/>
        </w:rPr>
        <w:t xml:space="preserve">based on an assumption that </w:t>
      </w:r>
      <w:r>
        <w:rPr>
          <w:rFonts w:asciiTheme="majorBidi" w:hAnsiTheme="majorBidi" w:cstheme="majorBidi"/>
          <w:sz w:val="24"/>
          <w:szCs w:val="24"/>
        </w:rPr>
        <w:t xml:space="preserve">uncertainty </w:t>
      </w:r>
      <w:r w:rsidRPr="0013010C">
        <w:rPr>
          <w:rFonts w:asciiTheme="majorBidi" w:hAnsiTheme="majorBidi" w:cstheme="majorBidi"/>
          <w:sz w:val="24"/>
          <w:szCs w:val="24"/>
        </w:rPr>
        <w:t>is “</w:t>
      </w:r>
      <w:r w:rsidRPr="0013010C">
        <w:rPr>
          <w:rFonts w:asciiTheme="majorBidi" w:hAnsiTheme="majorBidi" w:cstheme="majorBidi"/>
          <w:i/>
          <w:iCs/>
          <w:sz w:val="24"/>
          <w:szCs w:val="24"/>
        </w:rPr>
        <w:t>identifiable, quantifiable and communicable</w:t>
      </w:r>
      <w:r w:rsidRPr="0013010C">
        <w:rPr>
          <w:rFonts w:asciiTheme="majorBidi" w:hAnsiTheme="majorBidi" w:cstheme="majorBidi"/>
          <w:sz w:val="24"/>
          <w:szCs w:val="24"/>
        </w:rPr>
        <w:t xml:space="preserve">” </w:t>
      </w:r>
      <w:r w:rsidRPr="0013010C">
        <w:rPr>
          <w:rFonts w:asciiTheme="majorBidi" w:hAnsiTheme="majorBidi" w:cstheme="majorBidi"/>
          <w:noProof/>
          <w:sz w:val="24"/>
          <w:szCs w:val="24"/>
        </w:rPr>
        <w:t>(Duncan, 2013, p.151)</w:t>
      </w:r>
      <w:r w:rsidRPr="0013010C">
        <w:rPr>
          <w:rFonts w:asciiTheme="majorBidi" w:hAnsiTheme="majorBidi" w:cstheme="majorBidi"/>
          <w:sz w:val="24"/>
          <w:szCs w:val="24"/>
        </w:rPr>
        <w:t xml:space="preserve">. As such, there is universal agreement that uncertainty exists in </w:t>
      </w:r>
      <w:r>
        <w:rPr>
          <w:rFonts w:asciiTheme="majorBidi" w:hAnsiTheme="majorBidi" w:cstheme="majorBidi"/>
          <w:sz w:val="24"/>
          <w:szCs w:val="24"/>
        </w:rPr>
        <w:t>IA</w:t>
      </w:r>
      <w:r w:rsidRPr="0013010C">
        <w:rPr>
          <w:rFonts w:asciiTheme="majorBidi" w:hAnsiTheme="majorBidi" w:cstheme="majorBidi"/>
          <w:sz w:val="24"/>
          <w:szCs w:val="24"/>
        </w:rPr>
        <w:t xml:space="preserve">, particularly in impact prediction </w:t>
      </w:r>
      <w:r w:rsidRPr="0013010C">
        <w:rPr>
          <w:rFonts w:asciiTheme="majorBidi" w:hAnsiTheme="majorBidi" w:cstheme="majorBidi"/>
          <w:noProof/>
          <w:sz w:val="24"/>
          <w:szCs w:val="24"/>
        </w:rPr>
        <w:t>(de Jongh, 1988)</w:t>
      </w:r>
      <w:r w:rsidRPr="0013010C">
        <w:rPr>
          <w:rFonts w:asciiTheme="majorBidi" w:hAnsiTheme="majorBidi" w:cstheme="majorBidi"/>
          <w:sz w:val="24"/>
          <w:szCs w:val="24"/>
        </w:rPr>
        <w:t xml:space="preserve">, that uncertainty remains a key source of decision difficulty </w:t>
      </w:r>
      <w:r>
        <w:rPr>
          <w:rFonts w:asciiTheme="majorBidi" w:hAnsiTheme="majorBidi" w:cstheme="majorBidi"/>
          <w:noProof/>
          <w:sz w:val="24"/>
          <w:szCs w:val="24"/>
        </w:rPr>
        <w:t>(Retief</w:t>
      </w:r>
      <w:r w:rsidRPr="00C11CF8">
        <w:rPr>
          <w:rFonts w:asciiTheme="majorBidi" w:hAnsiTheme="majorBidi" w:cstheme="majorBidi"/>
          <w:i/>
          <w:noProof/>
          <w:sz w:val="24"/>
          <w:szCs w:val="24"/>
        </w:rPr>
        <w:t xml:space="preserve"> et al.</w:t>
      </w:r>
      <w:r>
        <w:rPr>
          <w:rFonts w:asciiTheme="majorBidi" w:hAnsiTheme="majorBidi" w:cstheme="majorBidi"/>
          <w:noProof/>
          <w:sz w:val="24"/>
          <w:szCs w:val="24"/>
        </w:rPr>
        <w:t>, 2013)</w:t>
      </w:r>
      <w:r w:rsidRPr="0013010C">
        <w:rPr>
          <w:rFonts w:asciiTheme="majorBidi" w:hAnsiTheme="majorBidi" w:cstheme="majorBidi"/>
          <w:sz w:val="24"/>
          <w:szCs w:val="24"/>
        </w:rPr>
        <w:t xml:space="preserve"> and that it needs to be managed in some way, but no consensus </w:t>
      </w:r>
      <w:r w:rsidRPr="00CD536D">
        <w:rPr>
          <w:rFonts w:asciiTheme="majorBidi" w:hAnsiTheme="majorBidi" w:cstheme="majorBidi"/>
          <w:sz w:val="24"/>
          <w:szCs w:val="24"/>
        </w:rPr>
        <w:t xml:space="preserve">exists </w:t>
      </w:r>
      <w:r w:rsidRPr="0013010C">
        <w:rPr>
          <w:rFonts w:asciiTheme="majorBidi" w:hAnsiTheme="majorBidi" w:cstheme="majorBidi"/>
          <w:sz w:val="24"/>
          <w:szCs w:val="24"/>
        </w:rPr>
        <w:t>on how to do this</w:t>
      </w:r>
      <w:r>
        <w:rPr>
          <w:rFonts w:asciiTheme="majorBidi" w:hAnsiTheme="majorBidi" w:cstheme="majorBidi"/>
          <w:sz w:val="24"/>
          <w:szCs w:val="24"/>
        </w:rPr>
        <w:t xml:space="preserve"> (</w:t>
      </w:r>
      <w:r>
        <w:rPr>
          <w:rFonts w:asciiTheme="majorBidi" w:hAnsiTheme="majorBidi" w:cstheme="majorBidi"/>
          <w:noProof/>
          <w:sz w:val="24"/>
          <w:szCs w:val="24"/>
        </w:rPr>
        <w:t xml:space="preserve">Leung </w:t>
      </w:r>
      <w:r w:rsidRPr="00273DBB">
        <w:rPr>
          <w:rFonts w:asciiTheme="majorBidi" w:hAnsiTheme="majorBidi" w:cstheme="majorBidi"/>
          <w:i/>
          <w:noProof/>
          <w:sz w:val="24"/>
          <w:szCs w:val="24"/>
        </w:rPr>
        <w:t>et al</w:t>
      </w:r>
      <w:r>
        <w:rPr>
          <w:rFonts w:asciiTheme="majorBidi" w:hAnsiTheme="majorBidi" w:cstheme="majorBidi"/>
          <w:noProof/>
          <w:sz w:val="24"/>
          <w:szCs w:val="24"/>
        </w:rPr>
        <w:t>. 2014)</w:t>
      </w:r>
      <w:r w:rsidRPr="0013010C">
        <w:rPr>
          <w:rFonts w:asciiTheme="majorBidi" w:hAnsiTheme="majorBidi" w:cstheme="majorBidi"/>
          <w:sz w:val="24"/>
          <w:szCs w:val="24"/>
        </w:rPr>
        <w:t xml:space="preserve">. </w:t>
      </w:r>
    </w:p>
    <w:p w:rsidR="00CF0849" w:rsidRPr="00E73053" w:rsidRDefault="00CF0849" w:rsidP="00F965DC">
      <w:pPr>
        <w:rPr>
          <w:rFonts w:asciiTheme="majorBidi" w:hAnsiTheme="majorBidi" w:cstheme="majorBidi"/>
          <w:color w:val="0000FF"/>
          <w:sz w:val="24"/>
          <w:szCs w:val="24"/>
        </w:rPr>
      </w:pPr>
      <w:r>
        <w:rPr>
          <w:rFonts w:asciiTheme="majorBidi" w:hAnsiTheme="majorBidi" w:cstheme="majorBidi"/>
          <w:sz w:val="24"/>
          <w:szCs w:val="24"/>
        </w:rPr>
        <w:t xml:space="preserve">The remainder of the paper addresses the aim of the paper, to develop an IA process that better accommodates uncertainty. The next section </w:t>
      </w:r>
      <w:r w:rsidRPr="00D14BE6">
        <w:rPr>
          <w:rFonts w:asciiTheme="majorBidi" w:hAnsiTheme="majorBidi" w:cstheme="majorBidi"/>
          <w:sz w:val="24"/>
          <w:szCs w:val="24"/>
        </w:rPr>
        <w:t xml:space="preserve">of this paper </w:t>
      </w:r>
      <w:r>
        <w:rPr>
          <w:rFonts w:asciiTheme="majorBidi" w:hAnsiTheme="majorBidi" w:cstheme="majorBidi"/>
          <w:sz w:val="24"/>
          <w:szCs w:val="24"/>
        </w:rPr>
        <w:t>examines the theoretical context for IA, generally, and the extent to which uncertainty, ambiguity and ignorance can properly be incorporated in a post-normal science framing of the IA process. Section 3</w:t>
      </w:r>
      <w:r w:rsidRPr="00E73053">
        <w:rPr>
          <w:rFonts w:asciiTheme="majorBidi" w:hAnsiTheme="majorBidi" w:cstheme="majorBidi"/>
          <w:sz w:val="24"/>
          <w:szCs w:val="24"/>
        </w:rPr>
        <w:t xml:space="preserve"> </w:t>
      </w:r>
      <w:r>
        <w:rPr>
          <w:rFonts w:asciiTheme="majorBidi" w:hAnsiTheme="majorBidi" w:cstheme="majorBidi"/>
          <w:sz w:val="24"/>
          <w:szCs w:val="24"/>
        </w:rPr>
        <w:t xml:space="preserve">defines and </w:t>
      </w:r>
      <w:r w:rsidRPr="00D14BE6">
        <w:rPr>
          <w:rFonts w:asciiTheme="majorBidi" w:hAnsiTheme="majorBidi" w:cstheme="majorBidi"/>
          <w:sz w:val="24"/>
          <w:szCs w:val="24"/>
        </w:rPr>
        <w:t>investigates the concept of resilience</w:t>
      </w:r>
      <w:r>
        <w:rPr>
          <w:rFonts w:asciiTheme="majorBidi" w:hAnsiTheme="majorBidi" w:cstheme="majorBidi"/>
          <w:sz w:val="24"/>
          <w:szCs w:val="24"/>
        </w:rPr>
        <w:t>, identified in Figure 1 as a useful concept in dealing with ignorance, and the extent to which it is compatible with a post-normal science IA process. In Section 4, the paper proposes</w:t>
      </w:r>
      <w:r w:rsidRPr="00D14BE6">
        <w:rPr>
          <w:rFonts w:asciiTheme="majorBidi" w:hAnsiTheme="majorBidi" w:cstheme="majorBidi"/>
          <w:sz w:val="24"/>
          <w:szCs w:val="24"/>
        </w:rPr>
        <w:t xml:space="preserve"> a specific process of </w:t>
      </w:r>
      <w:r>
        <w:rPr>
          <w:rFonts w:asciiTheme="majorBidi" w:hAnsiTheme="majorBidi" w:cstheme="majorBidi"/>
          <w:sz w:val="24"/>
          <w:szCs w:val="24"/>
        </w:rPr>
        <w:t>IA</w:t>
      </w:r>
      <w:r w:rsidRPr="00D14BE6">
        <w:rPr>
          <w:rFonts w:asciiTheme="majorBidi" w:hAnsiTheme="majorBidi" w:cstheme="majorBidi"/>
          <w:sz w:val="24"/>
          <w:szCs w:val="24"/>
        </w:rPr>
        <w:t xml:space="preserve"> that incorporates resilience</w:t>
      </w:r>
      <w:r>
        <w:rPr>
          <w:rFonts w:asciiTheme="majorBidi" w:hAnsiTheme="majorBidi" w:cstheme="majorBidi"/>
          <w:sz w:val="24"/>
          <w:szCs w:val="24"/>
        </w:rPr>
        <w:t xml:space="preserve"> (more specifically, evolutionary resilience) and adaptive management more intensively than is currently typical in order to better consider and manage uncertainty, including ambiguity and ignorance. Finally reflections are presented on the practicability of the proposed post normal science IA process, and the extent to which the aims of the paper have been met. </w:t>
      </w:r>
    </w:p>
    <w:p w:rsidR="00CF0849" w:rsidRPr="00B2105D" w:rsidRDefault="00CF0849" w:rsidP="005B4784">
      <w:pPr>
        <w:rPr>
          <w:rFonts w:ascii="Times New Roman" w:hAnsi="Times New Roman"/>
          <w:sz w:val="24"/>
          <w:szCs w:val="24"/>
        </w:rPr>
      </w:pPr>
    </w:p>
    <w:p w:rsidR="00CF0849" w:rsidRPr="00DF5A63" w:rsidRDefault="00CF0849" w:rsidP="002C3B77">
      <w:pPr>
        <w:rPr>
          <w:rFonts w:ascii="Times New Roman" w:hAnsi="Times New Roman"/>
          <w:b/>
          <w:sz w:val="24"/>
          <w:szCs w:val="24"/>
        </w:rPr>
      </w:pPr>
      <w:r>
        <w:rPr>
          <w:rFonts w:ascii="Times New Roman" w:hAnsi="Times New Roman"/>
          <w:b/>
          <w:sz w:val="24"/>
          <w:szCs w:val="24"/>
        </w:rPr>
        <w:t>2</w:t>
      </w:r>
      <w:r w:rsidRPr="00DF5A63">
        <w:rPr>
          <w:rFonts w:ascii="Times New Roman" w:hAnsi="Times New Roman"/>
          <w:b/>
          <w:sz w:val="24"/>
          <w:szCs w:val="24"/>
        </w:rPr>
        <w:t xml:space="preserve">. </w:t>
      </w:r>
      <w:r>
        <w:rPr>
          <w:rFonts w:ascii="Times New Roman" w:hAnsi="Times New Roman"/>
          <w:b/>
          <w:sz w:val="24"/>
          <w:szCs w:val="24"/>
        </w:rPr>
        <w:t>I</w:t>
      </w:r>
      <w:r w:rsidRPr="00DF5A63">
        <w:rPr>
          <w:rFonts w:ascii="Times New Roman" w:hAnsi="Times New Roman"/>
          <w:b/>
          <w:sz w:val="24"/>
          <w:szCs w:val="24"/>
        </w:rPr>
        <w:t xml:space="preserve">mpact assessment </w:t>
      </w:r>
      <w:r>
        <w:rPr>
          <w:rFonts w:ascii="Times New Roman" w:hAnsi="Times New Roman"/>
          <w:b/>
          <w:sz w:val="24"/>
          <w:szCs w:val="24"/>
        </w:rPr>
        <w:t>theory and uncertainty</w:t>
      </w:r>
    </w:p>
    <w:p w:rsidR="00CF0849" w:rsidRPr="004937A8" w:rsidRDefault="00CF0849" w:rsidP="002B380F">
      <w:pPr>
        <w:rPr>
          <w:rFonts w:ascii="Times New Roman" w:hAnsi="Times New Roman"/>
          <w:sz w:val="24"/>
          <w:szCs w:val="24"/>
        </w:rPr>
      </w:pPr>
      <w:r>
        <w:rPr>
          <w:rFonts w:ascii="Times New Roman" w:hAnsi="Times New Roman"/>
          <w:sz w:val="24"/>
          <w:szCs w:val="24"/>
        </w:rPr>
        <w:t xml:space="preserve">Impact </w:t>
      </w:r>
      <w:r w:rsidRPr="00BA52A3">
        <w:rPr>
          <w:rFonts w:ascii="Times New Roman" w:hAnsi="Times New Roman"/>
          <w:sz w:val="24"/>
          <w:szCs w:val="24"/>
        </w:rPr>
        <w:t>assessment can be</w:t>
      </w:r>
      <w:r>
        <w:rPr>
          <w:rFonts w:ascii="Times New Roman" w:hAnsi="Times New Roman"/>
          <w:sz w:val="24"/>
          <w:szCs w:val="24"/>
        </w:rPr>
        <w:t>, and traditionally has been,</w:t>
      </w:r>
      <w:r w:rsidRPr="00BA52A3">
        <w:rPr>
          <w:rFonts w:ascii="Times New Roman" w:hAnsi="Times New Roman"/>
          <w:sz w:val="24"/>
          <w:szCs w:val="24"/>
        </w:rPr>
        <w:t xml:space="preserve"> framed in the context </w:t>
      </w:r>
      <w:r>
        <w:rPr>
          <w:rFonts w:ascii="Times New Roman" w:hAnsi="Times New Roman"/>
          <w:sz w:val="24"/>
          <w:szCs w:val="24"/>
        </w:rPr>
        <w:t xml:space="preserve">of </w:t>
      </w:r>
      <w:r w:rsidRPr="00162353">
        <w:rPr>
          <w:rFonts w:ascii="Times New Roman" w:hAnsi="Times New Roman"/>
          <w:sz w:val="24"/>
          <w:szCs w:val="24"/>
        </w:rPr>
        <w:t>rational decision making</w:t>
      </w:r>
      <w:r>
        <w:rPr>
          <w:rFonts w:ascii="Times New Roman" w:hAnsi="Times New Roman"/>
          <w:sz w:val="24"/>
          <w:szCs w:val="24"/>
        </w:rPr>
        <w:t xml:space="preserve"> whereby better information leads to better decisions </w:t>
      </w:r>
      <w:r>
        <w:rPr>
          <w:rFonts w:ascii="Times New Roman" w:hAnsi="Times New Roman"/>
          <w:noProof/>
          <w:sz w:val="24"/>
          <w:szCs w:val="24"/>
        </w:rPr>
        <w:t>(Bartlett and Kurian, 1999; Cashmore, 2004)</w:t>
      </w:r>
      <w:r>
        <w:rPr>
          <w:rFonts w:ascii="Times New Roman" w:hAnsi="Times New Roman"/>
          <w:sz w:val="24"/>
          <w:szCs w:val="24"/>
        </w:rPr>
        <w:t xml:space="preserve">. Inherent in this ‘positivist’ theory of decision making are the assumptions that: 1) decision makers behave rationally; and 2) IAs practice ‘normal’ science </w:t>
      </w:r>
      <w:r w:rsidRPr="002D569C">
        <w:rPr>
          <w:rFonts w:ascii="Times New Roman" w:hAnsi="Times New Roman"/>
          <w:sz w:val="24"/>
          <w:szCs w:val="24"/>
        </w:rPr>
        <w:t>whereby the level of system</w:t>
      </w:r>
      <w:r>
        <w:rPr>
          <w:rFonts w:ascii="Times New Roman" w:hAnsi="Times New Roman"/>
          <w:sz w:val="24"/>
          <w:szCs w:val="24"/>
        </w:rPr>
        <w:t xml:space="preserve"> understanding is sufficient to associate cause and effect (i.e. uncertainty, ambiguity and ignorance are assumed to be limited or non-existent). Taking the first of these assumptions</w:t>
      </w:r>
      <w:r w:rsidRPr="004937A8">
        <w:rPr>
          <w:rFonts w:ascii="Times New Roman" w:hAnsi="Times New Roman"/>
          <w:sz w:val="24"/>
          <w:szCs w:val="24"/>
        </w:rPr>
        <w:t xml:space="preserve">, </w:t>
      </w:r>
      <w:r>
        <w:rPr>
          <w:rFonts w:ascii="Times New Roman" w:hAnsi="Times New Roman"/>
          <w:sz w:val="24"/>
          <w:szCs w:val="24"/>
        </w:rPr>
        <w:t xml:space="preserve">the evidence that objective information is transferred via IA into policy is somewhat limited </w:t>
      </w:r>
      <w:r>
        <w:rPr>
          <w:rFonts w:ascii="Times New Roman" w:hAnsi="Times New Roman"/>
          <w:noProof/>
          <w:sz w:val="24"/>
          <w:szCs w:val="24"/>
        </w:rPr>
        <w:t>(Wood and Jones, 1997; Cashmore</w:t>
      </w:r>
      <w:r w:rsidRPr="00C11CF8">
        <w:rPr>
          <w:rFonts w:ascii="Times New Roman" w:hAnsi="Times New Roman"/>
          <w:i/>
          <w:noProof/>
          <w:sz w:val="24"/>
          <w:szCs w:val="24"/>
        </w:rPr>
        <w:t xml:space="preserve"> et al.</w:t>
      </w:r>
      <w:r>
        <w:rPr>
          <w:rFonts w:ascii="Times New Roman" w:hAnsi="Times New Roman"/>
          <w:noProof/>
          <w:sz w:val="24"/>
          <w:szCs w:val="24"/>
        </w:rPr>
        <w:t>, 2004; Cashmore</w:t>
      </w:r>
      <w:r w:rsidRPr="00C11CF8">
        <w:rPr>
          <w:rFonts w:ascii="Times New Roman" w:hAnsi="Times New Roman"/>
          <w:i/>
          <w:noProof/>
          <w:sz w:val="24"/>
          <w:szCs w:val="24"/>
        </w:rPr>
        <w:t xml:space="preserve"> et al.</w:t>
      </w:r>
      <w:r>
        <w:rPr>
          <w:rFonts w:ascii="Times New Roman" w:hAnsi="Times New Roman"/>
          <w:noProof/>
          <w:sz w:val="24"/>
          <w:szCs w:val="24"/>
        </w:rPr>
        <w:t>, 2009; Elling, 2009; Van Buuren and Nooteboom, 2009; Eales and Sheate, 2011)</w:t>
      </w:r>
      <w:r>
        <w:rPr>
          <w:rFonts w:ascii="Times New Roman" w:hAnsi="Times New Roman"/>
          <w:sz w:val="24"/>
          <w:szCs w:val="24"/>
        </w:rPr>
        <w:t>. M</w:t>
      </w:r>
      <w:r w:rsidRPr="004937A8">
        <w:rPr>
          <w:rFonts w:ascii="Times New Roman" w:hAnsi="Times New Roman"/>
          <w:sz w:val="24"/>
          <w:szCs w:val="24"/>
        </w:rPr>
        <w:t xml:space="preserve">ore and more authors argue that decision-making is not rational and that </w:t>
      </w:r>
      <w:r>
        <w:rPr>
          <w:rFonts w:ascii="Times New Roman" w:hAnsi="Times New Roman"/>
          <w:sz w:val="24"/>
          <w:szCs w:val="24"/>
        </w:rPr>
        <w:t>IA, for example,</w:t>
      </w:r>
      <w:r w:rsidRPr="004937A8">
        <w:rPr>
          <w:rFonts w:ascii="Times New Roman" w:hAnsi="Times New Roman"/>
          <w:sz w:val="24"/>
          <w:szCs w:val="24"/>
        </w:rPr>
        <w:t xml:space="preserve"> has considerably more roles than simply information provision </w:t>
      </w:r>
      <w:r>
        <w:rPr>
          <w:rFonts w:ascii="Times New Roman" w:hAnsi="Times New Roman"/>
          <w:noProof/>
          <w:sz w:val="24"/>
          <w:szCs w:val="24"/>
        </w:rPr>
        <w:t>(see, for example, Lawrence, 2000; Leknes, 2001; Bond, 2003; Bekker</w:t>
      </w:r>
      <w:r w:rsidRPr="00C11CF8">
        <w:rPr>
          <w:rFonts w:ascii="Times New Roman" w:hAnsi="Times New Roman"/>
          <w:i/>
          <w:noProof/>
          <w:sz w:val="24"/>
          <w:szCs w:val="24"/>
        </w:rPr>
        <w:t xml:space="preserve"> et al.</w:t>
      </w:r>
      <w:r>
        <w:rPr>
          <w:rFonts w:ascii="Times New Roman" w:hAnsi="Times New Roman"/>
          <w:noProof/>
          <w:sz w:val="24"/>
          <w:szCs w:val="24"/>
        </w:rPr>
        <w:t>, 2004; Cashmore, 2004; Owens</w:t>
      </w:r>
      <w:r w:rsidRPr="00C11CF8">
        <w:rPr>
          <w:rFonts w:ascii="Times New Roman" w:hAnsi="Times New Roman"/>
          <w:i/>
          <w:noProof/>
          <w:sz w:val="24"/>
          <w:szCs w:val="24"/>
        </w:rPr>
        <w:t xml:space="preserve"> et al.</w:t>
      </w:r>
      <w:r>
        <w:rPr>
          <w:rFonts w:ascii="Times New Roman" w:hAnsi="Times New Roman"/>
          <w:noProof/>
          <w:sz w:val="24"/>
          <w:szCs w:val="24"/>
        </w:rPr>
        <w:t>, 2004)</w:t>
      </w:r>
      <w:r w:rsidRPr="004937A8">
        <w:rPr>
          <w:rFonts w:ascii="Times New Roman" w:hAnsi="Times New Roman"/>
          <w:sz w:val="24"/>
          <w:szCs w:val="24"/>
        </w:rPr>
        <w:t xml:space="preserve">. Bartlett and Kurian </w:t>
      </w:r>
      <w:r w:rsidRPr="004937A8">
        <w:rPr>
          <w:rFonts w:ascii="Times New Roman" w:hAnsi="Times New Roman"/>
          <w:noProof/>
          <w:sz w:val="24"/>
          <w:szCs w:val="24"/>
        </w:rPr>
        <w:t>(1999)</w:t>
      </w:r>
      <w:r w:rsidRPr="004937A8">
        <w:rPr>
          <w:rFonts w:ascii="Times New Roman" w:hAnsi="Times New Roman"/>
          <w:sz w:val="24"/>
          <w:szCs w:val="24"/>
        </w:rPr>
        <w:t xml:space="preserve"> detail six separate models explaining the role of </w:t>
      </w:r>
      <w:r>
        <w:rPr>
          <w:rFonts w:ascii="Times New Roman" w:hAnsi="Times New Roman"/>
          <w:sz w:val="24"/>
          <w:szCs w:val="24"/>
        </w:rPr>
        <w:t>environmental impact assessment</w:t>
      </w:r>
      <w:r w:rsidRPr="004937A8">
        <w:rPr>
          <w:rFonts w:ascii="Times New Roman" w:hAnsi="Times New Roman"/>
          <w:sz w:val="24"/>
          <w:szCs w:val="24"/>
        </w:rPr>
        <w:t xml:space="preserve"> in decision-making, in which the information processing (rational) model is just one end of the spectrum of influence; other models include the symbolic politics model, the political economy model, the organisational politics model, the pluralist politics model and the institutionalist model. </w:t>
      </w:r>
    </w:p>
    <w:p w:rsidR="00CF0849" w:rsidRPr="00156988" w:rsidRDefault="00CF0849" w:rsidP="002B380F">
      <w:pPr>
        <w:rPr>
          <w:rFonts w:asciiTheme="majorBidi" w:hAnsiTheme="majorBidi" w:cstheme="majorBidi"/>
          <w:sz w:val="24"/>
          <w:szCs w:val="24"/>
        </w:rPr>
      </w:pPr>
      <w:r>
        <w:rPr>
          <w:rFonts w:ascii="Times New Roman" w:hAnsi="Times New Roman"/>
          <w:sz w:val="24"/>
          <w:szCs w:val="24"/>
        </w:rPr>
        <w:t xml:space="preserve">Despite </w:t>
      </w:r>
      <w:r w:rsidRPr="00162353">
        <w:rPr>
          <w:rFonts w:ascii="Times New Roman" w:hAnsi="Times New Roman"/>
          <w:sz w:val="24"/>
          <w:szCs w:val="24"/>
        </w:rPr>
        <w:t xml:space="preserve">the second assumption </w:t>
      </w:r>
      <w:r w:rsidRPr="001F4FE1">
        <w:rPr>
          <w:rFonts w:ascii="Times New Roman" w:hAnsi="Times New Roman"/>
          <w:sz w:val="24"/>
          <w:szCs w:val="24"/>
        </w:rPr>
        <w:t>that current system</w:t>
      </w:r>
      <w:r w:rsidRPr="00162353">
        <w:rPr>
          <w:rFonts w:ascii="Times New Roman" w:hAnsi="Times New Roman"/>
          <w:sz w:val="24"/>
          <w:szCs w:val="24"/>
        </w:rPr>
        <w:t xml:space="preserve"> understanding is sufficient to associate cause and effect and</w:t>
      </w:r>
      <w:r>
        <w:rPr>
          <w:rFonts w:ascii="Times New Roman" w:hAnsi="Times New Roman"/>
          <w:sz w:val="24"/>
          <w:szCs w:val="24"/>
        </w:rPr>
        <w:t xml:space="preserve"> that uncertainty (including ambiguity and ignorance) is limited</w:t>
      </w:r>
      <w:r w:rsidRPr="00162353">
        <w:rPr>
          <w:rFonts w:ascii="Times New Roman" w:hAnsi="Times New Roman"/>
          <w:sz w:val="24"/>
          <w:szCs w:val="24"/>
        </w:rPr>
        <w:t>,</w:t>
      </w:r>
      <w:r>
        <w:rPr>
          <w:rFonts w:ascii="Times New Roman" w:hAnsi="Times New Roman"/>
          <w:sz w:val="24"/>
          <w:szCs w:val="24"/>
        </w:rPr>
        <w:t xml:space="preserve"> a number of studies have demonstrated that impact predictions are poor at </w:t>
      </w:r>
      <w:r w:rsidRPr="00162353">
        <w:rPr>
          <w:rFonts w:ascii="Times New Roman" w:hAnsi="Times New Roman"/>
          <w:sz w:val="24"/>
          <w:szCs w:val="24"/>
        </w:rPr>
        <w:t>incorporating uncertainty</w:t>
      </w:r>
      <w:r>
        <w:rPr>
          <w:rFonts w:ascii="Times New Roman" w:hAnsi="Times New Roman"/>
          <w:sz w:val="24"/>
          <w:szCs w:val="24"/>
        </w:rPr>
        <w:t xml:space="preserve"> </w:t>
      </w:r>
      <w:r>
        <w:rPr>
          <w:rFonts w:ascii="Times New Roman" w:hAnsi="Times New Roman"/>
          <w:noProof/>
          <w:sz w:val="24"/>
          <w:szCs w:val="24"/>
        </w:rPr>
        <w:t>(see, for example, Bennett</w:t>
      </w:r>
      <w:r w:rsidRPr="00C11CF8">
        <w:rPr>
          <w:rFonts w:ascii="Times New Roman" w:hAnsi="Times New Roman"/>
          <w:i/>
          <w:noProof/>
          <w:sz w:val="24"/>
          <w:szCs w:val="24"/>
        </w:rPr>
        <w:t xml:space="preserve"> et al.</w:t>
      </w:r>
      <w:r>
        <w:rPr>
          <w:rFonts w:ascii="Times New Roman" w:hAnsi="Times New Roman"/>
          <w:noProof/>
          <w:sz w:val="24"/>
          <w:szCs w:val="24"/>
        </w:rPr>
        <w:t>, 2001)</w:t>
      </w:r>
      <w:r>
        <w:rPr>
          <w:rFonts w:ascii="Times New Roman" w:hAnsi="Times New Roman"/>
          <w:sz w:val="24"/>
          <w:szCs w:val="24"/>
        </w:rPr>
        <w:t xml:space="preserve"> as existing understanding of systems is insufficiently clear to account for all the potential variation. </w:t>
      </w:r>
      <w:r w:rsidRPr="00990D78">
        <w:rPr>
          <w:rFonts w:ascii="Times New Roman" w:hAnsi="Times New Roman"/>
          <w:sz w:val="24"/>
          <w:szCs w:val="24"/>
        </w:rPr>
        <w:t>This lack of complete system understanding can</w:t>
      </w:r>
      <w:r>
        <w:rPr>
          <w:rFonts w:ascii="Times New Roman" w:hAnsi="Times New Roman"/>
          <w:sz w:val="24"/>
          <w:szCs w:val="24"/>
        </w:rPr>
        <w:t xml:space="preserve"> lead to predictions which are inaccurate </w:t>
      </w:r>
      <w:r>
        <w:rPr>
          <w:rFonts w:ascii="Times New Roman" w:hAnsi="Times New Roman"/>
          <w:noProof/>
          <w:sz w:val="24"/>
          <w:szCs w:val="24"/>
        </w:rPr>
        <w:t>(Dipper</w:t>
      </w:r>
      <w:r w:rsidRPr="00C11CF8">
        <w:rPr>
          <w:rFonts w:ascii="Times New Roman" w:hAnsi="Times New Roman"/>
          <w:i/>
          <w:noProof/>
          <w:sz w:val="24"/>
          <w:szCs w:val="24"/>
        </w:rPr>
        <w:t xml:space="preserve"> et al.</w:t>
      </w:r>
      <w:r>
        <w:rPr>
          <w:rFonts w:ascii="Times New Roman" w:hAnsi="Times New Roman"/>
          <w:noProof/>
          <w:sz w:val="24"/>
          <w:szCs w:val="24"/>
        </w:rPr>
        <w:t>, 1998)</w:t>
      </w:r>
      <w:r>
        <w:rPr>
          <w:rFonts w:ascii="Times New Roman" w:hAnsi="Times New Roman"/>
          <w:sz w:val="24"/>
          <w:szCs w:val="24"/>
        </w:rPr>
        <w:t xml:space="preserve">. In one example, a Gaussian plume model was compared against tracer data in two urban settings in the USA and found to both over- and under-predict concentrations at different receptors </w:t>
      </w:r>
      <w:r>
        <w:rPr>
          <w:rFonts w:ascii="Times New Roman" w:hAnsi="Times New Roman"/>
          <w:noProof/>
          <w:sz w:val="24"/>
          <w:szCs w:val="24"/>
        </w:rPr>
        <w:t>(Hanna and Baja, 2009)</w:t>
      </w:r>
      <w:r>
        <w:rPr>
          <w:rFonts w:ascii="Times New Roman" w:hAnsi="Times New Roman"/>
          <w:sz w:val="24"/>
          <w:szCs w:val="24"/>
        </w:rPr>
        <w:t xml:space="preserve">. There is also evidence that </w:t>
      </w:r>
      <w:r w:rsidRPr="008560FD">
        <w:rPr>
          <w:rFonts w:ascii="Times New Roman" w:hAnsi="Times New Roman"/>
          <w:sz w:val="24"/>
          <w:szCs w:val="24"/>
        </w:rPr>
        <w:t>complex prediction</w:t>
      </w:r>
      <w:r w:rsidRPr="00707739">
        <w:rPr>
          <w:rFonts w:ascii="Times New Roman" w:hAnsi="Times New Roman"/>
          <w:color w:val="FF0000"/>
          <w:sz w:val="24"/>
          <w:szCs w:val="24"/>
        </w:rPr>
        <w:t xml:space="preserve"> </w:t>
      </w:r>
      <w:r>
        <w:rPr>
          <w:rFonts w:ascii="Times New Roman" w:hAnsi="Times New Roman"/>
          <w:sz w:val="24"/>
          <w:szCs w:val="24"/>
        </w:rPr>
        <w:t xml:space="preserve">leads to a focus on smaller areas of certainty, at the expense of other issues that are no less important, but which cannot be predicted with any certainty; similarly, organisations might make simplifying assumptions that set inappropriately restricted boundaries around the issues to be investigated </w:t>
      </w:r>
      <w:r>
        <w:rPr>
          <w:rFonts w:ascii="Times New Roman" w:hAnsi="Times New Roman"/>
          <w:noProof/>
          <w:sz w:val="24"/>
          <w:szCs w:val="24"/>
        </w:rPr>
        <w:t>(Turner, 1976; Stirling, 2010)</w:t>
      </w:r>
      <w:r w:rsidRPr="00B30EDE">
        <w:rPr>
          <w:rFonts w:ascii="Times New Roman" w:hAnsi="Times New Roman"/>
          <w:sz w:val="24"/>
          <w:szCs w:val="24"/>
          <w:lang w:val="pt-BR"/>
        </w:rPr>
        <w:t xml:space="preserve">. </w:t>
      </w:r>
      <w:r w:rsidRPr="00B30EDE">
        <w:rPr>
          <w:rFonts w:ascii="Times New Roman" w:hAnsi="Times New Roman"/>
          <w:noProof/>
          <w:sz w:val="24"/>
          <w:szCs w:val="24"/>
          <w:lang w:val="pt-BR"/>
        </w:rPr>
        <w:t>Duncan (2013)</w:t>
      </w:r>
      <w:r w:rsidRPr="00B30EDE">
        <w:rPr>
          <w:rFonts w:ascii="Times New Roman" w:hAnsi="Times New Roman"/>
          <w:sz w:val="24"/>
          <w:szCs w:val="24"/>
          <w:lang w:val="pt-BR"/>
        </w:rPr>
        <w:t xml:space="preserve"> acknowledges the complexity of uncertainty and comments on the reality of </w:t>
      </w:r>
      <w:r>
        <w:rPr>
          <w:rFonts w:ascii="Times New Roman" w:hAnsi="Times New Roman"/>
          <w:sz w:val="24"/>
          <w:szCs w:val="24"/>
          <w:lang w:val="pt-BR"/>
        </w:rPr>
        <w:t>IA</w:t>
      </w:r>
      <w:r w:rsidRPr="00B30EDE">
        <w:rPr>
          <w:rFonts w:ascii="Times New Roman" w:hAnsi="Times New Roman"/>
          <w:sz w:val="24"/>
          <w:szCs w:val="24"/>
          <w:lang w:val="pt-BR"/>
        </w:rPr>
        <w:t xml:space="preserve"> practice whereby uncertainties are communicated by a range of actors drawing on different narratives of the potential consequences posed by uncertainties; he therefore </w:t>
      </w:r>
      <w:r w:rsidRPr="00B30EDE">
        <w:rPr>
          <w:rFonts w:asciiTheme="majorBidi" w:hAnsiTheme="majorBidi" w:cstheme="majorBidi"/>
          <w:sz w:val="24"/>
          <w:szCs w:val="24"/>
          <w:lang w:val="pt-BR"/>
        </w:rPr>
        <w:t xml:space="preserve">suggests a constructivist perspective needs to be taken when dealing with uncertainty in </w:t>
      </w:r>
      <w:r>
        <w:rPr>
          <w:rFonts w:asciiTheme="majorBidi" w:hAnsiTheme="majorBidi" w:cstheme="majorBidi"/>
          <w:sz w:val="24"/>
          <w:szCs w:val="24"/>
          <w:lang w:val="pt-BR"/>
        </w:rPr>
        <w:t>IA</w:t>
      </w:r>
      <w:r w:rsidRPr="00B30EDE">
        <w:rPr>
          <w:rFonts w:asciiTheme="majorBidi" w:hAnsiTheme="majorBidi" w:cstheme="majorBidi"/>
          <w:sz w:val="24"/>
          <w:szCs w:val="24"/>
          <w:lang w:val="pt-BR"/>
        </w:rPr>
        <w:t xml:space="preserve">, again calling into question the existing rationalist theoretical framings of impact assessment. </w:t>
      </w:r>
      <w:r w:rsidRPr="00156988">
        <w:rPr>
          <w:rFonts w:asciiTheme="majorBidi" w:hAnsiTheme="majorBidi" w:cstheme="majorBidi"/>
          <w:sz w:val="24"/>
          <w:szCs w:val="24"/>
        </w:rPr>
        <w:t>Furthermore</w:t>
      </w:r>
      <w:r>
        <w:rPr>
          <w:rFonts w:asciiTheme="majorBidi" w:hAnsiTheme="majorBidi" w:cstheme="majorBidi"/>
          <w:sz w:val="24"/>
          <w:szCs w:val="24"/>
        </w:rPr>
        <w:t>,</w:t>
      </w:r>
      <w:r w:rsidRPr="00156988">
        <w:rPr>
          <w:rFonts w:asciiTheme="majorBidi" w:hAnsiTheme="majorBidi" w:cstheme="majorBidi"/>
          <w:sz w:val="24"/>
          <w:szCs w:val="24"/>
        </w:rPr>
        <w:t xml:space="preserve"> and more fundamentally still, the psychologist </w:t>
      </w:r>
      <w:r w:rsidRPr="00156988">
        <w:rPr>
          <w:rFonts w:asciiTheme="majorBidi" w:hAnsiTheme="majorBidi" w:cstheme="majorBidi"/>
          <w:noProof/>
          <w:sz w:val="24"/>
          <w:szCs w:val="24"/>
        </w:rPr>
        <w:t>Kahneman (2013)</w:t>
      </w:r>
      <w:r w:rsidRPr="00156988">
        <w:rPr>
          <w:rFonts w:asciiTheme="majorBidi" w:hAnsiTheme="majorBidi" w:cstheme="majorBidi"/>
          <w:sz w:val="24"/>
          <w:szCs w:val="24"/>
        </w:rPr>
        <w:t xml:space="preserve"> points out that individual humans inevitably rapidly arrive at simplistic understandings of complex situations as a direct function of how our brains work with respect to favouring intuition and easy or lazy answers. Other psychological characteristics of human decision-making and the implications for </w:t>
      </w:r>
      <w:r>
        <w:rPr>
          <w:rFonts w:asciiTheme="majorBidi" w:hAnsiTheme="majorBidi" w:cstheme="majorBidi"/>
          <w:sz w:val="24"/>
          <w:szCs w:val="24"/>
        </w:rPr>
        <w:t>IA</w:t>
      </w:r>
      <w:r w:rsidRPr="00156988">
        <w:rPr>
          <w:rFonts w:asciiTheme="majorBidi" w:hAnsiTheme="majorBidi" w:cstheme="majorBidi"/>
          <w:sz w:val="24"/>
          <w:szCs w:val="24"/>
        </w:rPr>
        <w:t xml:space="preserve"> practice were summarised by </w:t>
      </w:r>
      <w:r>
        <w:rPr>
          <w:rFonts w:asciiTheme="majorBidi" w:hAnsiTheme="majorBidi" w:cstheme="majorBidi"/>
          <w:noProof/>
          <w:sz w:val="24"/>
          <w:szCs w:val="24"/>
        </w:rPr>
        <w:t>Retief</w:t>
      </w:r>
      <w:r w:rsidRPr="00C11CF8">
        <w:rPr>
          <w:rFonts w:asciiTheme="majorBidi" w:hAnsiTheme="majorBidi" w:cstheme="majorBidi"/>
          <w:i/>
          <w:noProof/>
          <w:sz w:val="24"/>
          <w:szCs w:val="24"/>
        </w:rPr>
        <w:t xml:space="preserve"> et al.</w:t>
      </w:r>
      <w:r>
        <w:rPr>
          <w:rFonts w:asciiTheme="majorBidi" w:hAnsiTheme="majorBidi" w:cstheme="majorBidi"/>
          <w:noProof/>
          <w:sz w:val="24"/>
          <w:szCs w:val="24"/>
        </w:rPr>
        <w:t xml:space="preserve"> (2013)</w:t>
      </w:r>
      <w:r w:rsidRPr="00156988">
        <w:rPr>
          <w:rFonts w:asciiTheme="majorBidi" w:hAnsiTheme="majorBidi" w:cstheme="majorBidi"/>
          <w:sz w:val="24"/>
          <w:szCs w:val="24"/>
        </w:rPr>
        <w:t xml:space="preserve">; in a nutshell, rational decision-making does not come naturally or simply to anyone, and as </w:t>
      </w:r>
      <w:r w:rsidRPr="00156988">
        <w:rPr>
          <w:rFonts w:asciiTheme="majorBidi" w:hAnsiTheme="majorBidi" w:cstheme="majorBidi"/>
          <w:noProof/>
          <w:sz w:val="24"/>
          <w:szCs w:val="24"/>
        </w:rPr>
        <w:t>Kahneman (2013)</w:t>
      </w:r>
      <w:r w:rsidRPr="00156988">
        <w:rPr>
          <w:rFonts w:asciiTheme="majorBidi" w:hAnsiTheme="majorBidi" w:cstheme="majorBidi"/>
          <w:sz w:val="24"/>
          <w:szCs w:val="24"/>
        </w:rPr>
        <w:t xml:space="preserve"> shows, even trained experts can </w:t>
      </w:r>
      <w:r>
        <w:rPr>
          <w:rFonts w:asciiTheme="majorBidi" w:hAnsiTheme="majorBidi" w:cstheme="majorBidi"/>
          <w:sz w:val="24"/>
          <w:szCs w:val="24"/>
        </w:rPr>
        <w:t>miss the key evidence</w:t>
      </w:r>
      <w:r w:rsidRPr="00156988">
        <w:rPr>
          <w:rFonts w:asciiTheme="majorBidi" w:hAnsiTheme="majorBidi" w:cstheme="majorBidi"/>
          <w:sz w:val="24"/>
          <w:szCs w:val="24"/>
        </w:rPr>
        <w:t xml:space="preserve"> in the face of complexity.</w:t>
      </w:r>
    </w:p>
    <w:p w:rsidR="00CF0849" w:rsidRDefault="00CF0849" w:rsidP="002B380F">
      <w:pPr>
        <w:rPr>
          <w:rFonts w:ascii="Times New Roman" w:hAnsi="Times New Roman"/>
          <w:sz w:val="24"/>
          <w:szCs w:val="24"/>
        </w:rPr>
      </w:pPr>
      <w:r w:rsidRPr="004937A8">
        <w:rPr>
          <w:rFonts w:ascii="Times New Roman" w:hAnsi="Times New Roman"/>
          <w:sz w:val="24"/>
          <w:szCs w:val="24"/>
        </w:rPr>
        <w:t xml:space="preserve">As such, there is </w:t>
      </w:r>
      <w:r>
        <w:rPr>
          <w:rFonts w:ascii="Times New Roman" w:hAnsi="Times New Roman"/>
          <w:sz w:val="24"/>
          <w:szCs w:val="24"/>
        </w:rPr>
        <w:t xml:space="preserve">cause for concern for both assumptions, with little evidence that the results of IAs are either rational, or used rationally in decision-making, and only limited evidence that science is certain. This means that the positivist theory of IA is not fit-for-purpose, meaning that it does not explain how IA works or influences decision makers, and it certainly does not facilitate the consideration of uncertainty, ambiguity or ignorance. Instead what is required is a process of IA which incorporates ‘post-normal’ science as a means to better reflect both lack of knowledge and differing values. Ravetz </w:t>
      </w:r>
      <w:r>
        <w:rPr>
          <w:rFonts w:ascii="Times New Roman" w:hAnsi="Times New Roman"/>
          <w:noProof/>
          <w:sz w:val="24"/>
          <w:szCs w:val="24"/>
        </w:rPr>
        <w:t>(1999)</w:t>
      </w:r>
      <w:r>
        <w:rPr>
          <w:rFonts w:ascii="Times New Roman" w:hAnsi="Times New Roman"/>
          <w:sz w:val="24"/>
          <w:szCs w:val="24"/>
        </w:rPr>
        <w:t xml:space="preserve"> explains that ‘normal’ science is conceived as being straightforward scientific problem-solving, and that ‘normal’ policy-making is conceived as being the straightforward transfer of objective scientific knowledge into policy. He further defines post-normal science in diagrammatic terms as occupying a space where either system uncertainties (including ignorance and ambiguities), or decision stakes (or both) are high (Figure 2).</w:t>
      </w:r>
    </w:p>
    <w:p w:rsidR="00CF0849" w:rsidRPr="004937A8" w:rsidRDefault="00CF0849" w:rsidP="001876E7">
      <w:pPr>
        <w:rPr>
          <w:rFonts w:ascii="Times New Roman" w:hAnsi="Times New Roman"/>
          <w:sz w:val="24"/>
          <w:szCs w:val="24"/>
        </w:rPr>
      </w:pPr>
      <w:r>
        <w:rPr>
          <w:rFonts w:ascii="Times New Roman" w:hAnsi="Times New Roman"/>
          <w:noProof/>
          <w:sz w:val="24"/>
          <w:szCs w:val="24"/>
          <w:lang w:eastAsia="en-GB"/>
        </w:rPr>
        <w:drawing>
          <wp:inline distT="0" distB="0" distL="0" distR="0" wp14:anchorId="70DC8457" wp14:editId="56CE01B2">
            <wp:extent cx="4314825" cy="43148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certainty_pns.tif"/>
                    <pic:cNvPicPr/>
                  </pic:nvPicPr>
                  <pic:blipFill>
                    <a:blip r:embed="rId19">
                      <a:extLst>
                        <a:ext uri="{28A0092B-C50C-407E-A947-70E740481C1C}">
                          <a14:useLocalDpi xmlns:a14="http://schemas.microsoft.com/office/drawing/2010/main" val="0"/>
                        </a:ext>
                      </a:extLst>
                    </a:blip>
                    <a:stretch>
                      <a:fillRect/>
                    </a:stretch>
                  </pic:blipFill>
                  <pic:spPr>
                    <a:xfrm>
                      <a:off x="0" y="0"/>
                      <a:ext cx="4314825" cy="4314825"/>
                    </a:xfrm>
                    <a:prstGeom prst="rect">
                      <a:avLst/>
                    </a:prstGeom>
                  </pic:spPr>
                </pic:pic>
              </a:graphicData>
            </a:graphic>
          </wp:inline>
        </w:drawing>
      </w:r>
    </w:p>
    <w:p w:rsidR="00CF0849" w:rsidRPr="00AF78B0" w:rsidRDefault="00CF0849" w:rsidP="002B380F">
      <w:pPr>
        <w:rPr>
          <w:rFonts w:ascii="Times New Roman" w:hAnsi="Times New Roman"/>
          <w:b/>
          <w:bCs/>
          <w:sz w:val="24"/>
          <w:szCs w:val="24"/>
        </w:rPr>
      </w:pPr>
      <w:r w:rsidRPr="00AF78B0">
        <w:rPr>
          <w:rFonts w:ascii="Times New Roman" w:hAnsi="Times New Roman"/>
          <w:b/>
          <w:bCs/>
          <w:sz w:val="24"/>
          <w:szCs w:val="24"/>
        </w:rPr>
        <w:t>Figure 2</w:t>
      </w:r>
      <w:r w:rsidRPr="00AF78B0">
        <w:rPr>
          <w:rFonts w:ascii="Times New Roman" w:hAnsi="Times New Roman"/>
          <w:b/>
          <w:bCs/>
          <w:sz w:val="24"/>
          <w:szCs w:val="24"/>
        </w:rPr>
        <w:tab/>
        <w:t xml:space="preserve">Post-normal science </w:t>
      </w:r>
      <w:r w:rsidRPr="00AF78B0">
        <w:rPr>
          <w:rFonts w:ascii="Times New Roman" w:hAnsi="Times New Roman"/>
          <w:b/>
          <w:bCs/>
          <w:noProof/>
          <w:sz w:val="24"/>
          <w:szCs w:val="24"/>
        </w:rPr>
        <w:t>(after Ravetz, 1999)</w:t>
      </w:r>
    </w:p>
    <w:p w:rsidR="00CF0849" w:rsidRPr="00FD4F51" w:rsidRDefault="00CF0849" w:rsidP="005B6B8A">
      <w:pPr>
        <w:autoSpaceDE w:val="0"/>
        <w:autoSpaceDN w:val="0"/>
        <w:adjustRightInd w:val="0"/>
        <w:rPr>
          <w:rFonts w:ascii="Times New Roman" w:hAnsi="Times New Roman"/>
          <w:sz w:val="24"/>
          <w:szCs w:val="24"/>
          <w:lang w:eastAsia="en-AU"/>
        </w:rPr>
      </w:pPr>
      <w:r>
        <w:rPr>
          <w:rFonts w:ascii="Times New Roman" w:hAnsi="Times New Roman"/>
          <w:sz w:val="24"/>
          <w:szCs w:val="24"/>
        </w:rPr>
        <w:t>The fundamental argument Funtowicz and Ravetz made almost two decades ago</w:t>
      </w:r>
      <w:r w:rsidRPr="009A055F">
        <w:rPr>
          <w:rFonts w:ascii="Times New Roman" w:hAnsi="Times New Roman"/>
          <w:sz w:val="24"/>
          <w:szCs w:val="24"/>
        </w:rPr>
        <w:t xml:space="preserve"> </w:t>
      </w:r>
      <w:r>
        <w:rPr>
          <w:rFonts w:ascii="Times New Roman" w:hAnsi="Times New Roman"/>
          <w:sz w:val="24"/>
          <w:szCs w:val="24"/>
        </w:rPr>
        <w:t xml:space="preserve">was that quantification is an inadequate approach for dealing with complexity and uncertainty because people will react to uncertainty in different ways </w:t>
      </w:r>
      <w:r>
        <w:rPr>
          <w:rFonts w:ascii="Times New Roman" w:hAnsi="Times New Roman"/>
          <w:noProof/>
          <w:sz w:val="24"/>
          <w:szCs w:val="24"/>
        </w:rPr>
        <w:t>(see, for example, Funtowicz and Ravetz, 1993; Funtowicz and Ravetz, 1994a; Funtowicz and Ravetz, 1994b; Funtowicz and Ravetz, 1994c)</w:t>
      </w:r>
      <w:r>
        <w:rPr>
          <w:rFonts w:ascii="Times New Roman" w:hAnsi="Times New Roman"/>
          <w:sz w:val="24"/>
          <w:szCs w:val="24"/>
        </w:rPr>
        <w:t xml:space="preserve">. The argument for recourse to post-normal science is grounded in an assumption that </w:t>
      </w:r>
      <w:r w:rsidRPr="001F4FE1">
        <w:rPr>
          <w:rFonts w:ascii="Times New Roman" w:hAnsi="Times New Roman"/>
          <w:sz w:val="24"/>
          <w:szCs w:val="24"/>
        </w:rPr>
        <w:t>current understanding of natural systems is so incomplete that any models developed are</w:t>
      </w:r>
      <w:r>
        <w:rPr>
          <w:rFonts w:ascii="Times New Roman" w:hAnsi="Times New Roman"/>
          <w:sz w:val="24"/>
          <w:szCs w:val="24"/>
        </w:rPr>
        <w:t xml:space="preserve"> inadequate representations where the uncertainties are based on ignorance </w:t>
      </w:r>
      <w:r>
        <w:rPr>
          <w:rFonts w:ascii="Times New Roman" w:hAnsi="Times New Roman"/>
          <w:noProof/>
          <w:sz w:val="24"/>
          <w:szCs w:val="24"/>
        </w:rPr>
        <w:t>(Funtowicz and Ravetz, 1994b)</w:t>
      </w:r>
      <w:r>
        <w:rPr>
          <w:rFonts w:ascii="Times New Roman" w:hAnsi="Times New Roman"/>
          <w:sz w:val="24"/>
          <w:szCs w:val="24"/>
        </w:rPr>
        <w:t xml:space="preserve">. </w:t>
      </w:r>
      <w:r>
        <w:rPr>
          <w:rFonts w:ascii="Times New Roman" w:hAnsi="Times New Roman"/>
          <w:noProof/>
          <w:sz w:val="24"/>
          <w:szCs w:val="24"/>
          <w:lang w:eastAsia="zh-CN"/>
        </w:rPr>
        <w:t>Petersen</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xml:space="preserve"> (2011, p.365)</w:t>
      </w:r>
      <w:r>
        <w:rPr>
          <w:rFonts w:ascii="Times New Roman" w:hAnsi="Times New Roman"/>
          <w:sz w:val="24"/>
          <w:szCs w:val="24"/>
          <w:lang w:eastAsia="zh-CN"/>
        </w:rPr>
        <w:t xml:space="preserve"> refer to </w:t>
      </w:r>
      <w:r w:rsidRPr="00FD4F51">
        <w:rPr>
          <w:rFonts w:ascii="Times New Roman" w:hAnsi="Times New Roman"/>
          <w:sz w:val="24"/>
          <w:szCs w:val="24"/>
          <w:lang w:eastAsia="en-AU"/>
        </w:rPr>
        <w:t xml:space="preserve">three key elements in </w:t>
      </w:r>
      <w:r>
        <w:rPr>
          <w:rFonts w:ascii="Times New Roman" w:hAnsi="Times New Roman"/>
          <w:sz w:val="24"/>
          <w:szCs w:val="24"/>
          <w:lang w:eastAsia="en-AU"/>
        </w:rPr>
        <w:t>a post-normal science paradigm:</w:t>
      </w:r>
    </w:p>
    <w:p w:rsidR="00CF0849" w:rsidRPr="00FD4F51" w:rsidRDefault="00CF0849" w:rsidP="005B6B8A">
      <w:pPr>
        <w:autoSpaceDE w:val="0"/>
        <w:autoSpaceDN w:val="0"/>
        <w:adjustRightInd w:val="0"/>
        <w:spacing w:line="23" w:lineRule="atLeast"/>
        <w:rPr>
          <w:rFonts w:ascii="Times New Roman" w:hAnsi="Times New Roman"/>
          <w:sz w:val="24"/>
          <w:szCs w:val="24"/>
          <w:lang w:eastAsia="en-AU"/>
        </w:rPr>
      </w:pPr>
      <w:r w:rsidRPr="00FD4F51">
        <w:rPr>
          <w:rFonts w:ascii="Times New Roman" w:hAnsi="Times New Roman"/>
          <w:sz w:val="24"/>
          <w:szCs w:val="24"/>
          <w:lang w:eastAsia="en-AU"/>
        </w:rPr>
        <w:t>1</w:t>
      </w:r>
      <w:r>
        <w:rPr>
          <w:rFonts w:ascii="Times New Roman" w:hAnsi="Times New Roman"/>
          <w:sz w:val="24"/>
          <w:szCs w:val="24"/>
          <w:lang w:eastAsia="en-AU"/>
        </w:rPr>
        <w:t>)</w:t>
      </w:r>
      <w:r w:rsidRPr="0094343C">
        <w:rPr>
          <w:rFonts w:ascii="Times New Roman" w:hAnsi="Times New Roman"/>
          <w:sz w:val="24"/>
          <w:szCs w:val="24"/>
          <w:lang w:eastAsia="en-AU"/>
        </w:rPr>
        <w:t xml:space="preserve"> </w:t>
      </w:r>
      <w:r>
        <w:rPr>
          <w:rFonts w:ascii="Times New Roman" w:hAnsi="Times New Roman"/>
          <w:sz w:val="24"/>
          <w:szCs w:val="24"/>
          <w:lang w:eastAsia="en-AU"/>
        </w:rPr>
        <w:t>t</w:t>
      </w:r>
      <w:r w:rsidRPr="0094343C">
        <w:rPr>
          <w:rFonts w:ascii="Times New Roman" w:hAnsi="Times New Roman"/>
          <w:sz w:val="24"/>
          <w:szCs w:val="24"/>
          <w:lang w:eastAsia="en-AU"/>
        </w:rPr>
        <w:t>he management of uncertainty</w:t>
      </w:r>
      <w:r w:rsidRPr="00FD4F51">
        <w:rPr>
          <w:rFonts w:ascii="Times New Roman" w:hAnsi="Times New Roman"/>
          <w:sz w:val="24"/>
          <w:szCs w:val="24"/>
          <w:lang w:eastAsia="en-AU"/>
        </w:rPr>
        <w:t>;</w:t>
      </w:r>
    </w:p>
    <w:p w:rsidR="00CF0849" w:rsidRPr="00FD4F51" w:rsidRDefault="00CF0849" w:rsidP="005B6B8A">
      <w:pPr>
        <w:autoSpaceDE w:val="0"/>
        <w:autoSpaceDN w:val="0"/>
        <w:adjustRightInd w:val="0"/>
        <w:spacing w:line="23" w:lineRule="atLeast"/>
        <w:rPr>
          <w:rFonts w:ascii="Times New Roman" w:hAnsi="Times New Roman"/>
          <w:sz w:val="24"/>
          <w:szCs w:val="24"/>
          <w:lang w:eastAsia="en-AU"/>
        </w:rPr>
      </w:pPr>
      <w:r w:rsidRPr="00FD4F51">
        <w:rPr>
          <w:rFonts w:ascii="Times New Roman" w:hAnsi="Times New Roman"/>
          <w:sz w:val="24"/>
          <w:szCs w:val="24"/>
          <w:lang w:eastAsia="en-AU"/>
        </w:rPr>
        <w:t>2</w:t>
      </w:r>
      <w:r>
        <w:rPr>
          <w:rFonts w:ascii="Times New Roman" w:hAnsi="Times New Roman"/>
          <w:sz w:val="24"/>
          <w:szCs w:val="24"/>
          <w:lang w:eastAsia="en-AU"/>
        </w:rPr>
        <w:t>)</w:t>
      </w:r>
      <w:r w:rsidRPr="00FD4F51">
        <w:rPr>
          <w:rFonts w:ascii="Times New Roman" w:hAnsi="Times New Roman"/>
          <w:sz w:val="24"/>
          <w:szCs w:val="24"/>
          <w:lang w:eastAsia="en-AU"/>
        </w:rPr>
        <w:t xml:space="preserve"> </w:t>
      </w:r>
      <w:r>
        <w:rPr>
          <w:rFonts w:ascii="Times New Roman" w:hAnsi="Times New Roman"/>
          <w:sz w:val="24"/>
          <w:szCs w:val="24"/>
          <w:lang w:eastAsia="en-AU"/>
        </w:rPr>
        <w:t>t</w:t>
      </w:r>
      <w:r w:rsidRPr="00FD4F51">
        <w:rPr>
          <w:rFonts w:ascii="Times New Roman" w:hAnsi="Times New Roman"/>
          <w:sz w:val="24"/>
          <w:szCs w:val="24"/>
          <w:lang w:eastAsia="en-AU"/>
        </w:rPr>
        <w:t>he management of a plurality of perspectives within and without science;</w:t>
      </w:r>
    </w:p>
    <w:p w:rsidR="00CF0849" w:rsidRDefault="00CF0849" w:rsidP="005B6B8A">
      <w:pPr>
        <w:rPr>
          <w:rFonts w:ascii="Times New Roman" w:hAnsi="Times New Roman"/>
          <w:sz w:val="24"/>
          <w:szCs w:val="24"/>
        </w:rPr>
      </w:pPr>
      <w:r w:rsidRPr="00FD4F51">
        <w:rPr>
          <w:rFonts w:ascii="Times New Roman" w:hAnsi="Times New Roman"/>
          <w:sz w:val="24"/>
          <w:szCs w:val="24"/>
          <w:lang w:eastAsia="en-AU"/>
        </w:rPr>
        <w:t>3</w:t>
      </w:r>
      <w:r>
        <w:rPr>
          <w:rFonts w:ascii="Times New Roman" w:hAnsi="Times New Roman"/>
          <w:sz w:val="24"/>
          <w:szCs w:val="24"/>
          <w:lang w:eastAsia="en-AU"/>
        </w:rPr>
        <w:t>)</w:t>
      </w:r>
      <w:r w:rsidRPr="00FD4F51">
        <w:rPr>
          <w:rFonts w:ascii="Times New Roman" w:hAnsi="Times New Roman"/>
          <w:sz w:val="24"/>
          <w:szCs w:val="24"/>
          <w:lang w:eastAsia="en-AU"/>
        </w:rPr>
        <w:t xml:space="preserve"> </w:t>
      </w:r>
      <w:r>
        <w:rPr>
          <w:rFonts w:ascii="Times New Roman" w:hAnsi="Times New Roman"/>
          <w:sz w:val="24"/>
          <w:szCs w:val="24"/>
          <w:lang w:eastAsia="en-AU"/>
        </w:rPr>
        <w:t>t</w:t>
      </w:r>
      <w:r w:rsidRPr="00FD4F51">
        <w:rPr>
          <w:rFonts w:ascii="Times New Roman" w:hAnsi="Times New Roman"/>
          <w:sz w:val="24"/>
          <w:szCs w:val="24"/>
          <w:lang w:eastAsia="en-AU"/>
        </w:rPr>
        <w:t>he internal and external extension of the peer community.</w:t>
      </w:r>
    </w:p>
    <w:p w:rsidR="00CF0849" w:rsidRPr="00EB4C12" w:rsidRDefault="00CF0849" w:rsidP="005A21ED">
      <w:pPr>
        <w:rPr>
          <w:rFonts w:ascii="Times New Roman" w:hAnsi="Times New Roman"/>
          <w:color w:val="FF0000"/>
          <w:sz w:val="24"/>
          <w:szCs w:val="24"/>
        </w:rPr>
      </w:pPr>
      <w:r>
        <w:rPr>
          <w:rFonts w:ascii="Times New Roman" w:hAnsi="Times New Roman"/>
          <w:sz w:val="24"/>
          <w:szCs w:val="24"/>
        </w:rPr>
        <w:t>The arguments made thus far point strongly to the need to shift the dominant impact assessment paradigm, moving from an assumption of normal science to one of post-normal science which can better represent uncertainty, ambiguity and ignorance through inclusion of each of these three elements of post-normal science.</w:t>
      </w:r>
    </w:p>
    <w:p w:rsidR="00CF0849" w:rsidRPr="00DC3DA7" w:rsidRDefault="00CF0849" w:rsidP="005B4784">
      <w:pPr>
        <w:rPr>
          <w:rFonts w:ascii="Times New Roman" w:hAnsi="Times New Roman"/>
          <w:strike/>
          <w:sz w:val="24"/>
          <w:szCs w:val="24"/>
        </w:rPr>
      </w:pPr>
    </w:p>
    <w:p w:rsidR="00CF0849" w:rsidRPr="00DF5A63" w:rsidRDefault="00CF0849" w:rsidP="009A48F0">
      <w:pPr>
        <w:autoSpaceDE w:val="0"/>
        <w:autoSpaceDN w:val="0"/>
        <w:adjustRightInd w:val="0"/>
        <w:rPr>
          <w:rFonts w:ascii="Times New Roman" w:hAnsi="Times New Roman"/>
          <w:b/>
          <w:sz w:val="24"/>
          <w:szCs w:val="24"/>
        </w:rPr>
      </w:pPr>
      <w:r>
        <w:rPr>
          <w:rFonts w:ascii="Times New Roman" w:hAnsi="Times New Roman"/>
          <w:b/>
          <w:sz w:val="24"/>
          <w:szCs w:val="24"/>
        </w:rPr>
        <w:t>3</w:t>
      </w:r>
      <w:r w:rsidRPr="00DF5A63">
        <w:rPr>
          <w:rFonts w:ascii="Times New Roman" w:hAnsi="Times New Roman"/>
          <w:b/>
          <w:sz w:val="24"/>
          <w:szCs w:val="24"/>
        </w:rPr>
        <w:t xml:space="preserve">. </w:t>
      </w:r>
      <w:r>
        <w:rPr>
          <w:rFonts w:ascii="Times New Roman" w:hAnsi="Times New Roman"/>
          <w:b/>
          <w:sz w:val="24"/>
          <w:szCs w:val="24"/>
        </w:rPr>
        <w:t>R</w:t>
      </w:r>
      <w:r w:rsidRPr="00DF5A63">
        <w:rPr>
          <w:rFonts w:ascii="Times New Roman" w:hAnsi="Times New Roman"/>
          <w:b/>
          <w:sz w:val="24"/>
          <w:szCs w:val="24"/>
        </w:rPr>
        <w:t xml:space="preserve">esilience </w:t>
      </w:r>
      <w:r>
        <w:rPr>
          <w:rFonts w:ascii="Times New Roman" w:hAnsi="Times New Roman"/>
          <w:b/>
          <w:sz w:val="24"/>
          <w:szCs w:val="24"/>
        </w:rPr>
        <w:t>and post-normal</w:t>
      </w:r>
      <w:r w:rsidRPr="00DF5A63">
        <w:rPr>
          <w:rFonts w:ascii="Times New Roman" w:hAnsi="Times New Roman"/>
          <w:b/>
          <w:sz w:val="24"/>
          <w:szCs w:val="24"/>
        </w:rPr>
        <w:t xml:space="preserve"> </w:t>
      </w:r>
      <w:r>
        <w:rPr>
          <w:rFonts w:ascii="Times New Roman" w:hAnsi="Times New Roman"/>
          <w:b/>
          <w:sz w:val="24"/>
          <w:szCs w:val="24"/>
        </w:rPr>
        <w:t xml:space="preserve">science in </w:t>
      </w:r>
      <w:r w:rsidRPr="00DF5A63">
        <w:rPr>
          <w:rFonts w:ascii="Times New Roman" w:hAnsi="Times New Roman"/>
          <w:b/>
          <w:sz w:val="24"/>
          <w:szCs w:val="24"/>
        </w:rPr>
        <w:t>impact assessment</w:t>
      </w:r>
    </w:p>
    <w:p w:rsidR="00CF0849" w:rsidRDefault="00CF0849" w:rsidP="002B380F">
      <w:pPr>
        <w:autoSpaceDE w:val="0"/>
        <w:autoSpaceDN w:val="0"/>
        <w:adjustRightInd w:val="0"/>
        <w:rPr>
          <w:rFonts w:ascii="Times New Roman" w:hAnsi="Times New Roman"/>
          <w:sz w:val="24"/>
          <w:szCs w:val="24"/>
        </w:rPr>
      </w:pPr>
      <w:r>
        <w:rPr>
          <w:rFonts w:ascii="Times New Roman" w:hAnsi="Times New Roman"/>
          <w:sz w:val="24"/>
          <w:szCs w:val="24"/>
        </w:rPr>
        <w:t xml:space="preserve">In this section, we investigate the utility of the concept of resilience as </w:t>
      </w:r>
      <w:r w:rsidRPr="00DC3DA7">
        <w:rPr>
          <w:rFonts w:ascii="Times New Roman" w:hAnsi="Times New Roman"/>
          <w:sz w:val="24"/>
          <w:szCs w:val="24"/>
        </w:rPr>
        <w:t>a</w:t>
      </w:r>
      <w:r>
        <w:rPr>
          <w:rFonts w:ascii="Times New Roman" w:hAnsi="Times New Roman"/>
          <w:sz w:val="24"/>
          <w:szCs w:val="24"/>
        </w:rPr>
        <w:t xml:space="preserve"> means of embedding post-normal science into IA processes, thereby developing an appropriate </w:t>
      </w:r>
      <w:r>
        <w:rPr>
          <w:rFonts w:ascii="Times New Roman" w:hAnsi="Times New Roman"/>
          <w:i/>
          <w:sz w:val="24"/>
          <w:szCs w:val="24"/>
        </w:rPr>
        <w:t>ex ante</w:t>
      </w:r>
      <w:r>
        <w:rPr>
          <w:rFonts w:ascii="Times New Roman" w:hAnsi="Times New Roman"/>
          <w:sz w:val="24"/>
          <w:szCs w:val="24"/>
        </w:rPr>
        <w:t xml:space="preserve"> tool for considering uncertainty, ambiguity and ignorance. </w:t>
      </w:r>
      <w:r>
        <w:rPr>
          <w:rFonts w:ascii="Times New Roman" w:hAnsi="Times New Roman"/>
          <w:noProof/>
          <w:sz w:val="24"/>
          <w:szCs w:val="24"/>
        </w:rPr>
        <w:t>Hermans and Knippenberg (2006)</w:t>
      </w:r>
      <w:r>
        <w:rPr>
          <w:rFonts w:ascii="Times New Roman" w:hAnsi="Times New Roman"/>
          <w:sz w:val="24"/>
          <w:szCs w:val="24"/>
        </w:rPr>
        <w:t xml:space="preserve"> also used resilience (and justice) as a key principle with which to evaluate sustainability assessment, while the potential of resilience thinking to contribute to strategic environmental assessment has also received attention </w:t>
      </w:r>
      <w:r>
        <w:rPr>
          <w:rFonts w:ascii="Times New Roman" w:hAnsi="Times New Roman"/>
          <w:noProof/>
          <w:sz w:val="24"/>
          <w:szCs w:val="24"/>
        </w:rPr>
        <w:t>(for example, Benson and Garmestani, 2011; Slootweg and Jones, 2011; Larsen</w:t>
      </w:r>
      <w:r w:rsidRPr="00C11CF8">
        <w:rPr>
          <w:rFonts w:ascii="Times New Roman" w:hAnsi="Times New Roman"/>
          <w:i/>
          <w:noProof/>
          <w:sz w:val="24"/>
          <w:szCs w:val="24"/>
        </w:rPr>
        <w:t xml:space="preserve"> et al.</w:t>
      </w:r>
      <w:r>
        <w:rPr>
          <w:rFonts w:ascii="Times New Roman" w:hAnsi="Times New Roman"/>
          <w:noProof/>
          <w:sz w:val="24"/>
          <w:szCs w:val="24"/>
        </w:rPr>
        <w:t>, 2013)</w:t>
      </w:r>
      <w:r>
        <w:rPr>
          <w:rFonts w:ascii="Times New Roman" w:hAnsi="Times New Roman"/>
          <w:sz w:val="24"/>
          <w:szCs w:val="24"/>
        </w:rPr>
        <w:t xml:space="preserve">. </w:t>
      </w:r>
    </w:p>
    <w:p w:rsidR="00CF0849" w:rsidRDefault="00CF0849" w:rsidP="002B380F">
      <w:pPr>
        <w:autoSpaceDE w:val="0"/>
        <w:autoSpaceDN w:val="0"/>
        <w:adjustRightInd w:val="0"/>
        <w:rPr>
          <w:rFonts w:ascii="Times New Roman" w:hAnsi="Times New Roman"/>
          <w:sz w:val="24"/>
          <w:szCs w:val="24"/>
        </w:rPr>
      </w:pPr>
      <w:r>
        <w:rPr>
          <w:rFonts w:ascii="Times New Roman" w:hAnsi="Times New Roman"/>
          <w:sz w:val="24"/>
          <w:szCs w:val="24"/>
        </w:rPr>
        <w:t xml:space="preserve">Drawing on the pioneering work of Holling (1973), </w:t>
      </w:r>
      <w:r>
        <w:rPr>
          <w:rFonts w:ascii="Times New Roman" w:hAnsi="Times New Roman"/>
          <w:noProof/>
          <w:sz w:val="24"/>
          <w:szCs w:val="24"/>
        </w:rPr>
        <w:t>Davoudi</w:t>
      </w:r>
      <w:r w:rsidRPr="00C11CF8">
        <w:rPr>
          <w:rFonts w:ascii="Times New Roman" w:hAnsi="Times New Roman"/>
          <w:i/>
          <w:noProof/>
          <w:sz w:val="24"/>
          <w:szCs w:val="24"/>
        </w:rPr>
        <w:t xml:space="preserve"> et al.</w:t>
      </w:r>
      <w:r>
        <w:rPr>
          <w:rFonts w:ascii="Times New Roman" w:hAnsi="Times New Roman"/>
          <w:noProof/>
          <w:sz w:val="24"/>
          <w:szCs w:val="24"/>
        </w:rPr>
        <w:t xml:space="preserve"> (2012, p.300)</w:t>
      </w:r>
      <w:r>
        <w:rPr>
          <w:rFonts w:ascii="Times New Roman" w:hAnsi="Times New Roman"/>
          <w:sz w:val="24"/>
          <w:szCs w:val="24"/>
        </w:rPr>
        <w:t xml:space="preserve"> explain the difference between engineering resilience, which is </w:t>
      </w:r>
      <w:r w:rsidRPr="004937A8">
        <w:rPr>
          <w:rFonts w:ascii="Times New Roman" w:hAnsi="Times New Roman"/>
          <w:sz w:val="24"/>
          <w:szCs w:val="24"/>
        </w:rPr>
        <w:t>defined as “</w:t>
      </w:r>
      <w:r w:rsidRPr="004937A8">
        <w:rPr>
          <w:rFonts w:ascii="Times New Roman" w:hAnsi="Times New Roman"/>
          <w:i/>
          <w:iCs/>
          <w:sz w:val="24"/>
          <w:szCs w:val="24"/>
          <w:lang w:eastAsia="zh-CN"/>
        </w:rPr>
        <w:t>the ability of a system to return to an equilibrium or steady-state after a disturbance</w:t>
      </w:r>
      <w:r w:rsidRPr="004937A8">
        <w:rPr>
          <w:rFonts w:ascii="Times New Roman" w:hAnsi="Times New Roman"/>
          <w:sz w:val="24"/>
          <w:szCs w:val="24"/>
          <w:lang w:eastAsia="zh-CN"/>
        </w:rPr>
        <w:t xml:space="preserve">” </w:t>
      </w:r>
      <w:r>
        <w:rPr>
          <w:rFonts w:ascii="Times New Roman" w:hAnsi="Times New Roman"/>
          <w:sz w:val="24"/>
          <w:szCs w:val="24"/>
        </w:rPr>
        <w:t xml:space="preserve">where the emphasis is on the time it takes a system to return to where it was (which might be defined as returning to ‘normal’), and ecological resilience, </w:t>
      </w:r>
      <w:r w:rsidRPr="004937A8">
        <w:rPr>
          <w:rFonts w:ascii="Times New Roman" w:hAnsi="Times New Roman"/>
          <w:sz w:val="24"/>
          <w:szCs w:val="24"/>
        </w:rPr>
        <w:t>which is defined as “</w:t>
      </w:r>
      <w:r w:rsidRPr="004937A8">
        <w:rPr>
          <w:rFonts w:ascii="Times New Roman" w:hAnsi="Times New Roman"/>
          <w:i/>
          <w:iCs/>
          <w:sz w:val="24"/>
          <w:szCs w:val="24"/>
          <w:lang w:eastAsia="zh-CN"/>
        </w:rPr>
        <w:t>the magnitude of the disturbance that can be absorbed before the system changes its structure</w:t>
      </w:r>
      <w:r w:rsidRPr="004937A8">
        <w:rPr>
          <w:rFonts w:ascii="Times New Roman" w:hAnsi="Times New Roman"/>
          <w:sz w:val="24"/>
          <w:szCs w:val="24"/>
          <w:lang w:eastAsia="zh-CN"/>
        </w:rPr>
        <w:t xml:space="preserve">” </w:t>
      </w:r>
      <w:r>
        <w:rPr>
          <w:rFonts w:ascii="Times New Roman" w:hAnsi="Times New Roman"/>
          <w:sz w:val="24"/>
          <w:szCs w:val="24"/>
        </w:rPr>
        <w:t xml:space="preserve">where the emphasis is on the ability of the socio-ecological systems to persist and adapt. Davoudi </w:t>
      </w:r>
      <w:r w:rsidRPr="00C0025A">
        <w:rPr>
          <w:rFonts w:ascii="Times New Roman" w:hAnsi="Times New Roman"/>
          <w:i/>
          <w:iCs/>
          <w:sz w:val="24"/>
          <w:szCs w:val="24"/>
        </w:rPr>
        <w:t>et al.</w:t>
      </w:r>
      <w:r>
        <w:rPr>
          <w:rFonts w:ascii="Times New Roman" w:hAnsi="Times New Roman"/>
          <w:sz w:val="24"/>
          <w:szCs w:val="24"/>
        </w:rPr>
        <w:t xml:space="preserve"> </w:t>
      </w:r>
      <w:r>
        <w:rPr>
          <w:rFonts w:ascii="Times New Roman" w:hAnsi="Times New Roman"/>
          <w:noProof/>
          <w:sz w:val="24"/>
          <w:szCs w:val="24"/>
        </w:rPr>
        <w:t>(2012)</w:t>
      </w:r>
      <w:r>
        <w:rPr>
          <w:rFonts w:ascii="Times New Roman" w:hAnsi="Times New Roman"/>
          <w:sz w:val="24"/>
          <w:szCs w:val="24"/>
        </w:rPr>
        <w:t xml:space="preserve"> emphasise that both of these definitions embody the discourse of bounce-back-ability, in that the end point in each case is a stable equilibrium state; this assumes that this state is worth returning to, and that it is sensible to return to.  </w:t>
      </w:r>
    </w:p>
    <w:p w:rsidR="00CF0849" w:rsidRDefault="00CF0849" w:rsidP="002B380F">
      <w:pPr>
        <w:autoSpaceDE w:val="0"/>
        <w:autoSpaceDN w:val="0"/>
        <w:adjustRightInd w:val="0"/>
        <w:rPr>
          <w:rFonts w:ascii="Times New Roman" w:hAnsi="Times New Roman"/>
          <w:sz w:val="24"/>
          <w:szCs w:val="24"/>
          <w:lang w:eastAsia="zh-CN"/>
        </w:rPr>
      </w:pPr>
      <w:r>
        <w:rPr>
          <w:rFonts w:ascii="Times New Roman" w:hAnsi="Times New Roman"/>
          <w:sz w:val="24"/>
          <w:szCs w:val="24"/>
        </w:rPr>
        <w:t xml:space="preserve">This thinking aligns with the </w:t>
      </w:r>
      <w:r w:rsidRPr="00582F6B">
        <w:rPr>
          <w:rFonts w:ascii="Times New Roman" w:hAnsi="Times New Roman"/>
          <w:sz w:val="24"/>
          <w:szCs w:val="24"/>
        </w:rPr>
        <w:t xml:space="preserve">current model of </w:t>
      </w:r>
      <w:r>
        <w:rPr>
          <w:rFonts w:ascii="Times New Roman" w:hAnsi="Times New Roman"/>
          <w:sz w:val="24"/>
          <w:szCs w:val="24"/>
        </w:rPr>
        <w:t>IA</w:t>
      </w:r>
      <w:r w:rsidRPr="00582F6B">
        <w:rPr>
          <w:rFonts w:ascii="Times New Roman" w:hAnsi="Times New Roman"/>
          <w:sz w:val="24"/>
          <w:szCs w:val="24"/>
        </w:rPr>
        <w:t xml:space="preserve"> </w:t>
      </w:r>
      <w:r>
        <w:rPr>
          <w:rFonts w:ascii="Times New Roman" w:hAnsi="Times New Roman"/>
          <w:sz w:val="24"/>
          <w:szCs w:val="24"/>
        </w:rPr>
        <w:t xml:space="preserve">predominantly </w:t>
      </w:r>
      <w:r w:rsidRPr="00582F6B">
        <w:rPr>
          <w:rFonts w:ascii="Times New Roman" w:hAnsi="Times New Roman"/>
          <w:sz w:val="24"/>
          <w:szCs w:val="24"/>
        </w:rPr>
        <w:t xml:space="preserve">practiced </w:t>
      </w:r>
      <w:r>
        <w:rPr>
          <w:rFonts w:ascii="Times New Roman" w:hAnsi="Times New Roman"/>
          <w:sz w:val="24"/>
          <w:szCs w:val="24"/>
        </w:rPr>
        <w:t>which is baseline-led. That</w:t>
      </w:r>
      <w:r w:rsidRPr="00582F6B">
        <w:rPr>
          <w:rFonts w:ascii="Times New Roman" w:hAnsi="Times New Roman"/>
          <w:sz w:val="24"/>
          <w:szCs w:val="24"/>
        </w:rPr>
        <w:t xml:space="preserve"> is to say</w:t>
      </w:r>
      <w:r>
        <w:rPr>
          <w:rFonts w:ascii="Times New Roman" w:hAnsi="Times New Roman"/>
          <w:sz w:val="24"/>
          <w:szCs w:val="24"/>
        </w:rPr>
        <w:t>,</w:t>
      </w:r>
      <w:r w:rsidRPr="00582F6B">
        <w:rPr>
          <w:rFonts w:ascii="Times New Roman" w:hAnsi="Times New Roman"/>
          <w:sz w:val="24"/>
          <w:szCs w:val="24"/>
        </w:rPr>
        <w:t xml:space="preserve"> that it takes the existing situation as being the preferred endpoint and examines the implications of change </w:t>
      </w:r>
      <w:r>
        <w:rPr>
          <w:rFonts w:ascii="Times New Roman" w:hAnsi="Times New Roman"/>
          <w:sz w:val="24"/>
          <w:szCs w:val="24"/>
        </w:rPr>
        <w:t>to</w:t>
      </w:r>
      <w:r w:rsidRPr="00582F6B">
        <w:rPr>
          <w:rFonts w:ascii="Times New Roman" w:hAnsi="Times New Roman"/>
          <w:sz w:val="24"/>
          <w:szCs w:val="24"/>
        </w:rPr>
        <w:t xml:space="preserve"> this existing situation, proposing mitigation measures to perpetuate it. As </w:t>
      </w:r>
      <w:r>
        <w:rPr>
          <w:rFonts w:ascii="Times New Roman" w:hAnsi="Times New Roman"/>
          <w:noProof/>
          <w:sz w:val="24"/>
          <w:szCs w:val="24"/>
        </w:rPr>
        <w:t>(Hacking and Guthrie, 2006)</w:t>
      </w:r>
      <w:r>
        <w:rPr>
          <w:rFonts w:ascii="Times New Roman" w:hAnsi="Times New Roman"/>
          <w:sz w:val="24"/>
          <w:szCs w:val="24"/>
        </w:rPr>
        <w:t xml:space="preserve"> </w:t>
      </w:r>
      <w:r w:rsidRPr="00582F6B">
        <w:rPr>
          <w:rFonts w:ascii="Times New Roman" w:hAnsi="Times New Roman"/>
          <w:sz w:val="24"/>
          <w:szCs w:val="24"/>
        </w:rPr>
        <w:t>put it: “</w:t>
      </w:r>
      <w:r w:rsidRPr="00582F6B">
        <w:rPr>
          <w:rFonts w:ascii="Times New Roman" w:hAnsi="Times New Roman"/>
          <w:i/>
          <w:iCs/>
          <w:sz w:val="24"/>
          <w:szCs w:val="24"/>
        </w:rPr>
        <w:t>[</w:t>
      </w:r>
      <w:r w:rsidRPr="00582F6B">
        <w:rPr>
          <w:rFonts w:ascii="Times New Roman" w:hAnsi="Times New Roman"/>
          <w:i/>
          <w:iCs/>
          <w:sz w:val="24"/>
          <w:szCs w:val="24"/>
          <w:lang w:eastAsia="zh-CN"/>
        </w:rPr>
        <w:t>T]he established approach to impact assessment is baseline-led, whereby the conditions that are likely to prevail in the absence of a proposed initiative are used as the ‘benchmarks’ for determining the significance of impacts</w:t>
      </w:r>
      <w:r w:rsidRPr="00582F6B">
        <w:rPr>
          <w:rFonts w:ascii="Times New Roman" w:hAnsi="Times New Roman"/>
          <w:sz w:val="24"/>
          <w:szCs w:val="24"/>
          <w:lang w:eastAsia="zh-CN"/>
        </w:rPr>
        <w:t>”.</w:t>
      </w:r>
      <w:r>
        <w:rPr>
          <w:rFonts w:ascii="Times New Roman" w:hAnsi="Times New Roman"/>
          <w:sz w:val="24"/>
          <w:szCs w:val="24"/>
          <w:lang w:eastAsia="zh-CN"/>
        </w:rPr>
        <w:t xml:space="preserve"> It is worth noting, however, that a change in emphasis of strategic IA towards the delivery of sustainable development as its goal is starting to change this prevailing practice </w:t>
      </w:r>
      <w:r>
        <w:rPr>
          <w:rFonts w:ascii="Times New Roman" w:hAnsi="Times New Roman"/>
          <w:noProof/>
          <w:sz w:val="24"/>
          <w:szCs w:val="24"/>
          <w:lang w:eastAsia="zh-CN"/>
        </w:rPr>
        <w:t>(Sadler, 2011)</w:t>
      </w:r>
      <w:r>
        <w:rPr>
          <w:rFonts w:ascii="Times New Roman" w:hAnsi="Times New Roman"/>
          <w:sz w:val="24"/>
          <w:szCs w:val="24"/>
          <w:lang w:eastAsia="zh-CN"/>
        </w:rPr>
        <w:t>.</w:t>
      </w:r>
    </w:p>
    <w:p w:rsidR="00CF0849" w:rsidRDefault="00CF0849" w:rsidP="008469E7">
      <w:pPr>
        <w:autoSpaceDE w:val="0"/>
        <w:autoSpaceDN w:val="0"/>
        <w:adjustRightInd w:val="0"/>
        <w:rPr>
          <w:rStyle w:val="txt"/>
          <w:rFonts w:ascii="Times New Roman" w:hAnsi="Times New Roman"/>
          <w:sz w:val="24"/>
          <w:szCs w:val="24"/>
        </w:rPr>
      </w:pPr>
      <w:r>
        <w:rPr>
          <w:rStyle w:val="txt"/>
          <w:rFonts w:ascii="Times New Roman" w:hAnsi="Times New Roman"/>
          <w:sz w:val="24"/>
          <w:szCs w:val="24"/>
        </w:rPr>
        <w:t xml:space="preserve">Davoudi </w:t>
      </w:r>
      <w:r w:rsidRPr="00530601">
        <w:rPr>
          <w:rStyle w:val="txt"/>
          <w:rFonts w:ascii="Times New Roman" w:hAnsi="Times New Roman"/>
          <w:i/>
          <w:iCs/>
          <w:sz w:val="24"/>
          <w:szCs w:val="24"/>
        </w:rPr>
        <w:t>et al.</w:t>
      </w:r>
      <w:r>
        <w:rPr>
          <w:rStyle w:val="txt"/>
          <w:rFonts w:ascii="Times New Roman" w:hAnsi="Times New Roman"/>
          <w:sz w:val="24"/>
          <w:szCs w:val="24"/>
        </w:rPr>
        <w:t xml:space="preserve"> </w:t>
      </w:r>
      <w:r>
        <w:rPr>
          <w:rStyle w:val="txt"/>
          <w:rFonts w:ascii="Times New Roman" w:hAnsi="Times New Roman"/>
          <w:noProof/>
          <w:sz w:val="24"/>
          <w:szCs w:val="24"/>
        </w:rPr>
        <w:t>(2012, p.302)</w:t>
      </w:r>
      <w:r>
        <w:rPr>
          <w:rStyle w:val="txt"/>
          <w:rFonts w:ascii="Times New Roman" w:hAnsi="Times New Roman"/>
          <w:sz w:val="24"/>
          <w:szCs w:val="24"/>
        </w:rPr>
        <w:t xml:space="preserve"> offer</w:t>
      </w:r>
      <w:r w:rsidRPr="00F818C4">
        <w:rPr>
          <w:rStyle w:val="txt"/>
          <w:rFonts w:ascii="Times New Roman" w:hAnsi="Times New Roman"/>
          <w:sz w:val="24"/>
          <w:szCs w:val="24"/>
        </w:rPr>
        <w:t xml:space="preserve"> the </w:t>
      </w:r>
      <w:r>
        <w:rPr>
          <w:rStyle w:val="txt"/>
          <w:rFonts w:ascii="Times New Roman" w:hAnsi="Times New Roman"/>
          <w:sz w:val="24"/>
          <w:szCs w:val="24"/>
        </w:rPr>
        <w:t xml:space="preserve">alternative </w:t>
      </w:r>
      <w:r w:rsidRPr="00F818C4">
        <w:rPr>
          <w:rStyle w:val="txt"/>
          <w:rFonts w:ascii="Times New Roman" w:hAnsi="Times New Roman"/>
          <w:sz w:val="24"/>
          <w:szCs w:val="24"/>
        </w:rPr>
        <w:t xml:space="preserve">concept of </w:t>
      </w:r>
      <w:r w:rsidRPr="00990D78">
        <w:rPr>
          <w:rStyle w:val="txt"/>
          <w:rFonts w:ascii="Times New Roman" w:hAnsi="Times New Roman"/>
          <w:sz w:val="24"/>
          <w:szCs w:val="24"/>
        </w:rPr>
        <w:t>evolutionary resilience</w:t>
      </w:r>
      <w:r w:rsidRPr="00F818C4">
        <w:rPr>
          <w:rStyle w:val="txt"/>
          <w:rFonts w:ascii="Times New Roman" w:hAnsi="Times New Roman"/>
          <w:sz w:val="24"/>
          <w:szCs w:val="24"/>
        </w:rPr>
        <w:t>,</w:t>
      </w:r>
      <w:r>
        <w:rPr>
          <w:rStyle w:val="txt"/>
          <w:rFonts w:ascii="Times New Roman" w:hAnsi="Times New Roman"/>
          <w:sz w:val="24"/>
          <w:szCs w:val="24"/>
        </w:rPr>
        <w:t xml:space="preserve"> which they suggest “</w:t>
      </w:r>
      <w:r w:rsidRPr="001E5011">
        <w:rPr>
          <w:rStyle w:val="txt"/>
          <w:rFonts w:ascii="Times New Roman" w:hAnsi="Times New Roman"/>
          <w:i/>
          <w:iCs/>
          <w:sz w:val="24"/>
          <w:szCs w:val="24"/>
        </w:rPr>
        <w:t xml:space="preserve">challenges the whole idea of equilibrium and advocates that the very nature of systems may change over time with or </w:t>
      </w:r>
      <w:r w:rsidRPr="0005193E">
        <w:rPr>
          <w:rStyle w:val="txt"/>
          <w:rFonts w:ascii="Times New Roman" w:hAnsi="Times New Roman"/>
          <w:i/>
          <w:iCs/>
          <w:sz w:val="24"/>
          <w:szCs w:val="24"/>
        </w:rPr>
        <w:t>without an external disturbance</w:t>
      </w:r>
      <w:r w:rsidRPr="0005193E">
        <w:rPr>
          <w:rStyle w:val="txt"/>
          <w:rFonts w:ascii="Times New Roman" w:hAnsi="Times New Roman"/>
          <w:sz w:val="24"/>
          <w:szCs w:val="24"/>
        </w:rPr>
        <w:t xml:space="preserve">”. In the context of </w:t>
      </w:r>
      <w:r>
        <w:rPr>
          <w:rStyle w:val="txt"/>
          <w:rFonts w:ascii="Times New Roman" w:hAnsi="Times New Roman"/>
          <w:sz w:val="24"/>
          <w:szCs w:val="24"/>
        </w:rPr>
        <w:t>uncertainty</w:t>
      </w:r>
      <w:r w:rsidRPr="0005193E">
        <w:rPr>
          <w:rStyle w:val="txt"/>
          <w:rFonts w:ascii="Times New Roman" w:hAnsi="Times New Roman"/>
          <w:sz w:val="24"/>
          <w:szCs w:val="24"/>
        </w:rPr>
        <w:t xml:space="preserve">, this suggests that there is a possibility of the equilibrium state shifting </w:t>
      </w:r>
      <w:r>
        <w:rPr>
          <w:rStyle w:val="txt"/>
          <w:rFonts w:ascii="Times New Roman" w:hAnsi="Times New Roman"/>
          <w:sz w:val="24"/>
          <w:szCs w:val="24"/>
        </w:rPr>
        <w:t>subsequent to the implementation of a project, plan, etc.</w:t>
      </w:r>
      <w:r w:rsidRPr="0005193E">
        <w:rPr>
          <w:rStyle w:val="txt"/>
          <w:rFonts w:ascii="Times New Roman" w:hAnsi="Times New Roman"/>
          <w:sz w:val="24"/>
          <w:szCs w:val="24"/>
        </w:rPr>
        <w:t>, whi</w:t>
      </w:r>
      <w:r>
        <w:rPr>
          <w:rStyle w:val="txt"/>
          <w:rFonts w:ascii="Times New Roman" w:hAnsi="Times New Roman"/>
          <w:sz w:val="24"/>
          <w:szCs w:val="24"/>
        </w:rPr>
        <w:t xml:space="preserve">ch is not necessarily something </w:t>
      </w:r>
      <w:r w:rsidRPr="0005193E">
        <w:rPr>
          <w:rStyle w:val="txt"/>
          <w:rFonts w:ascii="Times New Roman" w:hAnsi="Times New Roman"/>
          <w:sz w:val="24"/>
          <w:szCs w:val="24"/>
        </w:rPr>
        <w:t>which can be avoided</w:t>
      </w:r>
      <w:r>
        <w:rPr>
          <w:rStyle w:val="txt"/>
          <w:rFonts w:ascii="Times New Roman" w:hAnsi="Times New Roman"/>
          <w:sz w:val="24"/>
          <w:szCs w:val="24"/>
        </w:rPr>
        <w:t>, and which in part is determined by fluctuation in natural conditions</w:t>
      </w:r>
      <w:r w:rsidRPr="0005193E">
        <w:rPr>
          <w:rStyle w:val="txt"/>
          <w:rFonts w:ascii="Times New Roman" w:hAnsi="Times New Roman"/>
          <w:sz w:val="24"/>
          <w:szCs w:val="24"/>
        </w:rPr>
        <w:t>.</w:t>
      </w:r>
      <w:r>
        <w:rPr>
          <w:rStyle w:val="txt"/>
          <w:rFonts w:ascii="Times New Roman" w:hAnsi="Times New Roman"/>
          <w:color w:val="FF0000"/>
          <w:sz w:val="24"/>
          <w:szCs w:val="24"/>
        </w:rPr>
        <w:t xml:space="preserve"> </w:t>
      </w:r>
      <w:r>
        <w:rPr>
          <w:rStyle w:val="txt"/>
          <w:rFonts w:ascii="Times New Roman" w:hAnsi="Times New Roman"/>
          <w:sz w:val="24"/>
          <w:szCs w:val="24"/>
        </w:rPr>
        <w:t xml:space="preserve">They go on to stress the paradigm shift in thinking that this concept represents, whereby the past system behaviour is no longer a useful indication of the future system behaviour and that the socio-ecological system can suddenly change and never return to its past state. </w:t>
      </w:r>
    </w:p>
    <w:p w:rsidR="00CF0849" w:rsidRDefault="00CF0849" w:rsidP="002B380F">
      <w:pPr>
        <w:autoSpaceDE w:val="0"/>
        <w:autoSpaceDN w:val="0"/>
        <w:adjustRightInd w:val="0"/>
        <w:rPr>
          <w:rStyle w:val="txt"/>
        </w:rPr>
      </w:pPr>
      <w:r w:rsidRPr="0082526D">
        <w:rPr>
          <w:rStyle w:val="txt"/>
          <w:rFonts w:ascii="Times New Roman" w:hAnsi="Times New Roman"/>
          <w:sz w:val="24"/>
          <w:szCs w:val="24"/>
        </w:rPr>
        <w:t>Evolutionary resilience</w:t>
      </w:r>
      <w:r>
        <w:rPr>
          <w:rStyle w:val="txt"/>
          <w:rFonts w:ascii="Times New Roman" w:hAnsi="Times New Roman"/>
          <w:sz w:val="24"/>
          <w:szCs w:val="24"/>
        </w:rPr>
        <w:t xml:space="preserve"> can be conceptually explored through the heuristic of the adaptive cycle, which is illustrated in Figure 3. </w:t>
      </w:r>
    </w:p>
    <w:p w:rsidR="00CF0849" w:rsidRPr="00032D18" w:rsidRDefault="00CF0849" w:rsidP="00B05303">
      <w:pPr>
        <w:autoSpaceDE w:val="0"/>
        <w:autoSpaceDN w:val="0"/>
        <w:adjustRightInd w:val="0"/>
        <w:rPr>
          <w:rStyle w:val="txt"/>
        </w:rPr>
      </w:pPr>
      <w:r>
        <w:rPr>
          <w:noProof/>
          <w:lang w:eastAsia="en-GB"/>
        </w:rPr>
        <w:drawing>
          <wp:inline distT="0" distB="0" distL="0" distR="0" wp14:anchorId="7C1CAB57" wp14:editId="72E62416">
            <wp:extent cx="5731510" cy="379730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archy#2.tif"/>
                    <pic:cNvPicPr/>
                  </pic:nvPicPr>
                  <pic:blipFill>
                    <a:blip r:embed="rId20">
                      <a:extLst>
                        <a:ext uri="{28A0092B-C50C-407E-A947-70E740481C1C}">
                          <a14:useLocalDpi xmlns:a14="http://schemas.microsoft.com/office/drawing/2010/main" val="0"/>
                        </a:ext>
                      </a:extLst>
                    </a:blip>
                    <a:stretch>
                      <a:fillRect/>
                    </a:stretch>
                  </pic:blipFill>
                  <pic:spPr>
                    <a:xfrm>
                      <a:off x="0" y="0"/>
                      <a:ext cx="5731510" cy="3797300"/>
                    </a:xfrm>
                    <a:prstGeom prst="rect">
                      <a:avLst/>
                    </a:prstGeom>
                  </pic:spPr>
                </pic:pic>
              </a:graphicData>
            </a:graphic>
          </wp:inline>
        </w:drawing>
      </w:r>
    </w:p>
    <w:p w:rsidR="00CF0849" w:rsidRPr="0006153C" w:rsidRDefault="00CF0849" w:rsidP="002B380F">
      <w:pPr>
        <w:autoSpaceDE w:val="0"/>
        <w:autoSpaceDN w:val="0"/>
        <w:adjustRightInd w:val="0"/>
        <w:rPr>
          <w:rStyle w:val="txt"/>
        </w:rPr>
      </w:pPr>
      <w:r w:rsidRPr="0006153C">
        <w:rPr>
          <w:rStyle w:val="txt"/>
          <w:rFonts w:ascii="Times New Roman" w:hAnsi="Times New Roman"/>
          <w:b/>
          <w:bCs/>
          <w:sz w:val="24"/>
          <w:szCs w:val="24"/>
        </w:rPr>
        <w:t xml:space="preserve">Figure </w:t>
      </w:r>
      <w:r>
        <w:rPr>
          <w:rStyle w:val="txt"/>
          <w:rFonts w:ascii="Times New Roman" w:hAnsi="Times New Roman"/>
          <w:b/>
          <w:bCs/>
          <w:sz w:val="24"/>
          <w:szCs w:val="24"/>
        </w:rPr>
        <w:t>3</w:t>
      </w:r>
      <w:r w:rsidRPr="0006153C">
        <w:rPr>
          <w:rStyle w:val="txt"/>
          <w:rFonts w:ascii="Times New Roman" w:hAnsi="Times New Roman"/>
          <w:b/>
          <w:bCs/>
          <w:sz w:val="24"/>
          <w:szCs w:val="24"/>
        </w:rPr>
        <w:t xml:space="preserve">: The adaptive cycle </w:t>
      </w:r>
      <w:r>
        <w:rPr>
          <w:rStyle w:val="txt"/>
          <w:rFonts w:ascii="Times New Roman" w:hAnsi="Times New Roman"/>
          <w:b/>
          <w:bCs/>
          <w:noProof/>
          <w:sz w:val="24"/>
          <w:szCs w:val="24"/>
        </w:rPr>
        <w:t>(Adapted from Holling and Gunderson, 2002, p.34)</w:t>
      </w:r>
    </w:p>
    <w:p w:rsidR="00CF0849" w:rsidRDefault="00CF0849" w:rsidP="002B380F">
      <w:pPr>
        <w:autoSpaceDE w:val="0"/>
        <w:autoSpaceDN w:val="0"/>
        <w:adjustRightInd w:val="0"/>
        <w:rPr>
          <w:rFonts w:ascii="Times New Roman" w:hAnsi="Times New Roman"/>
          <w:sz w:val="24"/>
          <w:szCs w:val="24"/>
        </w:rPr>
      </w:pPr>
      <w:r w:rsidRPr="004E23F9">
        <w:rPr>
          <w:rFonts w:ascii="Times New Roman" w:hAnsi="Times New Roman"/>
          <w:sz w:val="24"/>
          <w:szCs w:val="24"/>
        </w:rPr>
        <w:t xml:space="preserve">The adaptive cycle suggests that </w:t>
      </w:r>
      <w:r>
        <w:rPr>
          <w:rFonts w:ascii="Times New Roman" w:hAnsi="Times New Roman"/>
          <w:sz w:val="24"/>
          <w:szCs w:val="24"/>
        </w:rPr>
        <w:t>system behaviour often reflects</w:t>
      </w:r>
      <w:r w:rsidRPr="004E23F9">
        <w:rPr>
          <w:rFonts w:ascii="Times New Roman" w:hAnsi="Times New Roman"/>
          <w:sz w:val="24"/>
          <w:szCs w:val="24"/>
        </w:rPr>
        <w:t xml:space="preserve"> a period of growth</w:t>
      </w:r>
      <w:r>
        <w:rPr>
          <w:rFonts w:ascii="Times New Roman" w:hAnsi="Times New Roman"/>
          <w:sz w:val="24"/>
          <w:szCs w:val="24"/>
        </w:rPr>
        <w:t>, r</w:t>
      </w:r>
      <w:r w:rsidRPr="004E23F9">
        <w:rPr>
          <w:rFonts w:ascii="Times New Roman" w:hAnsi="Times New Roman"/>
          <w:sz w:val="24"/>
          <w:szCs w:val="24"/>
        </w:rPr>
        <w:t xml:space="preserve"> (involving exploitation of resources) </w:t>
      </w:r>
      <w:r>
        <w:rPr>
          <w:rFonts w:ascii="Times New Roman" w:hAnsi="Times New Roman"/>
          <w:sz w:val="24"/>
          <w:szCs w:val="24"/>
        </w:rPr>
        <w:t xml:space="preserve">which </w:t>
      </w:r>
      <w:r w:rsidRPr="004E23F9">
        <w:rPr>
          <w:rFonts w:ascii="Times New Roman" w:hAnsi="Times New Roman"/>
          <w:sz w:val="24"/>
          <w:szCs w:val="24"/>
        </w:rPr>
        <w:t>is followed by more stability and an emphasis on conservation of the resources locked up in the system</w:t>
      </w:r>
      <w:r>
        <w:rPr>
          <w:rFonts w:ascii="Times New Roman" w:hAnsi="Times New Roman"/>
          <w:sz w:val="24"/>
          <w:szCs w:val="24"/>
        </w:rPr>
        <w:t>, K</w:t>
      </w:r>
      <w:r w:rsidRPr="004E23F9">
        <w:rPr>
          <w:rFonts w:ascii="Times New Roman" w:hAnsi="Times New Roman"/>
          <w:sz w:val="24"/>
          <w:szCs w:val="24"/>
        </w:rPr>
        <w:t>. After a tipping point is passed, the system collapses, releasing resources</w:t>
      </w:r>
      <w:r>
        <w:rPr>
          <w:rFonts w:ascii="Times New Roman" w:hAnsi="Times New Roman"/>
          <w:sz w:val="24"/>
          <w:szCs w:val="24"/>
        </w:rPr>
        <w:t>, Ω</w:t>
      </w:r>
      <w:r w:rsidRPr="004E23F9">
        <w:rPr>
          <w:rFonts w:ascii="Times New Roman" w:hAnsi="Times New Roman"/>
          <w:sz w:val="24"/>
          <w:szCs w:val="24"/>
        </w:rPr>
        <w:t xml:space="preserve">. This phase </w:t>
      </w:r>
      <w:r>
        <w:rPr>
          <w:rFonts w:ascii="Times New Roman" w:hAnsi="Times New Roman"/>
          <w:sz w:val="24"/>
          <w:szCs w:val="24"/>
        </w:rPr>
        <w:t xml:space="preserve">can </w:t>
      </w:r>
      <w:r w:rsidRPr="004E23F9">
        <w:rPr>
          <w:rFonts w:ascii="Times New Roman" w:hAnsi="Times New Roman"/>
          <w:sz w:val="24"/>
          <w:szCs w:val="24"/>
        </w:rPr>
        <w:t>then lead to reorganisation and a new adaptive cycle</w:t>
      </w:r>
      <w:r>
        <w:rPr>
          <w:rFonts w:ascii="Times New Roman" w:hAnsi="Times New Roman"/>
          <w:sz w:val="24"/>
          <w:szCs w:val="24"/>
        </w:rPr>
        <w:t>, α</w:t>
      </w:r>
      <w:r w:rsidRPr="004E23F9">
        <w:rPr>
          <w:rFonts w:ascii="Times New Roman" w:hAnsi="Times New Roman"/>
          <w:sz w:val="24"/>
          <w:szCs w:val="24"/>
        </w:rPr>
        <w:t xml:space="preserve"> – </w:t>
      </w:r>
      <w:r w:rsidRPr="00E95C52">
        <w:rPr>
          <w:rFonts w:ascii="Times New Roman" w:hAnsi="Times New Roman"/>
          <w:sz w:val="24"/>
          <w:szCs w:val="24"/>
        </w:rPr>
        <w:t>in a continual fashion</w:t>
      </w:r>
      <w:r>
        <w:rPr>
          <w:rFonts w:ascii="Times New Roman" w:hAnsi="Times New Roman"/>
          <w:sz w:val="24"/>
          <w:szCs w:val="24"/>
        </w:rPr>
        <w:t xml:space="preserve"> </w:t>
      </w:r>
      <w:r>
        <w:rPr>
          <w:rFonts w:ascii="Times New Roman" w:hAnsi="Times New Roman"/>
          <w:sz w:val="24"/>
          <w:szCs w:val="24"/>
        </w:rPr>
        <w:softHyphen/>
      </w:r>
      <w:r>
        <w:rPr>
          <w:rFonts w:ascii="Times New Roman" w:hAnsi="Times New Roman"/>
          <w:sz w:val="24"/>
          <w:szCs w:val="24"/>
        </w:rPr>
        <w:softHyphen/>
      </w:r>
      <w:r w:rsidRPr="004E23F9">
        <w:rPr>
          <w:rFonts w:ascii="Times New Roman" w:hAnsi="Times New Roman"/>
          <w:sz w:val="24"/>
          <w:szCs w:val="24"/>
        </w:rPr>
        <w:t xml:space="preserve">– although the new cycle may represent an entirely different </w:t>
      </w:r>
      <w:r w:rsidRPr="00E95C52">
        <w:rPr>
          <w:rFonts w:ascii="Times New Roman" w:hAnsi="Times New Roman"/>
          <w:sz w:val="24"/>
          <w:szCs w:val="24"/>
        </w:rPr>
        <w:t>socio-</w:t>
      </w:r>
      <w:r w:rsidRPr="004E23F9">
        <w:rPr>
          <w:rFonts w:ascii="Times New Roman" w:hAnsi="Times New Roman"/>
          <w:sz w:val="24"/>
          <w:szCs w:val="24"/>
        </w:rPr>
        <w:t xml:space="preserve">ecological system. </w:t>
      </w:r>
    </w:p>
    <w:p w:rsidR="00CF0849" w:rsidRPr="00E16061" w:rsidRDefault="00CF0849" w:rsidP="002B380F">
      <w:pPr>
        <w:autoSpaceDE w:val="0"/>
        <w:autoSpaceDN w:val="0"/>
        <w:adjustRightInd w:val="0"/>
        <w:rPr>
          <w:rFonts w:ascii="Times New Roman" w:hAnsi="Times New Roman"/>
          <w:sz w:val="24"/>
          <w:szCs w:val="24"/>
        </w:rPr>
      </w:pPr>
      <w:r>
        <w:rPr>
          <w:rFonts w:ascii="Times New Roman" w:hAnsi="Times New Roman"/>
          <w:sz w:val="24"/>
          <w:szCs w:val="24"/>
        </w:rPr>
        <w:t xml:space="preserve">Another useful and related concept is panarchy </w:t>
      </w:r>
      <w:r>
        <w:rPr>
          <w:rFonts w:ascii="Times New Roman" w:hAnsi="Times New Roman"/>
          <w:noProof/>
          <w:sz w:val="24"/>
          <w:szCs w:val="24"/>
        </w:rPr>
        <w:t>(Gunderson and Holling, 2002)</w:t>
      </w:r>
      <w:r>
        <w:rPr>
          <w:rFonts w:ascii="Times New Roman" w:hAnsi="Times New Roman"/>
          <w:sz w:val="24"/>
          <w:szCs w:val="24"/>
        </w:rPr>
        <w:t xml:space="preserve">, which </w:t>
      </w:r>
      <w:r>
        <w:rPr>
          <w:rFonts w:ascii="Times New Roman" w:hAnsi="Times New Roman"/>
          <w:noProof/>
          <w:sz w:val="24"/>
          <w:szCs w:val="24"/>
        </w:rPr>
        <w:t>Slootweg and Jones (2011)</w:t>
      </w:r>
      <w:r>
        <w:rPr>
          <w:rFonts w:ascii="Times New Roman" w:hAnsi="Times New Roman"/>
          <w:sz w:val="24"/>
          <w:szCs w:val="24"/>
        </w:rPr>
        <w:t xml:space="preserve"> have identified as having the potential to strengthen strategic IA. </w:t>
      </w:r>
      <w:r w:rsidRPr="004E23F9">
        <w:rPr>
          <w:rFonts w:ascii="Times New Roman" w:hAnsi="Times New Roman"/>
          <w:sz w:val="24"/>
          <w:szCs w:val="24"/>
        </w:rPr>
        <w:t xml:space="preserve">Panarchy is represented by a series of adaptive cycles operating at different geographical and temporal scales, although the cycles are connected and therefore have implications for each other. Whilst originally developed for </w:t>
      </w:r>
      <w:r>
        <w:rPr>
          <w:rFonts w:ascii="Times New Roman" w:hAnsi="Times New Roman"/>
          <w:sz w:val="24"/>
          <w:szCs w:val="24"/>
        </w:rPr>
        <w:t xml:space="preserve">purely </w:t>
      </w:r>
      <w:r w:rsidRPr="004E23F9">
        <w:rPr>
          <w:rFonts w:ascii="Times New Roman" w:hAnsi="Times New Roman"/>
          <w:sz w:val="24"/>
          <w:szCs w:val="24"/>
        </w:rPr>
        <w:t xml:space="preserve">ecological systems, the concept of resilience is now applied to socio-ecological systems, </w:t>
      </w:r>
      <w:r>
        <w:rPr>
          <w:rFonts w:ascii="Times New Roman" w:hAnsi="Times New Roman"/>
          <w:sz w:val="24"/>
          <w:szCs w:val="24"/>
        </w:rPr>
        <w:t xml:space="preserve">albeit with mixed success </w:t>
      </w:r>
      <w:r>
        <w:rPr>
          <w:rFonts w:ascii="Times New Roman" w:hAnsi="Times New Roman"/>
          <w:noProof/>
          <w:sz w:val="24"/>
          <w:szCs w:val="24"/>
        </w:rPr>
        <w:t>(Davidson, 2010)</w:t>
      </w:r>
      <w:r>
        <w:rPr>
          <w:rFonts w:ascii="Times New Roman" w:hAnsi="Times New Roman"/>
          <w:sz w:val="24"/>
          <w:szCs w:val="24"/>
        </w:rPr>
        <w:t xml:space="preserve"> </w:t>
      </w:r>
      <w:r w:rsidRPr="004E23F9">
        <w:rPr>
          <w:rFonts w:ascii="Times New Roman" w:hAnsi="Times New Roman"/>
          <w:sz w:val="24"/>
          <w:szCs w:val="24"/>
        </w:rPr>
        <w:t xml:space="preserve">and so overlaps with the domain of </w:t>
      </w:r>
      <w:r>
        <w:rPr>
          <w:rFonts w:ascii="Times New Roman" w:hAnsi="Times New Roman"/>
          <w:sz w:val="24"/>
          <w:szCs w:val="24"/>
        </w:rPr>
        <w:t>IA, particularly when sustainability is invoked</w:t>
      </w:r>
      <w:r w:rsidRPr="004E23F9">
        <w:rPr>
          <w:rFonts w:ascii="Times New Roman" w:hAnsi="Times New Roman"/>
          <w:sz w:val="24"/>
          <w:szCs w:val="24"/>
        </w:rPr>
        <w:t>.</w:t>
      </w:r>
      <w:r>
        <w:rPr>
          <w:rFonts w:ascii="Times New Roman" w:hAnsi="Times New Roman"/>
          <w:sz w:val="24"/>
          <w:szCs w:val="24"/>
        </w:rPr>
        <w:t xml:space="preserve"> </w:t>
      </w:r>
    </w:p>
    <w:p w:rsidR="00CF0849" w:rsidRDefault="00CF0849" w:rsidP="002B380F">
      <w:pPr>
        <w:autoSpaceDE w:val="0"/>
        <w:autoSpaceDN w:val="0"/>
        <w:adjustRightInd w:val="0"/>
        <w:rPr>
          <w:rFonts w:ascii="Times New Roman" w:hAnsi="Times New Roman"/>
          <w:color w:val="FF0000"/>
          <w:sz w:val="24"/>
          <w:szCs w:val="24"/>
        </w:rPr>
      </w:pPr>
      <w:r w:rsidRPr="00E16061">
        <w:rPr>
          <w:rFonts w:ascii="Times New Roman" w:hAnsi="Times New Roman"/>
          <w:sz w:val="24"/>
          <w:szCs w:val="24"/>
        </w:rPr>
        <w:t xml:space="preserve">To summarise, </w:t>
      </w:r>
      <w:r>
        <w:rPr>
          <w:rFonts w:ascii="Times New Roman" w:hAnsi="Times New Roman"/>
          <w:sz w:val="24"/>
          <w:szCs w:val="24"/>
        </w:rPr>
        <w:t xml:space="preserve">a post-normal science perspective needs to be applied to IA to accommodate the ambiguity, ignorance and </w:t>
      </w:r>
      <w:r w:rsidRPr="00990D78">
        <w:rPr>
          <w:rFonts w:ascii="Times New Roman" w:hAnsi="Times New Roman"/>
          <w:sz w:val="24"/>
          <w:szCs w:val="24"/>
        </w:rPr>
        <w:t xml:space="preserve">uncertainty inherent in </w:t>
      </w:r>
      <w:r>
        <w:rPr>
          <w:rFonts w:ascii="Times New Roman" w:hAnsi="Times New Roman"/>
          <w:sz w:val="24"/>
          <w:szCs w:val="24"/>
        </w:rPr>
        <w:t>IA</w:t>
      </w:r>
      <w:r w:rsidRPr="00990D78">
        <w:rPr>
          <w:rFonts w:ascii="Times New Roman" w:hAnsi="Times New Roman"/>
          <w:sz w:val="24"/>
          <w:szCs w:val="24"/>
        </w:rPr>
        <w:t xml:space="preserve">. Thus, a form of </w:t>
      </w:r>
      <w:r w:rsidRPr="00990D78">
        <w:rPr>
          <w:rFonts w:ascii="Times New Roman" w:hAnsi="Times New Roman"/>
          <w:i/>
          <w:iCs/>
          <w:sz w:val="24"/>
          <w:szCs w:val="24"/>
        </w:rPr>
        <w:t>ex ante</w:t>
      </w:r>
      <w:r w:rsidRPr="00990D78">
        <w:rPr>
          <w:rFonts w:ascii="Times New Roman" w:hAnsi="Times New Roman"/>
          <w:sz w:val="24"/>
          <w:szCs w:val="24"/>
        </w:rPr>
        <w:t xml:space="preserve"> assessment is required which embeds post-normal science. Evolutionary resilience seems to provide a potentially useful concept as it acknowledges that severe perturbation of systems can change them indefinitely. However, this is counter to the conventional way Governments operate which is founded on the normative assumption that the current state of the socio-ecological environment experienced by people is </w:t>
      </w:r>
      <w:r w:rsidRPr="004E23F9">
        <w:rPr>
          <w:rFonts w:ascii="Times New Roman" w:hAnsi="Times New Roman"/>
          <w:sz w:val="24"/>
          <w:szCs w:val="24"/>
        </w:rPr>
        <w:t xml:space="preserve">the one worth preserving. </w:t>
      </w:r>
      <w:r>
        <w:rPr>
          <w:rFonts w:ascii="Times New Roman" w:hAnsi="Times New Roman"/>
          <w:sz w:val="24"/>
          <w:szCs w:val="24"/>
        </w:rPr>
        <w:t xml:space="preserve">An example would be the requirement placed on European Union member states to preserve existing habitat designated under the Habitats Directive </w:t>
      </w:r>
      <w:r>
        <w:rPr>
          <w:rFonts w:ascii="Times New Roman" w:hAnsi="Times New Roman"/>
          <w:noProof/>
          <w:sz w:val="24"/>
          <w:szCs w:val="24"/>
        </w:rPr>
        <w:t>(Council of the European Communities, 1992)</w:t>
      </w:r>
      <w:r>
        <w:rPr>
          <w:rFonts w:ascii="Times New Roman" w:hAnsi="Times New Roman"/>
          <w:sz w:val="24"/>
          <w:szCs w:val="24"/>
        </w:rPr>
        <w:t xml:space="preserve"> in the face of climatic change moving the range of species northwards. It is also counter to the conventional way baseline-led IA is approached, which largely seeks to maintain baseline conditions. </w:t>
      </w:r>
      <w:r w:rsidRPr="004E23F9">
        <w:rPr>
          <w:rFonts w:ascii="Times New Roman" w:hAnsi="Times New Roman"/>
          <w:sz w:val="24"/>
          <w:szCs w:val="24"/>
          <w:lang w:eastAsia="zh-CN"/>
        </w:rPr>
        <w:t>What resilience offers is a “</w:t>
      </w:r>
      <w:r w:rsidRPr="004E23F9">
        <w:rPr>
          <w:rFonts w:ascii="Times New Roman" w:hAnsi="Times New Roman"/>
          <w:i/>
          <w:iCs/>
          <w:sz w:val="24"/>
          <w:szCs w:val="24"/>
          <w:lang w:eastAsia="zh-CN"/>
        </w:rPr>
        <w:t>structured way of looking at complexity, uncertainty and interrelatedness of systems and processes</w:t>
      </w:r>
      <w:r w:rsidRPr="004E23F9">
        <w:rPr>
          <w:rFonts w:ascii="Times New Roman" w:hAnsi="Times New Roman"/>
          <w:sz w:val="24"/>
          <w:szCs w:val="24"/>
          <w:lang w:eastAsia="zh-CN"/>
        </w:rPr>
        <w:t xml:space="preserve">” </w:t>
      </w:r>
      <w:r>
        <w:rPr>
          <w:rFonts w:ascii="Times New Roman" w:hAnsi="Times New Roman"/>
          <w:noProof/>
          <w:sz w:val="24"/>
          <w:szCs w:val="24"/>
          <w:lang w:eastAsia="zh-CN"/>
        </w:rPr>
        <w:t>(Slootweg and Jones, 2011, p.263)</w:t>
      </w:r>
      <w:r w:rsidRPr="004E23F9">
        <w:rPr>
          <w:rFonts w:ascii="Times New Roman" w:hAnsi="Times New Roman"/>
          <w:sz w:val="24"/>
          <w:szCs w:val="24"/>
          <w:lang w:eastAsia="zh-CN"/>
        </w:rPr>
        <w:t xml:space="preserve"> such that, </w:t>
      </w:r>
      <w:r w:rsidRPr="004E23F9">
        <w:rPr>
          <w:rFonts w:ascii="Times New Roman" w:hAnsi="Times New Roman"/>
          <w:sz w:val="24"/>
          <w:szCs w:val="24"/>
        </w:rPr>
        <w:t xml:space="preserve">rather than seeking </w:t>
      </w:r>
      <w:r w:rsidRPr="006210C1">
        <w:rPr>
          <w:rFonts w:ascii="Times New Roman" w:hAnsi="Times New Roman"/>
          <w:sz w:val="24"/>
          <w:szCs w:val="24"/>
        </w:rPr>
        <w:t xml:space="preserve">to predict change in the face of uncertainty and </w:t>
      </w:r>
      <w:r w:rsidRPr="001F4FE1">
        <w:rPr>
          <w:rFonts w:ascii="Times New Roman" w:hAnsi="Times New Roman"/>
          <w:sz w:val="24"/>
          <w:szCs w:val="24"/>
        </w:rPr>
        <w:t>ambiguity, it is better to seek to accept and accommodate that unpredictable change will occur. Such a change</w:t>
      </w:r>
      <w:r w:rsidRPr="004E23F9">
        <w:rPr>
          <w:rFonts w:ascii="Times New Roman" w:hAnsi="Times New Roman"/>
          <w:sz w:val="24"/>
          <w:szCs w:val="24"/>
        </w:rPr>
        <w:t xml:space="preserve"> in philosophy can already be detected in climate change assessment where increasing focus is placed on adaptation rather than mitigation</w:t>
      </w:r>
      <w:r>
        <w:rPr>
          <w:rFonts w:ascii="Times New Roman" w:hAnsi="Times New Roman"/>
          <w:sz w:val="24"/>
          <w:szCs w:val="24"/>
        </w:rPr>
        <w:t xml:space="preserve"> </w:t>
      </w:r>
      <w:r>
        <w:rPr>
          <w:rFonts w:ascii="Times New Roman" w:hAnsi="Times New Roman"/>
          <w:noProof/>
          <w:sz w:val="24"/>
          <w:szCs w:val="24"/>
        </w:rPr>
        <w:t>(Byer and Yeomans, 2007)</w:t>
      </w:r>
      <w:r w:rsidRPr="004E23F9">
        <w:rPr>
          <w:rFonts w:ascii="Times New Roman" w:hAnsi="Times New Roman"/>
          <w:sz w:val="24"/>
          <w:szCs w:val="24"/>
        </w:rPr>
        <w:t>.</w:t>
      </w:r>
      <w:r>
        <w:rPr>
          <w:rFonts w:ascii="Times New Roman" w:hAnsi="Times New Roman"/>
          <w:sz w:val="24"/>
          <w:szCs w:val="24"/>
        </w:rPr>
        <w:t xml:space="preserve"> A move towards managed retreat from coastal defences due to climate change might provide an example of such an adaptation strategy.</w:t>
      </w:r>
      <w:r>
        <w:rPr>
          <w:rFonts w:ascii="Times New Roman" w:hAnsi="Times New Roman"/>
          <w:color w:val="FF0000"/>
          <w:sz w:val="24"/>
          <w:szCs w:val="24"/>
        </w:rPr>
        <w:t xml:space="preserve"> </w:t>
      </w:r>
    </w:p>
    <w:p w:rsidR="00CF0849" w:rsidRPr="00F3415A" w:rsidRDefault="00CF0849" w:rsidP="005B4784">
      <w:pPr>
        <w:autoSpaceDE w:val="0"/>
        <w:autoSpaceDN w:val="0"/>
        <w:adjustRightInd w:val="0"/>
        <w:rPr>
          <w:rFonts w:ascii="Times New Roman" w:hAnsi="Times New Roman"/>
          <w:color w:val="FF0000"/>
          <w:sz w:val="24"/>
          <w:szCs w:val="24"/>
        </w:rPr>
      </w:pPr>
    </w:p>
    <w:p w:rsidR="00CF0849" w:rsidRPr="00F3415A" w:rsidRDefault="00CF0849" w:rsidP="00854E5E">
      <w:pPr>
        <w:autoSpaceDE w:val="0"/>
        <w:autoSpaceDN w:val="0"/>
        <w:adjustRightInd w:val="0"/>
        <w:rPr>
          <w:rStyle w:val="txt"/>
        </w:rPr>
      </w:pPr>
      <w:r>
        <w:rPr>
          <w:rStyle w:val="txt"/>
          <w:rFonts w:ascii="Times New Roman" w:hAnsi="Times New Roman"/>
          <w:b/>
          <w:sz w:val="24"/>
          <w:szCs w:val="24"/>
        </w:rPr>
        <w:t>4</w:t>
      </w:r>
      <w:r w:rsidRPr="00F3415A">
        <w:rPr>
          <w:rStyle w:val="txt"/>
          <w:rFonts w:ascii="Times New Roman" w:hAnsi="Times New Roman"/>
          <w:b/>
          <w:sz w:val="24"/>
          <w:szCs w:val="24"/>
        </w:rPr>
        <w:t xml:space="preserve">. Combining the parts – impact assessment for building resilience </w:t>
      </w:r>
      <w:r>
        <w:rPr>
          <w:rStyle w:val="txt"/>
          <w:rFonts w:ascii="Times New Roman" w:hAnsi="Times New Roman"/>
          <w:b/>
          <w:sz w:val="24"/>
          <w:szCs w:val="24"/>
        </w:rPr>
        <w:t>to uncertainty</w:t>
      </w:r>
    </w:p>
    <w:p w:rsidR="00CF0849" w:rsidRPr="00F3415A" w:rsidRDefault="00CF0849" w:rsidP="002B380F">
      <w:pPr>
        <w:autoSpaceDE w:val="0"/>
        <w:autoSpaceDN w:val="0"/>
        <w:adjustRightInd w:val="0"/>
        <w:rPr>
          <w:rFonts w:ascii="Times New Roman" w:hAnsi="Times New Roman"/>
          <w:sz w:val="24"/>
          <w:szCs w:val="24"/>
          <w:lang w:eastAsia="zh-CN"/>
        </w:rPr>
      </w:pPr>
      <w:r w:rsidRPr="00990D78">
        <w:rPr>
          <w:rStyle w:val="txt"/>
          <w:rFonts w:ascii="Times New Roman" w:hAnsi="Times New Roman"/>
          <w:sz w:val="24"/>
          <w:szCs w:val="24"/>
        </w:rPr>
        <w:t xml:space="preserve">Continuing with our example around climate change, it is clear that consideration of climate </w:t>
      </w:r>
      <w:r w:rsidRPr="00F3415A">
        <w:rPr>
          <w:rStyle w:val="txt"/>
          <w:rFonts w:ascii="Times New Roman" w:hAnsi="Times New Roman"/>
          <w:sz w:val="24"/>
          <w:szCs w:val="24"/>
        </w:rPr>
        <w:t>change impacts</w:t>
      </w:r>
      <w:r>
        <w:rPr>
          <w:rStyle w:val="txt"/>
          <w:rFonts w:ascii="Times New Roman" w:hAnsi="Times New Roman"/>
          <w:sz w:val="24"/>
          <w:szCs w:val="24"/>
        </w:rPr>
        <w:t>, which are now already evident,</w:t>
      </w:r>
      <w:r w:rsidRPr="00F3415A">
        <w:rPr>
          <w:rStyle w:val="txt"/>
          <w:rFonts w:ascii="Times New Roman" w:hAnsi="Times New Roman"/>
          <w:sz w:val="24"/>
          <w:szCs w:val="24"/>
        </w:rPr>
        <w:t xml:space="preserve"> calls into question a focus on maintaining the existing baseline and implementing mitigation measures </w:t>
      </w:r>
      <w:r>
        <w:rPr>
          <w:rStyle w:val="txt"/>
          <w:rFonts w:ascii="Times New Roman" w:hAnsi="Times New Roman"/>
          <w:noProof/>
          <w:sz w:val="24"/>
          <w:szCs w:val="24"/>
        </w:rPr>
        <w:t>(Walker</w:t>
      </w:r>
      <w:r w:rsidRPr="00C11CF8">
        <w:rPr>
          <w:rStyle w:val="txt"/>
          <w:rFonts w:ascii="Times New Roman" w:hAnsi="Times New Roman"/>
          <w:i/>
          <w:noProof/>
          <w:sz w:val="24"/>
          <w:szCs w:val="24"/>
        </w:rPr>
        <w:t xml:space="preserve"> et al.</w:t>
      </w:r>
      <w:r>
        <w:rPr>
          <w:rStyle w:val="txt"/>
          <w:rFonts w:ascii="Times New Roman" w:hAnsi="Times New Roman"/>
          <w:noProof/>
          <w:sz w:val="24"/>
          <w:szCs w:val="24"/>
        </w:rPr>
        <w:t>, 2002)</w:t>
      </w:r>
      <w:r w:rsidRPr="00F3415A">
        <w:rPr>
          <w:rStyle w:val="txt"/>
          <w:rFonts w:ascii="Times New Roman" w:hAnsi="Times New Roman"/>
          <w:sz w:val="24"/>
          <w:szCs w:val="24"/>
        </w:rPr>
        <w:t xml:space="preserve">. Canter and Atkinson </w:t>
      </w:r>
      <w:r w:rsidRPr="00F3415A">
        <w:rPr>
          <w:rStyle w:val="txt"/>
          <w:rFonts w:ascii="Times New Roman" w:hAnsi="Times New Roman"/>
          <w:noProof/>
          <w:sz w:val="24"/>
          <w:szCs w:val="24"/>
        </w:rPr>
        <w:t>(2010)</w:t>
      </w:r>
      <w:r w:rsidRPr="00F3415A">
        <w:rPr>
          <w:rStyle w:val="txt"/>
          <w:rFonts w:ascii="Times New Roman" w:hAnsi="Times New Roman"/>
          <w:sz w:val="24"/>
          <w:szCs w:val="24"/>
        </w:rPr>
        <w:t xml:space="preserve"> focus on adaptive management to increase system resilience and </w:t>
      </w:r>
      <w:r>
        <w:rPr>
          <w:rStyle w:val="txt"/>
          <w:rFonts w:ascii="Times New Roman" w:hAnsi="Times New Roman"/>
          <w:noProof/>
          <w:sz w:val="24"/>
          <w:szCs w:val="24"/>
        </w:rPr>
        <w:t>Walker</w:t>
      </w:r>
      <w:r w:rsidRPr="00C11CF8">
        <w:rPr>
          <w:rStyle w:val="txt"/>
          <w:rFonts w:ascii="Times New Roman" w:hAnsi="Times New Roman"/>
          <w:i/>
          <w:noProof/>
          <w:sz w:val="24"/>
          <w:szCs w:val="24"/>
        </w:rPr>
        <w:t xml:space="preserve"> et al.</w:t>
      </w:r>
      <w:r>
        <w:rPr>
          <w:rStyle w:val="txt"/>
          <w:rFonts w:ascii="Times New Roman" w:hAnsi="Times New Roman"/>
          <w:noProof/>
          <w:sz w:val="24"/>
          <w:szCs w:val="24"/>
        </w:rPr>
        <w:t xml:space="preserve"> (2002)</w:t>
      </w:r>
      <w:r w:rsidRPr="00F3415A">
        <w:rPr>
          <w:rStyle w:val="txt"/>
          <w:rFonts w:ascii="Times New Roman" w:hAnsi="Times New Roman"/>
          <w:sz w:val="24"/>
          <w:szCs w:val="24"/>
        </w:rPr>
        <w:t xml:space="preserve"> propose resilience management as a means of preventing unwelcome system reconfigurations. Our approach is to embed elements of adaptive management and resilience management into the well-known stages of the </w:t>
      </w:r>
      <w:r>
        <w:rPr>
          <w:rStyle w:val="txt"/>
          <w:rFonts w:ascii="Times New Roman" w:hAnsi="Times New Roman"/>
          <w:sz w:val="24"/>
          <w:szCs w:val="24"/>
        </w:rPr>
        <w:t>IA</w:t>
      </w:r>
      <w:r w:rsidRPr="00F3415A">
        <w:rPr>
          <w:rStyle w:val="txt"/>
          <w:rFonts w:ascii="Times New Roman" w:hAnsi="Times New Roman"/>
          <w:sz w:val="24"/>
          <w:szCs w:val="24"/>
        </w:rPr>
        <w:t xml:space="preserve"> process, recognising that attempting to understand system</w:t>
      </w:r>
      <w:r>
        <w:rPr>
          <w:rStyle w:val="txt"/>
          <w:rFonts w:ascii="Times New Roman" w:hAnsi="Times New Roman"/>
          <w:sz w:val="24"/>
          <w:szCs w:val="24"/>
        </w:rPr>
        <w:t>s</w:t>
      </w:r>
      <w:r w:rsidRPr="00F3415A">
        <w:rPr>
          <w:rStyle w:val="txt"/>
          <w:rFonts w:ascii="Times New Roman" w:hAnsi="Times New Roman"/>
          <w:sz w:val="24"/>
          <w:szCs w:val="24"/>
        </w:rPr>
        <w:t xml:space="preserve"> is </w:t>
      </w:r>
      <w:r>
        <w:rPr>
          <w:rStyle w:val="txt"/>
          <w:rFonts w:ascii="Times New Roman" w:hAnsi="Times New Roman"/>
          <w:sz w:val="24"/>
          <w:szCs w:val="24"/>
        </w:rPr>
        <w:t xml:space="preserve">typically (although not universally) </w:t>
      </w:r>
      <w:r w:rsidRPr="00F3415A">
        <w:rPr>
          <w:rStyle w:val="txt"/>
          <w:rFonts w:ascii="Times New Roman" w:hAnsi="Times New Roman"/>
          <w:sz w:val="24"/>
          <w:szCs w:val="24"/>
        </w:rPr>
        <w:t xml:space="preserve">a strategic-level activity rather </w:t>
      </w:r>
      <w:r>
        <w:rPr>
          <w:rStyle w:val="txt"/>
          <w:rFonts w:ascii="Times New Roman" w:hAnsi="Times New Roman"/>
          <w:sz w:val="24"/>
          <w:szCs w:val="24"/>
        </w:rPr>
        <w:t xml:space="preserve">than </w:t>
      </w:r>
      <w:r w:rsidRPr="00F3415A">
        <w:rPr>
          <w:rStyle w:val="txt"/>
          <w:rFonts w:ascii="Times New Roman" w:hAnsi="Times New Roman"/>
          <w:sz w:val="24"/>
          <w:szCs w:val="24"/>
        </w:rPr>
        <w:t xml:space="preserve">project-level. We take the view that some level of change is inevitable, </w:t>
      </w:r>
      <w:r>
        <w:rPr>
          <w:rStyle w:val="txt"/>
          <w:rFonts w:ascii="Times New Roman" w:hAnsi="Times New Roman"/>
          <w:sz w:val="24"/>
          <w:szCs w:val="24"/>
        </w:rPr>
        <w:t xml:space="preserve">whether due to exogenous (external to the system) or endogenous (from within the system) forces. </w:t>
      </w:r>
      <w:r w:rsidRPr="00F3415A">
        <w:rPr>
          <w:rFonts w:ascii="Times New Roman" w:hAnsi="Times New Roman"/>
          <w:sz w:val="24"/>
          <w:szCs w:val="24"/>
          <w:lang w:eastAsia="zh-CN"/>
        </w:rPr>
        <w:t xml:space="preserve">So we believe that </w:t>
      </w:r>
      <w:r>
        <w:rPr>
          <w:rFonts w:ascii="Times New Roman" w:hAnsi="Times New Roman"/>
          <w:sz w:val="24"/>
          <w:szCs w:val="24"/>
          <w:lang w:eastAsia="zh-CN"/>
        </w:rPr>
        <w:t>IA</w:t>
      </w:r>
      <w:r w:rsidRPr="00F3415A">
        <w:rPr>
          <w:rFonts w:ascii="Times New Roman" w:hAnsi="Times New Roman"/>
          <w:sz w:val="24"/>
          <w:szCs w:val="24"/>
          <w:lang w:eastAsia="zh-CN"/>
        </w:rPr>
        <w:t xml:space="preserve"> should retain its traditional role of predicting what can be predicted and mitigating where possib</w:t>
      </w:r>
      <w:r w:rsidRPr="00386CD4">
        <w:rPr>
          <w:rFonts w:ascii="Times New Roman" w:hAnsi="Times New Roman"/>
          <w:sz w:val="24"/>
          <w:szCs w:val="24"/>
          <w:lang w:eastAsia="zh-CN"/>
        </w:rPr>
        <w:t>le, as long as the ambiguity</w:t>
      </w:r>
      <w:r>
        <w:rPr>
          <w:rFonts w:ascii="Times New Roman" w:hAnsi="Times New Roman"/>
          <w:sz w:val="24"/>
          <w:szCs w:val="24"/>
          <w:lang w:eastAsia="zh-CN"/>
        </w:rPr>
        <w:t>, ignorance</w:t>
      </w:r>
      <w:r w:rsidRPr="00386CD4">
        <w:rPr>
          <w:rFonts w:ascii="Times New Roman" w:hAnsi="Times New Roman"/>
          <w:sz w:val="24"/>
          <w:szCs w:val="24"/>
          <w:lang w:eastAsia="zh-CN"/>
        </w:rPr>
        <w:t xml:space="preserve"> and uncertainty is acknowledged and managed through an increa</w:t>
      </w:r>
      <w:r w:rsidRPr="00F3415A">
        <w:rPr>
          <w:rFonts w:ascii="Times New Roman" w:hAnsi="Times New Roman"/>
          <w:sz w:val="24"/>
          <w:szCs w:val="24"/>
          <w:lang w:eastAsia="zh-CN"/>
        </w:rPr>
        <w:t>sing focus on adaptation</w:t>
      </w:r>
      <w:r>
        <w:rPr>
          <w:rFonts w:ascii="Times New Roman" w:hAnsi="Times New Roman"/>
          <w:sz w:val="24"/>
          <w:szCs w:val="24"/>
          <w:lang w:eastAsia="zh-CN"/>
        </w:rPr>
        <w:t xml:space="preserve">, fostering socio-economic system resiliency, and acceptance of the </w:t>
      </w:r>
      <w:r w:rsidRPr="00990D78">
        <w:rPr>
          <w:rFonts w:ascii="Times New Roman" w:hAnsi="Times New Roman"/>
          <w:sz w:val="24"/>
          <w:szCs w:val="24"/>
          <w:lang w:eastAsia="zh-CN"/>
        </w:rPr>
        <w:t xml:space="preserve">inevitability </w:t>
      </w:r>
      <w:r>
        <w:rPr>
          <w:rFonts w:ascii="Times New Roman" w:hAnsi="Times New Roman"/>
          <w:sz w:val="24"/>
          <w:szCs w:val="24"/>
          <w:lang w:eastAsia="zh-CN"/>
        </w:rPr>
        <w:t>of change</w:t>
      </w:r>
      <w:r w:rsidRPr="00F3415A">
        <w:rPr>
          <w:rFonts w:ascii="Times New Roman" w:hAnsi="Times New Roman"/>
          <w:sz w:val="24"/>
          <w:szCs w:val="24"/>
          <w:lang w:eastAsia="zh-CN"/>
        </w:rPr>
        <w:t>.</w:t>
      </w:r>
    </w:p>
    <w:p w:rsidR="00CF0849" w:rsidRPr="00F3415A" w:rsidRDefault="00CF0849" w:rsidP="002B380F">
      <w:pPr>
        <w:autoSpaceDE w:val="0"/>
        <w:autoSpaceDN w:val="0"/>
        <w:adjustRightInd w:val="0"/>
        <w:rPr>
          <w:rFonts w:ascii="Times New Roman" w:hAnsi="Times New Roman"/>
          <w:sz w:val="24"/>
          <w:szCs w:val="24"/>
          <w:lang w:eastAsia="zh-CN"/>
        </w:rPr>
      </w:pPr>
      <w:r w:rsidRPr="00F3415A">
        <w:rPr>
          <w:rFonts w:ascii="Times New Roman" w:hAnsi="Times New Roman"/>
          <w:sz w:val="24"/>
          <w:szCs w:val="24"/>
          <w:lang w:eastAsia="zh-CN"/>
        </w:rPr>
        <w:t xml:space="preserve">Taking the early explanation of the </w:t>
      </w:r>
      <w:r>
        <w:rPr>
          <w:rFonts w:ascii="Times New Roman" w:hAnsi="Times New Roman"/>
          <w:sz w:val="24"/>
          <w:szCs w:val="24"/>
          <w:lang w:eastAsia="zh-CN"/>
        </w:rPr>
        <w:t>strategic IA</w:t>
      </w:r>
      <w:r w:rsidRPr="00F3415A">
        <w:rPr>
          <w:rFonts w:ascii="Times New Roman" w:hAnsi="Times New Roman"/>
          <w:sz w:val="24"/>
          <w:szCs w:val="24"/>
          <w:lang w:eastAsia="zh-CN"/>
        </w:rPr>
        <w:t xml:space="preserve"> process published by </w:t>
      </w:r>
      <w:r w:rsidRPr="00F3415A">
        <w:rPr>
          <w:rFonts w:ascii="Times New Roman" w:hAnsi="Times New Roman"/>
          <w:noProof/>
          <w:sz w:val="24"/>
          <w:szCs w:val="24"/>
          <w:lang w:eastAsia="zh-CN"/>
        </w:rPr>
        <w:t>Lee and Walsh (1992)</w:t>
      </w:r>
      <w:r w:rsidRPr="00F3415A">
        <w:rPr>
          <w:rFonts w:ascii="Times New Roman" w:hAnsi="Times New Roman"/>
          <w:sz w:val="24"/>
          <w:szCs w:val="24"/>
          <w:lang w:eastAsia="zh-CN"/>
        </w:rPr>
        <w:t xml:space="preserve"> </w:t>
      </w:r>
      <w:r>
        <w:rPr>
          <w:rFonts w:ascii="Times New Roman" w:hAnsi="Times New Roman"/>
          <w:sz w:val="24"/>
          <w:szCs w:val="24"/>
          <w:lang w:eastAsia="zh-CN"/>
        </w:rPr>
        <w:t>as the basis for our step-wise IA approach, we try to envisage what a</w:t>
      </w:r>
      <w:r w:rsidRPr="00F3415A">
        <w:rPr>
          <w:rFonts w:ascii="Times New Roman" w:hAnsi="Times New Roman"/>
          <w:sz w:val="24"/>
          <w:szCs w:val="24"/>
          <w:lang w:eastAsia="zh-CN"/>
        </w:rPr>
        <w:t xml:space="preserve"> </w:t>
      </w:r>
      <w:r>
        <w:rPr>
          <w:rFonts w:ascii="Times New Roman" w:hAnsi="Times New Roman"/>
          <w:sz w:val="24"/>
          <w:szCs w:val="24"/>
          <w:lang w:eastAsia="zh-CN"/>
        </w:rPr>
        <w:t>such a</w:t>
      </w:r>
      <w:r w:rsidRPr="00F3415A">
        <w:rPr>
          <w:rFonts w:ascii="Times New Roman" w:hAnsi="Times New Roman"/>
          <w:sz w:val="24"/>
          <w:szCs w:val="24"/>
          <w:lang w:eastAsia="zh-CN"/>
        </w:rPr>
        <w:t xml:space="preserve"> process would </w:t>
      </w:r>
      <w:r>
        <w:rPr>
          <w:rFonts w:ascii="Times New Roman" w:hAnsi="Times New Roman"/>
          <w:sz w:val="24"/>
          <w:szCs w:val="24"/>
          <w:lang w:eastAsia="zh-CN"/>
        </w:rPr>
        <w:t xml:space="preserve">look </w:t>
      </w:r>
      <w:r w:rsidRPr="00F3415A">
        <w:rPr>
          <w:rFonts w:ascii="Times New Roman" w:hAnsi="Times New Roman"/>
          <w:sz w:val="24"/>
          <w:szCs w:val="24"/>
          <w:lang w:eastAsia="zh-CN"/>
        </w:rPr>
        <w:t xml:space="preserve">like with </w:t>
      </w:r>
      <w:r>
        <w:rPr>
          <w:rFonts w:ascii="Times New Roman" w:hAnsi="Times New Roman"/>
          <w:sz w:val="24"/>
          <w:szCs w:val="24"/>
          <w:lang w:eastAsia="zh-CN"/>
        </w:rPr>
        <w:t xml:space="preserve">adaptive management and resilience management reflecting the notion of </w:t>
      </w:r>
      <w:r w:rsidRPr="00F3415A">
        <w:rPr>
          <w:rFonts w:ascii="Times New Roman" w:hAnsi="Times New Roman"/>
          <w:sz w:val="24"/>
          <w:szCs w:val="24"/>
          <w:lang w:eastAsia="zh-CN"/>
        </w:rPr>
        <w:t xml:space="preserve">evolutionary resilience embedded </w:t>
      </w:r>
      <w:r>
        <w:rPr>
          <w:rFonts w:ascii="Times New Roman" w:hAnsi="Times New Roman"/>
          <w:sz w:val="24"/>
          <w:szCs w:val="24"/>
          <w:lang w:eastAsia="zh-CN"/>
        </w:rPr>
        <w:t xml:space="preserve">(thereby implementing approaches for dealing with ignorance according to Figure 1) </w:t>
      </w:r>
      <w:r w:rsidRPr="00F3415A">
        <w:rPr>
          <w:rFonts w:ascii="Times New Roman" w:hAnsi="Times New Roman"/>
          <w:sz w:val="24"/>
          <w:szCs w:val="24"/>
          <w:lang w:eastAsia="zh-CN"/>
        </w:rPr>
        <w:t xml:space="preserve">considering the stages of screening; scoping; impact assessment (incorporating report production); decision-making (which incorporates public consultation on the report); </w:t>
      </w:r>
      <w:r>
        <w:rPr>
          <w:rFonts w:ascii="Times New Roman" w:hAnsi="Times New Roman"/>
          <w:sz w:val="24"/>
          <w:szCs w:val="24"/>
          <w:lang w:eastAsia="zh-CN"/>
        </w:rPr>
        <w:t xml:space="preserve">and follow up </w:t>
      </w:r>
      <w:r>
        <w:rPr>
          <w:rFonts w:ascii="Times New Roman" w:hAnsi="Times New Roman"/>
          <w:noProof/>
          <w:sz w:val="24"/>
          <w:szCs w:val="24"/>
          <w:lang w:eastAsia="zh-CN"/>
        </w:rPr>
        <w:t>(Lee and Walsh, 1992, p.132)</w:t>
      </w:r>
      <w:r w:rsidRPr="00F3415A">
        <w:rPr>
          <w:rFonts w:ascii="Times New Roman" w:hAnsi="Times New Roman"/>
          <w:sz w:val="24"/>
          <w:szCs w:val="24"/>
          <w:lang w:eastAsia="zh-CN"/>
        </w:rPr>
        <w:t xml:space="preserve">. In this context, we draw </w:t>
      </w:r>
      <w:r>
        <w:rPr>
          <w:rFonts w:ascii="Times New Roman" w:hAnsi="Times New Roman"/>
          <w:sz w:val="24"/>
          <w:szCs w:val="24"/>
          <w:lang w:eastAsia="zh-CN"/>
        </w:rPr>
        <w:t>heavily on</w:t>
      </w:r>
      <w:r w:rsidRPr="00F3415A">
        <w:rPr>
          <w:rFonts w:ascii="Times New Roman" w:hAnsi="Times New Roman"/>
          <w:sz w:val="24"/>
          <w:szCs w:val="24"/>
          <w:lang w:eastAsia="zh-CN"/>
        </w:rPr>
        <w:t xml:space="preserve"> </w:t>
      </w:r>
      <w:r>
        <w:rPr>
          <w:rFonts w:ascii="Times New Roman" w:hAnsi="Times New Roman"/>
          <w:noProof/>
          <w:sz w:val="24"/>
          <w:szCs w:val="24"/>
          <w:lang w:eastAsia="zh-CN"/>
        </w:rPr>
        <w:t>Walker</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xml:space="preserve"> (2002)</w:t>
      </w:r>
      <w:r>
        <w:rPr>
          <w:rFonts w:ascii="Times New Roman" w:hAnsi="Times New Roman"/>
          <w:sz w:val="24"/>
          <w:szCs w:val="24"/>
          <w:lang w:eastAsia="zh-CN"/>
        </w:rPr>
        <w:t xml:space="preserve"> who, as part of the Resilience Alliance </w:t>
      </w:r>
      <w:r w:rsidRPr="00E16061">
        <w:rPr>
          <w:rFonts w:ascii="Times New Roman" w:hAnsi="Times New Roman"/>
          <w:sz w:val="24"/>
          <w:szCs w:val="24"/>
          <w:lang w:eastAsia="zh-CN"/>
        </w:rPr>
        <w:t xml:space="preserve">(see </w:t>
      </w:r>
      <w:hyperlink r:id="rId21" w:history="1">
        <w:r w:rsidRPr="00E16061">
          <w:rPr>
            <w:rStyle w:val="Hyperlink"/>
            <w:rFonts w:ascii="Times New Roman" w:hAnsi="Times New Roman" w:cs="Arial"/>
            <w:sz w:val="24"/>
            <w:szCs w:val="28"/>
            <w:lang w:val="en-US"/>
          </w:rPr>
          <w:t>www.res</w:t>
        </w:r>
        <w:r w:rsidRPr="00E16061">
          <w:rPr>
            <w:rStyle w:val="Hyperlink"/>
            <w:rFonts w:ascii="Times New Roman" w:hAnsi="Times New Roman" w:cs="Arial"/>
            <w:bCs/>
            <w:sz w:val="24"/>
            <w:szCs w:val="28"/>
            <w:lang w:val="en-US"/>
          </w:rPr>
          <w:t>alliance</w:t>
        </w:r>
        <w:r w:rsidRPr="00E16061">
          <w:rPr>
            <w:rStyle w:val="Hyperlink"/>
            <w:rFonts w:ascii="Times New Roman" w:hAnsi="Times New Roman" w:cs="Arial"/>
            <w:sz w:val="24"/>
            <w:szCs w:val="28"/>
            <w:lang w:val="en-US"/>
          </w:rPr>
          <w:t>.org</w:t>
        </w:r>
      </w:hyperlink>
      <w:r w:rsidRPr="00E16061">
        <w:rPr>
          <w:rFonts w:ascii="Times New Roman" w:hAnsi="Times New Roman" w:cs="Arial"/>
          <w:sz w:val="24"/>
          <w:szCs w:val="28"/>
          <w:lang w:val="en-US"/>
        </w:rPr>
        <w:t>)</w:t>
      </w:r>
      <w:r>
        <w:rPr>
          <w:rFonts w:ascii="Times New Roman" w:hAnsi="Times New Roman"/>
          <w:sz w:val="24"/>
          <w:szCs w:val="24"/>
          <w:lang w:eastAsia="zh-CN"/>
        </w:rPr>
        <w:t xml:space="preserve">, have suggested an approach for managing resilience in socio-ecological systems. They </w:t>
      </w:r>
      <w:r w:rsidRPr="00F3415A">
        <w:rPr>
          <w:rFonts w:ascii="Times New Roman" w:hAnsi="Times New Roman"/>
          <w:sz w:val="24"/>
          <w:szCs w:val="24"/>
          <w:lang w:eastAsia="zh-CN"/>
        </w:rPr>
        <w:t>recommend a four-</w:t>
      </w:r>
      <w:r>
        <w:rPr>
          <w:rFonts w:ascii="Times New Roman" w:hAnsi="Times New Roman"/>
          <w:sz w:val="24"/>
          <w:szCs w:val="24"/>
          <w:lang w:eastAsia="zh-CN"/>
        </w:rPr>
        <w:t>stage</w:t>
      </w:r>
      <w:r w:rsidRPr="00F3415A">
        <w:rPr>
          <w:rFonts w:ascii="Times New Roman" w:hAnsi="Times New Roman"/>
          <w:sz w:val="24"/>
          <w:szCs w:val="24"/>
          <w:lang w:eastAsia="zh-CN"/>
        </w:rPr>
        <w:t xml:space="preserve"> approach including: 1) establishing important attributes of the study system through stakeholder engagement; 2) </w:t>
      </w:r>
      <w:r>
        <w:rPr>
          <w:rFonts w:ascii="Times New Roman" w:hAnsi="Times New Roman"/>
          <w:sz w:val="24"/>
          <w:szCs w:val="24"/>
          <w:lang w:eastAsia="zh-CN"/>
        </w:rPr>
        <w:t xml:space="preserve">identifying predictable and unpredictable drivers and </w:t>
      </w:r>
      <w:r w:rsidRPr="00F3415A">
        <w:rPr>
          <w:rFonts w:ascii="Times New Roman" w:hAnsi="Times New Roman"/>
          <w:sz w:val="24"/>
          <w:szCs w:val="24"/>
          <w:lang w:eastAsia="zh-CN"/>
        </w:rPr>
        <w:t xml:space="preserve">obtaining stakeholder visions of possible trajectories; </w:t>
      </w:r>
      <w:r>
        <w:rPr>
          <w:rFonts w:ascii="Times New Roman" w:hAnsi="Times New Roman"/>
          <w:sz w:val="24"/>
          <w:szCs w:val="24"/>
          <w:lang w:eastAsia="zh-CN"/>
        </w:rPr>
        <w:t xml:space="preserve">3) </w:t>
      </w:r>
      <w:r w:rsidRPr="00F3415A">
        <w:rPr>
          <w:rFonts w:ascii="Times New Roman" w:hAnsi="Times New Roman"/>
          <w:color w:val="000000"/>
          <w:sz w:val="24"/>
          <w:lang w:val="en-US"/>
        </w:rPr>
        <w:t xml:space="preserve">quantitative analysis of where resilience resides; and 4) integrated evaluation by </w:t>
      </w:r>
      <w:r>
        <w:rPr>
          <w:rFonts w:ascii="Times New Roman" w:hAnsi="Times New Roman"/>
          <w:color w:val="000000"/>
          <w:sz w:val="24"/>
          <w:lang w:val="en-US"/>
        </w:rPr>
        <w:t xml:space="preserve">a </w:t>
      </w:r>
      <w:r w:rsidRPr="00F3415A">
        <w:rPr>
          <w:rFonts w:ascii="Times New Roman" w:hAnsi="Times New Roman"/>
          <w:color w:val="000000"/>
          <w:sz w:val="24"/>
          <w:lang w:val="en-US"/>
        </w:rPr>
        <w:t xml:space="preserve">wide range of stakeholders of the management and policy implications. This approach is consistent with the views of </w:t>
      </w:r>
      <w:r w:rsidRPr="00F3415A">
        <w:rPr>
          <w:rFonts w:ascii="Times New Roman" w:hAnsi="Times New Roman"/>
          <w:noProof/>
          <w:sz w:val="24"/>
          <w:szCs w:val="24"/>
          <w:lang w:eastAsia="zh-CN"/>
        </w:rPr>
        <w:t>Hermans and Knippenberg (2006)</w:t>
      </w:r>
      <w:r w:rsidRPr="00F3415A">
        <w:rPr>
          <w:rFonts w:ascii="Times New Roman" w:hAnsi="Times New Roman"/>
          <w:sz w:val="24"/>
          <w:szCs w:val="24"/>
          <w:lang w:eastAsia="zh-CN"/>
        </w:rPr>
        <w:t xml:space="preserve"> who identified that participatory processes are key in a context where stakeholder views on potential outcomes are highly variable amidst high levels of uncertainty, and with the need for great pluralism espoused by </w:t>
      </w:r>
      <w:r>
        <w:rPr>
          <w:rFonts w:ascii="Times New Roman" w:hAnsi="Times New Roman"/>
          <w:noProof/>
          <w:sz w:val="24"/>
          <w:szCs w:val="24"/>
          <w:lang w:eastAsia="zh-CN"/>
        </w:rPr>
        <w:t>Bond</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xml:space="preserve"> (2013)</w:t>
      </w:r>
      <w:r w:rsidRPr="00F3415A">
        <w:rPr>
          <w:rFonts w:ascii="Times New Roman" w:hAnsi="Times New Roman"/>
          <w:sz w:val="24"/>
          <w:szCs w:val="24"/>
          <w:lang w:eastAsia="zh-CN"/>
        </w:rPr>
        <w:t xml:space="preserve"> when considering assessment of sustainability</w:t>
      </w:r>
      <w:r>
        <w:rPr>
          <w:rFonts w:ascii="Times New Roman" w:hAnsi="Times New Roman"/>
          <w:sz w:val="24"/>
          <w:szCs w:val="24"/>
          <w:lang w:eastAsia="zh-CN"/>
        </w:rPr>
        <w:t xml:space="preserve"> (participatory deliberation is identified as a suitable method for dealing with ambiguity in Figure 1)</w:t>
      </w:r>
      <w:r w:rsidRPr="00F3415A">
        <w:rPr>
          <w:rFonts w:ascii="Times New Roman" w:hAnsi="Times New Roman"/>
          <w:sz w:val="24"/>
          <w:szCs w:val="24"/>
          <w:lang w:eastAsia="zh-CN"/>
        </w:rPr>
        <w:t xml:space="preserve">. Such participatory approaches are also required for the achievement of legitimacy </w:t>
      </w:r>
      <w:r>
        <w:rPr>
          <w:rFonts w:ascii="Times New Roman" w:hAnsi="Times New Roman"/>
          <w:noProof/>
          <w:sz w:val="24"/>
          <w:szCs w:val="24"/>
          <w:lang w:eastAsia="zh-CN"/>
        </w:rPr>
        <w:t>(Walker</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2002; Owens</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2004)</w:t>
      </w:r>
      <w:r>
        <w:rPr>
          <w:rFonts w:ascii="Times New Roman" w:hAnsi="Times New Roman"/>
          <w:sz w:val="24"/>
          <w:szCs w:val="24"/>
          <w:lang w:eastAsia="zh-CN"/>
        </w:rPr>
        <w:t xml:space="preserve"> and fit into the participatory discourse framing required for a post-normal science approach to IA</w:t>
      </w:r>
      <w:r w:rsidRPr="00F3415A">
        <w:rPr>
          <w:rFonts w:ascii="Times New Roman" w:hAnsi="Times New Roman"/>
          <w:sz w:val="24"/>
          <w:szCs w:val="24"/>
          <w:lang w:eastAsia="zh-CN"/>
        </w:rPr>
        <w:t xml:space="preserve">.  </w:t>
      </w:r>
    </w:p>
    <w:p w:rsidR="00CF0849" w:rsidRDefault="00CF0849" w:rsidP="00FE21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Assuming screening requires </w:t>
      </w:r>
      <w:r>
        <w:rPr>
          <w:rFonts w:ascii="Times New Roman" w:hAnsi="Times New Roman"/>
          <w:color w:val="000000"/>
          <w:sz w:val="24"/>
          <w:lang w:val="en-US"/>
        </w:rPr>
        <w:t>strategic environmental assessment</w:t>
      </w:r>
      <w:r>
        <w:rPr>
          <w:rFonts w:ascii="Times New Roman" w:hAnsi="Times New Roman"/>
          <w:sz w:val="24"/>
          <w:szCs w:val="24"/>
          <w:lang w:eastAsia="zh-CN"/>
        </w:rPr>
        <w:t xml:space="preserve">, the remaining four stages of the </w:t>
      </w:r>
      <w:r>
        <w:rPr>
          <w:rFonts w:ascii="Times New Roman" w:hAnsi="Times New Roman"/>
          <w:color w:val="000000"/>
          <w:sz w:val="24"/>
          <w:lang w:val="en-US"/>
        </w:rPr>
        <w:t xml:space="preserve">strategic environmental assessment </w:t>
      </w:r>
      <w:r>
        <w:rPr>
          <w:rFonts w:ascii="Times New Roman" w:hAnsi="Times New Roman"/>
          <w:sz w:val="24"/>
          <w:szCs w:val="24"/>
          <w:lang w:eastAsia="zh-CN"/>
        </w:rPr>
        <w:t xml:space="preserve">process can be mapped against the Walker </w:t>
      </w:r>
      <w:r w:rsidRPr="0098019E">
        <w:rPr>
          <w:rFonts w:ascii="Times New Roman" w:hAnsi="Times New Roman"/>
          <w:i/>
          <w:sz w:val="24"/>
          <w:szCs w:val="24"/>
          <w:lang w:eastAsia="zh-CN"/>
        </w:rPr>
        <w:t>et al.</w:t>
      </w:r>
      <w:r>
        <w:rPr>
          <w:rFonts w:ascii="Times New Roman" w:hAnsi="Times New Roman"/>
          <w:sz w:val="24"/>
          <w:szCs w:val="24"/>
          <w:lang w:eastAsia="zh-CN"/>
        </w:rPr>
        <w:t xml:space="preserve"> (2002) stages for managing resilience for socio-ecological systems as shown in Table 1.</w:t>
      </w:r>
    </w:p>
    <w:p w:rsidR="00CF0849" w:rsidRPr="008620EB" w:rsidRDefault="00CF0849" w:rsidP="00365B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b/>
          <w:bCs/>
          <w:sz w:val="24"/>
          <w:szCs w:val="24"/>
          <w:lang w:eastAsia="zh-CN"/>
        </w:rPr>
      </w:pPr>
      <w:r w:rsidRPr="008620EB">
        <w:rPr>
          <w:rFonts w:ascii="Times New Roman" w:hAnsi="Times New Roman"/>
          <w:b/>
          <w:bCs/>
          <w:sz w:val="24"/>
          <w:szCs w:val="24"/>
          <w:lang w:eastAsia="zh-CN"/>
        </w:rPr>
        <w:t xml:space="preserve">Table 1. </w:t>
      </w:r>
      <w:r w:rsidRPr="008469E7">
        <w:rPr>
          <w:rFonts w:ascii="Times New Roman" w:hAnsi="Times New Roman"/>
          <w:b/>
          <w:bCs/>
          <w:sz w:val="24"/>
          <w:szCs w:val="24"/>
          <w:lang w:eastAsia="zh-CN"/>
        </w:rPr>
        <w:t xml:space="preserve">Mapping </w:t>
      </w:r>
      <w:r w:rsidRPr="005E3D5C">
        <w:rPr>
          <w:rFonts w:ascii="Times New Roman" w:hAnsi="Times New Roman"/>
          <w:b/>
          <w:color w:val="000000"/>
          <w:sz w:val="24"/>
          <w:lang w:val="en-US"/>
        </w:rPr>
        <w:t>strategic environmental assessment</w:t>
      </w:r>
      <w:r>
        <w:rPr>
          <w:rFonts w:ascii="Times New Roman" w:hAnsi="Times New Roman"/>
          <w:color w:val="000000"/>
          <w:sz w:val="24"/>
          <w:lang w:val="en-US"/>
        </w:rPr>
        <w:t xml:space="preserve"> </w:t>
      </w:r>
      <w:r w:rsidRPr="008620EB">
        <w:rPr>
          <w:rFonts w:ascii="Times New Roman" w:hAnsi="Times New Roman"/>
          <w:b/>
          <w:bCs/>
          <w:sz w:val="24"/>
          <w:szCs w:val="24"/>
          <w:lang w:eastAsia="zh-CN"/>
        </w:rPr>
        <w:t>against managing resilience for socio-ecological systems.</w:t>
      </w:r>
    </w:p>
    <w:tbl>
      <w:tblPr>
        <w:tblStyle w:val="TableGrid"/>
        <w:tblW w:w="0" w:type="auto"/>
        <w:tblInd w:w="108" w:type="dxa"/>
        <w:tblLook w:val="04A0" w:firstRow="1" w:lastRow="0" w:firstColumn="1" w:lastColumn="0" w:noHBand="0" w:noVBand="1"/>
      </w:tblPr>
      <w:tblGrid>
        <w:gridCol w:w="4253"/>
        <w:gridCol w:w="4881"/>
      </w:tblGrid>
      <w:tr w:rsidR="00CF0849" w:rsidRPr="001418AC" w:rsidTr="00177C0B">
        <w:tc>
          <w:tcPr>
            <w:tcW w:w="4253" w:type="dxa"/>
          </w:tcPr>
          <w:p w:rsidR="00CF0849" w:rsidRPr="001418AC" w:rsidRDefault="00CF0849" w:rsidP="00767F2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b/>
                <w:bCs/>
                <w:sz w:val="24"/>
                <w:szCs w:val="24"/>
                <w:lang w:eastAsia="zh-CN"/>
              </w:rPr>
            </w:pPr>
            <w:r>
              <w:rPr>
                <w:rFonts w:ascii="Times New Roman" w:hAnsi="Times New Roman"/>
                <w:b/>
                <w:color w:val="000000"/>
                <w:sz w:val="24"/>
                <w:lang w:val="en-US"/>
              </w:rPr>
              <w:t>S</w:t>
            </w:r>
            <w:r w:rsidRPr="005E3D5C">
              <w:rPr>
                <w:rFonts w:ascii="Times New Roman" w:hAnsi="Times New Roman"/>
                <w:b/>
                <w:color w:val="000000"/>
                <w:sz w:val="24"/>
                <w:lang w:val="en-US"/>
              </w:rPr>
              <w:t>trategic environmental assessment</w:t>
            </w:r>
            <w:r w:rsidRPr="001418AC">
              <w:rPr>
                <w:rFonts w:ascii="Times New Roman" w:hAnsi="Times New Roman"/>
                <w:b/>
                <w:bCs/>
                <w:sz w:val="24"/>
                <w:szCs w:val="24"/>
                <w:lang w:eastAsia="zh-CN"/>
              </w:rPr>
              <w:t xml:space="preserve"> stages </w:t>
            </w:r>
            <w:r>
              <w:rPr>
                <w:rFonts w:ascii="Times New Roman" w:hAnsi="Times New Roman"/>
                <w:b/>
                <w:bCs/>
                <w:noProof/>
                <w:sz w:val="24"/>
                <w:szCs w:val="24"/>
                <w:lang w:eastAsia="zh-CN"/>
              </w:rPr>
              <w:t>(after Lee and Walsh, 1992)</w:t>
            </w:r>
          </w:p>
        </w:tc>
        <w:tc>
          <w:tcPr>
            <w:tcW w:w="4881" w:type="dxa"/>
          </w:tcPr>
          <w:p w:rsidR="00CF0849" w:rsidRPr="001418AC" w:rsidRDefault="00CF0849" w:rsidP="00767F2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b/>
                <w:bCs/>
                <w:sz w:val="24"/>
                <w:szCs w:val="24"/>
                <w:lang w:eastAsia="zh-CN"/>
              </w:rPr>
            </w:pPr>
            <w:r w:rsidRPr="001418AC">
              <w:rPr>
                <w:rFonts w:ascii="Times New Roman" w:hAnsi="Times New Roman"/>
                <w:b/>
                <w:bCs/>
                <w:sz w:val="24"/>
                <w:szCs w:val="24"/>
                <w:lang w:eastAsia="zh-CN"/>
              </w:rPr>
              <w:t xml:space="preserve">Stages for managing resilience for socio-ecological systems </w:t>
            </w:r>
            <w:r>
              <w:rPr>
                <w:rFonts w:ascii="Times New Roman" w:hAnsi="Times New Roman"/>
                <w:b/>
                <w:bCs/>
                <w:noProof/>
                <w:sz w:val="24"/>
                <w:szCs w:val="24"/>
                <w:lang w:eastAsia="zh-CN"/>
              </w:rPr>
              <w:t>(after Walker</w:t>
            </w:r>
            <w:r w:rsidRPr="00C11CF8">
              <w:rPr>
                <w:rFonts w:ascii="Times New Roman" w:hAnsi="Times New Roman"/>
                <w:b/>
                <w:bCs/>
                <w:i/>
                <w:noProof/>
                <w:sz w:val="24"/>
                <w:szCs w:val="24"/>
                <w:lang w:eastAsia="zh-CN"/>
              </w:rPr>
              <w:t xml:space="preserve"> et al.</w:t>
            </w:r>
            <w:r>
              <w:rPr>
                <w:rFonts w:ascii="Times New Roman" w:hAnsi="Times New Roman"/>
                <w:b/>
                <w:bCs/>
                <w:noProof/>
                <w:sz w:val="24"/>
                <w:szCs w:val="24"/>
                <w:lang w:eastAsia="zh-CN"/>
              </w:rPr>
              <w:t>, 2002)</w:t>
            </w:r>
          </w:p>
        </w:tc>
      </w:tr>
      <w:tr w:rsidR="00CF0849" w:rsidTr="00177C0B">
        <w:tc>
          <w:tcPr>
            <w:tcW w:w="4253" w:type="dxa"/>
          </w:tcPr>
          <w:p w:rsidR="00CF0849" w:rsidRPr="00D327BF" w:rsidRDefault="00CF0849" w:rsidP="00365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1. </w:t>
            </w:r>
            <w:r w:rsidRPr="00D327BF">
              <w:rPr>
                <w:rFonts w:ascii="Times New Roman" w:hAnsi="Times New Roman"/>
                <w:sz w:val="24"/>
                <w:szCs w:val="24"/>
                <w:lang w:eastAsia="zh-CN"/>
              </w:rPr>
              <w:t>Screening</w:t>
            </w:r>
          </w:p>
        </w:tc>
        <w:tc>
          <w:tcPr>
            <w:tcW w:w="4881" w:type="dxa"/>
          </w:tcPr>
          <w:p w:rsidR="00CF0849" w:rsidRPr="00365EC3" w:rsidRDefault="00CF0849" w:rsidP="00365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1. </w:t>
            </w:r>
            <w:r w:rsidRPr="00D327BF">
              <w:rPr>
                <w:rFonts w:ascii="Times New Roman" w:hAnsi="Times New Roman"/>
                <w:sz w:val="24"/>
                <w:szCs w:val="24"/>
                <w:lang w:eastAsia="zh-CN"/>
              </w:rPr>
              <w:t>Screening</w:t>
            </w:r>
          </w:p>
        </w:tc>
      </w:tr>
      <w:tr w:rsidR="00CF0849" w:rsidTr="00177C0B">
        <w:tc>
          <w:tcPr>
            <w:tcW w:w="4253" w:type="dxa"/>
          </w:tcPr>
          <w:p w:rsidR="00CF0849" w:rsidRPr="00365EC3" w:rsidRDefault="00CF0849" w:rsidP="00365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2. </w:t>
            </w:r>
            <w:r w:rsidRPr="00365EC3">
              <w:rPr>
                <w:rFonts w:ascii="Times New Roman" w:hAnsi="Times New Roman"/>
                <w:sz w:val="24"/>
                <w:szCs w:val="24"/>
                <w:lang w:eastAsia="zh-CN"/>
              </w:rPr>
              <w:t>Scoping</w:t>
            </w:r>
            <w:r>
              <w:rPr>
                <w:rFonts w:ascii="Times New Roman" w:hAnsi="Times New Roman"/>
                <w:sz w:val="24"/>
                <w:szCs w:val="24"/>
                <w:lang w:eastAsia="zh-CN"/>
              </w:rPr>
              <w:t>, including types of impacts and alternatives to be considered</w:t>
            </w:r>
          </w:p>
        </w:tc>
        <w:tc>
          <w:tcPr>
            <w:tcW w:w="4881" w:type="dxa"/>
          </w:tcPr>
          <w:p w:rsidR="00CF0849" w:rsidDel="00185C1A" w:rsidRDefault="00CF0849" w:rsidP="00365B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2.a. Establishing important study attributes;</w:t>
            </w:r>
          </w:p>
          <w:p w:rsidR="00CF0849" w:rsidRDefault="00CF0849" w:rsidP="00D03C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2.b. Identifying drivers of change and alternative system response trajectories</w:t>
            </w:r>
          </w:p>
        </w:tc>
      </w:tr>
      <w:tr w:rsidR="00CF0849" w:rsidTr="00177C0B">
        <w:tc>
          <w:tcPr>
            <w:tcW w:w="4253" w:type="dxa"/>
          </w:tcPr>
          <w:p w:rsidR="00CF0849" w:rsidRPr="00365EC3" w:rsidRDefault="00CF0849" w:rsidP="00365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3. </w:t>
            </w:r>
            <w:r w:rsidRPr="00365EC3">
              <w:rPr>
                <w:rFonts w:ascii="Times New Roman" w:hAnsi="Times New Roman"/>
                <w:sz w:val="24"/>
                <w:szCs w:val="24"/>
                <w:lang w:eastAsia="zh-CN"/>
              </w:rPr>
              <w:t>Impact assessment</w:t>
            </w:r>
          </w:p>
        </w:tc>
        <w:tc>
          <w:tcPr>
            <w:tcW w:w="4881" w:type="dxa"/>
          </w:tcPr>
          <w:p w:rsidR="00CF0849" w:rsidRDefault="00CF0849" w:rsidP="00365B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olor w:val="000000"/>
                <w:sz w:val="24"/>
                <w:lang w:val="en-US"/>
              </w:rPr>
            </w:pPr>
            <w:r>
              <w:rPr>
                <w:rFonts w:ascii="Times New Roman" w:hAnsi="Times New Roman"/>
                <w:color w:val="000000"/>
                <w:sz w:val="24"/>
                <w:lang w:val="en-US"/>
              </w:rPr>
              <w:t>3.a. Q</w:t>
            </w:r>
            <w:r w:rsidRPr="00F3415A">
              <w:rPr>
                <w:rFonts w:ascii="Times New Roman" w:hAnsi="Times New Roman"/>
                <w:color w:val="000000"/>
                <w:sz w:val="24"/>
                <w:lang w:val="en-US"/>
              </w:rPr>
              <w:t>uantitative analysis of where resilience resides</w:t>
            </w:r>
            <w:r>
              <w:rPr>
                <w:rFonts w:ascii="Times New Roman" w:hAnsi="Times New Roman"/>
                <w:color w:val="000000"/>
                <w:sz w:val="24"/>
                <w:lang w:val="en-US"/>
              </w:rPr>
              <w:t>;</w:t>
            </w:r>
          </w:p>
          <w:p w:rsidR="00CF0849" w:rsidRDefault="00CF0849" w:rsidP="00365B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color w:val="000000"/>
                <w:sz w:val="24"/>
                <w:lang w:val="en-US"/>
              </w:rPr>
              <w:t>3.b. I</w:t>
            </w:r>
            <w:r w:rsidRPr="00F3415A">
              <w:rPr>
                <w:rFonts w:ascii="Times New Roman" w:hAnsi="Times New Roman"/>
                <w:color w:val="000000"/>
                <w:sz w:val="24"/>
                <w:lang w:val="en-US"/>
              </w:rPr>
              <w:t xml:space="preserve">ntegrated evaluation by </w:t>
            </w:r>
            <w:r>
              <w:rPr>
                <w:rFonts w:ascii="Times New Roman" w:hAnsi="Times New Roman"/>
                <w:color w:val="000000"/>
                <w:sz w:val="24"/>
                <w:lang w:val="en-US"/>
              </w:rPr>
              <w:t xml:space="preserve">a </w:t>
            </w:r>
            <w:r w:rsidRPr="00F3415A">
              <w:rPr>
                <w:rFonts w:ascii="Times New Roman" w:hAnsi="Times New Roman"/>
                <w:color w:val="000000"/>
                <w:sz w:val="24"/>
                <w:lang w:val="en-US"/>
              </w:rPr>
              <w:t>wide range of stakeholders</w:t>
            </w:r>
          </w:p>
        </w:tc>
      </w:tr>
      <w:tr w:rsidR="00CF0849" w:rsidTr="00177C0B">
        <w:tc>
          <w:tcPr>
            <w:tcW w:w="4253" w:type="dxa"/>
          </w:tcPr>
          <w:p w:rsidR="00CF0849" w:rsidRPr="00365EC3" w:rsidRDefault="00CF0849" w:rsidP="00365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4. </w:t>
            </w:r>
            <w:r w:rsidRPr="00365EC3">
              <w:rPr>
                <w:rFonts w:ascii="Times New Roman" w:hAnsi="Times New Roman"/>
                <w:sz w:val="24"/>
                <w:szCs w:val="24"/>
                <w:lang w:eastAsia="zh-CN"/>
              </w:rPr>
              <w:t>Decision making</w:t>
            </w:r>
          </w:p>
        </w:tc>
        <w:tc>
          <w:tcPr>
            <w:tcW w:w="4881" w:type="dxa"/>
          </w:tcPr>
          <w:p w:rsidR="00CF0849" w:rsidRDefault="00CF0849" w:rsidP="00365B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4. </w:t>
            </w:r>
            <w:r w:rsidRPr="00365EC3">
              <w:rPr>
                <w:rFonts w:ascii="Times New Roman" w:hAnsi="Times New Roman"/>
                <w:sz w:val="24"/>
                <w:szCs w:val="24"/>
                <w:lang w:eastAsia="zh-CN"/>
              </w:rPr>
              <w:t>Decision making</w:t>
            </w:r>
          </w:p>
        </w:tc>
      </w:tr>
      <w:tr w:rsidR="00CF0849" w:rsidTr="00177C0B">
        <w:tc>
          <w:tcPr>
            <w:tcW w:w="4253" w:type="dxa"/>
          </w:tcPr>
          <w:p w:rsidR="00CF0849" w:rsidRPr="00365EC3" w:rsidRDefault="00CF0849" w:rsidP="00365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5. Follow-up</w:t>
            </w:r>
          </w:p>
        </w:tc>
        <w:tc>
          <w:tcPr>
            <w:tcW w:w="4881" w:type="dxa"/>
          </w:tcPr>
          <w:p w:rsidR="00CF0849" w:rsidRDefault="00CF0849" w:rsidP="00365B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5. Follow-up</w:t>
            </w:r>
          </w:p>
        </w:tc>
      </w:tr>
    </w:tbl>
    <w:p w:rsidR="00CF0849" w:rsidRDefault="00CF0849" w:rsidP="00365B6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p>
    <w:p w:rsidR="00CF0849" w:rsidRDefault="00CF0849" w:rsidP="00D669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Assuming a modified process to account for the stages proposed by Walker </w:t>
      </w:r>
      <w:r w:rsidRPr="005B41EB">
        <w:rPr>
          <w:rFonts w:ascii="Times New Roman" w:hAnsi="Times New Roman"/>
          <w:i/>
          <w:sz w:val="24"/>
          <w:szCs w:val="24"/>
          <w:lang w:eastAsia="zh-CN"/>
        </w:rPr>
        <w:t>et al.</w:t>
      </w:r>
      <w:r>
        <w:rPr>
          <w:rFonts w:ascii="Times New Roman" w:hAnsi="Times New Roman"/>
          <w:sz w:val="24"/>
          <w:szCs w:val="24"/>
          <w:lang w:eastAsia="zh-CN"/>
        </w:rPr>
        <w:t xml:space="preserve"> (2002), the screening role (stage 1) remains largely unaltered although, as will be seen, the proposed process is resource intensive and would likely be suitable for fewer case applications than standard models of </w:t>
      </w:r>
      <w:r>
        <w:rPr>
          <w:rFonts w:ascii="Times New Roman" w:hAnsi="Times New Roman"/>
          <w:color w:val="000000"/>
          <w:sz w:val="24"/>
          <w:lang w:val="en-US"/>
        </w:rPr>
        <w:t>strategic environmental assessment</w:t>
      </w:r>
      <w:r>
        <w:rPr>
          <w:rFonts w:ascii="Times New Roman" w:hAnsi="Times New Roman"/>
          <w:sz w:val="24"/>
          <w:szCs w:val="24"/>
          <w:lang w:eastAsia="zh-CN"/>
        </w:rPr>
        <w:t>. With this in mind, the following discussion focuses on stages 2-5.</w:t>
      </w:r>
    </w:p>
    <w:p w:rsidR="00CF0849" w:rsidRPr="00F3415A" w:rsidRDefault="00CF0849" w:rsidP="002B38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olor w:val="000000"/>
          <w:sz w:val="24"/>
          <w:lang w:val="en-US"/>
        </w:rPr>
      </w:pPr>
      <w:r w:rsidRPr="00F3415A">
        <w:rPr>
          <w:rFonts w:ascii="Times New Roman" w:hAnsi="Times New Roman"/>
          <w:sz w:val="24"/>
          <w:szCs w:val="24"/>
          <w:lang w:eastAsia="zh-CN"/>
        </w:rPr>
        <w:t xml:space="preserve">For </w:t>
      </w:r>
      <w:r>
        <w:rPr>
          <w:rFonts w:ascii="Times New Roman" w:hAnsi="Times New Roman"/>
          <w:iCs/>
          <w:sz w:val="24"/>
          <w:szCs w:val="24"/>
          <w:lang w:eastAsia="zh-CN"/>
        </w:rPr>
        <w:t>stage</w:t>
      </w:r>
      <w:r w:rsidRPr="00E133F6">
        <w:rPr>
          <w:rFonts w:ascii="Times New Roman" w:hAnsi="Times New Roman"/>
          <w:iCs/>
          <w:sz w:val="24"/>
          <w:szCs w:val="24"/>
          <w:lang w:eastAsia="zh-CN"/>
        </w:rPr>
        <w:t xml:space="preserve"> 2</w:t>
      </w:r>
      <w:r>
        <w:rPr>
          <w:rFonts w:ascii="Times New Roman" w:hAnsi="Times New Roman"/>
          <w:iCs/>
          <w:sz w:val="24"/>
          <w:szCs w:val="24"/>
          <w:lang w:eastAsia="zh-CN"/>
        </w:rPr>
        <w:t>.a.</w:t>
      </w:r>
      <w:r w:rsidRPr="00E133F6">
        <w:rPr>
          <w:rFonts w:ascii="Times New Roman" w:hAnsi="Times New Roman"/>
          <w:iCs/>
          <w:sz w:val="24"/>
          <w:szCs w:val="24"/>
          <w:lang w:eastAsia="zh-CN"/>
        </w:rPr>
        <w:t>,</w:t>
      </w:r>
      <w:r>
        <w:rPr>
          <w:rFonts w:ascii="Times New Roman" w:hAnsi="Times New Roman"/>
          <w:i/>
          <w:sz w:val="24"/>
          <w:szCs w:val="24"/>
          <w:lang w:eastAsia="zh-CN"/>
        </w:rPr>
        <w:t xml:space="preserve"> scoping - establish important study attributes</w:t>
      </w:r>
      <w:r w:rsidRPr="00F3415A">
        <w:rPr>
          <w:rFonts w:ascii="Times New Roman" w:hAnsi="Times New Roman"/>
          <w:sz w:val="24"/>
          <w:szCs w:val="24"/>
          <w:lang w:eastAsia="zh-CN"/>
        </w:rPr>
        <w:t xml:space="preserve">, </w:t>
      </w:r>
      <w:r>
        <w:rPr>
          <w:rFonts w:ascii="Times New Roman" w:hAnsi="Times New Roman"/>
          <w:sz w:val="24"/>
          <w:szCs w:val="24"/>
          <w:lang w:eastAsia="zh-CN"/>
        </w:rPr>
        <w:t>f</w:t>
      </w:r>
      <w:r w:rsidRPr="00F3415A">
        <w:rPr>
          <w:rFonts w:ascii="Times New Roman" w:hAnsi="Times New Roman"/>
          <w:sz w:val="24"/>
          <w:szCs w:val="24"/>
          <w:lang w:eastAsia="zh-CN"/>
        </w:rPr>
        <w:t xml:space="preserve">or embedding evolutionary resilience, the </w:t>
      </w:r>
      <w:r>
        <w:rPr>
          <w:rFonts w:ascii="Times New Roman" w:hAnsi="Times New Roman"/>
          <w:sz w:val="24"/>
          <w:szCs w:val="24"/>
          <w:lang w:eastAsia="zh-CN"/>
        </w:rPr>
        <w:t>parameters</w:t>
      </w:r>
      <w:r w:rsidRPr="00F3415A">
        <w:rPr>
          <w:rFonts w:ascii="Times New Roman" w:hAnsi="Times New Roman"/>
          <w:sz w:val="24"/>
          <w:szCs w:val="24"/>
          <w:lang w:eastAsia="zh-CN"/>
        </w:rPr>
        <w:t xml:space="preserve"> for the assessment would need to be different </w:t>
      </w:r>
      <w:r>
        <w:rPr>
          <w:rFonts w:ascii="Times New Roman" w:hAnsi="Times New Roman"/>
          <w:sz w:val="24"/>
          <w:szCs w:val="24"/>
          <w:lang w:eastAsia="zh-CN"/>
        </w:rPr>
        <w:t xml:space="preserve">in that they </w:t>
      </w:r>
      <w:r w:rsidRPr="00F3415A">
        <w:rPr>
          <w:rFonts w:ascii="Times New Roman" w:hAnsi="Times New Roman"/>
          <w:sz w:val="24"/>
          <w:szCs w:val="24"/>
          <w:lang w:eastAsia="zh-CN"/>
        </w:rPr>
        <w:t xml:space="preserve">would </w:t>
      </w:r>
      <w:r>
        <w:rPr>
          <w:rFonts w:ascii="Times New Roman" w:hAnsi="Times New Roman"/>
          <w:sz w:val="24"/>
          <w:szCs w:val="24"/>
          <w:lang w:eastAsia="zh-CN"/>
        </w:rPr>
        <w:t xml:space="preserve">need to </w:t>
      </w:r>
      <w:r w:rsidRPr="00F3415A">
        <w:rPr>
          <w:rFonts w:ascii="Times New Roman" w:hAnsi="Times New Roman"/>
          <w:sz w:val="24"/>
          <w:szCs w:val="24"/>
          <w:lang w:eastAsia="zh-CN"/>
        </w:rPr>
        <w:t xml:space="preserve">accommodate much longer time horizons. The very first </w:t>
      </w:r>
      <w:r>
        <w:rPr>
          <w:rFonts w:ascii="Times New Roman" w:hAnsi="Times New Roman"/>
          <w:sz w:val="24"/>
          <w:szCs w:val="24"/>
          <w:lang w:eastAsia="zh-CN"/>
        </w:rPr>
        <w:t>stage</w:t>
      </w:r>
      <w:r w:rsidRPr="00F3415A">
        <w:rPr>
          <w:rFonts w:ascii="Times New Roman" w:hAnsi="Times New Roman"/>
          <w:sz w:val="24"/>
          <w:szCs w:val="24"/>
          <w:lang w:eastAsia="zh-CN"/>
        </w:rPr>
        <w:t xml:space="preserve"> require</w:t>
      </w:r>
      <w:r>
        <w:rPr>
          <w:rFonts w:ascii="Times New Roman" w:hAnsi="Times New Roman"/>
          <w:sz w:val="24"/>
          <w:szCs w:val="24"/>
          <w:lang w:eastAsia="zh-CN"/>
        </w:rPr>
        <w:t>s</w:t>
      </w:r>
      <w:r w:rsidRPr="00F3415A">
        <w:rPr>
          <w:rFonts w:ascii="Times New Roman" w:hAnsi="Times New Roman"/>
          <w:sz w:val="24"/>
          <w:szCs w:val="24"/>
          <w:lang w:eastAsia="zh-CN"/>
        </w:rPr>
        <w:t xml:space="preserve"> identification of key stakeholders to establish a workable yet diverse group to follow the process through</w:t>
      </w:r>
      <w:r>
        <w:rPr>
          <w:rFonts w:ascii="Times New Roman" w:hAnsi="Times New Roman"/>
          <w:sz w:val="24"/>
          <w:szCs w:val="24"/>
          <w:lang w:eastAsia="zh-CN"/>
        </w:rPr>
        <w:t xml:space="preserve"> and conduct</w:t>
      </w:r>
      <w:r w:rsidRPr="00F3415A">
        <w:rPr>
          <w:rFonts w:ascii="Times New Roman" w:hAnsi="Times New Roman"/>
          <w:sz w:val="24"/>
          <w:szCs w:val="24"/>
          <w:lang w:eastAsia="zh-CN"/>
        </w:rPr>
        <w:t xml:space="preserve"> visioning exercises </w:t>
      </w:r>
      <w:r>
        <w:rPr>
          <w:rFonts w:ascii="Times New Roman" w:hAnsi="Times New Roman"/>
          <w:sz w:val="24"/>
          <w:szCs w:val="24"/>
          <w:lang w:eastAsia="zh-CN"/>
        </w:rPr>
        <w:t xml:space="preserve">to identify alternative trajectories in the next stage; such exercises </w:t>
      </w:r>
      <w:r w:rsidRPr="00F3415A">
        <w:rPr>
          <w:rFonts w:ascii="Times New Roman" w:hAnsi="Times New Roman"/>
          <w:sz w:val="24"/>
          <w:szCs w:val="24"/>
          <w:lang w:eastAsia="zh-CN"/>
        </w:rPr>
        <w:t>are common in objective</w:t>
      </w:r>
      <w:r>
        <w:rPr>
          <w:rFonts w:ascii="Times New Roman" w:hAnsi="Times New Roman"/>
          <w:sz w:val="24"/>
          <w:szCs w:val="24"/>
          <w:lang w:eastAsia="zh-CN"/>
        </w:rPr>
        <w:t>s</w:t>
      </w:r>
      <w:r w:rsidRPr="00F3415A">
        <w:rPr>
          <w:rFonts w:ascii="Times New Roman" w:hAnsi="Times New Roman"/>
          <w:sz w:val="24"/>
          <w:szCs w:val="24"/>
          <w:lang w:eastAsia="zh-CN"/>
        </w:rPr>
        <w:t xml:space="preserve">-led assessments and advice on the approaches to take can be found based on guidance and learning taken from strategic environmental assessment and sustainability appraisal approaches </w:t>
      </w:r>
      <w:r>
        <w:rPr>
          <w:rFonts w:ascii="Times New Roman" w:hAnsi="Times New Roman"/>
          <w:noProof/>
          <w:sz w:val="24"/>
          <w:szCs w:val="24"/>
          <w:lang w:eastAsia="zh-CN"/>
        </w:rPr>
        <w:t>(see, for example, Donnelly</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2006; Bond</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2011)</w:t>
      </w:r>
      <w:r w:rsidRPr="00F3415A">
        <w:rPr>
          <w:rFonts w:ascii="Times New Roman" w:hAnsi="Times New Roman"/>
          <w:sz w:val="24"/>
          <w:szCs w:val="24"/>
          <w:lang w:eastAsia="zh-CN"/>
        </w:rPr>
        <w:t xml:space="preserve">. </w:t>
      </w:r>
      <w:r>
        <w:rPr>
          <w:rFonts w:ascii="Times New Roman" w:hAnsi="Times New Roman"/>
          <w:noProof/>
          <w:sz w:val="24"/>
          <w:szCs w:val="24"/>
          <w:lang w:eastAsia="zh-CN"/>
        </w:rPr>
        <w:t>Walker</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xml:space="preserve"> (2002)</w:t>
      </w:r>
      <w:r w:rsidRPr="00F3415A">
        <w:rPr>
          <w:rFonts w:ascii="Times New Roman" w:hAnsi="Times New Roman"/>
          <w:sz w:val="24"/>
          <w:szCs w:val="24"/>
          <w:lang w:eastAsia="zh-CN"/>
        </w:rPr>
        <w:t xml:space="preserve"> also recommend a review of the historical profile of the system, as past changes can potentially be attributed to particular events and allow a greater understanding to be developed of the manner in which the system might react to future shocks (including disasters)</w:t>
      </w:r>
      <w:r>
        <w:rPr>
          <w:rFonts w:ascii="Times New Roman" w:hAnsi="Times New Roman"/>
          <w:sz w:val="24"/>
          <w:szCs w:val="24"/>
          <w:lang w:eastAsia="zh-CN"/>
        </w:rPr>
        <w:t>.</w:t>
      </w:r>
      <w:r w:rsidRPr="00F3415A">
        <w:rPr>
          <w:rFonts w:ascii="Times New Roman" w:hAnsi="Times New Roman"/>
          <w:sz w:val="24"/>
          <w:szCs w:val="24"/>
          <w:lang w:eastAsia="zh-CN"/>
        </w:rPr>
        <w:t xml:space="preserve"> </w:t>
      </w:r>
      <w:r w:rsidRPr="00F3415A">
        <w:rPr>
          <w:rFonts w:ascii="Times New Roman" w:hAnsi="Times New Roman"/>
          <w:color w:val="000000"/>
          <w:sz w:val="24"/>
          <w:lang w:val="en-US"/>
        </w:rPr>
        <w:t xml:space="preserve">An assessment also needs to be made to identify: </w:t>
      </w:r>
    </w:p>
    <w:p w:rsidR="00CF0849" w:rsidRPr="00F3415A" w:rsidRDefault="00CF0849" w:rsidP="005B47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rPr>
          <w:rFonts w:ascii="Times New Roman" w:hAnsi="Times New Roman"/>
          <w:i/>
          <w:color w:val="000000"/>
          <w:sz w:val="24"/>
          <w:lang w:val="en-US"/>
        </w:rPr>
      </w:pPr>
      <w:r w:rsidRPr="00F3415A">
        <w:rPr>
          <w:rFonts w:ascii="Times New Roman" w:hAnsi="Times New Roman"/>
          <w:color w:val="000000"/>
          <w:sz w:val="24"/>
          <w:lang w:val="en-US"/>
        </w:rPr>
        <w:t>“</w:t>
      </w:r>
      <w:r w:rsidRPr="00F3415A">
        <w:rPr>
          <w:rFonts w:ascii="Times New Roman" w:hAnsi="Times New Roman"/>
          <w:i/>
          <w:color w:val="000000"/>
          <w:sz w:val="24"/>
          <w:lang w:val="en-US"/>
        </w:rPr>
        <w:t>Which factors are controllable (e.g., land use policy) and which are not (e.g., climate)? What are the ambiguities in the system, the uncertainties that can be neither controlled nor quantified?</w:t>
      </w:r>
    </w:p>
    <w:p w:rsidR="00CF0849" w:rsidRDefault="00CF0849" w:rsidP="002B380F">
      <w:pPr>
        <w:autoSpaceDE w:val="0"/>
        <w:autoSpaceDN w:val="0"/>
        <w:adjustRightInd w:val="0"/>
        <w:ind w:left="284"/>
        <w:rPr>
          <w:rFonts w:ascii="Times New Roman" w:hAnsi="Times New Roman"/>
          <w:color w:val="000000"/>
          <w:sz w:val="24"/>
          <w:lang w:val="en-US"/>
        </w:rPr>
      </w:pPr>
      <w:r w:rsidRPr="00F3415A">
        <w:rPr>
          <w:rFonts w:ascii="Times New Roman" w:hAnsi="Times New Roman"/>
          <w:i/>
          <w:color w:val="000000"/>
          <w:sz w:val="24"/>
          <w:lang w:val="en-US"/>
        </w:rPr>
        <w:t>How do the current institutional arrangements, property rights in particular, and the distribution of power and wealth influence formal and informal decision making and access to information?</w:t>
      </w:r>
      <w:r w:rsidRPr="00F3415A">
        <w:rPr>
          <w:rFonts w:ascii="Times New Roman" w:hAnsi="Times New Roman"/>
          <w:color w:val="000000"/>
          <w:sz w:val="24"/>
          <w:lang w:val="en-US"/>
        </w:rPr>
        <w:t xml:space="preserve">” </w:t>
      </w:r>
      <w:r>
        <w:rPr>
          <w:rFonts w:ascii="Times New Roman" w:hAnsi="Times New Roman"/>
          <w:noProof/>
          <w:color w:val="000000"/>
          <w:sz w:val="24"/>
          <w:lang w:val="en-US"/>
        </w:rPr>
        <w:t>(Walker</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2002, p.8)</w:t>
      </w:r>
    </w:p>
    <w:p w:rsidR="00CF0849" w:rsidRDefault="00CF0849" w:rsidP="002B380F">
      <w:pPr>
        <w:autoSpaceDE w:val="0"/>
        <w:autoSpaceDN w:val="0"/>
        <w:adjustRightInd w:val="0"/>
        <w:rPr>
          <w:rFonts w:ascii="Times New Roman" w:hAnsi="Times New Roman"/>
          <w:color w:val="000000"/>
          <w:sz w:val="24"/>
          <w:lang w:val="en-US"/>
        </w:rPr>
      </w:pPr>
      <w:r>
        <w:rPr>
          <w:rFonts w:ascii="Times New Roman" w:hAnsi="Times New Roman"/>
          <w:iCs/>
          <w:sz w:val="24"/>
          <w:szCs w:val="24"/>
          <w:lang w:eastAsia="zh-CN"/>
        </w:rPr>
        <w:t>Stage</w:t>
      </w:r>
      <w:r w:rsidRPr="00B45A5B">
        <w:rPr>
          <w:rFonts w:ascii="Times New Roman" w:hAnsi="Times New Roman"/>
          <w:iCs/>
          <w:sz w:val="24"/>
          <w:szCs w:val="24"/>
          <w:lang w:eastAsia="zh-CN"/>
        </w:rPr>
        <w:t xml:space="preserve"> </w:t>
      </w:r>
      <w:r>
        <w:rPr>
          <w:rFonts w:ascii="Times New Roman" w:hAnsi="Times New Roman"/>
          <w:iCs/>
          <w:sz w:val="24"/>
          <w:szCs w:val="24"/>
          <w:lang w:eastAsia="zh-CN"/>
        </w:rPr>
        <w:t>2.b.</w:t>
      </w:r>
      <w:r w:rsidRPr="00B45A5B">
        <w:rPr>
          <w:rFonts w:ascii="Times New Roman" w:hAnsi="Times New Roman"/>
          <w:iCs/>
          <w:sz w:val="24"/>
          <w:szCs w:val="24"/>
          <w:lang w:eastAsia="zh-CN"/>
        </w:rPr>
        <w:t>,</w:t>
      </w:r>
      <w:r>
        <w:rPr>
          <w:rFonts w:ascii="Times New Roman" w:hAnsi="Times New Roman"/>
          <w:i/>
          <w:sz w:val="24"/>
          <w:szCs w:val="24"/>
          <w:lang w:eastAsia="zh-CN"/>
        </w:rPr>
        <w:t xml:space="preserve"> scoping - </w:t>
      </w:r>
      <w:r>
        <w:rPr>
          <w:rFonts w:ascii="Times New Roman" w:hAnsi="Times New Roman"/>
          <w:i/>
          <w:iCs/>
          <w:sz w:val="24"/>
          <w:szCs w:val="24"/>
          <w:lang w:eastAsia="zh-CN"/>
        </w:rPr>
        <w:t>i</w:t>
      </w:r>
      <w:r w:rsidRPr="00B02D7F">
        <w:rPr>
          <w:rFonts w:ascii="Times New Roman" w:hAnsi="Times New Roman"/>
          <w:i/>
          <w:iCs/>
          <w:sz w:val="24"/>
          <w:szCs w:val="24"/>
          <w:lang w:eastAsia="zh-CN"/>
        </w:rPr>
        <w:t xml:space="preserve">dentify drivers </w:t>
      </w:r>
      <w:r>
        <w:rPr>
          <w:rFonts w:ascii="Times New Roman" w:hAnsi="Times New Roman"/>
          <w:i/>
          <w:iCs/>
          <w:sz w:val="24"/>
          <w:szCs w:val="24"/>
          <w:lang w:eastAsia="zh-CN"/>
        </w:rPr>
        <w:t xml:space="preserve">of change </w:t>
      </w:r>
      <w:r w:rsidRPr="00B02D7F">
        <w:rPr>
          <w:rFonts w:ascii="Times New Roman" w:hAnsi="Times New Roman"/>
          <w:i/>
          <w:iCs/>
          <w:sz w:val="24"/>
          <w:szCs w:val="24"/>
          <w:lang w:eastAsia="zh-CN"/>
        </w:rPr>
        <w:t xml:space="preserve">and </w:t>
      </w:r>
      <w:r>
        <w:rPr>
          <w:rFonts w:ascii="Times New Roman" w:hAnsi="Times New Roman"/>
          <w:i/>
          <w:iCs/>
          <w:sz w:val="24"/>
          <w:szCs w:val="24"/>
          <w:lang w:eastAsia="zh-CN"/>
        </w:rPr>
        <w:t>alternative system response</w:t>
      </w:r>
      <w:r w:rsidRPr="00B02D7F">
        <w:rPr>
          <w:rFonts w:ascii="Times New Roman" w:hAnsi="Times New Roman"/>
          <w:i/>
          <w:iCs/>
          <w:sz w:val="24"/>
          <w:szCs w:val="24"/>
          <w:lang w:eastAsia="zh-CN"/>
        </w:rPr>
        <w:t xml:space="preserve"> trajectories</w:t>
      </w:r>
      <w:r>
        <w:rPr>
          <w:rFonts w:ascii="Times New Roman" w:hAnsi="Times New Roman"/>
          <w:sz w:val="24"/>
          <w:szCs w:val="24"/>
          <w:lang w:eastAsia="zh-CN"/>
        </w:rPr>
        <w:t xml:space="preserve">, </w:t>
      </w:r>
      <w:r w:rsidRPr="00F3415A">
        <w:rPr>
          <w:rFonts w:ascii="Times New Roman" w:hAnsi="Times New Roman"/>
          <w:sz w:val="24"/>
          <w:szCs w:val="24"/>
          <w:lang w:eastAsia="zh-CN"/>
        </w:rPr>
        <w:t xml:space="preserve">as for any assessment process, </w:t>
      </w:r>
      <w:r>
        <w:rPr>
          <w:rFonts w:ascii="Times New Roman" w:hAnsi="Times New Roman"/>
          <w:sz w:val="24"/>
          <w:szCs w:val="24"/>
          <w:lang w:eastAsia="zh-CN"/>
        </w:rPr>
        <w:t xml:space="preserve">this is key to a successful outcome. In the context of embedding evolutionary resilience, this exercise needs to focus on scenario building (which is a suitable technique for dealing with uncertainty as identified in Figure 1), with stakeholders aiming to identify, as well as internal influences, the key external influences that will have an effect on the socio-ecological system, but which cannot themselves be controlled. </w:t>
      </w:r>
      <w:r>
        <w:rPr>
          <w:rFonts w:ascii="Times New Roman" w:hAnsi="Times New Roman"/>
          <w:noProof/>
          <w:sz w:val="24"/>
          <w:szCs w:val="24"/>
          <w:lang w:eastAsia="zh-CN"/>
        </w:rPr>
        <w:t>Walker</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xml:space="preserve"> (2002, p.10)</w:t>
      </w:r>
      <w:r>
        <w:rPr>
          <w:rFonts w:ascii="Times New Roman" w:hAnsi="Times New Roman"/>
          <w:sz w:val="24"/>
          <w:szCs w:val="24"/>
          <w:lang w:eastAsia="zh-CN"/>
        </w:rPr>
        <w:t xml:space="preserve"> provide examples as being</w:t>
      </w:r>
      <w:r>
        <w:rPr>
          <w:rFonts w:ascii="Times New Roman" w:hAnsi="Times New Roman"/>
          <w:color w:val="000000"/>
          <w:sz w:val="24"/>
          <w:lang w:val="en-US"/>
        </w:rPr>
        <w:t xml:space="preserve"> “</w:t>
      </w:r>
      <w:r w:rsidRPr="00F3415A">
        <w:rPr>
          <w:rFonts w:ascii="Times New Roman" w:hAnsi="Times New Roman"/>
          <w:i/>
          <w:color w:val="000000"/>
          <w:sz w:val="24"/>
          <w:lang w:val="en-US"/>
        </w:rPr>
        <w:t>variability resulting from climate change, technological innovation, and unforeseeable reactions of people to unfolding change in the social-ecological system</w:t>
      </w:r>
      <w:r>
        <w:rPr>
          <w:rFonts w:ascii="Times New Roman" w:hAnsi="Times New Roman"/>
          <w:color w:val="000000"/>
          <w:sz w:val="24"/>
          <w:lang w:val="en-US"/>
        </w:rPr>
        <w:t xml:space="preserve">”. The scenarios would be built taking into account the following three elements as suggested by </w:t>
      </w:r>
      <w:r>
        <w:rPr>
          <w:rFonts w:ascii="Times New Roman" w:hAnsi="Times New Roman"/>
          <w:noProof/>
          <w:color w:val="000000"/>
          <w:sz w:val="24"/>
          <w:lang w:val="en-US"/>
        </w:rPr>
        <w:t>Walker</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xml:space="preserve"> (2002)</w:t>
      </w:r>
      <w:r>
        <w:rPr>
          <w:rFonts w:ascii="Times New Roman" w:hAnsi="Times New Roman"/>
          <w:color w:val="000000"/>
          <w:sz w:val="24"/>
          <w:lang w:val="en-US"/>
        </w:rPr>
        <w:t>:</w:t>
      </w:r>
    </w:p>
    <w:p w:rsidR="00CF0849" w:rsidRDefault="00CF0849" w:rsidP="00A0149C">
      <w:pPr>
        <w:numPr>
          <w:ilvl w:val="0"/>
          <w:numId w:val="2"/>
        </w:numPr>
        <w:autoSpaceDE w:val="0"/>
        <w:autoSpaceDN w:val="0"/>
        <w:adjustRightInd w:val="0"/>
        <w:rPr>
          <w:rFonts w:ascii="Times New Roman" w:hAnsi="Times New Roman"/>
          <w:color w:val="000000"/>
          <w:sz w:val="24"/>
          <w:lang w:val="en-US"/>
        </w:rPr>
      </w:pPr>
      <w:r>
        <w:rPr>
          <w:rFonts w:ascii="Times New Roman" w:hAnsi="Times New Roman"/>
          <w:color w:val="000000"/>
          <w:sz w:val="24"/>
          <w:lang w:val="en-US"/>
        </w:rPr>
        <w:t xml:space="preserve">the stakeholder vision for the future – </w:t>
      </w:r>
      <w:r w:rsidRPr="00A0149C">
        <w:rPr>
          <w:rFonts w:ascii="Times New Roman" w:hAnsi="Times New Roman"/>
          <w:color w:val="000000"/>
          <w:sz w:val="24"/>
          <w:lang w:val="en-US"/>
        </w:rPr>
        <w:t xml:space="preserve">taken from </w:t>
      </w:r>
      <w:r>
        <w:rPr>
          <w:rFonts w:ascii="Times New Roman" w:hAnsi="Times New Roman"/>
          <w:color w:val="000000"/>
          <w:sz w:val="24"/>
          <w:lang w:val="en-US"/>
        </w:rPr>
        <w:t>stage</w:t>
      </w:r>
      <w:r w:rsidRPr="00A0149C">
        <w:rPr>
          <w:rFonts w:ascii="Times New Roman" w:hAnsi="Times New Roman"/>
          <w:color w:val="000000"/>
          <w:sz w:val="24"/>
          <w:lang w:val="en-US"/>
        </w:rPr>
        <w:t xml:space="preserve"> 2 in terms</w:t>
      </w:r>
      <w:r>
        <w:rPr>
          <w:rFonts w:ascii="Times New Roman" w:hAnsi="Times New Roman"/>
          <w:color w:val="000000"/>
          <w:sz w:val="24"/>
          <w:lang w:val="en-US"/>
        </w:rPr>
        <w:t xml:space="preserve"> of the constituents of human well-being;</w:t>
      </w:r>
    </w:p>
    <w:p w:rsidR="00CF0849" w:rsidRDefault="00CF0849" w:rsidP="005B4784">
      <w:pPr>
        <w:numPr>
          <w:ilvl w:val="0"/>
          <w:numId w:val="2"/>
        </w:numPr>
        <w:autoSpaceDE w:val="0"/>
        <w:autoSpaceDN w:val="0"/>
        <w:adjustRightInd w:val="0"/>
        <w:rPr>
          <w:rFonts w:ascii="Times New Roman" w:hAnsi="Times New Roman"/>
          <w:color w:val="000000"/>
          <w:sz w:val="24"/>
          <w:lang w:val="en-US"/>
        </w:rPr>
      </w:pPr>
      <w:r>
        <w:rPr>
          <w:rFonts w:ascii="Times New Roman" w:hAnsi="Times New Roman"/>
          <w:color w:val="000000"/>
          <w:sz w:val="24"/>
          <w:lang w:val="en-US"/>
        </w:rPr>
        <w:t xml:space="preserve">uncontrollable </w:t>
      </w:r>
      <w:r w:rsidRPr="004D5B77">
        <w:rPr>
          <w:rFonts w:ascii="Times New Roman" w:hAnsi="Times New Roman"/>
          <w:color w:val="000000"/>
          <w:sz w:val="24"/>
          <w:lang w:val="en-US"/>
        </w:rPr>
        <w:t xml:space="preserve">external </w:t>
      </w:r>
      <w:r>
        <w:rPr>
          <w:rFonts w:ascii="Times New Roman" w:hAnsi="Times New Roman"/>
          <w:color w:val="000000"/>
          <w:sz w:val="24"/>
          <w:lang w:val="en-US"/>
        </w:rPr>
        <w:t>influences</w:t>
      </w:r>
      <w:r w:rsidRPr="004D5B77">
        <w:rPr>
          <w:rFonts w:ascii="Times New Roman" w:hAnsi="Times New Roman"/>
          <w:color w:val="000000"/>
          <w:sz w:val="24"/>
          <w:lang w:val="en-US"/>
        </w:rPr>
        <w:t xml:space="preserve"> (physical, social, and economic)</w:t>
      </w:r>
      <w:r>
        <w:rPr>
          <w:rFonts w:ascii="Times New Roman" w:hAnsi="Times New Roman"/>
          <w:color w:val="000000"/>
          <w:sz w:val="24"/>
          <w:lang w:val="en-US"/>
        </w:rPr>
        <w:t xml:space="preserve"> that would detrimentally affect some or all of the constituents of human well-being (for example, climate change, Tsunami, volcanic eruption, development of fusion technology);</w:t>
      </w:r>
    </w:p>
    <w:p w:rsidR="00CF0849" w:rsidRDefault="00CF0849" w:rsidP="005B4784">
      <w:pPr>
        <w:numPr>
          <w:ilvl w:val="0"/>
          <w:numId w:val="2"/>
        </w:numPr>
        <w:autoSpaceDE w:val="0"/>
        <w:autoSpaceDN w:val="0"/>
        <w:adjustRightInd w:val="0"/>
        <w:rPr>
          <w:rFonts w:ascii="Times New Roman" w:hAnsi="Times New Roman"/>
          <w:color w:val="000000"/>
          <w:sz w:val="24"/>
          <w:lang w:val="en-US"/>
        </w:rPr>
      </w:pPr>
      <w:r>
        <w:rPr>
          <w:rFonts w:ascii="Times New Roman" w:hAnsi="Times New Roman"/>
          <w:color w:val="000000"/>
          <w:sz w:val="24"/>
          <w:lang w:val="en-US"/>
        </w:rPr>
        <w:t>possible policies controlling the elements of the socio-ecological system which are controllable (the internal influences).</w:t>
      </w:r>
    </w:p>
    <w:p w:rsidR="00CF0849" w:rsidRDefault="00CF0849" w:rsidP="00A52154">
      <w:pPr>
        <w:autoSpaceDE w:val="0"/>
        <w:autoSpaceDN w:val="0"/>
        <w:adjustRightInd w:val="0"/>
        <w:rPr>
          <w:rFonts w:ascii="Times New Roman" w:hAnsi="Times New Roman"/>
          <w:color w:val="000000"/>
          <w:sz w:val="24"/>
          <w:lang w:val="en-US"/>
        </w:rPr>
      </w:pPr>
      <w:r>
        <w:rPr>
          <w:rFonts w:ascii="Times New Roman" w:hAnsi="Times New Roman"/>
          <w:color w:val="000000"/>
          <w:sz w:val="24"/>
          <w:lang w:val="en-US"/>
        </w:rPr>
        <w:t>Traditional scoping for strategic environmental assessment would examine external policy drivers and the current baseline situation in the context of draft plan policies in any case; however, this approach differs in focusing on visions of the future and a structured and systematic examination of natural and anthropogenic threats which are beyond control. Through consideration of these three elements, the stakeholder group can develop a series of scenarios reflecting different futures based on different types of interventions (planned and controllable, and unplanned and potentially uncontrollable). This sets the scope of the analysis as the set of alternative futures. The difference from the current practice of strategic environmental assessment is that there needs to be acceptance that the plan or policy being assessed is unlikely to be able to guarantee one preferred future; rather it needs to accommodate the possibility of each of them where external influences cannot be controlled – thus adaptation has a far greater emphasis than in current assessment processes.</w:t>
      </w:r>
    </w:p>
    <w:p w:rsidR="00CF0849" w:rsidRDefault="00CF0849" w:rsidP="002B380F">
      <w:pPr>
        <w:autoSpaceDE w:val="0"/>
        <w:autoSpaceDN w:val="0"/>
        <w:adjustRightInd w:val="0"/>
        <w:rPr>
          <w:rFonts w:ascii="Times New Roman" w:hAnsi="Times New Roman"/>
          <w:color w:val="000000"/>
          <w:sz w:val="24"/>
          <w:lang w:val="en-US"/>
        </w:rPr>
      </w:pPr>
      <w:r>
        <w:rPr>
          <w:rFonts w:ascii="Times New Roman" w:hAnsi="Times New Roman"/>
          <w:iCs/>
          <w:color w:val="000000"/>
          <w:sz w:val="24"/>
          <w:lang w:val="en-US"/>
        </w:rPr>
        <w:t>Stage</w:t>
      </w:r>
      <w:r w:rsidRPr="00B45A5B">
        <w:rPr>
          <w:rFonts w:ascii="Times New Roman" w:hAnsi="Times New Roman"/>
          <w:iCs/>
          <w:color w:val="000000"/>
          <w:sz w:val="24"/>
          <w:lang w:val="en-US"/>
        </w:rPr>
        <w:t xml:space="preserve"> </w:t>
      </w:r>
      <w:r>
        <w:rPr>
          <w:rFonts w:ascii="Times New Roman" w:hAnsi="Times New Roman"/>
          <w:iCs/>
          <w:color w:val="000000"/>
          <w:sz w:val="24"/>
          <w:lang w:val="en-US"/>
        </w:rPr>
        <w:t>3.a.</w:t>
      </w:r>
      <w:r w:rsidRPr="00B45A5B">
        <w:rPr>
          <w:rFonts w:ascii="Times New Roman" w:hAnsi="Times New Roman"/>
          <w:iCs/>
          <w:color w:val="000000"/>
          <w:sz w:val="24"/>
          <w:lang w:val="en-US"/>
        </w:rPr>
        <w:t>,</w:t>
      </w:r>
      <w:r>
        <w:rPr>
          <w:rFonts w:ascii="Times New Roman" w:hAnsi="Times New Roman"/>
          <w:i/>
          <w:color w:val="000000"/>
          <w:sz w:val="24"/>
          <w:lang w:val="en-US"/>
        </w:rPr>
        <w:t xml:space="preserve"> impact assessment - </w:t>
      </w:r>
      <w:r>
        <w:rPr>
          <w:rFonts w:ascii="Times New Roman" w:hAnsi="Times New Roman"/>
          <w:i/>
          <w:iCs/>
          <w:color w:val="000000"/>
          <w:sz w:val="24"/>
          <w:lang w:val="en-US"/>
        </w:rPr>
        <w:t>q</w:t>
      </w:r>
      <w:r w:rsidRPr="00B45A5B">
        <w:rPr>
          <w:rFonts w:ascii="Times New Roman" w:hAnsi="Times New Roman"/>
          <w:i/>
          <w:iCs/>
          <w:color w:val="000000"/>
          <w:sz w:val="24"/>
          <w:lang w:val="en-US"/>
        </w:rPr>
        <w:t>uantitative analysis of where resilience resides</w:t>
      </w:r>
      <w:r>
        <w:rPr>
          <w:rFonts w:ascii="Times New Roman" w:hAnsi="Times New Roman"/>
          <w:color w:val="000000"/>
          <w:sz w:val="24"/>
          <w:lang w:val="en-US"/>
        </w:rPr>
        <w:t xml:space="preserve">, and Stage 3.b., </w:t>
      </w:r>
      <w:r>
        <w:rPr>
          <w:rFonts w:ascii="Times New Roman" w:hAnsi="Times New Roman"/>
          <w:i/>
          <w:color w:val="000000"/>
          <w:sz w:val="24"/>
          <w:lang w:val="en-US"/>
        </w:rPr>
        <w:t xml:space="preserve">impact assessment - </w:t>
      </w:r>
      <w:r>
        <w:rPr>
          <w:rFonts w:ascii="Times New Roman" w:hAnsi="Times New Roman"/>
          <w:i/>
          <w:iCs/>
          <w:color w:val="000000"/>
          <w:sz w:val="24"/>
          <w:lang w:val="en-US"/>
        </w:rPr>
        <w:t>i</w:t>
      </w:r>
      <w:r w:rsidRPr="00D32356">
        <w:rPr>
          <w:rFonts w:ascii="Times New Roman" w:hAnsi="Times New Roman"/>
          <w:i/>
          <w:iCs/>
          <w:color w:val="000000"/>
          <w:sz w:val="24"/>
          <w:lang w:val="en-US"/>
        </w:rPr>
        <w:t>ntegrated evaluation by a wide range of stakeholders</w:t>
      </w:r>
      <w:r>
        <w:rPr>
          <w:rFonts w:ascii="Times New Roman" w:hAnsi="Times New Roman"/>
          <w:color w:val="000000"/>
          <w:sz w:val="24"/>
          <w:lang w:val="en-US"/>
        </w:rPr>
        <w:t xml:space="preserve">, revolve around decisions of significance based on a consideration of evidence, i.e. as for any IA process. However, the assessment would ideally be undertaken using a workshop-based analytic-deliberative approach </w:t>
      </w:r>
      <w:r>
        <w:rPr>
          <w:rFonts w:ascii="Times New Roman" w:hAnsi="Times New Roman"/>
          <w:noProof/>
          <w:color w:val="000000"/>
          <w:sz w:val="24"/>
          <w:lang w:val="en-US"/>
        </w:rPr>
        <w:t>(see, for example, Burgess</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2007; Fish</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2011; Karjalainen</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2013)</w:t>
      </w:r>
      <w:r>
        <w:rPr>
          <w:rFonts w:ascii="Times New Roman" w:hAnsi="Times New Roman"/>
          <w:color w:val="000000"/>
          <w:sz w:val="24"/>
          <w:lang w:val="en-US"/>
        </w:rPr>
        <w:t xml:space="preserve"> that draws on modelling where possible. At this stage, the composition of the workshop team is critical as it needs to include representatives of affected communities, decision-makers, and also socio-ecological system experts who can be called upon to comment on the likely implication of interventions on particular scenarios, and to identify the key variables that are likely to control socio-ecological outcomes. </w:t>
      </w:r>
      <w:r>
        <w:rPr>
          <w:rFonts w:ascii="Times New Roman" w:hAnsi="Times New Roman"/>
          <w:noProof/>
          <w:color w:val="000000"/>
          <w:sz w:val="24"/>
          <w:lang w:val="en-US"/>
        </w:rPr>
        <w:t>Fish</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xml:space="preserve"> (2011)</w:t>
      </w:r>
      <w:r>
        <w:rPr>
          <w:rFonts w:ascii="Times New Roman" w:hAnsi="Times New Roman"/>
          <w:color w:val="000000"/>
          <w:sz w:val="24"/>
          <w:lang w:val="en-US"/>
        </w:rPr>
        <w:t xml:space="preserve"> provide specific advice on how to identify appropriate groupings of stakeholders. The analytic-deliberative approach can also be designed around a participatory modelling approach </w:t>
      </w:r>
      <w:r>
        <w:rPr>
          <w:rFonts w:ascii="Times New Roman" w:hAnsi="Times New Roman"/>
          <w:noProof/>
          <w:color w:val="000000"/>
          <w:sz w:val="24"/>
          <w:lang w:val="en-US"/>
        </w:rPr>
        <w:t>(Videira</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2003; Landström</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2011; Lane</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2011)</w:t>
      </w:r>
      <w:r>
        <w:rPr>
          <w:rFonts w:ascii="Times New Roman" w:hAnsi="Times New Roman"/>
          <w:color w:val="000000"/>
          <w:sz w:val="24"/>
          <w:lang w:val="en-US"/>
        </w:rPr>
        <w:t xml:space="preserve"> whereby a series of workshops are held to sequentially agree upon deliverables and methods, and then allow deliberation based on model outputs either requested in real-time, or pre-requested where model complexity precludes real-time analysis.</w:t>
      </w:r>
    </w:p>
    <w:p w:rsidR="00CF0849" w:rsidRPr="006C315E" w:rsidRDefault="00CF0849" w:rsidP="002B380F">
      <w:pPr>
        <w:autoSpaceDE w:val="0"/>
        <w:autoSpaceDN w:val="0"/>
        <w:adjustRightInd w:val="0"/>
        <w:rPr>
          <w:rFonts w:ascii="Times New Roman" w:hAnsi="Times New Roman"/>
          <w:color w:val="000000"/>
          <w:sz w:val="24"/>
          <w:lang w:val="en-US"/>
        </w:rPr>
      </w:pPr>
      <w:r>
        <w:rPr>
          <w:rFonts w:ascii="Times New Roman" w:hAnsi="Times New Roman"/>
          <w:color w:val="000000"/>
          <w:sz w:val="24"/>
          <w:lang w:val="en-US"/>
        </w:rPr>
        <w:t xml:space="preserve">The workshops should proceed on the basis of exploring scenarios and potential policy interventions, with experts and/or modelers called upon to highlight particular system uncertainties, and the implications on the socio-ecological system of both planned (internal) and unplanned (external) influences. A participatory modelling approach is likely to be appropriate here, whereby workshop participants can ask the modelers “what if” questions, and gain real-time answers to develop their scenario thinking; participatory modelling approaches have been successfully used in flood risk settings </w:t>
      </w:r>
      <w:r>
        <w:rPr>
          <w:rFonts w:ascii="Times New Roman" w:hAnsi="Times New Roman"/>
          <w:noProof/>
          <w:color w:val="000000"/>
          <w:sz w:val="24"/>
          <w:lang w:val="en-US"/>
        </w:rPr>
        <w:t>(see, for example, Landström</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2011; Lane</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2011)</w:t>
      </w:r>
      <w:r>
        <w:rPr>
          <w:rFonts w:ascii="Times New Roman" w:hAnsi="Times New Roman"/>
          <w:color w:val="000000"/>
          <w:sz w:val="24"/>
          <w:lang w:val="en-US"/>
        </w:rPr>
        <w:t xml:space="preserve"> and are recommended in this context also. Through iterative development of ideas, the workshop participants would need to develop a set of proposed policies which </w:t>
      </w:r>
      <w:r w:rsidRPr="000F6695">
        <w:rPr>
          <w:rFonts w:ascii="Times New Roman" w:hAnsi="Times New Roman"/>
          <w:color w:val="000000"/>
          <w:sz w:val="24"/>
          <w:lang w:val="en-US"/>
        </w:rPr>
        <w:t>are most resilient</w:t>
      </w:r>
      <w:r w:rsidRPr="000F6695">
        <w:rPr>
          <w:rFonts w:ascii="Times New Roman" w:hAnsi="Times New Roman"/>
          <w:color w:val="0000FF"/>
          <w:sz w:val="24"/>
          <w:lang w:val="en-US"/>
        </w:rPr>
        <w:t xml:space="preserve"> </w:t>
      </w:r>
      <w:r w:rsidRPr="000F6695">
        <w:rPr>
          <w:rFonts w:ascii="Times New Roman" w:hAnsi="Times New Roman"/>
          <w:color w:val="000000"/>
          <w:sz w:val="24"/>
          <w:lang w:val="en-US"/>
        </w:rPr>
        <w:t>to</w:t>
      </w:r>
      <w:r>
        <w:rPr>
          <w:rFonts w:ascii="Times New Roman" w:hAnsi="Times New Roman"/>
          <w:color w:val="000000"/>
          <w:sz w:val="24"/>
          <w:lang w:val="en-US"/>
        </w:rPr>
        <w:t xml:space="preserve"> external influences, and which will most likely and/or most closely achieve the preferred scenario. A lot of the work would be based on qualitative information, although some quantitative modelling could be undertaken if necessary and appropriate. The key to a successful outcome is to have anticipated that critical system variables could be threatened by external influences (like climate change) and to have planned some form of adaptation. They key to embedding evolutionary resilience is the acceptance that the socio-ecological environment is likely to have to adapt to accommodate uncertain events. </w:t>
      </w:r>
    </w:p>
    <w:p w:rsidR="00CF0849" w:rsidRPr="001A7B87" w:rsidRDefault="00CF0849" w:rsidP="00E73B94">
      <w:pPr>
        <w:autoSpaceDE w:val="0"/>
        <w:autoSpaceDN w:val="0"/>
        <w:adjustRightInd w:val="0"/>
        <w:rPr>
          <w:rFonts w:ascii="Times New Roman" w:hAnsi="Times New Roman"/>
          <w:color w:val="000000"/>
          <w:sz w:val="24"/>
          <w:lang w:val="en-US"/>
        </w:rPr>
      </w:pPr>
      <w:r>
        <w:rPr>
          <w:rFonts w:ascii="Times New Roman" w:hAnsi="Times New Roman"/>
          <w:iCs/>
          <w:color w:val="000000"/>
          <w:sz w:val="24"/>
          <w:lang w:val="en-US"/>
        </w:rPr>
        <w:t>Stage</w:t>
      </w:r>
      <w:r w:rsidRPr="00D85B74">
        <w:rPr>
          <w:rFonts w:ascii="Times New Roman" w:hAnsi="Times New Roman"/>
          <w:iCs/>
          <w:color w:val="000000"/>
          <w:sz w:val="24"/>
          <w:lang w:val="en-US"/>
        </w:rPr>
        <w:t xml:space="preserve"> </w:t>
      </w:r>
      <w:r>
        <w:rPr>
          <w:rFonts w:ascii="Times New Roman" w:hAnsi="Times New Roman"/>
          <w:iCs/>
          <w:color w:val="000000"/>
          <w:sz w:val="24"/>
          <w:lang w:val="en-US"/>
        </w:rPr>
        <w:t>4.</w:t>
      </w:r>
      <w:r w:rsidRPr="00D85B74">
        <w:rPr>
          <w:rFonts w:ascii="Times New Roman" w:hAnsi="Times New Roman"/>
          <w:iCs/>
          <w:color w:val="000000"/>
          <w:sz w:val="24"/>
          <w:lang w:val="en-US"/>
        </w:rPr>
        <w:t>,</w:t>
      </w:r>
      <w:r>
        <w:rPr>
          <w:rFonts w:ascii="Times New Roman" w:hAnsi="Times New Roman"/>
          <w:i/>
          <w:color w:val="000000"/>
          <w:sz w:val="24"/>
          <w:lang w:val="en-US"/>
        </w:rPr>
        <w:t xml:space="preserve"> </w:t>
      </w:r>
      <w:r w:rsidRPr="002165D2">
        <w:rPr>
          <w:rFonts w:ascii="Times New Roman" w:hAnsi="Times New Roman"/>
          <w:i/>
          <w:color w:val="000000"/>
          <w:sz w:val="24"/>
          <w:lang w:val="en-US"/>
        </w:rPr>
        <w:t>Decision making</w:t>
      </w:r>
      <w:r>
        <w:rPr>
          <w:rFonts w:ascii="Times New Roman" w:hAnsi="Times New Roman"/>
          <w:i/>
          <w:color w:val="000000"/>
          <w:sz w:val="24"/>
          <w:lang w:val="en-US"/>
        </w:rPr>
        <w:t>,</w:t>
      </w:r>
      <w:r w:rsidRPr="001A7B87">
        <w:rPr>
          <w:rFonts w:ascii="Times New Roman" w:hAnsi="Times New Roman"/>
          <w:color w:val="000000"/>
          <w:sz w:val="24"/>
          <w:lang w:val="en-US"/>
        </w:rPr>
        <w:t xml:space="preserve"> is as for other forms of </w:t>
      </w:r>
      <w:r>
        <w:rPr>
          <w:rFonts w:ascii="Times New Roman" w:hAnsi="Times New Roman"/>
          <w:color w:val="000000"/>
          <w:sz w:val="24"/>
          <w:lang w:val="en-US"/>
        </w:rPr>
        <w:t>IA</w:t>
      </w:r>
      <w:r w:rsidRPr="001A7B87">
        <w:rPr>
          <w:rFonts w:ascii="Times New Roman" w:hAnsi="Times New Roman"/>
          <w:color w:val="000000"/>
          <w:sz w:val="24"/>
          <w:lang w:val="en-US"/>
        </w:rPr>
        <w:t xml:space="preserve">. Elected representatives, who </w:t>
      </w:r>
      <w:r>
        <w:rPr>
          <w:rFonts w:ascii="Times New Roman" w:hAnsi="Times New Roman"/>
          <w:color w:val="000000"/>
          <w:sz w:val="24"/>
          <w:lang w:val="en-US"/>
        </w:rPr>
        <w:t xml:space="preserve">would </w:t>
      </w:r>
      <w:r w:rsidRPr="001A7B87">
        <w:rPr>
          <w:rFonts w:ascii="Times New Roman" w:hAnsi="Times New Roman"/>
          <w:color w:val="000000"/>
          <w:sz w:val="24"/>
          <w:lang w:val="en-US"/>
        </w:rPr>
        <w:t>need to be part of the stakeholder groups developing and assessing the scenarios, would identify the appropriate polic</w:t>
      </w:r>
      <w:r>
        <w:rPr>
          <w:rFonts w:ascii="Times New Roman" w:hAnsi="Times New Roman"/>
          <w:color w:val="000000"/>
          <w:sz w:val="24"/>
          <w:lang w:val="en-US"/>
        </w:rPr>
        <w:t xml:space="preserve">ies to adopt </w:t>
      </w:r>
      <w:r w:rsidRPr="000F6695">
        <w:rPr>
          <w:rFonts w:ascii="Times New Roman" w:hAnsi="Times New Roman"/>
          <w:color w:val="000000"/>
          <w:sz w:val="24"/>
          <w:lang w:val="en-US"/>
        </w:rPr>
        <w:t xml:space="preserve">on the basis of the </w:t>
      </w:r>
      <w:r w:rsidRPr="000F6695">
        <w:rPr>
          <w:rFonts w:ascii="Times New Roman" w:hAnsi="Times New Roman"/>
          <w:sz w:val="24"/>
          <w:lang w:val="en-US"/>
        </w:rPr>
        <w:t xml:space="preserve">estimated resilience </w:t>
      </w:r>
      <w:r w:rsidRPr="000F6695">
        <w:rPr>
          <w:rFonts w:ascii="Times New Roman" w:hAnsi="Times New Roman"/>
          <w:color w:val="000000"/>
          <w:sz w:val="24"/>
          <w:lang w:val="en-US"/>
        </w:rPr>
        <w:t xml:space="preserve">of the subsequent outcomes. </w:t>
      </w:r>
      <w:r>
        <w:rPr>
          <w:rFonts w:ascii="Times New Roman" w:hAnsi="Times New Roman"/>
          <w:color w:val="000000"/>
          <w:sz w:val="24"/>
          <w:lang w:val="en-US"/>
        </w:rPr>
        <w:t>At this stage, any decision makers will still be subject to the political pressures associated with any decision, and there is no guarantee that workshop recommendations will be implemented. However, we are not suggesting wholesale upheaval of political decision making in this paper, rather we are attempting to better incorporate and communicate uncertainty into an existing decision-support tool. In this event, the suggested IA adopts a post-normal science approach in terms of embedding uncertainty (including ambiguity and ignorance) in the analysis, but reverts to normal science in still expecting rational decision-making based on this process. As such, this stage would need to specifically acknowledge, and require, follow-up as detailed in the next stage.</w:t>
      </w:r>
    </w:p>
    <w:p w:rsidR="00CF0849" w:rsidRPr="004D5B77" w:rsidRDefault="00CF0849" w:rsidP="002B380F">
      <w:pPr>
        <w:autoSpaceDE w:val="0"/>
        <w:autoSpaceDN w:val="0"/>
        <w:adjustRightInd w:val="0"/>
        <w:rPr>
          <w:rFonts w:ascii="Times New Roman" w:hAnsi="Times New Roman"/>
          <w:color w:val="000000"/>
          <w:sz w:val="24"/>
          <w:lang w:val="en-US"/>
        </w:rPr>
      </w:pPr>
      <w:r>
        <w:rPr>
          <w:rFonts w:ascii="Times New Roman" w:hAnsi="Times New Roman"/>
          <w:iCs/>
          <w:color w:val="000000"/>
          <w:sz w:val="24"/>
          <w:lang w:val="en-US"/>
        </w:rPr>
        <w:t>Stage</w:t>
      </w:r>
      <w:r w:rsidRPr="00D85B74">
        <w:rPr>
          <w:rFonts w:ascii="Times New Roman" w:hAnsi="Times New Roman"/>
          <w:iCs/>
          <w:color w:val="000000"/>
          <w:sz w:val="24"/>
          <w:lang w:val="en-US"/>
        </w:rPr>
        <w:t xml:space="preserve"> </w:t>
      </w:r>
      <w:r>
        <w:rPr>
          <w:rFonts w:ascii="Times New Roman" w:hAnsi="Times New Roman"/>
          <w:iCs/>
          <w:color w:val="000000"/>
          <w:sz w:val="24"/>
          <w:lang w:val="en-US"/>
        </w:rPr>
        <w:t>5.</w:t>
      </w:r>
      <w:r w:rsidRPr="00D85B74">
        <w:rPr>
          <w:rFonts w:ascii="Times New Roman" w:hAnsi="Times New Roman"/>
          <w:iCs/>
          <w:color w:val="000000"/>
          <w:sz w:val="24"/>
          <w:lang w:val="en-US"/>
        </w:rPr>
        <w:t>,</w:t>
      </w:r>
      <w:r>
        <w:rPr>
          <w:rFonts w:ascii="Times New Roman" w:hAnsi="Times New Roman"/>
          <w:i/>
          <w:color w:val="000000"/>
          <w:sz w:val="24"/>
          <w:lang w:val="en-US"/>
        </w:rPr>
        <w:t xml:space="preserve"> Follow-up </w:t>
      </w:r>
      <w:r>
        <w:rPr>
          <w:rFonts w:ascii="Times New Roman" w:hAnsi="Times New Roman"/>
          <w:color w:val="000000"/>
          <w:sz w:val="24"/>
          <w:lang w:val="en-US"/>
        </w:rPr>
        <w:t xml:space="preserve">needs to take account of the fact that both uncertainties and future visions of human well-being are likely to change over time. As such, we would propose that a form of adaptive follow-up, as set out in </w:t>
      </w:r>
      <w:r>
        <w:rPr>
          <w:rFonts w:ascii="Times New Roman" w:hAnsi="Times New Roman"/>
          <w:noProof/>
          <w:color w:val="000000"/>
          <w:sz w:val="24"/>
          <w:lang w:val="en-US"/>
        </w:rPr>
        <w:t>(Morrison-Saunders</w:t>
      </w:r>
      <w:r w:rsidRPr="00C11CF8">
        <w:rPr>
          <w:rFonts w:ascii="Times New Roman" w:hAnsi="Times New Roman"/>
          <w:i/>
          <w:noProof/>
          <w:color w:val="000000"/>
          <w:sz w:val="24"/>
          <w:lang w:val="en-US"/>
        </w:rPr>
        <w:t xml:space="preserve"> et al.</w:t>
      </w:r>
      <w:r>
        <w:rPr>
          <w:rFonts w:ascii="Times New Roman" w:hAnsi="Times New Roman"/>
          <w:noProof/>
          <w:color w:val="000000"/>
          <w:sz w:val="24"/>
          <w:lang w:val="en-US"/>
        </w:rPr>
        <w:t>, 2014)</w:t>
      </w:r>
      <w:r>
        <w:rPr>
          <w:rFonts w:ascii="Times New Roman" w:hAnsi="Times New Roman"/>
          <w:color w:val="000000"/>
          <w:sz w:val="24"/>
          <w:lang w:val="en-US"/>
        </w:rPr>
        <w:t xml:space="preserve"> is practiced whereby there is frequent reflection on the suitability of the current pathway, and examination of the validity of the scenarios adopted, and the policies implemented to achieve the agreed vision. Over time, understanding of the socio-ecological system is likely to improve and this will warrant reassessment of the adopted policies. Also, the vision for the future may also change. In either case, the follow-up activities need to adapt to the changing circumstances, which sets adaptive follow-up apart from traditional follow-up. </w:t>
      </w:r>
    </w:p>
    <w:p w:rsidR="00CF0849" w:rsidRDefault="00CF0849" w:rsidP="005B4784">
      <w:pPr>
        <w:autoSpaceDE w:val="0"/>
        <w:autoSpaceDN w:val="0"/>
        <w:adjustRightInd w:val="0"/>
        <w:rPr>
          <w:rFonts w:ascii="Times New Roman" w:hAnsi="Times New Roman"/>
          <w:b/>
          <w:sz w:val="24"/>
          <w:szCs w:val="24"/>
          <w:lang w:eastAsia="zh-CN"/>
        </w:rPr>
      </w:pPr>
    </w:p>
    <w:p w:rsidR="00CF0849" w:rsidRPr="0000025A" w:rsidRDefault="00CF0849" w:rsidP="005B4784">
      <w:pPr>
        <w:autoSpaceDE w:val="0"/>
        <w:autoSpaceDN w:val="0"/>
        <w:adjustRightInd w:val="0"/>
        <w:rPr>
          <w:rFonts w:ascii="Times New Roman" w:hAnsi="Times New Roman"/>
          <w:b/>
          <w:sz w:val="24"/>
          <w:szCs w:val="24"/>
          <w:lang w:eastAsia="zh-CN"/>
        </w:rPr>
      </w:pPr>
      <w:r>
        <w:rPr>
          <w:rFonts w:ascii="Times New Roman" w:hAnsi="Times New Roman"/>
          <w:b/>
          <w:sz w:val="24"/>
          <w:szCs w:val="24"/>
          <w:lang w:eastAsia="zh-CN"/>
        </w:rPr>
        <w:t>5</w:t>
      </w:r>
      <w:r w:rsidRPr="0000025A">
        <w:rPr>
          <w:rFonts w:ascii="Times New Roman" w:hAnsi="Times New Roman"/>
          <w:b/>
          <w:sz w:val="24"/>
          <w:szCs w:val="24"/>
          <w:lang w:eastAsia="zh-CN"/>
        </w:rPr>
        <w:t>. Conclusions</w:t>
      </w:r>
    </w:p>
    <w:p w:rsidR="00CF0849" w:rsidRDefault="00CF0849" w:rsidP="005E3D5C">
      <w:pPr>
        <w:autoSpaceDE w:val="0"/>
        <w:autoSpaceDN w:val="0"/>
        <w:adjustRightInd w:val="0"/>
        <w:rPr>
          <w:rFonts w:ascii="Times New Roman" w:hAnsi="Times New Roman"/>
          <w:sz w:val="24"/>
          <w:szCs w:val="24"/>
          <w:lang w:eastAsia="zh-CN"/>
        </w:rPr>
      </w:pPr>
      <w:r w:rsidRPr="0094343C">
        <w:rPr>
          <w:rFonts w:ascii="Times New Roman" w:hAnsi="Times New Roman"/>
          <w:sz w:val="24"/>
          <w:szCs w:val="24"/>
          <w:lang w:eastAsia="zh-CN"/>
        </w:rPr>
        <w:t xml:space="preserve">In this paper we </w:t>
      </w:r>
      <w:r>
        <w:rPr>
          <w:rFonts w:ascii="Times New Roman" w:hAnsi="Times New Roman"/>
          <w:sz w:val="24"/>
          <w:szCs w:val="24"/>
          <w:lang w:eastAsia="zh-CN"/>
        </w:rPr>
        <w:t xml:space="preserve">explained why </w:t>
      </w:r>
      <w:r w:rsidRPr="0094343C">
        <w:rPr>
          <w:rFonts w:ascii="Times New Roman" w:hAnsi="Times New Roman"/>
          <w:sz w:val="24"/>
          <w:szCs w:val="24"/>
          <w:lang w:eastAsia="zh-CN"/>
        </w:rPr>
        <w:t xml:space="preserve">uncertainty, ambiguity and ignorance </w:t>
      </w:r>
      <w:r>
        <w:rPr>
          <w:rFonts w:ascii="Times New Roman" w:hAnsi="Times New Roman"/>
          <w:sz w:val="24"/>
          <w:szCs w:val="24"/>
          <w:lang w:eastAsia="zh-CN"/>
        </w:rPr>
        <w:t xml:space="preserve">are problematic in IA, and have developed a process whereby they can be </w:t>
      </w:r>
      <w:r w:rsidRPr="0094343C">
        <w:rPr>
          <w:rFonts w:ascii="Times New Roman" w:hAnsi="Times New Roman"/>
          <w:sz w:val="24"/>
          <w:szCs w:val="24"/>
          <w:lang w:eastAsia="zh-CN"/>
        </w:rPr>
        <w:t>better managed through embedding an evolutionary resilience approach</w:t>
      </w:r>
      <w:r>
        <w:rPr>
          <w:rFonts w:ascii="Times New Roman" w:hAnsi="Times New Roman"/>
          <w:sz w:val="24"/>
          <w:szCs w:val="24"/>
          <w:lang w:eastAsia="zh-CN"/>
        </w:rPr>
        <w:t>, supported through participatory deliberation and adaptive management,</w:t>
      </w:r>
      <w:r w:rsidRPr="0094343C">
        <w:rPr>
          <w:rFonts w:ascii="Times New Roman" w:hAnsi="Times New Roman"/>
          <w:sz w:val="24"/>
          <w:szCs w:val="24"/>
          <w:lang w:eastAsia="zh-CN"/>
        </w:rPr>
        <w:t xml:space="preserve"> into the process. </w:t>
      </w:r>
      <w:r>
        <w:rPr>
          <w:rFonts w:ascii="Times New Roman" w:hAnsi="Times New Roman"/>
          <w:sz w:val="24"/>
          <w:szCs w:val="24"/>
          <w:lang w:eastAsia="zh-CN"/>
        </w:rPr>
        <w:t>Whilst designed for strategic IA in particular, there is no reason why such an approach cannot also be applied at the project level – subject to the resource constraints discussed below.</w:t>
      </w:r>
    </w:p>
    <w:p w:rsidR="00CF0849" w:rsidRPr="0094343C" w:rsidRDefault="00CF0849" w:rsidP="005B6B8A">
      <w:pPr>
        <w:autoSpaceDE w:val="0"/>
        <w:autoSpaceDN w:val="0"/>
        <w:adjustRightInd w:val="0"/>
        <w:rPr>
          <w:rFonts w:ascii="Times New Roman" w:hAnsi="Times New Roman"/>
          <w:sz w:val="24"/>
          <w:szCs w:val="24"/>
          <w:lang w:eastAsia="zh-CN"/>
        </w:rPr>
      </w:pPr>
      <w:r w:rsidRPr="0094343C">
        <w:rPr>
          <w:rFonts w:ascii="Times New Roman" w:hAnsi="Times New Roman"/>
          <w:sz w:val="24"/>
          <w:szCs w:val="24"/>
          <w:lang w:eastAsia="zh-CN"/>
        </w:rPr>
        <w:t xml:space="preserve">Specifically we have drawn on </w:t>
      </w:r>
      <w:r w:rsidRPr="0094343C">
        <w:rPr>
          <w:rFonts w:ascii="Times New Roman" w:hAnsi="Times New Roman"/>
          <w:noProof/>
          <w:sz w:val="24"/>
          <w:szCs w:val="24"/>
          <w:lang w:eastAsia="zh-CN"/>
        </w:rPr>
        <w:t>Stirling (2010)</w:t>
      </w:r>
      <w:r w:rsidRPr="0094343C">
        <w:rPr>
          <w:rFonts w:ascii="Times New Roman" w:hAnsi="Times New Roman"/>
          <w:sz w:val="24"/>
          <w:szCs w:val="24"/>
          <w:lang w:eastAsia="zh-CN"/>
        </w:rPr>
        <w:t xml:space="preserve"> (see Figure 1) in using scenario methods to better manage uncertainty, interactive </w:t>
      </w:r>
      <w:r>
        <w:rPr>
          <w:rFonts w:ascii="Times New Roman" w:hAnsi="Times New Roman"/>
          <w:sz w:val="24"/>
          <w:szCs w:val="24"/>
          <w:lang w:eastAsia="zh-CN"/>
        </w:rPr>
        <w:t>modelling</w:t>
      </w:r>
      <w:r w:rsidRPr="0094343C">
        <w:rPr>
          <w:rFonts w:ascii="Times New Roman" w:hAnsi="Times New Roman"/>
          <w:sz w:val="24"/>
          <w:szCs w:val="24"/>
          <w:lang w:eastAsia="zh-CN"/>
        </w:rPr>
        <w:t xml:space="preserve"> and participatory deliberation to manage ambiguity, and adaptive management and resilience to manage ignorance. </w:t>
      </w:r>
    </w:p>
    <w:p w:rsidR="00CF0849" w:rsidRDefault="00CF0849" w:rsidP="005E3D5C">
      <w:pPr>
        <w:autoSpaceDE w:val="0"/>
        <w:autoSpaceDN w:val="0"/>
        <w:adjustRightInd w:val="0"/>
        <w:spacing w:line="23" w:lineRule="atLeast"/>
        <w:rPr>
          <w:rFonts w:ascii="Times New Roman" w:hAnsi="Times New Roman"/>
          <w:sz w:val="24"/>
          <w:szCs w:val="24"/>
          <w:lang w:eastAsia="zh-CN"/>
        </w:rPr>
      </w:pPr>
      <w:r>
        <w:rPr>
          <w:rFonts w:ascii="Times New Roman" w:hAnsi="Times New Roman"/>
          <w:sz w:val="24"/>
          <w:szCs w:val="24"/>
          <w:lang w:eastAsia="zh-CN"/>
        </w:rPr>
        <w:t>The key changes from ‘business as usual’ IA are:</w:t>
      </w:r>
    </w:p>
    <w:p w:rsidR="00CF0849" w:rsidRDefault="00CF0849" w:rsidP="002B380F">
      <w:pPr>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1) a move towards an objectives-led, visioning approach, rather than a baseline-led approach </w:t>
      </w:r>
      <w:r>
        <w:rPr>
          <w:rFonts w:ascii="Times New Roman" w:hAnsi="Times New Roman"/>
          <w:noProof/>
          <w:sz w:val="24"/>
          <w:szCs w:val="24"/>
          <w:lang w:eastAsia="zh-CN"/>
        </w:rPr>
        <w:t>(although this already occurs in Sustainability Appraisal of land use plans in England, see Thérivel</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2009)</w:t>
      </w:r>
      <w:r>
        <w:rPr>
          <w:rFonts w:ascii="Times New Roman" w:hAnsi="Times New Roman"/>
          <w:sz w:val="24"/>
          <w:szCs w:val="24"/>
          <w:lang w:eastAsia="zh-CN"/>
        </w:rPr>
        <w:t>;</w:t>
      </w:r>
    </w:p>
    <w:p w:rsidR="00CF0849" w:rsidRDefault="00CF0849" w:rsidP="00E15930">
      <w:pPr>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2) a focus on uncontrollable (external) threats that will change the future environment </w:t>
      </w:r>
      <w:r w:rsidRPr="000F6695">
        <w:rPr>
          <w:rFonts w:ascii="Times New Roman" w:hAnsi="Times New Roman"/>
          <w:sz w:val="24"/>
          <w:szCs w:val="24"/>
          <w:lang w:eastAsia="zh-CN"/>
        </w:rPr>
        <w:t xml:space="preserve">that the plan or policy is attempting to manage, leading to an emphasis on adaptation as well </w:t>
      </w:r>
      <w:r>
        <w:rPr>
          <w:rFonts w:ascii="Times New Roman" w:hAnsi="Times New Roman"/>
          <w:sz w:val="24"/>
          <w:szCs w:val="24"/>
          <w:lang w:eastAsia="zh-CN"/>
        </w:rPr>
        <w:t>as mitigation, particularly during follow-up;</w:t>
      </w:r>
    </w:p>
    <w:p w:rsidR="00CF0849" w:rsidRDefault="00CF0849" w:rsidP="00EC1479">
      <w:pPr>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3) the use of analytic-deliberative techniques, possibly including participatory modelling, which are not common in existing IA practice;</w:t>
      </w:r>
    </w:p>
    <w:p w:rsidR="00CF0849" w:rsidRDefault="00CF0849" w:rsidP="00F453D8">
      <w:pPr>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4) a focus on embedding resilience in scenarios which goes beyond the objective of the project, plan or policy, and on mitigation and adaptation to uncertain events;</w:t>
      </w:r>
    </w:p>
    <w:p w:rsidR="00CF0849" w:rsidRDefault="00CF0849" w:rsidP="00C255FD">
      <w:pPr>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5) a recognition that the future is likely to be different from that planned, and that continual adaptation to changing circumstances is necessary.</w:t>
      </w:r>
    </w:p>
    <w:p w:rsidR="00CF0849" w:rsidRDefault="00CF0849" w:rsidP="002B380F">
      <w:pPr>
        <w:autoSpaceDE w:val="0"/>
        <w:autoSpaceDN w:val="0"/>
        <w:adjustRightInd w:val="0"/>
        <w:rPr>
          <w:rFonts w:ascii="Times New Roman" w:hAnsi="Times New Roman"/>
          <w:sz w:val="24"/>
          <w:szCs w:val="24"/>
          <w:lang w:eastAsia="zh-CN"/>
        </w:rPr>
      </w:pPr>
      <w:r>
        <w:rPr>
          <w:rFonts w:ascii="Times New Roman" w:hAnsi="Times New Roman"/>
          <w:sz w:val="24"/>
          <w:szCs w:val="24"/>
          <w:lang w:eastAsia="zh-CN"/>
        </w:rPr>
        <w:t xml:space="preserve">The big difference here is that the focus needs to be on much longer timescales, although we have not specifically indicated what this means. Practice suggests that assessment timescales usually span the duration of a proposed plan or policy </w:t>
      </w:r>
      <w:r>
        <w:rPr>
          <w:rFonts w:ascii="Times New Roman" w:hAnsi="Times New Roman"/>
          <w:noProof/>
          <w:sz w:val="24"/>
          <w:szCs w:val="24"/>
          <w:lang w:eastAsia="zh-CN"/>
        </w:rPr>
        <w:t>(Bond and Morrison-Saunders, 2011)</w:t>
      </w:r>
      <w:r>
        <w:rPr>
          <w:rFonts w:ascii="Times New Roman" w:hAnsi="Times New Roman"/>
          <w:sz w:val="24"/>
          <w:szCs w:val="24"/>
          <w:lang w:eastAsia="zh-CN"/>
        </w:rPr>
        <w:t xml:space="preserve"> whereas intergenerational needs to be looking at timescales measured at least in decades, and preferably in centuries. The focus also needs to be on the uncertainties and system shocks which cannot be predicted in an attempt to develop a more resilient future, and which are a considerable weakness of current IA practice. We have drawn very heavily on the work of </w:t>
      </w:r>
      <w:r>
        <w:rPr>
          <w:rFonts w:ascii="Times New Roman" w:hAnsi="Times New Roman"/>
          <w:noProof/>
          <w:sz w:val="24"/>
          <w:szCs w:val="24"/>
          <w:lang w:eastAsia="zh-CN"/>
        </w:rPr>
        <w:t>Walker</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xml:space="preserve"> (2002)</w:t>
      </w:r>
      <w:r>
        <w:rPr>
          <w:rFonts w:ascii="Times New Roman" w:hAnsi="Times New Roman"/>
          <w:sz w:val="24"/>
          <w:szCs w:val="24"/>
          <w:lang w:eastAsia="zh-CN"/>
        </w:rPr>
        <w:t xml:space="preserve"> in outlining an approach to embed resilience in IA; we would argue that it is necessary to do this given that IA is almost universally required across the world </w:t>
      </w:r>
      <w:r>
        <w:rPr>
          <w:rFonts w:ascii="Times New Roman" w:hAnsi="Times New Roman"/>
          <w:noProof/>
          <w:sz w:val="24"/>
          <w:szCs w:val="24"/>
          <w:lang w:eastAsia="zh-CN"/>
        </w:rPr>
        <w:t>(Morgan, 2012)</w:t>
      </w:r>
      <w:r>
        <w:rPr>
          <w:rFonts w:ascii="Times New Roman" w:hAnsi="Times New Roman"/>
          <w:sz w:val="24"/>
          <w:szCs w:val="24"/>
          <w:lang w:eastAsia="zh-CN"/>
        </w:rPr>
        <w:t>. It is therefore an accepted decision-support tool and one which has greater traction with decision makers who are suspicious of adopting new approaches given the resource implications.</w:t>
      </w:r>
    </w:p>
    <w:p w:rsidR="00CF0849" w:rsidRDefault="00CF0849" w:rsidP="002B380F">
      <w:pPr>
        <w:autoSpaceDE w:val="0"/>
        <w:autoSpaceDN w:val="0"/>
        <w:adjustRightInd w:val="0"/>
        <w:rPr>
          <w:rFonts w:ascii="Times New Roman" w:hAnsi="Times New Roman" w:cs="Arial"/>
          <w:sz w:val="24"/>
          <w:szCs w:val="28"/>
          <w:lang w:val="en-US"/>
        </w:rPr>
      </w:pPr>
      <w:r>
        <w:rPr>
          <w:rFonts w:ascii="Times New Roman" w:hAnsi="Times New Roman"/>
          <w:sz w:val="24"/>
          <w:szCs w:val="24"/>
          <w:lang w:eastAsia="zh-CN"/>
        </w:rPr>
        <w:t xml:space="preserve">The extensive use of analytic-deliberative techniques would be resource intensive, both in terms of being expensive, but also demanding significant investment of expert time </w:t>
      </w:r>
      <w:r>
        <w:rPr>
          <w:rFonts w:ascii="Times New Roman" w:hAnsi="Times New Roman"/>
          <w:noProof/>
          <w:sz w:val="24"/>
          <w:szCs w:val="24"/>
          <w:lang w:eastAsia="zh-CN"/>
        </w:rPr>
        <w:t>(Bond</w:t>
      </w:r>
      <w:r w:rsidRPr="00C11CF8">
        <w:rPr>
          <w:rFonts w:ascii="Times New Roman" w:hAnsi="Times New Roman"/>
          <w:i/>
          <w:noProof/>
          <w:sz w:val="24"/>
          <w:szCs w:val="24"/>
          <w:lang w:eastAsia="zh-CN"/>
        </w:rPr>
        <w:t xml:space="preserve"> et al.</w:t>
      </w:r>
      <w:r>
        <w:rPr>
          <w:rFonts w:ascii="Times New Roman" w:hAnsi="Times New Roman"/>
          <w:noProof/>
          <w:sz w:val="24"/>
          <w:szCs w:val="24"/>
          <w:lang w:eastAsia="zh-CN"/>
        </w:rPr>
        <w:t>, 2011)</w:t>
      </w:r>
      <w:r>
        <w:rPr>
          <w:rFonts w:ascii="Times New Roman" w:hAnsi="Times New Roman"/>
          <w:sz w:val="24"/>
          <w:szCs w:val="24"/>
          <w:lang w:eastAsia="zh-CN"/>
        </w:rPr>
        <w:t>, particularly as the peer community is extended both internally and externally. Although necessary, such approaches would in all reality preclude the application of such a model of assessment to all but the most strategic decision-making contexts (including very large projects)</w:t>
      </w:r>
      <w:r w:rsidRPr="006E038B">
        <w:rPr>
          <w:rFonts w:ascii="Times New Roman" w:hAnsi="Times New Roman"/>
          <w:sz w:val="24"/>
          <w:szCs w:val="24"/>
          <w:lang w:eastAsia="zh-CN"/>
        </w:rPr>
        <w:t xml:space="preserve">. </w:t>
      </w:r>
      <w:r>
        <w:rPr>
          <w:rFonts w:ascii="Times New Roman" w:hAnsi="Times New Roman"/>
          <w:sz w:val="24"/>
          <w:szCs w:val="24"/>
          <w:lang w:eastAsia="zh-CN"/>
        </w:rPr>
        <w:t xml:space="preserve">However, this is in line with the application of the approach to the relevant context </w:t>
      </w:r>
      <w:r>
        <w:rPr>
          <w:rFonts w:ascii="Times New Roman" w:hAnsi="Times New Roman"/>
          <w:noProof/>
          <w:sz w:val="24"/>
          <w:szCs w:val="24"/>
          <w:lang w:eastAsia="zh-CN"/>
        </w:rPr>
        <w:t>(as argued by Hilding-Rydevik and Bjarnadóttir, 2007)</w:t>
      </w:r>
      <w:r>
        <w:rPr>
          <w:rFonts w:ascii="Times New Roman" w:hAnsi="Times New Roman"/>
          <w:sz w:val="24"/>
          <w:szCs w:val="24"/>
          <w:lang w:eastAsia="zh-CN"/>
        </w:rPr>
        <w:t xml:space="preserve"> set out in Figure 2 – where the decisions stakes, or uncertainty, or both are very high. In the majority of cases, existing IA practices can continue to operate. There is increasing interest in the potential to embed resilience thinking in IA </w:t>
      </w:r>
      <w:r>
        <w:rPr>
          <w:rFonts w:ascii="Times New Roman" w:hAnsi="Times New Roman"/>
          <w:noProof/>
          <w:sz w:val="24"/>
          <w:szCs w:val="24"/>
          <w:lang w:eastAsia="zh-CN"/>
        </w:rPr>
        <w:t>(Slootweg and Jones, 2011)</w:t>
      </w:r>
      <w:r>
        <w:rPr>
          <w:rFonts w:ascii="Times New Roman" w:hAnsi="Times New Roman"/>
          <w:sz w:val="24"/>
          <w:szCs w:val="24"/>
          <w:lang w:eastAsia="zh-CN"/>
        </w:rPr>
        <w:t xml:space="preserve"> which, up to now, has been conceptual in nature. We believe we have met our aim to </w:t>
      </w:r>
      <w:r>
        <w:rPr>
          <w:rFonts w:ascii="Times New Roman" w:hAnsi="Times New Roman"/>
          <w:sz w:val="24"/>
          <w:szCs w:val="24"/>
        </w:rPr>
        <w:t>develop a process of IA which can better accommodate uncertainty</w:t>
      </w:r>
      <w:r>
        <w:rPr>
          <w:rFonts w:ascii="Times New Roman" w:hAnsi="Times New Roman"/>
          <w:sz w:val="24"/>
          <w:szCs w:val="24"/>
          <w:lang w:eastAsia="zh-CN"/>
        </w:rPr>
        <w:t xml:space="preserve">, but have not tested the approach in practice. We offer the process to others </w:t>
      </w:r>
      <w:r>
        <w:rPr>
          <w:rFonts w:ascii="Times New Roman" w:hAnsi="Times New Roman" w:cs="Arial"/>
          <w:sz w:val="24"/>
          <w:szCs w:val="28"/>
          <w:lang w:val="en-US"/>
        </w:rPr>
        <w:t xml:space="preserve">and encourage them to test and develop the approach so that it can evolve into a more cost-effective process that can be widely </w:t>
      </w:r>
      <w:r w:rsidRPr="000F6695">
        <w:rPr>
          <w:rFonts w:ascii="Times New Roman" w:hAnsi="Times New Roman" w:cs="Arial"/>
          <w:sz w:val="24"/>
          <w:szCs w:val="28"/>
          <w:lang w:val="en-US"/>
        </w:rPr>
        <w:t xml:space="preserve">applied in the quest to anticipate and </w:t>
      </w:r>
      <w:r>
        <w:rPr>
          <w:rFonts w:ascii="Times New Roman" w:hAnsi="Times New Roman" w:cs="Arial"/>
          <w:sz w:val="24"/>
          <w:szCs w:val="28"/>
          <w:lang w:val="en-US"/>
        </w:rPr>
        <w:t>manage an uncertain future.</w:t>
      </w:r>
    </w:p>
    <w:p w:rsidR="00CF0849" w:rsidRPr="00F3415A" w:rsidRDefault="00CF0849" w:rsidP="009972A0">
      <w:pPr>
        <w:autoSpaceDE w:val="0"/>
        <w:autoSpaceDN w:val="0"/>
        <w:adjustRightInd w:val="0"/>
        <w:rPr>
          <w:rFonts w:ascii="Times New Roman" w:hAnsi="Times New Roman"/>
          <w:sz w:val="24"/>
          <w:szCs w:val="24"/>
          <w:lang w:eastAsia="zh-CN"/>
        </w:rPr>
      </w:pPr>
    </w:p>
    <w:p w:rsidR="00CF0849" w:rsidRPr="00F3415A" w:rsidRDefault="00CF0849" w:rsidP="005B4784">
      <w:pPr>
        <w:autoSpaceDE w:val="0"/>
        <w:autoSpaceDN w:val="0"/>
        <w:adjustRightInd w:val="0"/>
        <w:rPr>
          <w:rFonts w:ascii="Times New Roman" w:hAnsi="Times New Roman"/>
          <w:sz w:val="24"/>
          <w:szCs w:val="24"/>
          <w:lang w:eastAsia="zh-CN"/>
        </w:rPr>
      </w:pPr>
    </w:p>
    <w:p w:rsidR="00CF0849" w:rsidRPr="00F3415A" w:rsidRDefault="00CF0849" w:rsidP="005B4784">
      <w:pPr>
        <w:autoSpaceDE w:val="0"/>
        <w:autoSpaceDN w:val="0"/>
        <w:adjustRightInd w:val="0"/>
        <w:rPr>
          <w:rFonts w:ascii="Times New Roman" w:hAnsi="Times New Roman"/>
          <w:b/>
          <w:sz w:val="24"/>
          <w:szCs w:val="24"/>
          <w:lang w:eastAsia="zh-CN"/>
        </w:rPr>
      </w:pPr>
      <w:r w:rsidRPr="00F3415A">
        <w:rPr>
          <w:rFonts w:ascii="Times New Roman" w:hAnsi="Times New Roman"/>
          <w:b/>
          <w:sz w:val="24"/>
          <w:szCs w:val="24"/>
          <w:lang w:eastAsia="zh-CN"/>
        </w:rPr>
        <w:t>Acknowledgements</w:t>
      </w:r>
    </w:p>
    <w:p w:rsidR="00CF0849" w:rsidRDefault="00CF0849" w:rsidP="005B47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Garamond"/>
          <w:color w:val="000000"/>
          <w:sz w:val="24"/>
          <w:szCs w:val="28"/>
          <w:lang w:val="en-US"/>
        </w:rPr>
      </w:pPr>
      <w:r>
        <w:rPr>
          <w:rFonts w:ascii="Times New Roman" w:hAnsi="Times New Roman"/>
          <w:sz w:val="24"/>
          <w:szCs w:val="24"/>
          <w:lang w:eastAsia="zh-CN"/>
        </w:rPr>
        <w:t>An early draft</w:t>
      </w:r>
      <w:r w:rsidRPr="00F3415A">
        <w:rPr>
          <w:rFonts w:ascii="Times New Roman" w:hAnsi="Times New Roman"/>
          <w:sz w:val="24"/>
          <w:szCs w:val="24"/>
          <w:lang w:eastAsia="zh-CN"/>
        </w:rPr>
        <w:t xml:space="preserve"> of this paper w</w:t>
      </w:r>
      <w:r>
        <w:rPr>
          <w:rFonts w:ascii="Times New Roman" w:hAnsi="Times New Roman"/>
          <w:sz w:val="24"/>
          <w:szCs w:val="24"/>
          <w:lang w:eastAsia="zh-CN"/>
        </w:rPr>
        <w:t>as</w:t>
      </w:r>
      <w:r w:rsidRPr="00F3415A">
        <w:rPr>
          <w:rFonts w:ascii="Times New Roman" w:hAnsi="Times New Roman"/>
          <w:sz w:val="24"/>
          <w:szCs w:val="24"/>
          <w:lang w:eastAsia="zh-CN"/>
        </w:rPr>
        <w:t xml:space="preserve"> developed with assistance from the Economic and Social Research Council and w</w:t>
      </w:r>
      <w:r>
        <w:rPr>
          <w:rFonts w:ascii="Times New Roman" w:hAnsi="Times New Roman"/>
          <w:sz w:val="24"/>
          <w:szCs w:val="24"/>
          <w:lang w:eastAsia="zh-CN"/>
        </w:rPr>
        <w:t>as</w:t>
      </w:r>
      <w:r w:rsidRPr="00F3415A">
        <w:rPr>
          <w:rFonts w:ascii="Times New Roman" w:hAnsi="Times New Roman"/>
          <w:sz w:val="24"/>
          <w:szCs w:val="24"/>
          <w:lang w:eastAsia="zh-CN"/>
        </w:rPr>
        <w:t xml:space="preserve"> presented at the </w:t>
      </w:r>
      <w:r w:rsidRPr="00F3415A">
        <w:rPr>
          <w:rFonts w:ascii="Times New Roman" w:hAnsi="Times New Roman" w:cs="Garamond"/>
          <w:color w:val="000000"/>
          <w:sz w:val="24"/>
          <w:szCs w:val="31"/>
          <w:lang w:val="en-US"/>
        </w:rPr>
        <w:t xml:space="preserve">Japan-UK joint workshop on </w:t>
      </w:r>
      <w:r w:rsidRPr="00F3415A">
        <w:rPr>
          <w:rFonts w:ascii="Times New Roman" w:hAnsi="Times New Roman" w:cs="Garamond"/>
          <w:color w:val="000000"/>
          <w:sz w:val="24"/>
          <w:szCs w:val="48"/>
          <w:lang w:val="en-US"/>
        </w:rPr>
        <w:t xml:space="preserve">Policy Integration between Environmental Assessment and Disaster Management, </w:t>
      </w:r>
      <w:r w:rsidRPr="00F3415A">
        <w:rPr>
          <w:rFonts w:ascii="Times New Roman" w:hAnsi="Times New Roman" w:cs="Garamond"/>
          <w:color w:val="000000"/>
          <w:sz w:val="24"/>
          <w:szCs w:val="28"/>
          <w:lang w:val="en-US"/>
        </w:rPr>
        <w:t xml:space="preserve">Chiba University of Commerce, 30 Nov - 3 Dec 2012, Ichikawa, Japan. </w:t>
      </w:r>
    </w:p>
    <w:p w:rsidR="00CF0849" w:rsidRPr="00F3415A" w:rsidRDefault="00CF0849" w:rsidP="005B4784">
      <w:pPr>
        <w:rPr>
          <w:rFonts w:ascii="Times New Roman" w:hAnsi="Times New Roman"/>
          <w:sz w:val="24"/>
          <w:szCs w:val="24"/>
        </w:rPr>
      </w:pPr>
    </w:p>
    <w:p w:rsidR="00CF0849" w:rsidRPr="006A6056" w:rsidRDefault="00CF0849" w:rsidP="005B4784">
      <w:pPr>
        <w:rPr>
          <w:rFonts w:ascii="Times New Roman" w:hAnsi="Times New Roman"/>
          <w:b/>
          <w:sz w:val="24"/>
          <w:szCs w:val="24"/>
        </w:rPr>
      </w:pPr>
      <w:r w:rsidRPr="006A6056">
        <w:rPr>
          <w:rFonts w:ascii="Times New Roman" w:hAnsi="Times New Roman"/>
          <w:b/>
          <w:sz w:val="24"/>
          <w:szCs w:val="24"/>
        </w:rPr>
        <w:t>References</w:t>
      </w:r>
    </w:p>
    <w:p w:rsidR="00CF0849" w:rsidRPr="00767F27" w:rsidRDefault="00CF0849" w:rsidP="00767F27">
      <w:pPr>
        <w:spacing w:after="0" w:line="240" w:lineRule="auto"/>
        <w:ind w:left="720" w:hanging="720"/>
        <w:rPr>
          <w:rFonts w:ascii="Helvetica" w:hAnsi="Helvetica"/>
          <w:noProof/>
          <w:sz w:val="24"/>
          <w:szCs w:val="24"/>
        </w:rPr>
      </w:pPr>
      <w:bookmarkStart w:id="1" w:name="_ENREF_1"/>
      <w:r w:rsidRPr="00767F27">
        <w:rPr>
          <w:rFonts w:ascii="Helvetica" w:hAnsi="Helvetica"/>
          <w:noProof/>
          <w:sz w:val="24"/>
          <w:szCs w:val="24"/>
        </w:rPr>
        <w:t xml:space="preserve">Bartlett, R V and P A Kurian (1999), "The Theory of Environmental Impact Assessment: Implicit models of policy making", </w:t>
      </w:r>
      <w:r w:rsidRPr="00767F27">
        <w:rPr>
          <w:rFonts w:ascii="Helvetica" w:hAnsi="Helvetica"/>
          <w:i/>
          <w:noProof/>
          <w:sz w:val="24"/>
          <w:szCs w:val="24"/>
        </w:rPr>
        <w:t>Policy &amp; Politics</w:t>
      </w:r>
      <w:r w:rsidRPr="00767F27">
        <w:rPr>
          <w:rFonts w:ascii="Helvetica" w:hAnsi="Helvetica"/>
          <w:noProof/>
          <w:sz w:val="24"/>
          <w:szCs w:val="24"/>
        </w:rPr>
        <w:t xml:space="preserve">, </w:t>
      </w:r>
      <w:r w:rsidRPr="00767F27">
        <w:rPr>
          <w:rFonts w:ascii="Helvetica" w:hAnsi="Helvetica"/>
          <w:b/>
          <w:noProof/>
          <w:sz w:val="24"/>
          <w:szCs w:val="24"/>
        </w:rPr>
        <w:t>27(4)</w:t>
      </w:r>
      <w:r w:rsidRPr="00767F27">
        <w:rPr>
          <w:rFonts w:ascii="Helvetica" w:hAnsi="Helvetica"/>
          <w:noProof/>
          <w:sz w:val="24"/>
          <w:szCs w:val="24"/>
        </w:rPr>
        <w:t>, pages 415-433.</w:t>
      </w:r>
      <w:bookmarkEnd w:id="1"/>
    </w:p>
    <w:p w:rsidR="00CF0849" w:rsidRPr="00767F27" w:rsidRDefault="00CF0849" w:rsidP="00767F27">
      <w:pPr>
        <w:spacing w:after="0" w:line="240" w:lineRule="auto"/>
        <w:ind w:left="720" w:hanging="720"/>
        <w:rPr>
          <w:rFonts w:ascii="Helvetica" w:hAnsi="Helvetica"/>
          <w:noProof/>
          <w:sz w:val="24"/>
          <w:szCs w:val="24"/>
        </w:rPr>
      </w:pPr>
      <w:bookmarkStart w:id="2" w:name="_ENREF_2"/>
      <w:r w:rsidRPr="00767F27">
        <w:rPr>
          <w:rFonts w:ascii="Helvetica" w:hAnsi="Helvetica"/>
          <w:noProof/>
          <w:sz w:val="24"/>
          <w:szCs w:val="24"/>
        </w:rPr>
        <w:t xml:space="preserve">Bekker, M P M, K Putters and T E D van der Grinten (2004), "Exploring the relation between evidence and decision-making: a political-administrative approach to health impact assessment",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24(2)</w:t>
      </w:r>
      <w:r w:rsidRPr="00767F27">
        <w:rPr>
          <w:rFonts w:ascii="Helvetica" w:hAnsi="Helvetica"/>
          <w:noProof/>
          <w:sz w:val="24"/>
          <w:szCs w:val="24"/>
        </w:rPr>
        <w:t>, pages 139-149.</w:t>
      </w:r>
      <w:bookmarkEnd w:id="2"/>
    </w:p>
    <w:p w:rsidR="00CF0849" w:rsidRPr="00767F27" w:rsidRDefault="00CF0849" w:rsidP="00767F27">
      <w:pPr>
        <w:spacing w:after="0" w:line="240" w:lineRule="auto"/>
        <w:ind w:left="720" w:hanging="720"/>
        <w:rPr>
          <w:rFonts w:ascii="Helvetica" w:hAnsi="Helvetica"/>
          <w:noProof/>
          <w:sz w:val="24"/>
          <w:szCs w:val="24"/>
        </w:rPr>
      </w:pPr>
      <w:bookmarkStart w:id="3" w:name="_ENREF_3"/>
      <w:r w:rsidRPr="00767F27">
        <w:rPr>
          <w:rFonts w:ascii="Helvetica" w:hAnsi="Helvetica"/>
          <w:noProof/>
          <w:sz w:val="24"/>
          <w:szCs w:val="24"/>
        </w:rPr>
        <w:t xml:space="preserve">Bennett, D H, M Scheringer, T E McKone and K Hungerbühler (2001), "Predicting long-range transport: A systematic evaluation of two multimedia transport models", </w:t>
      </w:r>
      <w:r w:rsidRPr="00767F27">
        <w:rPr>
          <w:rFonts w:ascii="Helvetica" w:hAnsi="Helvetica"/>
          <w:i/>
          <w:noProof/>
          <w:sz w:val="24"/>
          <w:szCs w:val="24"/>
        </w:rPr>
        <w:t>Environmental Science and Technology</w:t>
      </w:r>
      <w:r w:rsidRPr="00767F27">
        <w:rPr>
          <w:rFonts w:ascii="Helvetica" w:hAnsi="Helvetica"/>
          <w:noProof/>
          <w:sz w:val="24"/>
          <w:szCs w:val="24"/>
        </w:rPr>
        <w:t xml:space="preserve">, </w:t>
      </w:r>
      <w:r w:rsidRPr="00767F27">
        <w:rPr>
          <w:rFonts w:ascii="Helvetica" w:hAnsi="Helvetica"/>
          <w:b/>
          <w:noProof/>
          <w:sz w:val="24"/>
          <w:szCs w:val="24"/>
        </w:rPr>
        <w:t>35(6)</w:t>
      </w:r>
      <w:r w:rsidRPr="00767F27">
        <w:rPr>
          <w:rFonts w:ascii="Helvetica" w:hAnsi="Helvetica"/>
          <w:noProof/>
          <w:sz w:val="24"/>
          <w:szCs w:val="24"/>
        </w:rPr>
        <w:t>, pages 1181-1189.</w:t>
      </w:r>
      <w:bookmarkEnd w:id="3"/>
    </w:p>
    <w:p w:rsidR="00CF0849" w:rsidRPr="00767F27" w:rsidRDefault="00CF0849" w:rsidP="00767F27">
      <w:pPr>
        <w:spacing w:after="0" w:line="240" w:lineRule="auto"/>
        <w:ind w:left="720" w:hanging="720"/>
        <w:rPr>
          <w:rFonts w:ascii="Helvetica" w:hAnsi="Helvetica"/>
          <w:noProof/>
          <w:sz w:val="24"/>
          <w:szCs w:val="24"/>
        </w:rPr>
      </w:pPr>
      <w:bookmarkStart w:id="4" w:name="_ENREF_4"/>
      <w:r w:rsidRPr="00767F27">
        <w:rPr>
          <w:rFonts w:ascii="Helvetica" w:hAnsi="Helvetica"/>
          <w:noProof/>
          <w:sz w:val="24"/>
          <w:szCs w:val="24"/>
        </w:rPr>
        <w:t xml:space="preserve">Benson, M H and A S Garmestani (2011), "Embracing panarchy, building resilience and integrating adaptive management through a rebirth of the National Environmental Policy Act", </w:t>
      </w:r>
      <w:r w:rsidRPr="00767F27">
        <w:rPr>
          <w:rFonts w:ascii="Helvetica" w:hAnsi="Helvetica"/>
          <w:i/>
          <w:noProof/>
          <w:sz w:val="24"/>
          <w:szCs w:val="24"/>
        </w:rPr>
        <w:t>Journal of Environmental Management</w:t>
      </w:r>
      <w:r w:rsidRPr="00767F27">
        <w:rPr>
          <w:rFonts w:ascii="Helvetica" w:hAnsi="Helvetica"/>
          <w:noProof/>
          <w:sz w:val="24"/>
          <w:szCs w:val="24"/>
        </w:rPr>
        <w:t xml:space="preserve">, </w:t>
      </w:r>
      <w:r w:rsidRPr="00767F27">
        <w:rPr>
          <w:rFonts w:ascii="Helvetica" w:hAnsi="Helvetica"/>
          <w:b/>
          <w:noProof/>
          <w:sz w:val="24"/>
          <w:szCs w:val="24"/>
        </w:rPr>
        <w:t>92(5)</w:t>
      </w:r>
      <w:r w:rsidRPr="00767F27">
        <w:rPr>
          <w:rFonts w:ascii="Helvetica" w:hAnsi="Helvetica"/>
          <w:noProof/>
          <w:sz w:val="24"/>
          <w:szCs w:val="24"/>
        </w:rPr>
        <w:t>, pages 1420-1427.</w:t>
      </w:r>
      <w:bookmarkEnd w:id="4"/>
    </w:p>
    <w:p w:rsidR="00CF0849" w:rsidRPr="00767F27" w:rsidRDefault="00CF0849" w:rsidP="00767F27">
      <w:pPr>
        <w:spacing w:after="0" w:line="240" w:lineRule="auto"/>
        <w:ind w:left="720" w:hanging="720"/>
        <w:rPr>
          <w:rFonts w:ascii="Helvetica" w:hAnsi="Helvetica"/>
          <w:noProof/>
          <w:sz w:val="24"/>
          <w:szCs w:val="24"/>
        </w:rPr>
      </w:pPr>
      <w:bookmarkStart w:id="5" w:name="_ENREF_5"/>
      <w:r w:rsidRPr="00767F27">
        <w:rPr>
          <w:rFonts w:ascii="Helvetica" w:hAnsi="Helvetica"/>
          <w:noProof/>
          <w:sz w:val="24"/>
          <w:szCs w:val="24"/>
        </w:rPr>
        <w:t xml:space="preserve">Bond, A, T Dockerty, A Lovett, A B Riche, A J Haughton, D A Bohan, R B Sage, I F Shield, J W Finch, M M Turner and A Karp (2011), "Learning how to deal with values, frames and governance in Sustainability Appraisal", </w:t>
      </w:r>
      <w:r w:rsidRPr="00767F27">
        <w:rPr>
          <w:rFonts w:ascii="Helvetica" w:hAnsi="Helvetica"/>
          <w:i/>
          <w:noProof/>
          <w:sz w:val="24"/>
          <w:szCs w:val="24"/>
        </w:rPr>
        <w:t>Regional Studies</w:t>
      </w:r>
      <w:r w:rsidRPr="00767F27">
        <w:rPr>
          <w:rFonts w:ascii="Helvetica" w:hAnsi="Helvetica"/>
          <w:noProof/>
          <w:sz w:val="24"/>
          <w:szCs w:val="24"/>
        </w:rPr>
        <w:t xml:space="preserve">, </w:t>
      </w:r>
      <w:r w:rsidRPr="00767F27">
        <w:rPr>
          <w:rFonts w:ascii="Helvetica" w:hAnsi="Helvetica"/>
          <w:b/>
          <w:noProof/>
          <w:sz w:val="24"/>
          <w:szCs w:val="24"/>
        </w:rPr>
        <w:t>45(8)</w:t>
      </w:r>
      <w:r w:rsidRPr="00767F27">
        <w:rPr>
          <w:rFonts w:ascii="Helvetica" w:hAnsi="Helvetica"/>
          <w:noProof/>
          <w:sz w:val="24"/>
          <w:szCs w:val="24"/>
        </w:rPr>
        <w:t>, pages 1157-1170.</w:t>
      </w:r>
      <w:bookmarkEnd w:id="5"/>
    </w:p>
    <w:p w:rsidR="00CF0849" w:rsidRPr="00767F27" w:rsidRDefault="00CF0849" w:rsidP="00767F27">
      <w:pPr>
        <w:spacing w:after="0" w:line="240" w:lineRule="auto"/>
        <w:ind w:left="720" w:hanging="720"/>
        <w:rPr>
          <w:rFonts w:ascii="Helvetica" w:hAnsi="Helvetica"/>
          <w:noProof/>
          <w:sz w:val="24"/>
          <w:szCs w:val="24"/>
        </w:rPr>
      </w:pPr>
      <w:bookmarkStart w:id="6" w:name="_ENREF_6"/>
      <w:r w:rsidRPr="00767F27">
        <w:rPr>
          <w:rFonts w:ascii="Helvetica" w:hAnsi="Helvetica"/>
          <w:noProof/>
          <w:sz w:val="24"/>
          <w:szCs w:val="24"/>
        </w:rPr>
        <w:t xml:space="preserve">Bond, A, A Morrison-Saunders and R Howitt, (editors). (2013), </w:t>
      </w:r>
      <w:r w:rsidRPr="00767F27">
        <w:rPr>
          <w:rFonts w:ascii="Helvetica" w:hAnsi="Helvetica"/>
          <w:i/>
          <w:noProof/>
          <w:sz w:val="24"/>
          <w:szCs w:val="24"/>
        </w:rPr>
        <w:t>Sustainability Assessment: Pluralism, Practice and Progress</w:t>
      </w:r>
      <w:r w:rsidRPr="00767F27">
        <w:rPr>
          <w:rFonts w:ascii="Helvetica" w:hAnsi="Helvetica"/>
          <w:noProof/>
          <w:sz w:val="24"/>
          <w:szCs w:val="24"/>
        </w:rPr>
        <w:t>, Built Environment Series. (Taylor and Francis, London).</w:t>
      </w:r>
      <w:bookmarkEnd w:id="6"/>
    </w:p>
    <w:p w:rsidR="00CF0849" w:rsidRPr="00767F27" w:rsidRDefault="00CF0849" w:rsidP="00767F27">
      <w:pPr>
        <w:spacing w:after="0" w:line="240" w:lineRule="auto"/>
        <w:ind w:left="720" w:hanging="720"/>
        <w:rPr>
          <w:rFonts w:ascii="Helvetica" w:hAnsi="Helvetica"/>
          <w:noProof/>
          <w:sz w:val="24"/>
          <w:szCs w:val="24"/>
        </w:rPr>
      </w:pPr>
      <w:bookmarkStart w:id="7" w:name="_ENREF_7"/>
      <w:r w:rsidRPr="00767F27">
        <w:rPr>
          <w:rFonts w:ascii="Helvetica" w:hAnsi="Helvetica"/>
          <w:noProof/>
          <w:sz w:val="24"/>
          <w:szCs w:val="24"/>
        </w:rPr>
        <w:t xml:space="preserve">Bond, A J (2003), "Let's not be rational about this: response to Benson",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21(4)</w:t>
      </w:r>
      <w:r w:rsidRPr="00767F27">
        <w:rPr>
          <w:rFonts w:ascii="Helvetica" w:hAnsi="Helvetica"/>
          <w:noProof/>
          <w:sz w:val="24"/>
          <w:szCs w:val="24"/>
        </w:rPr>
        <w:t>, pages 266-268.</w:t>
      </w:r>
      <w:bookmarkEnd w:id="7"/>
    </w:p>
    <w:p w:rsidR="00CF0849" w:rsidRPr="00767F27" w:rsidRDefault="00CF0849" w:rsidP="00767F27">
      <w:pPr>
        <w:spacing w:after="0" w:line="240" w:lineRule="auto"/>
        <w:ind w:left="720" w:hanging="720"/>
        <w:rPr>
          <w:rFonts w:ascii="Helvetica" w:hAnsi="Helvetica"/>
          <w:noProof/>
          <w:sz w:val="24"/>
          <w:szCs w:val="24"/>
        </w:rPr>
      </w:pPr>
      <w:bookmarkStart w:id="8" w:name="_ENREF_8"/>
      <w:r w:rsidRPr="00767F27">
        <w:rPr>
          <w:rFonts w:ascii="Helvetica" w:hAnsi="Helvetica"/>
          <w:noProof/>
          <w:sz w:val="24"/>
          <w:szCs w:val="24"/>
        </w:rPr>
        <w:t xml:space="preserve">Bond, A J and A Morrison-Saunders (2011), "Re-evaluating Sustainability Assessment: aligning the vision and the practice",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31(1)</w:t>
      </w:r>
      <w:r w:rsidRPr="00767F27">
        <w:rPr>
          <w:rFonts w:ascii="Helvetica" w:hAnsi="Helvetica"/>
          <w:noProof/>
          <w:sz w:val="24"/>
          <w:szCs w:val="24"/>
        </w:rPr>
        <w:t>, pages 1-7.</w:t>
      </w:r>
      <w:bookmarkEnd w:id="8"/>
    </w:p>
    <w:p w:rsidR="00CF0849" w:rsidRPr="00767F27" w:rsidRDefault="00CF0849" w:rsidP="00767F27">
      <w:pPr>
        <w:spacing w:after="0" w:line="240" w:lineRule="auto"/>
        <w:ind w:left="720" w:hanging="720"/>
        <w:rPr>
          <w:rFonts w:ascii="Helvetica" w:hAnsi="Helvetica"/>
          <w:noProof/>
          <w:sz w:val="24"/>
          <w:szCs w:val="24"/>
        </w:rPr>
      </w:pPr>
      <w:bookmarkStart w:id="9" w:name="_ENREF_9"/>
      <w:r w:rsidRPr="00767F27">
        <w:rPr>
          <w:rFonts w:ascii="Helvetica" w:hAnsi="Helvetica"/>
          <w:noProof/>
          <w:sz w:val="24"/>
          <w:szCs w:val="24"/>
        </w:rPr>
        <w:t xml:space="preserve">Burgess, J, A Stirling, J Clark, G Davies, M Eames, K Staley and S Williamson (2007), "Deliberative mapping: a novel analytic-deliberative methodology to support contested science-policy decisions", </w:t>
      </w:r>
      <w:r w:rsidRPr="00767F27">
        <w:rPr>
          <w:rFonts w:ascii="Helvetica" w:hAnsi="Helvetica"/>
          <w:i/>
          <w:noProof/>
          <w:sz w:val="24"/>
          <w:szCs w:val="24"/>
        </w:rPr>
        <w:t>Public Understanding of Science</w:t>
      </w:r>
      <w:r w:rsidRPr="00767F27">
        <w:rPr>
          <w:rFonts w:ascii="Helvetica" w:hAnsi="Helvetica"/>
          <w:noProof/>
          <w:sz w:val="24"/>
          <w:szCs w:val="24"/>
        </w:rPr>
        <w:t xml:space="preserve">, </w:t>
      </w:r>
      <w:r w:rsidRPr="00767F27">
        <w:rPr>
          <w:rFonts w:ascii="Helvetica" w:hAnsi="Helvetica"/>
          <w:b/>
          <w:noProof/>
          <w:sz w:val="24"/>
          <w:szCs w:val="24"/>
        </w:rPr>
        <w:t>16(3)</w:t>
      </w:r>
      <w:r w:rsidRPr="00767F27">
        <w:rPr>
          <w:rFonts w:ascii="Helvetica" w:hAnsi="Helvetica"/>
          <w:noProof/>
          <w:sz w:val="24"/>
          <w:szCs w:val="24"/>
        </w:rPr>
        <w:t>, pages 299-322.</w:t>
      </w:r>
      <w:bookmarkEnd w:id="9"/>
    </w:p>
    <w:p w:rsidR="00CF0849" w:rsidRPr="00767F27" w:rsidRDefault="00CF0849" w:rsidP="00767F27">
      <w:pPr>
        <w:spacing w:after="0" w:line="240" w:lineRule="auto"/>
        <w:ind w:left="720" w:hanging="720"/>
        <w:rPr>
          <w:rFonts w:ascii="Helvetica" w:hAnsi="Helvetica"/>
          <w:noProof/>
          <w:sz w:val="24"/>
          <w:szCs w:val="24"/>
        </w:rPr>
      </w:pPr>
      <w:bookmarkStart w:id="10" w:name="_ENREF_10"/>
      <w:r w:rsidRPr="00767F27">
        <w:rPr>
          <w:rFonts w:ascii="Helvetica" w:hAnsi="Helvetica"/>
          <w:noProof/>
          <w:sz w:val="24"/>
          <w:szCs w:val="24"/>
        </w:rPr>
        <w:t xml:space="preserve">Byer, P H and J S Yeomans (2007), "Methods for addressing climate change uncertainties in project environmental impact assessments",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25(2)</w:t>
      </w:r>
      <w:r w:rsidRPr="00767F27">
        <w:rPr>
          <w:rFonts w:ascii="Helvetica" w:hAnsi="Helvetica"/>
          <w:noProof/>
          <w:sz w:val="24"/>
          <w:szCs w:val="24"/>
        </w:rPr>
        <w:t>, pages 85-99.</w:t>
      </w:r>
      <w:bookmarkEnd w:id="10"/>
    </w:p>
    <w:p w:rsidR="00CF0849" w:rsidRPr="00767F27" w:rsidRDefault="00CF0849" w:rsidP="00767F27">
      <w:pPr>
        <w:spacing w:after="0" w:line="240" w:lineRule="auto"/>
        <w:ind w:left="720" w:hanging="720"/>
        <w:rPr>
          <w:rFonts w:ascii="Helvetica" w:hAnsi="Helvetica"/>
          <w:noProof/>
          <w:sz w:val="24"/>
          <w:szCs w:val="24"/>
        </w:rPr>
      </w:pPr>
      <w:bookmarkStart w:id="11" w:name="_ENREF_11"/>
      <w:r w:rsidRPr="00767F27">
        <w:rPr>
          <w:rFonts w:ascii="Helvetica" w:hAnsi="Helvetica"/>
          <w:noProof/>
          <w:sz w:val="24"/>
          <w:szCs w:val="24"/>
        </w:rPr>
        <w:t xml:space="preserve">Canter, L and S F Atkinson (2010), "Adaptive management with integrated decision making: An emerging tool for cumulative effects management",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28(4)</w:t>
      </w:r>
      <w:r w:rsidRPr="00767F27">
        <w:rPr>
          <w:rFonts w:ascii="Helvetica" w:hAnsi="Helvetica"/>
          <w:noProof/>
          <w:sz w:val="24"/>
          <w:szCs w:val="24"/>
        </w:rPr>
        <w:t>, pages 287-297.</w:t>
      </w:r>
      <w:bookmarkEnd w:id="11"/>
    </w:p>
    <w:p w:rsidR="00CF0849" w:rsidRPr="00767F27" w:rsidRDefault="00CF0849" w:rsidP="00767F27">
      <w:pPr>
        <w:spacing w:after="0" w:line="240" w:lineRule="auto"/>
        <w:ind w:left="720" w:hanging="720"/>
        <w:rPr>
          <w:rFonts w:ascii="Helvetica" w:hAnsi="Helvetica"/>
          <w:noProof/>
          <w:sz w:val="24"/>
          <w:szCs w:val="24"/>
        </w:rPr>
      </w:pPr>
      <w:bookmarkStart w:id="12" w:name="_ENREF_12"/>
      <w:r w:rsidRPr="00767F27">
        <w:rPr>
          <w:rFonts w:ascii="Helvetica" w:hAnsi="Helvetica"/>
          <w:noProof/>
          <w:sz w:val="24"/>
          <w:szCs w:val="24"/>
        </w:rPr>
        <w:t xml:space="preserve">Cashmore, M (2004), "The role of science in environmental impact assessment: process and procedure versus purpose in the development of theory",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24(4)</w:t>
      </w:r>
      <w:r w:rsidRPr="00767F27">
        <w:rPr>
          <w:rFonts w:ascii="Helvetica" w:hAnsi="Helvetica"/>
          <w:noProof/>
          <w:sz w:val="24"/>
          <w:szCs w:val="24"/>
        </w:rPr>
        <w:t>, pages 403-426.</w:t>
      </w:r>
      <w:bookmarkEnd w:id="12"/>
    </w:p>
    <w:p w:rsidR="00CF0849" w:rsidRPr="00767F27" w:rsidRDefault="00CF0849" w:rsidP="00767F27">
      <w:pPr>
        <w:spacing w:after="0" w:line="240" w:lineRule="auto"/>
        <w:ind w:left="720" w:hanging="720"/>
        <w:rPr>
          <w:rFonts w:ascii="Helvetica" w:hAnsi="Helvetica"/>
          <w:noProof/>
          <w:sz w:val="24"/>
          <w:szCs w:val="24"/>
        </w:rPr>
      </w:pPr>
      <w:bookmarkStart w:id="13" w:name="_ENREF_13"/>
      <w:r w:rsidRPr="00767F27">
        <w:rPr>
          <w:rFonts w:ascii="Helvetica" w:hAnsi="Helvetica"/>
          <w:noProof/>
          <w:sz w:val="24"/>
          <w:szCs w:val="24"/>
        </w:rPr>
        <w:t xml:space="preserve">Cashmore, M, A Bond and B Sadler (2009), "Introduction: The effectiveness of impact assessment instruments",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27(2)</w:t>
      </w:r>
      <w:r w:rsidRPr="00767F27">
        <w:rPr>
          <w:rFonts w:ascii="Helvetica" w:hAnsi="Helvetica"/>
          <w:noProof/>
          <w:sz w:val="24"/>
          <w:szCs w:val="24"/>
        </w:rPr>
        <w:t>, pages 91-93.</w:t>
      </w:r>
      <w:bookmarkEnd w:id="13"/>
    </w:p>
    <w:p w:rsidR="00CF0849" w:rsidRPr="00767F27" w:rsidRDefault="00CF0849" w:rsidP="00767F27">
      <w:pPr>
        <w:spacing w:after="0" w:line="240" w:lineRule="auto"/>
        <w:ind w:left="720" w:hanging="720"/>
        <w:rPr>
          <w:rFonts w:ascii="Helvetica" w:hAnsi="Helvetica"/>
          <w:noProof/>
          <w:sz w:val="24"/>
          <w:szCs w:val="24"/>
        </w:rPr>
      </w:pPr>
      <w:bookmarkStart w:id="14" w:name="_ENREF_14"/>
      <w:r w:rsidRPr="00767F27">
        <w:rPr>
          <w:rFonts w:ascii="Helvetica" w:hAnsi="Helvetica"/>
          <w:noProof/>
          <w:sz w:val="24"/>
          <w:szCs w:val="24"/>
        </w:rPr>
        <w:t xml:space="preserve">Cashmore, M, R Gwilliam, R Morgan, D Cobb and A Bond (2004), "The interminable issue of effectiveness: substantive purposes, outcomes and research challenges in the advancement of environmental impact assessment theory",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22(4)</w:t>
      </w:r>
      <w:r w:rsidRPr="00767F27">
        <w:rPr>
          <w:rFonts w:ascii="Helvetica" w:hAnsi="Helvetica"/>
          <w:noProof/>
          <w:sz w:val="24"/>
          <w:szCs w:val="24"/>
        </w:rPr>
        <w:t>, pages 295-310.</w:t>
      </w:r>
      <w:bookmarkEnd w:id="14"/>
    </w:p>
    <w:p w:rsidR="00CF0849" w:rsidRPr="00767F27" w:rsidRDefault="00CF0849" w:rsidP="00767F27">
      <w:pPr>
        <w:spacing w:after="0" w:line="240" w:lineRule="auto"/>
        <w:ind w:left="720" w:hanging="720"/>
        <w:rPr>
          <w:rFonts w:ascii="Helvetica" w:hAnsi="Helvetica"/>
          <w:noProof/>
          <w:sz w:val="24"/>
          <w:szCs w:val="24"/>
        </w:rPr>
      </w:pPr>
      <w:bookmarkStart w:id="15" w:name="_ENREF_15"/>
      <w:r w:rsidRPr="00767F27">
        <w:rPr>
          <w:rFonts w:ascii="Helvetica" w:hAnsi="Helvetica"/>
          <w:noProof/>
          <w:sz w:val="24"/>
          <w:szCs w:val="24"/>
        </w:rPr>
        <w:t xml:space="preserve">Council of the European Communities (1992), "Council Directive 92/43/EEC of 21 May 1992 on the conservation of natural habitats and of wild fauna and flora", </w:t>
      </w:r>
      <w:r w:rsidRPr="00767F27">
        <w:rPr>
          <w:rFonts w:ascii="Helvetica" w:hAnsi="Helvetica"/>
          <w:i/>
          <w:noProof/>
          <w:sz w:val="24"/>
          <w:szCs w:val="24"/>
        </w:rPr>
        <w:t>Official Journal of the European Communities</w:t>
      </w:r>
      <w:r w:rsidRPr="00767F27">
        <w:rPr>
          <w:rFonts w:ascii="Helvetica" w:hAnsi="Helvetica"/>
          <w:noProof/>
          <w:sz w:val="24"/>
          <w:szCs w:val="24"/>
        </w:rPr>
        <w:t xml:space="preserve">, </w:t>
      </w:r>
      <w:r w:rsidRPr="00767F27">
        <w:rPr>
          <w:rFonts w:ascii="Helvetica" w:hAnsi="Helvetica"/>
          <w:b/>
          <w:noProof/>
          <w:sz w:val="24"/>
          <w:szCs w:val="24"/>
        </w:rPr>
        <w:t>L206(22/07/1992)</w:t>
      </w:r>
      <w:r w:rsidRPr="00767F27">
        <w:rPr>
          <w:rFonts w:ascii="Helvetica" w:hAnsi="Helvetica"/>
          <w:noProof/>
          <w:sz w:val="24"/>
          <w:szCs w:val="24"/>
        </w:rPr>
        <w:t>, pages 7-50.</w:t>
      </w:r>
      <w:bookmarkEnd w:id="15"/>
    </w:p>
    <w:p w:rsidR="00CF0849" w:rsidRPr="00767F27" w:rsidRDefault="00CF0849" w:rsidP="00767F27">
      <w:pPr>
        <w:spacing w:after="0" w:line="240" w:lineRule="auto"/>
        <w:ind w:left="720" w:hanging="720"/>
        <w:rPr>
          <w:rFonts w:ascii="Helvetica" w:hAnsi="Helvetica"/>
          <w:noProof/>
          <w:sz w:val="24"/>
          <w:szCs w:val="24"/>
        </w:rPr>
      </w:pPr>
      <w:bookmarkStart w:id="16" w:name="_ENREF_16"/>
      <w:r w:rsidRPr="00767F27">
        <w:rPr>
          <w:rFonts w:ascii="Helvetica" w:hAnsi="Helvetica"/>
          <w:noProof/>
          <w:sz w:val="24"/>
          <w:szCs w:val="24"/>
        </w:rPr>
        <w:t xml:space="preserve">Davidson, D J (2010), "The applicability of the concept of resilience to social systems: Some sources of optimism and nagging doubts", </w:t>
      </w:r>
      <w:r w:rsidRPr="00767F27">
        <w:rPr>
          <w:rFonts w:ascii="Helvetica" w:hAnsi="Helvetica"/>
          <w:i/>
          <w:noProof/>
          <w:sz w:val="24"/>
          <w:szCs w:val="24"/>
        </w:rPr>
        <w:t>Society and Natural Resources</w:t>
      </w:r>
      <w:r w:rsidRPr="00767F27">
        <w:rPr>
          <w:rFonts w:ascii="Helvetica" w:hAnsi="Helvetica"/>
          <w:noProof/>
          <w:sz w:val="24"/>
          <w:szCs w:val="24"/>
        </w:rPr>
        <w:t xml:space="preserve">, </w:t>
      </w:r>
      <w:r w:rsidRPr="00767F27">
        <w:rPr>
          <w:rFonts w:ascii="Helvetica" w:hAnsi="Helvetica"/>
          <w:b/>
          <w:noProof/>
          <w:sz w:val="24"/>
          <w:szCs w:val="24"/>
        </w:rPr>
        <w:t>23(12)</w:t>
      </w:r>
      <w:r w:rsidRPr="00767F27">
        <w:rPr>
          <w:rFonts w:ascii="Helvetica" w:hAnsi="Helvetica"/>
          <w:noProof/>
          <w:sz w:val="24"/>
          <w:szCs w:val="24"/>
        </w:rPr>
        <w:t>, pages 1135-1149.</w:t>
      </w:r>
      <w:bookmarkEnd w:id="16"/>
    </w:p>
    <w:p w:rsidR="00CF0849" w:rsidRPr="00767F27" w:rsidRDefault="00CF0849" w:rsidP="00767F27">
      <w:pPr>
        <w:spacing w:after="0" w:line="240" w:lineRule="auto"/>
        <w:ind w:left="720" w:hanging="720"/>
        <w:rPr>
          <w:rFonts w:ascii="Helvetica" w:hAnsi="Helvetica"/>
          <w:noProof/>
          <w:sz w:val="24"/>
          <w:szCs w:val="24"/>
        </w:rPr>
      </w:pPr>
      <w:bookmarkStart w:id="17" w:name="_ENREF_17"/>
      <w:r w:rsidRPr="00767F27">
        <w:rPr>
          <w:rFonts w:ascii="Helvetica" w:hAnsi="Helvetica"/>
          <w:noProof/>
          <w:sz w:val="24"/>
          <w:szCs w:val="24"/>
        </w:rPr>
        <w:t xml:space="preserve">Davoudi, S, K Shaw, L J Haider, A E Quinlan, G D Peterson, C Wilkinson, H Fünfgeld, D McEvoy, L Porter and S Davoudi (2012), "Resilience: A Bridging Concept or a Dead End? “Reframing” Resilience: Challenges for Planning Theory and Practice Interacting Traps: Resilience Assessment of a Pasture Management System in Northern Afghanistan Urban Resilience: What Does it Mean in Planning Practice? Resilience as a Useful Concept for Climate Change Adaptation? The Politics of Resilience for Planning: A Cautionary Note", </w:t>
      </w:r>
      <w:r w:rsidRPr="00767F27">
        <w:rPr>
          <w:rFonts w:ascii="Helvetica" w:hAnsi="Helvetica"/>
          <w:i/>
          <w:noProof/>
          <w:sz w:val="24"/>
          <w:szCs w:val="24"/>
        </w:rPr>
        <w:t>Planning Theory &amp; Practice</w:t>
      </w:r>
      <w:r w:rsidRPr="00767F27">
        <w:rPr>
          <w:rFonts w:ascii="Helvetica" w:hAnsi="Helvetica"/>
          <w:noProof/>
          <w:sz w:val="24"/>
          <w:szCs w:val="24"/>
        </w:rPr>
        <w:t xml:space="preserve">, </w:t>
      </w:r>
      <w:r w:rsidRPr="00767F27">
        <w:rPr>
          <w:rFonts w:ascii="Helvetica" w:hAnsi="Helvetica"/>
          <w:b/>
          <w:noProof/>
          <w:sz w:val="24"/>
          <w:szCs w:val="24"/>
        </w:rPr>
        <w:t>13(2)</w:t>
      </w:r>
      <w:r w:rsidRPr="00767F27">
        <w:rPr>
          <w:rFonts w:ascii="Helvetica" w:hAnsi="Helvetica"/>
          <w:noProof/>
          <w:sz w:val="24"/>
          <w:szCs w:val="24"/>
        </w:rPr>
        <w:t>, pages 299-333.</w:t>
      </w:r>
      <w:bookmarkEnd w:id="17"/>
    </w:p>
    <w:p w:rsidR="00CF0849" w:rsidRPr="00767F27" w:rsidRDefault="00CF0849" w:rsidP="00767F27">
      <w:pPr>
        <w:spacing w:after="0" w:line="240" w:lineRule="auto"/>
        <w:ind w:left="720" w:hanging="720"/>
        <w:rPr>
          <w:rFonts w:ascii="Helvetica" w:hAnsi="Helvetica"/>
          <w:noProof/>
          <w:sz w:val="24"/>
          <w:szCs w:val="24"/>
        </w:rPr>
      </w:pPr>
      <w:bookmarkStart w:id="18" w:name="_ENREF_18"/>
      <w:r w:rsidRPr="00767F27">
        <w:rPr>
          <w:rFonts w:ascii="Helvetica" w:hAnsi="Helvetica"/>
          <w:noProof/>
          <w:sz w:val="24"/>
          <w:szCs w:val="24"/>
        </w:rPr>
        <w:t xml:space="preserve">de Jongh, P (1988), "Uncertainty in EIA", in P Wathern (editor) </w:t>
      </w:r>
      <w:r w:rsidRPr="00767F27">
        <w:rPr>
          <w:rFonts w:ascii="Helvetica" w:hAnsi="Helvetica"/>
          <w:i/>
          <w:noProof/>
          <w:sz w:val="24"/>
          <w:szCs w:val="24"/>
        </w:rPr>
        <w:t>Environmental Impact Assessment: Theory and Practice</w:t>
      </w:r>
      <w:r w:rsidRPr="00767F27">
        <w:rPr>
          <w:rFonts w:ascii="Helvetica" w:hAnsi="Helvetica"/>
          <w:noProof/>
          <w:sz w:val="24"/>
          <w:szCs w:val="24"/>
        </w:rPr>
        <w:t xml:space="preserve"> (Routledge, London) pages</w:t>
      </w:r>
      <w:r w:rsidRPr="00767F27">
        <w:rPr>
          <w:rFonts w:ascii="Helvetica" w:hAnsi="Helvetica"/>
          <w:b/>
          <w:noProof/>
          <w:sz w:val="24"/>
          <w:szCs w:val="24"/>
        </w:rPr>
        <w:t xml:space="preserve"> </w:t>
      </w:r>
      <w:r w:rsidRPr="00767F27">
        <w:rPr>
          <w:rFonts w:ascii="Helvetica" w:hAnsi="Helvetica"/>
          <w:noProof/>
          <w:sz w:val="24"/>
          <w:szCs w:val="24"/>
        </w:rPr>
        <w:t>62-84.</w:t>
      </w:r>
      <w:bookmarkEnd w:id="18"/>
    </w:p>
    <w:p w:rsidR="00CF0849" w:rsidRPr="00767F27" w:rsidRDefault="00CF0849" w:rsidP="00767F27">
      <w:pPr>
        <w:spacing w:after="0" w:line="240" w:lineRule="auto"/>
        <w:ind w:left="720" w:hanging="720"/>
        <w:rPr>
          <w:rFonts w:ascii="Helvetica" w:hAnsi="Helvetica"/>
          <w:noProof/>
          <w:sz w:val="24"/>
          <w:szCs w:val="24"/>
        </w:rPr>
      </w:pPr>
      <w:bookmarkStart w:id="19" w:name="_ENREF_19"/>
      <w:r w:rsidRPr="00767F27">
        <w:rPr>
          <w:rFonts w:ascii="Helvetica" w:hAnsi="Helvetica"/>
          <w:noProof/>
          <w:sz w:val="24"/>
          <w:szCs w:val="24"/>
        </w:rPr>
        <w:t xml:space="preserve">Dipper, B, C Jones and C Wood (1998), "Monitoring and Post-auditing in Environmental Impact Assessment: A Review", </w:t>
      </w:r>
      <w:r w:rsidRPr="00767F27">
        <w:rPr>
          <w:rFonts w:ascii="Helvetica" w:hAnsi="Helvetica"/>
          <w:i/>
          <w:noProof/>
          <w:sz w:val="24"/>
          <w:szCs w:val="24"/>
        </w:rPr>
        <w:t>Journal of Environmental Planning and Management</w:t>
      </w:r>
      <w:r w:rsidRPr="00767F27">
        <w:rPr>
          <w:rFonts w:ascii="Helvetica" w:hAnsi="Helvetica"/>
          <w:noProof/>
          <w:sz w:val="24"/>
          <w:szCs w:val="24"/>
        </w:rPr>
        <w:t xml:space="preserve">, </w:t>
      </w:r>
      <w:r w:rsidRPr="00767F27">
        <w:rPr>
          <w:rFonts w:ascii="Helvetica" w:hAnsi="Helvetica"/>
          <w:b/>
          <w:noProof/>
          <w:sz w:val="24"/>
          <w:szCs w:val="24"/>
        </w:rPr>
        <w:t>41(6)</w:t>
      </w:r>
      <w:r w:rsidRPr="00767F27">
        <w:rPr>
          <w:rFonts w:ascii="Helvetica" w:hAnsi="Helvetica"/>
          <w:noProof/>
          <w:sz w:val="24"/>
          <w:szCs w:val="24"/>
        </w:rPr>
        <w:t>, pages 731-747.</w:t>
      </w:r>
      <w:bookmarkEnd w:id="19"/>
    </w:p>
    <w:p w:rsidR="00CF0849" w:rsidRPr="00767F27" w:rsidRDefault="00CF0849" w:rsidP="00767F27">
      <w:pPr>
        <w:spacing w:after="0" w:line="240" w:lineRule="auto"/>
        <w:ind w:left="720" w:hanging="720"/>
        <w:rPr>
          <w:rFonts w:ascii="Helvetica" w:hAnsi="Helvetica"/>
          <w:noProof/>
          <w:sz w:val="24"/>
          <w:szCs w:val="24"/>
        </w:rPr>
      </w:pPr>
      <w:bookmarkStart w:id="20" w:name="_ENREF_20"/>
      <w:r w:rsidRPr="00767F27">
        <w:rPr>
          <w:rFonts w:ascii="Helvetica" w:hAnsi="Helvetica"/>
          <w:noProof/>
          <w:sz w:val="24"/>
          <w:szCs w:val="24"/>
        </w:rPr>
        <w:t xml:space="preserve">Donnelly, A, E Jennings, P Mooney, J Finnan, D Lynn, M Jones, T O'Mahony, R Thérivel and G Byrne (2006), "Workshop approach to developing objectives, targets and indicators for use in SEA", </w:t>
      </w:r>
      <w:r w:rsidRPr="00767F27">
        <w:rPr>
          <w:rFonts w:ascii="Helvetica" w:hAnsi="Helvetica"/>
          <w:i/>
          <w:noProof/>
          <w:sz w:val="24"/>
          <w:szCs w:val="24"/>
        </w:rPr>
        <w:t>Journal of Environmental Assessment Policy and Management</w:t>
      </w:r>
      <w:r w:rsidRPr="00767F27">
        <w:rPr>
          <w:rFonts w:ascii="Helvetica" w:hAnsi="Helvetica"/>
          <w:noProof/>
          <w:sz w:val="24"/>
          <w:szCs w:val="24"/>
        </w:rPr>
        <w:t xml:space="preserve">, </w:t>
      </w:r>
      <w:r w:rsidRPr="00767F27">
        <w:rPr>
          <w:rFonts w:ascii="Helvetica" w:hAnsi="Helvetica"/>
          <w:b/>
          <w:noProof/>
          <w:sz w:val="24"/>
          <w:szCs w:val="24"/>
        </w:rPr>
        <w:t>8(2)</w:t>
      </w:r>
      <w:r w:rsidRPr="00767F27">
        <w:rPr>
          <w:rFonts w:ascii="Helvetica" w:hAnsi="Helvetica"/>
          <w:noProof/>
          <w:sz w:val="24"/>
          <w:szCs w:val="24"/>
        </w:rPr>
        <w:t>, pages 135-156.</w:t>
      </w:r>
      <w:bookmarkEnd w:id="20"/>
    </w:p>
    <w:p w:rsidR="00CF0849" w:rsidRPr="00767F27" w:rsidRDefault="00CF0849" w:rsidP="00767F27">
      <w:pPr>
        <w:spacing w:after="0" w:line="240" w:lineRule="auto"/>
        <w:ind w:left="720" w:hanging="720"/>
        <w:rPr>
          <w:rFonts w:ascii="Helvetica" w:hAnsi="Helvetica"/>
          <w:noProof/>
          <w:sz w:val="24"/>
          <w:szCs w:val="24"/>
        </w:rPr>
      </w:pPr>
      <w:bookmarkStart w:id="21" w:name="_ENREF_21"/>
      <w:r w:rsidRPr="00767F27">
        <w:rPr>
          <w:rFonts w:ascii="Helvetica" w:hAnsi="Helvetica"/>
          <w:noProof/>
          <w:sz w:val="24"/>
          <w:szCs w:val="24"/>
        </w:rPr>
        <w:t xml:space="preserve">Duncan, R (2013), "Opening new institutional spaces for grappling with uncertainty: A constructivist perspective",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38</w:t>
      </w:r>
      <w:r w:rsidRPr="00767F27">
        <w:rPr>
          <w:rFonts w:ascii="Helvetica" w:hAnsi="Helvetica"/>
          <w:noProof/>
          <w:sz w:val="24"/>
          <w:szCs w:val="24"/>
        </w:rPr>
        <w:t>, pages 151-154.</w:t>
      </w:r>
      <w:bookmarkEnd w:id="21"/>
    </w:p>
    <w:p w:rsidR="00CF0849" w:rsidRPr="00767F27" w:rsidRDefault="00CF0849" w:rsidP="00767F27">
      <w:pPr>
        <w:spacing w:after="0" w:line="240" w:lineRule="auto"/>
        <w:ind w:left="720" w:hanging="720"/>
        <w:rPr>
          <w:rFonts w:ascii="Helvetica" w:hAnsi="Helvetica"/>
          <w:noProof/>
          <w:sz w:val="24"/>
          <w:szCs w:val="24"/>
        </w:rPr>
      </w:pPr>
      <w:bookmarkStart w:id="22" w:name="_ENREF_22"/>
      <w:r w:rsidRPr="00767F27">
        <w:rPr>
          <w:rFonts w:ascii="Helvetica" w:hAnsi="Helvetica"/>
          <w:noProof/>
          <w:sz w:val="24"/>
          <w:szCs w:val="24"/>
        </w:rPr>
        <w:t xml:space="preserve">Eales, R P and W R Sheate (2011), "Effectiveness of policy level environmental and sustainability assessment: Challenges and lessons from recent practice", </w:t>
      </w:r>
      <w:r w:rsidRPr="00767F27">
        <w:rPr>
          <w:rFonts w:ascii="Helvetica" w:hAnsi="Helvetica"/>
          <w:i/>
          <w:noProof/>
          <w:sz w:val="24"/>
          <w:szCs w:val="24"/>
        </w:rPr>
        <w:t>Journal of Environmental Assessment Policy and Management</w:t>
      </w:r>
      <w:r w:rsidRPr="00767F27">
        <w:rPr>
          <w:rFonts w:ascii="Helvetica" w:hAnsi="Helvetica"/>
          <w:noProof/>
          <w:sz w:val="24"/>
          <w:szCs w:val="24"/>
        </w:rPr>
        <w:t xml:space="preserve">, </w:t>
      </w:r>
      <w:r w:rsidRPr="00767F27">
        <w:rPr>
          <w:rFonts w:ascii="Helvetica" w:hAnsi="Helvetica"/>
          <w:b/>
          <w:noProof/>
          <w:sz w:val="24"/>
          <w:szCs w:val="24"/>
        </w:rPr>
        <w:t>13(1)</w:t>
      </w:r>
      <w:r w:rsidRPr="00767F27">
        <w:rPr>
          <w:rFonts w:ascii="Helvetica" w:hAnsi="Helvetica"/>
          <w:noProof/>
          <w:sz w:val="24"/>
          <w:szCs w:val="24"/>
        </w:rPr>
        <w:t>, pages 39-65.</w:t>
      </w:r>
      <w:bookmarkEnd w:id="22"/>
    </w:p>
    <w:p w:rsidR="00CF0849" w:rsidRPr="00767F27" w:rsidRDefault="00CF0849" w:rsidP="00767F27">
      <w:pPr>
        <w:spacing w:after="0" w:line="240" w:lineRule="auto"/>
        <w:ind w:left="720" w:hanging="720"/>
        <w:rPr>
          <w:rFonts w:ascii="Helvetica" w:hAnsi="Helvetica"/>
          <w:noProof/>
          <w:sz w:val="24"/>
          <w:szCs w:val="24"/>
        </w:rPr>
      </w:pPr>
      <w:bookmarkStart w:id="23" w:name="_ENREF_23"/>
      <w:r w:rsidRPr="00767F27">
        <w:rPr>
          <w:rFonts w:ascii="Helvetica" w:hAnsi="Helvetica"/>
          <w:noProof/>
          <w:sz w:val="24"/>
          <w:szCs w:val="24"/>
        </w:rPr>
        <w:t xml:space="preserve">Elling, B (2009), "Rationality and effectiveness: does EIA/SEA treat them as synonyms?",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27(2)</w:t>
      </w:r>
      <w:r w:rsidRPr="00767F27">
        <w:rPr>
          <w:rFonts w:ascii="Helvetica" w:hAnsi="Helvetica"/>
          <w:noProof/>
          <w:sz w:val="24"/>
          <w:szCs w:val="24"/>
        </w:rPr>
        <w:t>, pages 121-131.</w:t>
      </w:r>
      <w:bookmarkEnd w:id="23"/>
    </w:p>
    <w:p w:rsidR="00CF0849" w:rsidRPr="00767F27" w:rsidRDefault="00CF0849" w:rsidP="00767F27">
      <w:pPr>
        <w:spacing w:after="0" w:line="240" w:lineRule="auto"/>
        <w:ind w:left="720" w:hanging="720"/>
        <w:rPr>
          <w:rFonts w:ascii="Helvetica" w:hAnsi="Helvetica"/>
          <w:noProof/>
          <w:sz w:val="24"/>
          <w:szCs w:val="24"/>
        </w:rPr>
      </w:pPr>
      <w:bookmarkStart w:id="24" w:name="_ENREF_24"/>
      <w:r w:rsidRPr="00767F27">
        <w:rPr>
          <w:rFonts w:ascii="Helvetica" w:hAnsi="Helvetica"/>
          <w:noProof/>
          <w:sz w:val="24"/>
          <w:szCs w:val="24"/>
        </w:rPr>
        <w:t>Fish, R, J Burgess, J Chilvers, A Footitt, R Haines-Young, D Russel and D M Winter (2011), "Participatory and Deliberative Techniques to embed an Ecosystems Approach into Decision Making: an introductory Guide. (Defra Project Code: NR0124)", available at &lt;</w:t>
      </w:r>
      <w:r w:rsidRPr="00CF0849">
        <w:rPr>
          <w:rFonts w:ascii="Helvetica" w:hAnsi="Helvetica"/>
          <w:noProof/>
          <w:sz w:val="24"/>
          <w:szCs w:val="24"/>
        </w:rPr>
        <w:t>http://randd.defra.gov.uk/Document.aspx?Document=NR0124_10262_FRP.pdf&gt;</w:t>
      </w:r>
      <w:r w:rsidRPr="00767F27">
        <w:rPr>
          <w:rFonts w:ascii="Helvetica" w:hAnsi="Helvetica"/>
          <w:noProof/>
          <w:sz w:val="24"/>
          <w:szCs w:val="24"/>
        </w:rPr>
        <w:t>, last accessed 24th June 2011.</w:t>
      </w:r>
      <w:bookmarkEnd w:id="24"/>
    </w:p>
    <w:p w:rsidR="00CF0849" w:rsidRPr="00767F27" w:rsidRDefault="00CF0849" w:rsidP="00767F27">
      <w:pPr>
        <w:spacing w:after="0" w:line="240" w:lineRule="auto"/>
        <w:ind w:left="720" w:hanging="720"/>
        <w:rPr>
          <w:rFonts w:ascii="Helvetica" w:hAnsi="Helvetica"/>
          <w:noProof/>
          <w:sz w:val="24"/>
          <w:szCs w:val="24"/>
        </w:rPr>
      </w:pPr>
      <w:bookmarkStart w:id="25" w:name="_ENREF_25"/>
      <w:r w:rsidRPr="00767F27">
        <w:rPr>
          <w:rFonts w:ascii="Helvetica" w:hAnsi="Helvetica"/>
          <w:noProof/>
          <w:sz w:val="24"/>
          <w:szCs w:val="24"/>
        </w:rPr>
        <w:t xml:space="preserve">Funtowicz, S and J R Ravetz (1994a), "Emergent complex systems", </w:t>
      </w:r>
      <w:r w:rsidRPr="00767F27">
        <w:rPr>
          <w:rFonts w:ascii="Helvetica" w:hAnsi="Helvetica"/>
          <w:i/>
          <w:noProof/>
          <w:sz w:val="24"/>
          <w:szCs w:val="24"/>
        </w:rPr>
        <w:t>Futures</w:t>
      </w:r>
      <w:r w:rsidRPr="00767F27">
        <w:rPr>
          <w:rFonts w:ascii="Helvetica" w:hAnsi="Helvetica"/>
          <w:noProof/>
          <w:sz w:val="24"/>
          <w:szCs w:val="24"/>
        </w:rPr>
        <w:t xml:space="preserve">, </w:t>
      </w:r>
      <w:r w:rsidRPr="00767F27">
        <w:rPr>
          <w:rFonts w:ascii="Helvetica" w:hAnsi="Helvetica"/>
          <w:b/>
          <w:noProof/>
          <w:sz w:val="24"/>
          <w:szCs w:val="24"/>
        </w:rPr>
        <w:t>26(6)</w:t>
      </w:r>
      <w:r w:rsidRPr="00767F27">
        <w:rPr>
          <w:rFonts w:ascii="Helvetica" w:hAnsi="Helvetica"/>
          <w:noProof/>
          <w:sz w:val="24"/>
          <w:szCs w:val="24"/>
        </w:rPr>
        <w:t>, pages 568-582.</w:t>
      </w:r>
      <w:bookmarkEnd w:id="25"/>
    </w:p>
    <w:p w:rsidR="00CF0849" w:rsidRPr="00767F27" w:rsidRDefault="00CF0849" w:rsidP="00767F27">
      <w:pPr>
        <w:spacing w:after="0" w:line="240" w:lineRule="auto"/>
        <w:ind w:left="720" w:hanging="720"/>
        <w:rPr>
          <w:rFonts w:ascii="Helvetica" w:hAnsi="Helvetica"/>
          <w:noProof/>
          <w:sz w:val="24"/>
          <w:szCs w:val="24"/>
        </w:rPr>
      </w:pPr>
      <w:bookmarkStart w:id="26" w:name="_ENREF_26"/>
      <w:r w:rsidRPr="00767F27">
        <w:rPr>
          <w:rFonts w:ascii="Helvetica" w:hAnsi="Helvetica"/>
          <w:noProof/>
          <w:sz w:val="24"/>
          <w:szCs w:val="24"/>
        </w:rPr>
        <w:t xml:space="preserve">Funtowicz, S O and J R Ravetz (1993), "Science for the post-normal age", </w:t>
      </w:r>
      <w:r w:rsidRPr="00767F27">
        <w:rPr>
          <w:rFonts w:ascii="Helvetica" w:hAnsi="Helvetica"/>
          <w:i/>
          <w:noProof/>
          <w:sz w:val="24"/>
          <w:szCs w:val="24"/>
        </w:rPr>
        <w:t>Futures</w:t>
      </w:r>
      <w:r w:rsidRPr="00767F27">
        <w:rPr>
          <w:rFonts w:ascii="Helvetica" w:hAnsi="Helvetica"/>
          <w:noProof/>
          <w:sz w:val="24"/>
          <w:szCs w:val="24"/>
        </w:rPr>
        <w:t xml:space="preserve">, </w:t>
      </w:r>
      <w:r w:rsidRPr="00767F27">
        <w:rPr>
          <w:rFonts w:ascii="Helvetica" w:hAnsi="Helvetica"/>
          <w:b/>
          <w:noProof/>
          <w:sz w:val="24"/>
          <w:szCs w:val="24"/>
        </w:rPr>
        <w:t>25(7)</w:t>
      </w:r>
      <w:r w:rsidRPr="00767F27">
        <w:rPr>
          <w:rFonts w:ascii="Helvetica" w:hAnsi="Helvetica"/>
          <w:noProof/>
          <w:sz w:val="24"/>
          <w:szCs w:val="24"/>
        </w:rPr>
        <w:t>, pages 739-755.</w:t>
      </w:r>
      <w:bookmarkEnd w:id="26"/>
    </w:p>
    <w:p w:rsidR="00CF0849" w:rsidRPr="00767F27" w:rsidRDefault="00CF0849" w:rsidP="00767F27">
      <w:pPr>
        <w:spacing w:after="0" w:line="240" w:lineRule="auto"/>
        <w:ind w:left="720" w:hanging="720"/>
        <w:rPr>
          <w:rFonts w:ascii="Helvetica" w:hAnsi="Helvetica"/>
          <w:noProof/>
          <w:sz w:val="24"/>
          <w:szCs w:val="24"/>
        </w:rPr>
      </w:pPr>
      <w:bookmarkStart w:id="27" w:name="_ENREF_27"/>
      <w:r w:rsidRPr="00767F27">
        <w:rPr>
          <w:rFonts w:ascii="Helvetica" w:hAnsi="Helvetica"/>
          <w:noProof/>
          <w:sz w:val="24"/>
          <w:szCs w:val="24"/>
        </w:rPr>
        <w:t xml:space="preserve">Funtowicz, S O and J R Ravetz (1994b), "Uncertainty, complexity and post-normal science", </w:t>
      </w:r>
      <w:r w:rsidRPr="00767F27">
        <w:rPr>
          <w:rFonts w:ascii="Helvetica" w:hAnsi="Helvetica"/>
          <w:i/>
          <w:noProof/>
          <w:sz w:val="24"/>
          <w:szCs w:val="24"/>
        </w:rPr>
        <w:t>Environmental Toxicology and Chemistry</w:t>
      </w:r>
      <w:r w:rsidRPr="00767F27">
        <w:rPr>
          <w:rFonts w:ascii="Helvetica" w:hAnsi="Helvetica"/>
          <w:noProof/>
          <w:sz w:val="24"/>
          <w:szCs w:val="24"/>
        </w:rPr>
        <w:t xml:space="preserve">, </w:t>
      </w:r>
      <w:r w:rsidRPr="00767F27">
        <w:rPr>
          <w:rFonts w:ascii="Helvetica" w:hAnsi="Helvetica"/>
          <w:b/>
          <w:noProof/>
          <w:sz w:val="24"/>
          <w:szCs w:val="24"/>
        </w:rPr>
        <w:t>13(12)</w:t>
      </w:r>
      <w:r w:rsidRPr="00767F27">
        <w:rPr>
          <w:rFonts w:ascii="Helvetica" w:hAnsi="Helvetica"/>
          <w:noProof/>
          <w:sz w:val="24"/>
          <w:szCs w:val="24"/>
        </w:rPr>
        <w:t>, pages 1881-1885.</w:t>
      </w:r>
      <w:bookmarkEnd w:id="27"/>
    </w:p>
    <w:p w:rsidR="00CF0849" w:rsidRPr="00767F27" w:rsidRDefault="00CF0849" w:rsidP="00767F27">
      <w:pPr>
        <w:spacing w:after="0" w:line="240" w:lineRule="auto"/>
        <w:ind w:left="720" w:hanging="720"/>
        <w:rPr>
          <w:rFonts w:ascii="Helvetica" w:hAnsi="Helvetica"/>
          <w:noProof/>
          <w:sz w:val="24"/>
          <w:szCs w:val="24"/>
        </w:rPr>
      </w:pPr>
      <w:bookmarkStart w:id="28" w:name="_ENREF_28"/>
      <w:r w:rsidRPr="00767F27">
        <w:rPr>
          <w:rFonts w:ascii="Helvetica" w:hAnsi="Helvetica"/>
          <w:noProof/>
          <w:sz w:val="24"/>
          <w:szCs w:val="24"/>
        </w:rPr>
        <w:t xml:space="preserve">Funtowicz, S O and J R Ravetz (1994c), "The worth of a songbird: Ecological economics as a post-normal science", </w:t>
      </w:r>
      <w:r w:rsidRPr="00767F27">
        <w:rPr>
          <w:rFonts w:ascii="Helvetica" w:hAnsi="Helvetica"/>
          <w:i/>
          <w:noProof/>
          <w:sz w:val="24"/>
          <w:szCs w:val="24"/>
        </w:rPr>
        <w:t>Ecological Economics</w:t>
      </w:r>
      <w:r w:rsidRPr="00767F27">
        <w:rPr>
          <w:rFonts w:ascii="Helvetica" w:hAnsi="Helvetica"/>
          <w:noProof/>
          <w:sz w:val="24"/>
          <w:szCs w:val="24"/>
        </w:rPr>
        <w:t xml:space="preserve">, </w:t>
      </w:r>
      <w:r w:rsidRPr="00767F27">
        <w:rPr>
          <w:rFonts w:ascii="Helvetica" w:hAnsi="Helvetica"/>
          <w:b/>
          <w:noProof/>
          <w:sz w:val="24"/>
          <w:szCs w:val="24"/>
        </w:rPr>
        <w:t>10(3)</w:t>
      </w:r>
      <w:r w:rsidRPr="00767F27">
        <w:rPr>
          <w:rFonts w:ascii="Helvetica" w:hAnsi="Helvetica"/>
          <w:noProof/>
          <w:sz w:val="24"/>
          <w:szCs w:val="24"/>
        </w:rPr>
        <w:t>, pages 197-207.</w:t>
      </w:r>
      <w:bookmarkEnd w:id="28"/>
    </w:p>
    <w:p w:rsidR="00CF0849" w:rsidRPr="00767F27" w:rsidRDefault="00CF0849" w:rsidP="00767F27">
      <w:pPr>
        <w:spacing w:after="0" w:line="240" w:lineRule="auto"/>
        <w:ind w:left="720" w:hanging="720"/>
        <w:rPr>
          <w:rFonts w:ascii="Helvetica" w:hAnsi="Helvetica"/>
          <w:noProof/>
          <w:sz w:val="24"/>
          <w:szCs w:val="24"/>
        </w:rPr>
      </w:pPr>
      <w:bookmarkStart w:id="29" w:name="_ENREF_29"/>
      <w:r w:rsidRPr="00767F27">
        <w:rPr>
          <w:rFonts w:ascii="Helvetica" w:hAnsi="Helvetica"/>
          <w:noProof/>
          <w:sz w:val="24"/>
          <w:szCs w:val="24"/>
        </w:rPr>
        <w:t xml:space="preserve">Geneletti, D, E Beinat, C F Chung, A G Fabbri and H J Scholten (2003), "Accounting for uncertainty factors in biodiversity impact assessment: lessons from a case study",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23(4)</w:t>
      </w:r>
      <w:r w:rsidRPr="00767F27">
        <w:rPr>
          <w:rFonts w:ascii="Helvetica" w:hAnsi="Helvetica"/>
          <w:noProof/>
          <w:sz w:val="24"/>
          <w:szCs w:val="24"/>
        </w:rPr>
        <w:t>, pages 471-487.</w:t>
      </w:r>
      <w:bookmarkEnd w:id="29"/>
    </w:p>
    <w:p w:rsidR="00CF0849" w:rsidRPr="00767F27" w:rsidRDefault="00CF0849" w:rsidP="00767F27">
      <w:pPr>
        <w:spacing w:after="0" w:line="240" w:lineRule="auto"/>
        <w:ind w:left="720" w:hanging="720"/>
        <w:rPr>
          <w:rFonts w:ascii="Helvetica" w:hAnsi="Helvetica"/>
          <w:noProof/>
          <w:sz w:val="24"/>
          <w:szCs w:val="24"/>
        </w:rPr>
      </w:pPr>
      <w:bookmarkStart w:id="30" w:name="_ENREF_30"/>
      <w:r w:rsidRPr="00767F27">
        <w:rPr>
          <w:rFonts w:ascii="Helvetica" w:hAnsi="Helvetica"/>
          <w:noProof/>
          <w:sz w:val="24"/>
          <w:szCs w:val="24"/>
        </w:rPr>
        <w:t xml:space="preserve">Gunderson, L H and C S Holling (2002), </w:t>
      </w:r>
      <w:r w:rsidRPr="00767F27">
        <w:rPr>
          <w:rFonts w:ascii="Helvetica" w:hAnsi="Helvetica"/>
          <w:i/>
          <w:noProof/>
          <w:sz w:val="24"/>
          <w:szCs w:val="24"/>
        </w:rPr>
        <w:t>Panarchy: understanding transformations in human and natural systems</w:t>
      </w:r>
      <w:r w:rsidRPr="00767F27">
        <w:rPr>
          <w:rFonts w:ascii="Helvetica" w:hAnsi="Helvetica"/>
          <w:noProof/>
          <w:sz w:val="24"/>
          <w:szCs w:val="24"/>
        </w:rPr>
        <w:t xml:space="preserve"> (Island Press).</w:t>
      </w:r>
      <w:bookmarkEnd w:id="30"/>
    </w:p>
    <w:p w:rsidR="00CF0849" w:rsidRPr="00767F27" w:rsidRDefault="00CF0849" w:rsidP="00767F27">
      <w:pPr>
        <w:spacing w:after="0" w:line="240" w:lineRule="auto"/>
        <w:ind w:left="720" w:hanging="720"/>
        <w:rPr>
          <w:rFonts w:ascii="Helvetica" w:hAnsi="Helvetica"/>
          <w:noProof/>
          <w:sz w:val="24"/>
          <w:szCs w:val="24"/>
        </w:rPr>
      </w:pPr>
      <w:bookmarkStart w:id="31" w:name="_ENREF_31"/>
      <w:r w:rsidRPr="00767F27">
        <w:rPr>
          <w:rFonts w:ascii="Helvetica" w:hAnsi="Helvetica"/>
          <w:noProof/>
          <w:sz w:val="24"/>
          <w:szCs w:val="24"/>
        </w:rPr>
        <w:t xml:space="preserve">Hacking, T and P Guthrie (2006), "Sustainable Development Objectives in Impact Assessment: Why Are They Needed and Where Do They Come From?", </w:t>
      </w:r>
      <w:r w:rsidRPr="00767F27">
        <w:rPr>
          <w:rFonts w:ascii="Helvetica" w:hAnsi="Helvetica"/>
          <w:i/>
          <w:noProof/>
          <w:sz w:val="24"/>
          <w:szCs w:val="24"/>
        </w:rPr>
        <w:t>Journal of Environmental Assessment Policy and Management</w:t>
      </w:r>
      <w:r w:rsidRPr="00767F27">
        <w:rPr>
          <w:rFonts w:ascii="Helvetica" w:hAnsi="Helvetica"/>
          <w:noProof/>
          <w:sz w:val="24"/>
          <w:szCs w:val="24"/>
        </w:rPr>
        <w:t xml:space="preserve">, </w:t>
      </w:r>
      <w:r w:rsidRPr="00767F27">
        <w:rPr>
          <w:rFonts w:ascii="Helvetica" w:hAnsi="Helvetica"/>
          <w:b/>
          <w:noProof/>
          <w:sz w:val="24"/>
          <w:szCs w:val="24"/>
        </w:rPr>
        <w:t>8(3)</w:t>
      </w:r>
      <w:r w:rsidRPr="00767F27">
        <w:rPr>
          <w:rFonts w:ascii="Helvetica" w:hAnsi="Helvetica"/>
          <w:noProof/>
          <w:sz w:val="24"/>
          <w:szCs w:val="24"/>
        </w:rPr>
        <w:t>, pages 341-371.</w:t>
      </w:r>
      <w:bookmarkEnd w:id="31"/>
    </w:p>
    <w:p w:rsidR="00CF0849" w:rsidRPr="00767F27" w:rsidRDefault="00CF0849" w:rsidP="00767F27">
      <w:pPr>
        <w:spacing w:after="0" w:line="240" w:lineRule="auto"/>
        <w:ind w:left="720" w:hanging="720"/>
        <w:rPr>
          <w:rFonts w:ascii="Helvetica" w:hAnsi="Helvetica"/>
          <w:noProof/>
          <w:sz w:val="24"/>
          <w:szCs w:val="24"/>
        </w:rPr>
      </w:pPr>
      <w:bookmarkStart w:id="32" w:name="_ENREF_32"/>
      <w:r w:rsidRPr="00767F27">
        <w:rPr>
          <w:rFonts w:ascii="Helvetica" w:hAnsi="Helvetica"/>
          <w:noProof/>
          <w:sz w:val="24"/>
          <w:szCs w:val="24"/>
        </w:rPr>
        <w:t xml:space="preserve">Hanna, S and E Baja (2009), "A simple urban dispersion model tested with tracer data from Oklahoma City and Manhattan", </w:t>
      </w:r>
      <w:r w:rsidRPr="00767F27">
        <w:rPr>
          <w:rFonts w:ascii="Helvetica" w:hAnsi="Helvetica"/>
          <w:i/>
          <w:noProof/>
          <w:sz w:val="24"/>
          <w:szCs w:val="24"/>
        </w:rPr>
        <w:t>Atmospheric Environment</w:t>
      </w:r>
      <w:r w:rsidRPr="00767F27">
        <w:rPr>
          <w:rFonts w:ascii="Helvetica" w:hAnsi="Helvetica"/>
          <w:noProof/>
          <w:sz w:val="24"/>
          <w:szCs w:val="24"/>
        </w:rPr>
        <w:t xml:space="preserve">, </w:t>
      </w:r>
      <w:r w:rsidRPr="00767F27">
        <w:rPr>
          <w:rFonts w:ascii="Helvetica" w:hAnsi="Helvetica"/>
          <w:b/>
          <w:noProof/>
          <w:sz w:val="24"/>
          <w:szCs w:val="24"/>
        </w:rPr>
        <w:t>43(4)</w:t>
      </w:r>
      <w:r w:rsidRPr="00767F27">
        <w:rPr>
          <w:rFonts w:ascii="Helvetica" w:hAnsi="Helvetica"/>
          <w:noProof/>
          <w:sz w:val="24"/>
          <w:szCs w:val="24"/>
        </w:rPr>
        <w:t>, pages 778-786.</w:t>
      </w:r>
      <w:bookmarkEnd w:id="32"/>
    </w:p>
    <w:p w:rsidR="00CF0849" w:rsidRPr="00767F27" w:rsidRDefault="00CF0849" w:rsidP="00767F27">
      <w:pPr>
        <w:spacing w:after="0" w:line="240" w:lineRule="auto"/>
        <w:ind w:left="720" w:hanging="720"/>
        <w:rPr>
          <w:rFonts w:ascii="Helvetica" w:hAnsi="Helvetica"/>
          <w:noProof/>
          <w:sz w:val="24"/>
          <w:szCs w:val="24"/>
        </w:rPr>
      </w:pPr>
      <w:bookmarkStart w:id="33" w:name="_ENREF_33"/>
      <w:r w:rsidRPr="00767F27">
        <w:rPr>
          <w:rFonts w:ascii="Helvetica" w:hAnsi="Helvetica"/>
          <w:noProof/>
          <w:sz w:val="24"/>
          <w:szCs w:val="24"/>
        </w:rPr>
        <w:t xml:space="preserve">Hermans, F and L Knippenberg (2006), "A principle-based approach for the evaluation of sustainable development", </w:t>
      </w:r>
      <w:r w:rsidRPr="00767F27">
        <w:rPr>
          <w:rFonts w:ascii="Helvetica" w:hAnsi="Helvetica"/>
          <w:i/>
          <w:noProof/>
          <w:sz w:val="24"/>
          <w:szCs w:val="24"/>
        </w:rPr>
        <w:t>Journal of Environmental Assessment Policy and Management</w:t>
      </w:r>
      <w:r w:rsidRPr="00767F27">
        <w:rPr>
          <w:rFonts w:ascii="Helvetica" w:hAnsi="Helvetica"/>
          <w:noProof/>
          <w:sz w:val="24"/>
          <w:szCs w:val="24"/>
        </w:rPr>
        <w:t xml:space="preserve">, </w:t>
      </w:r>
      <w:r w:rsidRPr="00767F27">
        <w:rPr>
          <w:rFonts w:ascii="Helvetica" w:hAnsi="Helvetica"/>
          <w:b/>
          <w:noProof/>
          <w:sz w:val="24"/>
          <w:szCs w:val="24"/>
        </w:rPr>
        <w:t>8(3)</w:t>
      </w:r>
      <w:r w:rsidRPr="00767F27">
        <w:rPr>
          <w:rFonts w:ascii="Helvetica" w:hAnsi="Helvetica"/>
          <w:noProof/>
          <w:sz w:val="24"/>
          <w:szCs w:val="24"/>
        </w:rPr>
        <w:t>, pages 299-319.</w:t>
      </w:r>
      <w:bookmarkEnd w:id="33"/>
    </w:p>
    <w:p w:rsidR="00CF0849" w:rsidRPr="00767F27" w:rsidRDefault="00CF0849" w:rsidP="00767F27">
      <w:pPr>
        <w:spacing w:after="0" w:line="240" w:lineRule="auto"/>
        <w:ind w:left="720" w:hanging="720"/>
        <w:rPr>
          <w:rFonts w:ascii="Helvetica" w:hAnsi="Helvetica"/>
          <w:noProof/>
          <w:sz w:val="24"/>
          <w:szCs w:val="24"/>
        </w:rPr>
      </w:pPr>
      <w:bookmarkStart w:id="34" w:name="_ENREF_34"/>
      <w:r w:rsidRPr="00767F27">
        <w:rPr>
          <w:rFonts w:ascii="Helvetica" w:hAnsi="Helvetica"/>
          <w:noProof/>
          <w:sz w:val="24"/>
          <w:szCs w:val="24"/>
        </w:rPr>
        <w:t xml:space="preserve">Hilding-Rydevik, T and H Bjarnadóttir (2007), "Context awareness and sensitivity in SEA implementation",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27(7)</w:t>
      </w:r>
      <w:r w:rsidRPr="00767F27">
        <w:rPr>
          <w:rFonts w:ascii="Helvetica" w:hAnsi="Helvetica"/>
          <w:noProof/>
          <w:sz w:val="24"/>
          <w:szCs w:val="24"/>
        </w:rPr>
        <w:t>, pages 666-684.</w:t>
      </w:r>
      <w:bookmarkEnd w:id="34"/>
    </w:p>
    <w:p w:rsidR="00CF0849" w:rsidRPr="00767F27" w:rsidRDefault="00CF0849" w:rsidP="00767F27">
      <w:pPr>
        <w:spacing w:after="0" w:line="240" w:lineRule="auto"/>
        <w:ind w:left="720" w:hanging="720"/>
        <w:rPr>
          <w:rFonts w:ascii="Helvetica" w:hAnsi="Helvetica"/>
          <w:noProof/>
          <w:sz w:val="24"/>
          <w:szCs w:val="24"/>
        </w:rPr>
      </w:pPr>
      <w:bookmarkStart w:id="35" w:name="_ENREF_35"/>
      <w:r w:rsidRPr="00767F27">
        <w:rPr>
          <w:rFonts w:ascii="Helvetica" w:hAnsi="Helvetica"/>
          <w:noProof/>
          <w:sz w:val="24"/>
          <w:szCs w:val="24"/>
        </w:rPr>
        <w:t xml:space="preserve">Holling, C S and L H Gunderson (2002), "Chapter 2: Resilience and Adaptive Cycles", in L H Gunderson and C S Holling (editors), </w:t>
      </w:r>
      <w:r w:rsidRPr="00767F27">
        <w:rPr>
          <w:rFonts w:ascii="Helvetica" w:hAnsi="Helvetica"/>
          <w:i/>
          <w:noProof/>
          <w:sz w:val="24"/>
          <w:szCs w:val="24"/>
        </w:rPr>
        <w:t>Panarchy: understanding transformations in human and natural systems</w:t>
      </w:r>
      <w:r w:rsidRPr="00767F27">
        <w:rPr>
          <w:rFonts w:ascii="Helvetica" w:hAnsi="Helvetica"/>
          <w:noProof/>
          <w:sz w:val="24"/>
          <w:szCs w:val="24"/>
        </w:rPr>
        <w:t xml:space="preserve"> (Island Press, Washington) pages</w:t>
      </w:r>
      <w:r w:rsidRPr="00767F27">
        <w:rPr>
          <w:rFonts w:ascii="Helvetica" w:hAnsi="Helvetica"/>
          <w:b/>
          <w:noProof/>
          <w:sz w:val="24"/>
          <w:szCs w:val="24"/>
        </w:rPr>
        <w:t xml:space="preserve"> </w:t>
      </w:r>
      <w:r w:rsidRPr="00767F27">
        <w:rPr>
          <w:rFonts w:ascii="Helvetica" w:hAnsi="Helvetica"/>
          <w:noProof/>
          <w:sz w:val="24"/>
          <w:szCs w:val="24"/>
        </w:rPr>
        <w:t>25-62.</w:t>
      </w:r>
      <w:bookmarkEnd w:id="35"/>
    </w:p>
    <w:p w:rsidR="00CF0849" w:rsidRPr="00767F27" w:rsidRDefault="00CF0849" w:rsidP="00767F27">
      <w:pPr>
        <w:spacing w:after="0" w:line="240" w:lineRule="auto"/>
        <w:ind w:left="720" w:hanging="720"/>
        <w:rPr>
          <w:rFonts w:ascii="Helvetica" w:hAnsi="Helvetica"/>
          <w:noProof/>
          <w:sz w:val="24"/>
          <w:szCs w:val="24"/>
        </w:rPr>
      </w:pPr>
      <w:bookmarkStart w:id="36" w:name="_ENREF_36"/>
      <w:r w:rsidRPr="00767F27">
        <w:rPr>
          <w:rFonts w:ascii="Helvetica" w:hAnsi="Helvetica"/>
          <w:noProof/>
          <w:sz w:val="24"/>
          <w:szCs w:val="24"/>
        </w:rPr>
        <w:t>International Association for Impact Assessment (2009), "What is impact assessment?", available at &lt;</w:t>
      </w:r>
      <w:r w:rsidRPr="00CF0849">
        <w:rPr>
          <w:rFonts w:ascii="Helvetica" w:hAnsi="Helvetica"/>
          <w:noProof/>
          <w:sz w:val="24"/>
          <w:szCs w:val="24"/>
        </w:rPr>
        <w:t>http://www.iaia.org/publicdocuments/special-publications/What%20is%20IA_web.pdf&gt;</w:t>
      </w:r>
      <w:r w:rsidRPr="00767F27">
        <w:rPr>
          <w:rFonts w:ascii="Helvetica" w:hAnsi="Helvetica"/>
          <w:noProof/>
          <w:sz w:val="24"/>
          <w:szCs w:val="24"/>
        </w:rPr>
        <w:t>, last accessed 22 August 2013.</w:t>
      </w:r>
      <w:bookmarkEnd w:id="36"/>
    </w:p>
    <w:p w:rsidR="00CF0849" w:rsidRPr="00767F27" w:rsidRDefault="00CF0849" w:rsidP="00767F27">
      <w:pPr>
        <w:spacing w:after="0" w:line="240" w:lineRule="auto"/>
        <w:ind w:left="720" w:hanging="720"/>
        <w:rPr>
          <w:rFonts w:ascii="Helvetica" w:hAnsi="Helvetica"/>
          <w:noProof/>
          <w:sz w:val="24"/>
          <w:szCs w:val="24"/>
        </w:rPr>
      </w:pPr>
      <w:bookmarkStart w:id="37" w:name="_ENREF_37"/>
      <w:r w:rsidRPr="00767F27">
        <w:rPr>
          <w:rFonts w:ascii="Helvetica" w:hAnsi="Helvetica"/>
          <w:noProof/>
          <w:sz w:val="24"/>
          <w:szCs w:val="24"/>
        </w:rPr>
        <w:t xml:space="preserve">Kahneman, D (2013), </w:t>
      </w:r>
      <w:r w:rsidRPr="00767F27">
        <w:rPr>
          <w:rFonts w:ascii="Helvetica" w:hAnsi="Helvetica"/>
          <w:i/>
          <w:noProof/>
          <w:sz w:val="24"/>
          <w:szCs w:val="24"/>
        </w:rPr>
        <w:t>Thinking Fast and Slow</w:t>
      </w:r>
      <w:r w:rsidRPr="00767F27">
        <w:rPr>
          <w:rFonts w:ascii="Helvetica" w:hAnsi="Helvetica"/>
          <w:noProof/>
          <w:sz w:val="24"/>
          <w:szCs w:val="24"/>
        </w:rPr>
        <w:t xml:space="preserve"> (Farrar, Straus and Giroux, New York).</w:t>
      </w:r>
      <w:bookmarkEnd w:id="37"/>
    </w:p>
    <w:p w:rsidR="00CF0849" w:rsidRPr="00767F27" w:rsidRDefault="00CF0849" w:rsidP="00767F27">
      <w:pPr>
        <w:spacing w:after="0" w:line="240" w:lineRule="auto"/>
        <w:ind w:left="720" w:hanging="720"/>
        <w:rPr>
          <w:rFonts w:ascii="Helvetica" w:hAnsi="Helvetica"/>
          <w:noProof/>
          <w:sz w:val="24"/>
          <w:szCs w:val="24"/>
        </w:rPr>
      </w:pPr>
      <w:bookmarkStart w:id="38" w:name="_ENREF_38"/>
      <w:r w:rsidRPr="00767F27">
        <w:rPr>
          <w:rFonts w:ascii="Helvetica" w:hAnsi="Helvetica"/>
          <w:noProof/>
          <w:sz w:val="24"/>
          <w:szCs w:val="24"/>
        </w:rPr>
        <w:t xml:space="preserve">Karjalainen, T P, M Marttunen, S Sarkki and A-M Rytkönen (2013), "Integrating ecosystem services into environmental impact assessment: An analytic–deliberative approach",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40(0)</w:t>
      </w:r>
      <w:r w:rsidRPr="00767F27">
        <w:rPr>
          <w:rFonts w:ascii="Helvetica" w:hAnsi="Helvetica"/>
          <w:noProof/>
          <w:sz w:val="24"/>
          <w:szCs w:val="24"/>
        </w:rPr>
        <w:t>, pages 54-64.</w:t>
      </w:r>
      <w:bookmarkEnd w:id="38"/>
    </w:p>
    <w:p w:rsidR="00CF0849" w:rsidRPr="00767F27" w:rsidRDefault="00CF0849" w:rsidP="00767F27">
      <w:pPr>
        <w:spacing w:after="0" w:line="240" w:lineRule="auto"/>
        <w:ind w:left="720" w:hanging="720"/>
        <w:rPr>
          <w:rFonts w:ascii="Helvetica" w:hAnsi="Helvetica"/>
          <w:noProof/>
          <w:sz w:val="24"/>
          <w:szCs w:val="24"/>
        </w:rPr>
      </w:pPr>
      <w:bookmarkStart w:id="39" w:name="_ENREF_39"/>
      <w:r w:rsidRPr="00767F27">
        <w:rPr>
          <w:rFonts w:ascii="Helvetica" w:hAnsi="Helvetica"/>
          <w:noProof/>
          <w:sz w:val="24"/>
          <w:szCs w:val="24"/>
        </w:rPr>
        <w:t xml:space="preserve">Kørnøv, L and W A H Thissen (2000), "Rationality in Decision- and Policy-Making: Implications for Strategic Environmental Assessment",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18(3)</w:t>
      </w:r>
      <w:r w:rsidRPr="00767F27">
        <w:rPr>
          <w:rFonts w:ascii="Helvetica" w:hAnsi="Helvetica"/>
          <w:noProof/>
          <w:sz w:val="24"/>
          <w:szCs w:val="24"/>
        </w:rPr>
        <w:t>, pages 191-200.</w:t>
      </w:r>
      <w:bookmarkEnd w:id="39"/>
    </w:p>
    <w:p w:rsidR="00CF0849" w:rsidRPr="00767F27" w:rsidRDefault="00CF0849" w:rsidP="00767F27">
      <w:pPr>
        <w:spacing w:after="0" w:line="240" w:lineRule="auto"/>
        <w:ind w:left="720" w:hanging="720"/>
        <w:rPr>
          <w:rFonts w:ascii="Helvetica" w:hAnsi="Helvetica"/>
          <w:noProof/>
          <w:sz w:val="24"/>
          <w:szCs w:val="24"/>
        </w:rPr>
      </w:pPr>
      <w:bookmarkStart w:id="40" w:name="_ENREF_40"/>
      <w:r w:rsidRPr="00767F27">
        <w:rPr>
          <w:rFonts w:ascii="Helvetica" w:hAnsi="Helvetica"/>
          <w:noProof/>
          <w:sz w:val="24"/>
          <w:szCs w:val="24"/>
        </w:rPr>
        <w:t xml:space="preserve">Landström, C, S J Whatmore, L S N, N Odoni, A, N Ward and S Bradley (2011), "Coproducing flood risk knowledge: redistributing expertise in critical 'participatory modelling'", </w:t>
      </w:r>
      <w:r w:rsidRPr="00767F27">
        <w:rPr>
          <w:rFonts w:ascii="Helvetica" w:hAnsi="Helvetica"/>
          <w:i/>
          <w:noProof/>
          <w:sz w:val="24"/>
          <w:szCs w:val="24"/>
        </w:rPr>
        <w:t>Environment and Planning A</w:t>
      </w:r>
      <w:r w:rsidRPr="00767F27">
        <w:rPr>
          <w:rFonts w:ascii="Helvetica" w:hAnsi="Helvetica"/>
          <w:noProof/>
          <w:sz w:val="24"/>
          <w:szCs w:val="24"/>
        </w:rPr>
        <w:t xml:space="preserve">, </w:t>
      </w:r>
      <w:r w:rsidRPr="00767F27">
        <w:rPr>
          <w:rFonts w:ascii="Helvetica" w:hAnsi="Helvetica"/>
          <w:b/>
          <w:noProof/>
          <w:sz w:val="24"/>
          <w:szCs w:val="24"/>
        </w:rPr>
        <w:t>43</w:t>
      </w:r>
      <w:r w:rsidRPr="00767F27">
        <w:rPr>
          <w:rFonts w:ascii="Helvetica" w:hAnsi="Helvetica"/>
          <w:noProof/>
          <w:sz w:val="24"/>
          <w:szCs w:val="24"/>
        </w:rPr>
        <w:t>, pages 1617-1633.</w:t>
      </w:r>
      <w:bookmarkEnd w:id="40"/>
    </w:p>
    <w:p w:rsidR="00CF0849" w:rsidRPr="00767F27" w:rsidRDefault="00CF0849" w:rsidP="00767F27">
      <w:pPr>
        <w:spacing w:after="0" w:line="240" w:lineRule="auto"/>
        <w:ind w:left="720" w:hanging="720"/>
        <w:rPr>
          <w:rFonts w:ascii="Helvetica" w:hAnsi="Helvetica"/>
          <w:noProof/>
          <w:sz w:val="24"/>
          <w:szCs w:val="24"/>
        </w:rPr>
      </w:pPr>
      <w:bookmarkStart w:id="41" w:name="_ENREF_41"/>
      <w:r w:rsidRPr="00767F27">
        <w:rPr>
          <w:rFonts w:ascii="Helvetica" w:hAnsi="Helvetica"/>
          <w:noProof/>
          <w:sz w:val="24"/>
          <w:szCs w:val="24"/>
        </w:rPr>
        <w:t xml:space="preserve">Lane, S N, N Odoni, A, C Landström, S J Whatmore, N Ward and S Bradley (2011), "Doing flood risk science differently: an experiment in radical scientific method", </w:t>
      </w:r>
      <w:r w:rsidRPr="00767F27">
        <w:rPr>
          <w:rFonts w:ascii="Helvetica" w:hAnsi="Helvetica"/>
          <w:i/>
          <w:noProof/>
          <w:sz w:val="24"/>
          <w:szCs w:val="24"/>
        </w:rPr>
        <w:t>Transactions of the Institute of British Geographers</w:t>
      </w:r>
      <w:r w:rsidRPr="00767F27">
        <w:rPr>
          <w:rFonts w:ascii="Helvetica" w:hAnsi="Helvetica"/>
          <w:noProof/>
          <w:sz w:val="24"/>
          <w:szCs w:val="24"/>
        </w:rPr>
        <w:t xml:space="preserve">, </w:t>
      </w:r>
      <w:r w:rsidRPr="00767F27">
        <w:rPr>
          <w:rFonts w:ascii="Helvetica" w:hAnsi="Helvetica"/>
          <w:b/>
          <w:noProof/>
          <w:sz w:val="24"/>
          <w:szCs w:val="24"/>
        </w:rPr>
        <w:t>36</w:t>
      </w:r>
      <w:r w:rsidRPr="00767F27">
        <w:rPr>
          <w:rFonts w:ascii="Helvetica" w:hAnsi="Helvetica"/>
          <w:noProof/>
          <w:sz w:val="24"/>
          <w:szCs w:val="24"/>
        </w:rPr>
        <w:t>, pages 15-36.</w:t>
      </w:r>
      <w:bookmarkEnd w:id="41"/>
    </w:p>
    <w:p w:rsidR="00CF0849" w:rsidRPr="00767F27" w:rsidRDefault="00CF0849" w:rsidP="00767F27">
      <w:pPr>
        <w:spacing w:after="0" w:line="240" w:lineRule="auto"/>
        <w:ind w:left="720" w:hanging="720"/>
        <w:rPr>
          <w:rFonts w:ascii="Helvetica" w:hAnsi="Helvetica"/>
          <w:noProof/>
          <w:sz w:val="24"/>
          <w:szCs w:val="24"/>
        </w:rPr>
      </w:pPr>
      <w:bookmarkStart w:id="42" w:name="_ENREF_42"/>
      <w:r w:rsidRPr="00767F27">
        <w:rPr>
          <w:rFonts w:ascii="Helvetica" w:hAnsi="Helvetica"/>
          <w:noProof/>
          <w:sz w:val="24"/>
          <w:szCs w:val="24"/>
        </w:rPr>
        <w:t xml:space="preserve">Larsen, S V, L Kørnøv and P Driscoll (2013), "Avoiding climate change uncertainties in Strategic Environmental Assessment",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43</w:t>
      </w:r>
      <w:r w:rsidRPr="00767F27">
        <w:rPr>
          <w:rFonts w:ascii="Helvetica" w:hAnsi="Helvetica"/>
          <w:noProof/>
          <w:sz w:val="24"/>
          <w:szCs w:val="24"/>
        </w:rPr>
        <w:t>, pages 144-150.</w:t>
      </w:r>
      <w:bookmarkEnd w:id="42"/>
    </w:p>
    <w:p w:rsidR="00CF0849" w:rsidRPr="00767F27" w:rsidRDefault="00CF0849" w:rsidP="00767F27">
      <w:pPr>
        <w:spacing w:after="0" w:line="240" w:lineRule="auto"/>
        <w:ind w:left="720" w:hanging="720"/>
        <w:rPr>
          <w:rFonts w:ascii="Helvetica" w:hAnsi="Helvetica"/>
          <w:noProof/>
          <w:sz w:val="24"/>
          <w:szCs w:val="24"/>
        </w:rPr>
      </w:pPr>
      <w:bookmarkStart w:id="43" w:name="_ENREF_43"/>
      <w:r w:rsidRPr="00767F27">
        <w:rPr>
          <w:rFonts w:ascii="Helvetica" w:hAnsi="Helvetica"/>
          <w:noProof/>
          <w:sz w:val="24"/>
          <w:szCs w:val="24"/>
        </w:rPr>
        <w:t xml:space="preserve">Lawrence, D P (1997), "The need for EIA theory-building",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17</w:t>
      </w:r>
      <w:r w:rsidRPr="00767F27">
        <w:rPr>
          <w:rFonts w:ascii="Helvetica" w:hAnsi="Helvetica"/>
          <w:noProof/>
          <w:sz w:val="24"/>
          <w:szCs w:val="24"/>
        </w:rPr>
        <w:t>, pages 79-107.</w:t>
      </w:r>
      <w:bookmarkEnd w:id="43"/>
    </w:p>
    <w:p w:rsidR="00CF0849" w:rsidRPr="00767F27" w:rsidRDefault="00CF0849" w:rsidP="00767F27">
      <w:pPr>
        <w:spacing w:after="0" w:line="240" w:lineRule="auto"/>
        <w:ind w:left="720" w:hanging="720"/>
        <w:rPr>
          <w:rFonts w:ascii="Helvetica" w:hAnsi="Helvetica"/>
          <w:noProof/>
          <w:sz w:val="24"/>
          <w:szCs w:val="24"/>
        </w:rPr>
      </w:pPr>
      <w:bookmarkStart w:id="44" w:name="_ENREF_44"/>
      <w:r w:rsidRPr="00767F27">
        <w:rPr>
          <w:rFonts w:ascii="Helvetica" w:hAnsi="Helvetica"/>
          <w:noProof/>
          <w:sz w:val="24"/>
          <w:szCs w:val="24"/>
        </w:rPr>
        <w:t xml:space="preserve">Lawrence, D P (2000), "Planning theories and environmental impact assessment",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20</w:t>
      </w:r>
      <w:r w:rsidRPr="00767F27">
        <w:rPr>
          <w:rFonts w:ascii="Helvetica" w:hAnsi="Helvetica"/>
          <w:noProof/>
          <w:sz w:val="24"/>
          <w:szCs w:val="24"/>
        </w:rPr>
        <w:t>, pages 607-625.</w:t>
      </w:r>
      <w:bookmarkEnd w:id="44"/>
    </w:p>
    <w:p w:rsidR="00CF0849" w:rsidRPr="00767F27" w:rsidRDefault="00CF0849" w:rsidP="00767F27">
      <w:pPr>
        <w:spacing w:after="0" w:line="240" w:lineRule="auto"/>
        <w:ind w:left="720" w:hanging="720"/>
        <w:rPr>
          <w:rFonts w:ascii="Helvetica" w:hAnsi="Helvetica"/>
          <w:noProof/>
          <w:sz w:val="24"/>
          <w:szCs w:val="24"/>
        </w:rPr>
      </w:pPr>
      <w:bookmarkStart w:id="45" w:name="_ENREF_45"/>
      <w:r w:rsidRPr="00767F27">
        <w:rPr>
          <w:rFonts w:ascii="Helvetica" w:hAnsi="Helvetica"/>
          <w:noProof/>
          <w:sz w:val="24"/>
          <w:szCs w:val="24"/>
        </w:rPr>
        <w:t xml:space="preserve">Lee, N and F Walsh (1992), "Strategic environmental assessment: an overview", </w:t>
      </w:r>
      <w:r w:rsidRPr="00767F27">
        <w:rPr>
          <w:rFonts w:ascii="Helvetica" w:hAnsi="Helvetica"/>
          <w:i/>
          <w:noProof/>
          <w:sz w:val="24"/>
          <w:szCs w:val="24"/>
        </w:rPr>
        <w:t>Project Appraisal</w:t>
      </w:r>
      <w:r w:rsidRPr="00767F27">
        <w:rPr>
          <w:rFonts w:ascii="Helvetica" w:hAnsi="Helvetica"/>
          <w:noProof/>
          <w:sz w:val="24"/>
          <w:szCs w:val="24"/>
        </w:rPr>
        <w:t xml:space="preserve">, </w:t>
      </w:r>
      <w:r w:rsidRPr="00767F27">
        <w:rPr>
          <w:rFonts w:ascii="Helvetica" w:hAnsi="Helvetica"/>
          <w:b/>
          <w:noProof/>
          <w:sz w:val="24"/>
          <w:szCs w:val="24"/>
        </w:rPr>
        <w:t>7(3)</w:t>
      </w:r>
      <w:r w:rsidRPr="00767F27">
        <w:rPr>
          <w:rFonts w:ascii="Helvetica" w:hAnsi="Helvetica"/>
          <w:noProof/>
          <w:sz w:val="24"/>
          <w:szCs w:val="24"/>
        </w:rPr>
        <w:t>, pages 126-136.</w:t>
      </w:r>
      <w:bookmarkEnd w:id="45"/>
    </w:p>
    <w:p w:rsidR="00CF0849" w:rsidRPr="00767F27" w:rsidRDefault="00CF0849" w:rsidP="00767F27">
      <w:pPr>
        <w:spacing w:after="0" w:line="240" w:lineRule="auto"/>
        <w:ind w:left="720" w:hanging="720"/>
        <w:rPr>
          <w:rFonts w:ascii="Helvetica" w:hAnsi="Helvetica"/>
          <w:noProof/>
          <w:sz w:val="24"/>
          <w:szCs w:val="24"/>
        </w:rPr>
      </w:pPr>
      <w:bookmarkStart w:id="46" w:name="_ENREF_46"/>
      <w:r w:rsidRPr="00767F27">
        <w:rPr>
          <w:rFonts w:ascii="Helvetica" w:hAnsi="Helvetica"/>
          <w:noProof/>
          <w:sz w:val="24"/>
          <w:szCs w:val="24"/>
        </w:rPr>
        <w:t xml:space="preserve">Leknes, E (2001), "The roles of EIA in the decision-making process",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21(4)</w:t>
      </w:r>
      <w:r w:rsidRPr="00767F27">
        <w:rPr>
          <w:rFonts w:ascii="Helvetica" w:hAnsi="Helvetica"/>
          <w:noProof/>
          <w:sz w:val="24"/>
          <w:szCs w:val="24"/>
        </w:rPr>
        <w:t>, pages 309-334.</w:t>
      </w:r>
      <w:bookmarkEnd w:id="46"/>
    </w:p>
    <w:p w:rsidR="00CF0849" w:rsidRPr="00767F27" w:rsidRDefault="00CF0849" w:rsidP="00767F27">
      <w:pPr>
        <w:spacing w:after="0" w:line="240" w:lineRule="auto"/>
        <w:ind w:left="720" w:hanging="720"/>
        <w:rPr>
          <w:rFonts w:ascii="Helvetica" w:hAnsi="Helvetica"/>
          <w:noProof/>
          <w:sz w:val="24"/>
          <w:szCs w:val="24"/>
        </w:rPr>
      </w:pPr>
      <w:bookmarkStart w:id="47" w:name="_ENREF_47"/>
      <w:r w:rsidRPr="00767F27">
        <w:rPr>
          <w:rFonts w:ascii="Helvetica" w:hAnsi="Helvetica"/>
          <w:noProof/>
          <w:sz w:val="24"/>
          <w:szCs w:val="24"/>
        </w:rPr>
        <w:t xml:space="preserve">Liu, Y, J Chen, W He, Q Tong and W Li (2010), "Application of an uncertainty analysis approach to strategic environmental assessment for urban planning", </w:t>
      </w:r>
      <w:r w:rsidRPr="00767F27">
        <w:rPr>
          <w:rFonts w:ascii="Helvetica" w:hAnsi="Helvetica"/>
          <w:i/>
          <w:noProof/>
          <w:sz w:val="24"/>
          <w:szCs w:val="24"/>
        </w:rPr>
        <w:t>Environmental Science and Technology</w:t>
      </w:r>
      <w:r w:rsidRPr="00767F27">
        <w:rPr>
          <w:rFonts w:ascii="Helvetica" w:hAnsi="Helvetica"/>
          <w:noProof/>
          <w:sz w:val="24"/>
          <w:szCs w:val="24"/>
        </w:rPr>
        <w:t xml:space="preserve">, </w:t>
      </w:r>
      <w:r w:rsidRPr="00767F27">
        <w:rPr>
          <w:rFonts w:ascii="Helvetica" w:hAnsi="Helvetica"/>
          <w:b/>
          <w:noProof/>
          <w:sz w:val="24"/>
          <w:szCs w:val="24"/>
        </w:rPr>
        <w:t>44(8)</w:t>
      </w:r>
      <w:r w:rsidRPr="00767F27">
        <w:rPr>
          <w:rFonts w:ascii="Helvetica" w:hAnsi="Helvetica"/>
          <w:noProof/>
          <w:sz w:val="24"/>
          <w:szCs w:val="24"/>
        </w:rPr>
        <w:t>, pages 3136-3141.</w:t>
      </w:r>
      <w:bookmarkEnd w:id="47"/>
    </w:p>
    <w:p w:rsidR="00CF0849" w:rsidRPr="00767F27" w:rsidRDefault="00CF0849" w:rsidP="00767F27">
      <w:pPr>
        <w:spacing w:after="0" w:line="240" w:lineRule="auto"/>
        <w:ind w:left="720" w:hanging="720"/>
        <w:rPr>
          <w:rFonts w:ascii="Helvetica" w:hAnsi="Helvetica"/>
          <w:noProof/>
          <w:sz w:val="24"/>
          <w:szCs w:val="24"/>
        </w:rPr>
      </w:pPr>
      <w:bookmarkStart w:id="48" w:name="_ENREF_48"/>
      <w:r w:rsidRPr="00767F27">
        <w:rPr>
          <w:rFonts w:ascii="Helvetica" w:hAnsi="Helvetica"/>
          <w:noProof/>
          <w:sz w:val="24"/>
          <w:szCs w:val="24"/>
        </w:rPr>
        <w:t xml:space="preserve">Morgan, R K (2012), "Environmental impact assessment: the state of the art",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30(1)</w:t>
      </w:r>
      <w:r w:rsidRPr="00767F27">
        <w:rPr>
          <w:rFonts w:ascii="Helvetica" w:hAnsi="Helvetica"/>
          <w:noProof/>
          <w:sz w:val="24"/>
          <w:szCs w:val="24"/>
        </w:rPr>
        <w:t>, pages 5-14.</w:t>
      </w:r>
      <w:bookmarkEnd w:id="48"/>
    </w:p>
    <w:p w:rsidR="00CF0849" w:rsidRPr="00767F27" w:rsidRDefault="00CF0849" w:rsidP="00767F27">
      <w:pPr>
        <w:spacing w:after="0" w:line="240" w:lineRule="auto"/>
        <w:ind w:left="720" w:hanging="720"/>
        <w:rPr>
          <w:rFonts w:ascii="Helvetica" w:hAnsi="Helvetica"/>
          <w:noProof/>
          <w:sz w:val="24"/>
          <w:szCs w:val="24"/>
        </w:rPr>
      </w:pPr>
      <w:bookmarkStart w:id="49" w:name="_ENREF_49"/>
      <w:r w:rsidRPr="00767F27">
        <w:rPr>
          <w:rFonts w:ascii="Helvetica" w:hAnsi="Helvetica"/>
          <w:noProof/>
          <w:sz w:val="24"/>
          <w:szCs w:val="24"/>
        </w:rPr>
        <w:t xml:space="preserve">Morrison-Saunders, A, J Pope, A Bond and F Retief (2014), "Towards sustainability assessment follow-up",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45</w:t>
      </w:r>
      <w:r w:rsidRPr="00767F27">
        <w:rPr>
          <w:rFonts w:ascii="Helvetica" w:hAnsi="Helvetica"/>
          <w:noProof/>
          <w:sz w:val="24"/>
          <w:szCs w:val="24"/>
        </w:rPr>
        <w:t>, pages 38-45.</w:t>
      </w:r>
      <w:bookmarkEnd w:id="49"/>
    </w:p>
    <w:p w:rsidR="00CF0849" w:rsidRPr="00767F27" w:rsidRDefault="00CF0849" w:rsidP="00767F27">
      <w:pPr>
        <w:spacing w:after="0" w:line="240" w:lineRule="auto"/>
        <w:ind w:left="720" w:hanging="720"/>
        <w:rPr>
          <w:rFonts w:ascii="Helvetica" w:hAnsi="Helvetica"/>
          <w:noProof/>
          <w:sz w:val="24"/>
          <w:szCs w:val="24"/>
        </w:rPr>
      </w:pPr>
      <w:bookmarkStart w:id="50" w:name="_ENREF_50"/>
      <w:r w:rsidRPr="00767F27">
        <w:rPr>
          <w:rFonts w:ascii="Helvetica" w:hAnsi="Helvetica"/>
          <w:noProof/>
          <w:sz w:val="24"/>
          <w:szCs w:val="24"/>
        </w:rPr>
        <w:t xml:space="preserve">Owens, S, T Rayner and O Bina (2004), "New agendas for appraisal: reflections on theory, practice, and research", </w:t>
      </w:r>
      <w:r w:rsidRPr="00767F27">
        <w:rPr>
          <w:rFonts w:ascii="Helvetica" w:hAnsi="Helvetica"/>
          <w:i/>
          <w:noProof/>
          <w:sz w:val="24"/>
          <w:szCs w:val="24"/>
        </w:rPr>
        <w:t>Environment and Planning A</w:t>
      </w:r>
      <w:r w:rsidRPr="00767F27">
        <w:rPr>
          <w:rFonts w:ascii="Helvetica" w:hAnsi="Helvetica"/>
          <w:noProof/>
          <w:sz w:val="24"/>
          <w:szCs w:val="24"/>
        </w:rPr>
        <w:t xml:space="preserve">, </w:t>
      </w:r>
      <w:r w:rsidRPr="00767F27">
        <w:rPr>
          <w:rFonts w:ascii="Helvetica" w:hAnsi="Helvetica"/>
          <w:b/>
          <w:noProof/>
          <w:sz w:val="24"/>
          <w:szCs w:val="24"/>
        </w:rPr>
        <w:t>36(11)</w:t>
      </w:r>
      <w:r w:rsidRPr="00767F27">
        <w:rPr>
          <w:rFonts w:ascii="Helvetica" w:hAnsi="Helvetica"/>
          <w:noProof/>
          <w:sz w:val="24"/>
          <w:szCs w:val="24"/>
        </w:rPr>
        <w:t>, pages 1943-1959.</w:t>
      </w:r>
      <w:bookmarkEnd w:id="50"/>
    </w:p>
    <w:p w:rsidR="00CF0849" w:rsidRPr="00767F27" w:rsidRDefault="00CF0849" w:rsidP="00767F27">
      <w:pPr>
        <w:spacing w:after="0" w:line="240" w:lineRule="auto"/>
        <w:ind w:left="720" w:hanging="720"/>
        <w:rPr>
          <w:rFonts w:ascii="Helvetica" w:hAnsi="Helvetica"/>
          <w:noProof/>
          <w:sz w:val="24"/>
          <w:szCs w:val="24"/>
        </w:rPr>
      </w:pPr>
      <w:bookmarkStart w:id="51" w:name="_ENREF_51"/>
      <w:r w:rsidRPr="00767F27">
        <w:rPr>
          <w:rFonts w:ascii="Helvetica" w:hAnsi="Helvetica"/>
          <w:noProof/>
          <w:sz w:val="24"/>
          <w:szCs w:val="24"/>
        </w:rPr>
        <w:t xml:space="preserve">Petersen, A C, A Cath, M Hage, E Kunseler and J P van der Sluijs (2011), "Post-normal science in practice at the Netherlands environmental assessment agency", </w:t>
      </w:r>
      <w:r w:rsidRPr="00767F27">
        <w:rPr>
          <w:rFonts w:ascii="Helvetica" w:hAnsi="Helvetica"/>
          <w:i/>
          <w:noProof/>
          <w:sz w:val="24"/>
          <w:szCs w:val="24"/>
        </w:rPr>
        <w:t>Science Technology and Human Values</w:t>
      </w:r>
      <w:r w:rsidRPr="00767F27">
        <w:rPr>
          <w:rFonts w:ascii="Helvetica" w:hAnsi="Helvetica"/>
          <w:noProof/>
          <w:sz w:val="24"/>
          <w:szCs w:val="24"/>
        </w:rPr>
        <w:t xml:space="preserve">, </w:t>
      </w:r>
      <w:r w:rsidRPr="00767F27">
        <w:rPr>
          <w:rFonts w:ascii="Helvetica" w:hAnsi="Helvetica"/>
          <w:b/>
          <w:noProof/>
          <w:sz w:val="24"/>
          <w:szCs w:val="24"/>
        </w:rPr>
        <w:t>36(3)</w:t>
      </w:r>
      <w:r w:rsidRPr="00767F27">
        <w:rPr>
          <w:rFonts w:ascii="Helvetica" w:hAnsi="Helvetica"/>
          <w:noProof/>
          <w:sz w:val="24"/>
          <w:szCs w:val="24"/>
        </w:rPr>
        <w:t>, pages 362-388.</w:t>
      </w:r>
      <w:bookmarkEnd w:id="51"/>
    </w:p>
    <w:p w:rsidR="00CF0849" w:rsidRPr="00767F27" w:rsidRDefault="00CF0849" w:rsidP="00767F27">
      <w:pPr>
        <w:spacing w:after="0" w:line="240" w:lineRule="auto"/>
        <w:ind w:left="720" w:hanging="720"/>
        <w:rPr>
          <w:rFonts w:ascii="Helvetica" w:hAnsi="Helvetica"/>
          <w:noProof/>
          <w:sz w:val="24"/>
          <w:szCs w:val="24"/>
        </w:rPr>
      </w:pPr>
      <w:bookmarkStart w:id="52" w:name="_ENREF_52"/>
      <w:r w:rsidRPr="00767F27">
        <w:rPr>
          <w:rFonts w:ascii="Helvetica" w:hAnsi="Helvetica"/>
          <w:noProof/>
          <w:sz w:val="24"/>
          <w:szCs w:val="24"/>
        </w:rPr>
        <w:t xml:space="preserve">Pope, J, A Bond, A Morrison-Saunders and F Retief (2013), "Advancing the theory and practice of impact assessment: Setting the research agenda",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41</w:t>
      </w:r>
      <w:r w:rsidRPr="00767F27">
        <w:rPr>
          <w:rFonts w:ascii="Helvetica" w:hAnsi="Helvetica"/>
          <w:noProof/>
          <w:sz w:val="24"/>
          <w:szCs w:val="24"/>
        </w:rPr>
        <w:t>, pages 1-9.</w:t>
      </w:r>
      <w:bookmarkEnd w:id="52"/>
    </w:p>
    <w:p w:rsidR="00CF0849" w:rsidRPr="00767F27" w:rsidRDefault="00CF0849" w:rsidP="00767F27">
      <w:pPr>
        <w:spacing w:after="0" w:line="240" w:lineRule="auto"/>
        <w:ind w:left="720" w:hanging="720"/>
        <w:rPr>
          <w:rFonts w:ascii="Helvetica" w:hAnsi="Helvetica"/>
          <w:noProof/>
          <w:sz w:val="24"/>
          <w:szCs w:val="24"/>
        </w:rPr>
      </w:pPr>
      <w:bookmarkStart w:id="53" w:name="_ENREF_53"/>
      <w:r w:rsidRPr="00767F27">
        <w:rPr>
          <w:rFonts w:ascii="Helvetica" w:hAnsi="Helvetica"/>
          <w:noProof/>
          <w:sz w:val="24"/>
          <w:szCs w:val="24"/>
        </w:rPr>
        <w:t xml:space="preserve">Ravetz, J R (1999), "Editorial", </w:t>
      </w:r>
      <w:r w:rsidRPr="00767F27">
        <w:rPr>
          <w:rFonts w:ascii="Helvetica" w:hAnsi="Helvetica"/>
          <w:i/>
          <w:noProof/>
          <w:sz w:val="24"/>
          <w:szCs w:val="24"/>
        </w:rPr>
        <w:t>Futures</w:t>
      </w:r>
      <w:r w:rsidRPr="00767F27">
        <w:rPr>
          <w:rFonts w:ascii="Helvetica" w:hAnsi="Helvetica"/>
          <w:noProof/>
          <w:sz w:val="24"/>
          <w:szCs w:val="24"/>
        </w:rPr>
        <w:t xml:space="preserve">, </w:t>
      </w:r>
      <w:r w:rsidRPr="00767F27">
        <w:rPr>
          <w:rFonts w:ascii="Helvetica" w:hAnsi="Helvetica"/>
          <w:b/>
          <w:noProof/>
          <w:sz w:val="24"/>
          <w:szCs w:val="24"/>
        </w:rPr>
        <w:t>31(7)</w:t>
      </w:r>
      <w:r w:rsidRPr="00767F27">
        <w:rPr>
          <w:rFonts w:ascii="Helvetica" w:hAnsi="Helvetica"/>
          <w:noProof/>
          <w:sz w:val="24"/>
          <w:szCs w:val="24"/>
        </w:rPr>
        <w:t>, pages 647-653.</w:t>
      </w:r>
      <w:bookmarkEnd w:id="53"/>
    </w:p>
    <w:p w:rsidR="00CF0849" w:rsidRPr="00767F27" w:rsidRDefault="00CF0849" w:rsidP="00767F27">
      <w:pPr>
        <w:spacing w:after="0" w:line="240" w:lineRule="auto"/>
        <w:ind w:left="720" w:hanging="720"/>
        <w:rPr>
          <w:rFonts w:ascii="Helvetica" w:hAnsi="Helvetica"/>
          <w:noProof/>
          <w:sz w:val="24"/>
          <w:szCs w:val="24"/>
        </w:rPr>
      </w:pPr>
      <w:bookmarkStart w:id="54" w:name="_ENREF_54"/>
      <w:r w:rsidRPr="00767F27">
        <w:rPr>
          <w:rFonts w:ascii="Helvetica" w:hAnsi="Helvetica"/>
          <w:noProof/>
          <w:sz w:val="24"/>
          <w:szCs w:val="24"/>
        </w:rPr>
        <w:t xml:space="preserve">Retief, F, A Morrison-Saunders, D Geneletti and J Pope (2013), "Exploring the psychology of trade-off decision-making in environmental impact assessment",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31(1)</w:t>
      </w:r>
      <w:r w:rsidRPr="00767F27">
        <w:rPr>
          <w:rFonts w:ascii="Helvetica" w:hAnsi="Helvetica"/>
          <w:noProof/>
          <w:sz w:val="24"/>
          <w:szCs w:val="24"/>
        </w:rPr>
        <w:t>, pages 13-23.</w:t>
      </w:r>
      <w:bookmarkEnd w:id="54"/>
    </w:p>
    <w:p w:rsidR="00CF0849" w:rsidRPr="00767F27" w:rsidRDefault="00CF0849" w:rsidP="00767F27">
      <w:pPr>
        <w:spacing w:after="0" w:line="240" w:lineRule="auto"/>
        <w:ind w:left="720" w:hanging="720"/>
        <w:rPr>
          <w:rFonts w:ascii="Helvetica" w:hAnsi="Helvetica"/>
          <w:noProof/>
          <w:sz w:val="24"/>
          <w:szCs w:val="24"/>
        </w:rPr>
      </w:pPr>
      <w:bookmarkStart w:id="55" w:name="_ENREF_55"/>
      <w:r w:rsidRPr="00767F27">
        <w:rPr>
          <w:rFonts w:ascii="Helvetica" w:hAnsi="Helvetica"/>
          <w:noProof/>
          <w:sz w:val="24"/>
          <w:szCs w:val="24"/>
        </w:rPr>
        <w:t xml:space="preserve">Sadler, B (2011), "Taking Stock of SEA", in B Sadler, R Aschemann, J Dusik, T B Fischer, M R Partidário and R Verheem (editors), </w:t>
      </w:r>
      <w:r w:rsidRPr="00767F27">
        <w:rPr>
          <w:rFonts w:ascii="Helvetica" w:hAnsi="Helvetica"/>
          <w:i/>
          <w:noProof/>
          <w:sz w:val="24"/>
          <w:szCs w:val="24"/>
        </w:rPr>
        <w:t>Handbook of Strategic Environmental Assessment</w:t>
      </w:r>
      <w:r w:rsidRPr="00767F27">
        <w:rPr>
          <w:rFonts w:ascii="Helvetica" w:hAnsi="Helvetica"/>
          <w:noProof/>
          <w:sz w:val="24"/>
          <w:szCs w:val="24"/>
        </w:rPr>
        <w:t xml:space="preserve"> (Earthscan, London) pages</w:t>
      </w:r>
      <w:r w:rsidRPr="00767F27">
        <w:rPr>
          <w:rFonts w:ascii="Helvetica" w:hAnsi="Helvetica"/>
          <w:b/>
          <w:noProof/>
          <w:sz w:val="24"/>
          <w:szCs w:val="24"/>
        </w:rPr>
        <w:t xml:space="preserve"> </w:t>
      </w:r>
      <w:r w:rsidRPr="00767F27">
        <w:rPr>
          <w:rFonts w:ascii="Helvetica" w:hAnsi="Helvetica"/>
          <w:noProof/>
          <w:sz w:val="24"/>
          <w:szCs w:val="24"/>
        </w:rPr>
        <w:t>1-18.</w:t>
      </w:r>
      <w:bookmarkEnd w:id="55"/>
    </w:p>
    <w:p w:rsidR="00CF0849" w:rsidRPr="00767F27" w:rsidRDefault="00CF0849" w:rsidP="00767F27">
      <w:pPr>
        <w:spacing w:after="0" w:line="240" w:lineRule="auto"/>
        <w:ind w:left="720" w:hanging="720"/>
        <w:rPr>
          <w:rFonts w:ascii="Helvetica" w:hAnsi="Helvetica"/>
          <w:noProof/>
          <w:sz w:val="24"/>
          <w:szCs w:val="24"/>
        </w:rPr>
      </w:pPr>
      <w:bookmarkStart w:id="56" w:name="_ENREF_56"/>
      <w:r w:rsidRPr="00767F27">
        <w:rPr>
          <w:rFonts w:ascii="Helvetica" w:hAnsi="Helvetica"/>
          <w:noProof/>
          <w:sz w:val="24"/>
          <w:szCs w:val="24"/>
        </w:rPr>
        <w:t xml:space="preserve">Slootweg, R and M Jones (2011), "Resilience thinking improves SEA: A discussion paper",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29(4)</w:t>
      </w:r>
      <w:r w:rsidRPr="00767F27">
        <w:rPr>
          <w:rFonts w:ascii="Helvetica" w:hAnsi="Helvetica"/>
          <w:noProof/>
          <w:sz w:val="24"/>
          <w:szCs w:val="24"/>
        </w:rPr>
        <w:t>, pages 263-276.</w:t>
      </w:r>
      <w:bookmarkEnd w:id="56"/>
    </w:p>
    <w:p w:rsidR="00CF0849" w:rsidRPr="00767F27" w:rsidRDefault="00CF0849" w:rsidP="00767F27">
      <w:pPr>
        <w:spacing w:after="0" w:line="240" w:lineRule="auto"/>
        <w:ind w:left="720" w:hanging="720"/>
        <w:rPr>
          <w:rFonts w:ascii="Helvetica" w:hAnsi="Helvetica"/>
          <w:noProof/>
          <w:sz w:val="24"/>
          <w:szCs w:val="24"/>
        </w:rPr>
      </w:pPr>
      <w:bookmarkStart w:id="57" w:name="_ENREF_57"/>
      <w:r w:rsidRPr="00767F27">
        <w:rPr>
          <w:rFonts w:ascii="Helvetica" w:hAnsi="Helvetica"/>
          <w:noProof/>
          <w:sz w:val="24"/>
          <w:szCs w:val="24"/>
        </w:rPr>
        <w:t xml:space="preserve">Stirling, A (2010), "Keep it complex", </w:t>
      </w:r>
      <w:r w:rsidRPr="00767F27">
        <w:rPr>
          <w:rFonts w:ascii="Helvetica" w:hAnsi="Helvetica"/>
          <w:i/>
          <w:noProof/>
          <w:sz w:val="24"/>
          <w:szCs w:val="24"/>
        </w:rPr>
        <w:t>Nature</w:t>
      </w:r>
      <w:r w:rsidRPr="00767F27">
        <w:rPr>
          <w:rFonts w:ascii="Helvetica" w:hAnsi="Helvetica"/>
          <w:noProof/>
          <w:sz w:val="24"/>
          <w:szCs w:val="24"/>
        </w:rPr>
        <w:t xml:space="preserve">, </w:t>
      </w:r>
      <w:r w:rsidRPr="00767F27">
        <w:rPr>
          <w:rFonts w:ascii="Helvetica" w:hAnsi="Helvetica"/>
          <w:b/>
          <w:noProof/>
          <w:sz w:val="24"/>
          <w:szCs w:val="24"/>
        </w:rPr>
        <w:t>468(7327)</w:t>
      </w:r>
      <w:r w:rsidRPr="00767F27">
        <w:rPr>
          <w:rFonts w:ascii="Helvetica" w:hAnsi="Helvetica"/>
          <w:noProof/>
          <w:sz w:val="24"/>
          <w:szCs w:val="24"/>
        </w:rPr>
        <w:t>, pages 1029-1031.</w:t>
      </w:r>
      <w:bookmarkEnd w:id="57"/>
    </w:p>
    <w:p w:rsidR="00CF0849" w:rsidRPr="00767F27" w:rsidRDefault="00CF0849" w:rsidP="00767F27">
      <w:pPr>
        <w:spacing w:after="0" w:line="240" w:lineRule="auto"/>
        <w:ind w:left="720" w:hanging="720"/>
        <w:rPr>
          <w:rFonts w:ascii="Helvetica" w:hAnsi="Helvetica"/>
          <w:noProof/>
          <w:sz w:val="24"/>
          <w:szCs w:val="24"/>
        </w:rPr>
      </w:pPr>
      <w:bookmarkStart w:id="58" w:name="_ENREF_58"/>
      <w:r w:rsidRPr="00767F27">
        <w:rPr>
          <w:rFonts w:ascii="Helvetica" w:hAnsi="Helvetica"/>
          <w:noProof/>
          <w:sz w:val="24"/>
          <w:szCs w:val="24"/>
        </w:rPr>
        <w:t xml:space="preserve">Tennøy, A, J Kværner and K I Gjersyad (2006), "Uncertainty in environmental impact assessment predictions: the need for better communication and more transparency",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24(1)</w:t>
      </w:r>
      <w:r w:rsidRPr="00767F27">
        <w:rPr>
          <w:rFonts w:ascii="Helvetica" w:hAnsi="Helvetica"/>
          <w:noProof/>
          <w:sz w:val="24"/>
          <w:szCs w:val="24"/>
        </w:rPr>
        <w:t>, pages 45-56.</w:t>
      </w:r>
      <w:bookmarkEnd w:id="58"/>
    </w:p>
    <w:p w:rsidR="00CF0849" w:rsidRPr="00767F27" w:rsidRDefault="00CF0849" w:rsidP="00767F27">
      <w:pPr>
        <w:spacing w:after="0" w:line="240" w:lineRule="auto"/>
        <w:ind w:left="720" w:hanging="720"/>
        <w:rPr>
          <w:rFonts w:ascii="Helvetica" w:hAnsi="Helvetica"/>
          <w:noProof/>
          <w:sz w:val="24"/>
          <w:szCs w:val="24"/>
        </w:rPr>
      </w:pPr>
      <w:bookmarkStart w:id="59" w:name="_ENREF_59"/>
      <w:r w:rsidRPr="00767F27">
        <w:rPr>
          <w:rFonts w:ascii="Helvetica" w:hAnsi="Helvetica"/>
          <w:noProof/>
          <w:sz w:val="24"/>
          <w:szCs w:val="24"/>
        </w:rPr>
        <w:t xml:space="preserve">Thérivel, R, G Christian, C Craig, R Grinham, D Mackins, J Smith, T Sneller, R Turner, D Walker and M Yamane (2009), "Sustainability-focused impact assessment: English experiences",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27(2)</w:t>
      </w:r>
      <w:r w:rsidRPr="00767F27">
        <w:rPr>
          <w:rFonts w:ascii="Helvetica" w:hAnsi="Helvetica"/>
          <w:noProof/>
          <w:sz w:val="24"/>
          <w:szCs w:val="24"/>
        </w:rPr>
        <w:t>, pages 155-168.</w:t>
      </w:r>
      <w:bookmarkEnd w:id="59"/>
    </w:p>
    <w:p w:rsidR="00CF0849" w:rsidRPr="00767F27" w:rsidRDefault="00CF0849" w:rsidP="00767F27">
      <w:pPr>
        <w:spacing w:after="0" w:line="240" w:lineRule="auto"/>
        <w:ind w:left="720" w:hanging="720"/>
        <w:rPr>
          <w:rFonts w:ascii="Helvetica" w:hAnsi="Helvetica"/>
          <w:noProof/>
          <w:sz w:val="24"/>
          <w:szCs w:val="24"/>
        </w:rPr>
      </w:pPr>
      <w:bookmarkStart w:id="60" w:name="_ENREF_60"/>
      <w:r w:rsidRPr="00767F27">
        <w:rPr>
          <w:rFonts w:ascii="Helvetica" w:hAnsi="Helvetica"/>
          <w:noProof/>
          <w:sz w:val="24"/>
          <w:szCs w:val="24"/>
        </w:rPr>
        <w:t xml:space="preserve">Turner, B A (1976), "The Organizational and Interorganizational Development of Disasters", </w:t>
      </w:r>
      <w:r w:rsidRPr="00767F27">
        <w:rPr>
          <w:rFonts w:ascii="Helvetica" w:hAnsi="Helvetica"/>
          <w:i/>
          <w:noProof/>
          <w:sz w:val="24"/>
          <w:szCs w:val="24"/>
        </w:rPr>
        <w:t>Administrative Science Quarterly</w:t>
      </w:r>
      <w:r w:rsidRPr="00767F27">
        <w:rPr>
          <w:rFonts w:ascii="Helvetica" w:hAnsi="Helvetica"/>
          <w:noProof/>
          <w:sz w:val="24"/>
          <w:szCs w:val="24"/>
        </w:rPr>
        <w:t xml:space="preserve">, </w:t>
      </w:r>
      <w:r w:rsidRPr="00767F27">
        <w:rPr>
          <w:rFonts w:ascii="Helvetica" w:hAnsi="Helvetica"/>
          <w:b/>
          <w:noProof/>
          <w:sz w:val="24"/>
          <w:szCs w:val="24"/>
        </w:rPr>
        <w:t>21</w:t>
      </w:r>
      <w:r w:rsidRPr="00767F27">
        <w:rPr>
          <w:rFonts w:ascii="Helvetica" w:hAnsi="Helvetica"/>
          <w:noProof/>
          <w:sz w:val="24"/>
          <w:szCs w:val="24"/>
        </w:rPr>
        <w:t>, pages 378-397.</w:t>
      </w:r>
      <w:bookmarkEnd w:id="60"/>
    </w:p>
    <w:p w:rsidR="00CF0849" w:rsidRPr="00767F27" w:rsidRDefault="00CF0849" w:rsidP="00767F27">
      <w:pPr>
        <w:spacing w:after="0" w:line="240" w:lineRule="auto"/>
        <w:ind w:left="720" w:hanging="720"/>
        <w:rPr>
          <w:rFonts w:ascii="Helvetica" w:hAnsi="Helvetica"/>
          <w:noProof/>
          <w:sz w:val="24"/>
          <w:szCs w:val="24"/>
        </w:rPr>
      </w:pPr>
      <w:bookmarkStart w:id="61" w:name="_ENREF_61"/>
      <w:r w:rsidRPr="00767F27">
        <w:rPr>
          <w:rFonts w:ascii="Helvetica" w:hAnsi="Helvetica"/>
          <w:noProof/>
          <w:sz w:val="24"/>
          <w:szCs w:val="24"/>
        </w:rPr>
        <w:t xml:space="preserve">Van Buuren, A and S G Nooteboom (2009), "Evaluating strategic environmental assessment in The Netherlands: content, process and procedure as indissoluble criteria for effectiveness", </w:t>
      </w:r>
      <w:r w:rsidRPr="00767F27">
        <w:rPr>
          <w:rFonts w:ascii="Helvetica" w:hAnsi="Helvetica"/>
          <w:i/>
          <w:noProof/>
          <w:sz w:val="24"/>
          <w:szCs w:val="24"/>
        </w:rPr>
        <w:t>Impact Assessment and Project Appraisal</w:t>
      </w:r>
      <w:r w:rsidRPr="00767F27">
        <w:rPr>
          <w:rFonts w:ascii="Helvetica" w:hAnsi="Helvetica"/>
          <w:noProof/>
          <w:sz w:val="24"/>
          <w:szCs w:val="24"/>
        </w:rPr>
        <w:t xml:space="preserve">, </w:t>
      </w:r>
      <w:r w:rsidRPr="00767F27">
        <w:rPr>
          <w:rFonts w:ascii="Helvetica" w:hAnsi="Helvetica"/>
          <w:b/>
          <w:noProof/>
          <w:sz w:val="24"/>
          <w:szCs w:val="24"/>
        </w:rPr>
        <w:t>27(2)</w:t>
      </w:r>
      <w:r w:rsidRPr="00767F27">
        <w:rPr>
          <w:rFonts w:ascii="Helvetica" w:hAnsi="Helvetica"/>
          <w:noProof/>
          <w:sz w:val="24"/>
          <w:szCs w:val="24"/>
        </w:rPr>
        <w:t>, pages 145-154.</w:t>
      </w:r>
      <w:bookmarkEnd w:id="61"/>
    </w:p>
    <w:p w:rsidR="00CF0849" w:rsidRPr="00767F27" w:rsidRDefault="00CF0849" w:rsidP="00767F27">
      <w:pPr>
        <w:spacing w:after="0" w:line="240" w:lineRule="auto"/>
        <w:ind w:left="720" w:hanging="720"/>
        <w:rPr>
          <w:rFonts w:ascii="Helvetica" w:hAnsi="Helvetica"/>
          <w:noProof/>
          <w:sz w:val="24"/>
          <w:szCs w:val="24"/>
        </w:rPr>
      </w:pPr>
      <w:bookmarkStart w:id="62" w:name="_ENREF_62"/>
      <w:r w:rsidRPr="00767F27">
        <w:rPr>
          <w:rFonts w:ascii="Helvetica" w:hAnsi="Helvetica"/>
          <w:noProof/>
          <w:sz w:val="24"/>
          <w:szCs w:val="24"/>
        </w:rPr>
        <w:t xml:space="preserve">Videira, N, P Antunes, R Santos and S Gamito (2003), "Participatory Modelling in Environmental Decision-Making", </w:t>
      </w:r>
      <w:r w:rsidRPr="00767F27">
        <w:rPr>
          <w:rFonts w:ascii="Helvetica" w:hAnsi="Helvetica"/>
          <w:i/>
          <w:noProof/>
          <w:sz w:val="24"/>
          <w:szCs w:val="24"/>
        </w:rPr>
        <w:t>Journal of Environmental Assessment Policy and Management</w:t>
      </w:r>
      <w:r w:rsidRPr="00767F27">
        <w:rPr>
          <w:rFonts w:ascii="Helvetica" w:hAnsi="Helvetica"/>
          <w:noProof/>
          <w:sz w:val="24"/>
          <w:szCs w:val="24"/>
        </w:rPr>
        <w:t xml:space="preserve">, </w:t>
      </w:r>
      <w:r w:rsidRPr="00767F27">
        <w:rPr>
          <w:rFonts w:ascii="Helvetica" w:hAnsi="Helvetica"/>
          <w:b/>
          <w:noProof/>
          <w:sz w:val="24"/>
          <w:szCs w:val="24"/>
        </w:rPr>
        <w:t>5(3)</w:t>
      </w:r>
      <w:r w:rsidRPr="00767F27">
        <w:rPr>
          <w:rFonts w:ascii="Helvetica" w:hAnsi="Helvetica"/>
          <w:noProof/>
          <w:sz w:val="24"/>
          <w:szCs w:val="24"/>
        </w:rPr>
        <w:t>, pages 421-447.</w:t>
      </w:r>
      <w:bookmarkEnd w:id="62"/>
    </w:p>
    <w:p w:rsidR="00CF0849" w:rsidRPr="00767F27" w:rsidRDefault="00CF0849" w:rsidP="00767F27">
      <w:pPr>
        <w:spacing w:after="0" w:line="240" w:lineRule="auto"/>
        <w:ind w:left="720" w:hanging="720"/>
        <w:rPr>
          <w:rFonts w:ascii="Helvetica" w:hAnsi="Helvetica"/>
          <w:noProof/>
          <w:sz w:val="24"/>
          <w:szCs w:val="24"/>
        </w:rPr>
      </w:pPr>
      <w:bookmarkStart w:id="63" w:name="_ENREF_63"/>
      <w:r w:rsidRPr="00767F27">
        <w:rPr>
          <w:rFonts w:ascii="Helvetica" w:hAnsi="Helvetica"/>
          <w:noProof/>
          <w:sz w:val="24"/>
          <w:szCs w:val="24"/>
        </w:rPr>
        <w:t xml:space="preserve">Walker, B, S Carpenter, J Anderies, N Abel, G Cumming, M Janssen, L Lebel, J Norberg, G D Peterson and R Pritchard (2002), "Resilience management in social-ecological systems: a working hypothesis for a participatory approach", </w:t>
      </w:r>
      <w:r w:rsidRPr="00767F27">
        <w:rPr>
          <w:rFonts w:ascii="Helvetica" w:hAnsi="Helvetica"/>
          <w:i/>
          <w:noProof/>
          <w:sz w:val="24"/>
          <w:szCs w:val="24"/>
        </w:rPr>
        <w:t>Conservation Ecology</w:t>
      </w:r>
      <w:r w:rsidRPr="00767F27">
        <w:rPr>
          <w:rFonts w:ascii="Helvetica" w:hAnsi="Helvetica"/>
          <w:noProof/>
          <w:sz w:val="24"/>
          <w:szCs w:val="24"/>
        </w:rPr>
        <w:t xml:space="preserve">, </w:t>
      </w:r>
      <w:r w:rsidRPr="00767F27">
        <w:rPr>
          <w:rFonts w:ascii="Helvetica" w:hAnsi="Helvetica"/>
          <w:b/>
          <w:noProof/>
          <w:sz w:val="24"/>
          <w:szCs w:val="24"/>
        </w:rPr>
        <w:t>6(1)</w:t>
      </w:r>
      <w:r w:rsidRPr="00767F27">
        <w:rPr>
          <w:rFonts w:ascii="Helvetica" w:hAnsi="Helvetica"/>
          <w:noProof/>
          <w:sz w:val="24"/>
          <w:szCs w:val="24"/>
        </w:rPr>
        <w:t>, pages 14.</w:t>
      </w:r>
      <w:bookmarkEnd w:id="63"/>
    </w:p>
    <w:p w:rsidR="00CF0849" w:rsidRPr="00767F27" w:rsidRDefault="00CF0849" w:rsidP="00767F27">
      <w:pPr>
        <w:spacing w:after="0" w:line="240" w:lineRule="auto"/>
        <w:ind w:left="720" w:hanging="720"/>
        <w:rPr>
          <w:rFonts w:ascii="Helvetica" w:hAnsi="Helvetica"/>
          <w:noProof/>
          <w:sz w:val="24"/>
          <w:szCs w:val="24"/>
        </w:rPr>
      </w:pPr>
      <w:bookmarkStart w:id="64" w:name="_ENREF_64"/>
      <w:r w:rsidRPr="00767F27">
        <w:rPr>
          <w:rFonts w:ascii="Helvetica" w:hAnsi="Helvetica"/>
          <w:noProof/>
          <w:sz w:val="24"/>
          <w:szCs w:val="24"/>
        </w:rPr>
        <w:t xml:space="preserve">Wallington, T, O Bina and W A H Thissen (2007), "Theorising strategic environmental assessment: fresh perspectives and future challenges", </w:t>
      </w:r>
      <w:r w:rsidRPr="00767F27">
        <w:rPr>
          <w:rFonts w:ascii="Helvetica" w:hAnsi="Helvetica"/>
          <w:i/>
          <w:noProof/>
          <w:sz w:val="24"/>
          <w:szCs w:val="24"/>
        </w:rPr>
        <w:t>Environmental Impact Assessment Review</w:t>
      </w:r>
      <w:r w:rsidRPr="00767F27">
        <w:rPr>
          <w:rFonts w:ascii="Helvetica" w:hAnsi="Helvetica"/>
          <w:noProof/>
          <w:sz w:val="24"/>
          <w:szCs w:val="24"/>
        </w:rPr>
        <w:t xml:space="preserve">, </w:t>
      </w:r>
      <w:r w:rsidRPr="00767F27">
        <w:rPr>
          <w:rFonts w:ascii="Helvetica" w:hAnsi="Helvetica"/>
          <w:b/>
          <w:noProof/>
          <w:sz w:val="24"/>
          <w:szCs w:val="24"/>
        </w:rPr>
        <w:t>27(7)</w:t>
      </w:r>
      <w:r w:rsidRPr="00767F27">
        <w:rPr>
          <w:rFonts w:ascii="Helvetica" w:hAnsi="Helvetica"/>
          <w:noProof/>
          <w:sz w:val="24"/>
          <w:szCs w:val="24"/>
        </w:rPr>
        <w:t>, pages 569-584.</w:t>
      </w:r>
      <w:bookmarkEnd w:id="64"/>
    </w:p>
    <w:p w:rsidR="00CF0849" w:rsidRPr="00767F27" w:rsidRDefault="00CF0849" w:rsidP="00767F27">
      <w:pPr>
        <w:spacing w:after="0" w:line="240" w:lineRule="auto"/>
        <w:ind w:left="720" w:hanging="720"/>
        <w:rPr>
          <w:rFonts w:ascii="Helvetica" w:hAnsi="Helvetica"/>
          <w:noProof/>
          <w:sz w:val="24"/>
          <w:szCs w:val="24"/>
        </w:rPr>
      </w:pPr>
      <w:bookmarkStart w:id="65" w:name="_ENREF_65"/>
      <w:r w:rsidRPr="00767F27">
        <w:rPr>
          <w:rFonts w:ascii="Helvetica" w:hAnsi="Helvetica"/>
          <w:noProof/>
          <w:sz w:val="24"/>
          <w:szCs w:val="24"/>
        </w:rPr>
        <w:t xml:space="preserve">Weston, J (2010), "EIA Theories — All Chinese Whispers and No Critical Theory", </w:t>
      </w:r>
      <w:r w:rsidRPr="00767F27">
        <w:rPr>
          <w:rFonts w:ascii="Helvetica" w:hAnsi="Helvetica"/>
          <w:i/>
          <w:noProof/>
          <w:sz w:val="24"/>
          <w:szCs w:val="24"/>
        </w:rPr>
        <w:t>Journal of Environmental Assessment Policy and Management</w:t>
      </w:r>
      <w:r w:rsidRPr="00767F27">
        <w:rPr>
          <w:rFonts w:ascii="Helvetica" w:hAnsi="Helvetica"/>
          <w:noProof/>
          <w:sz w:val="24"/>
          <w:szCs w:val="24"/>
        </w:rPr>
        <w:t xml:space="preserve">, </w:t>
      </w:r>
      <w:r w:rsidRPr="00767F27">
        <w:rPr>
          <w:rFonts w:ascii="Helvetica" w:hAnsi="Helvetica"/>
          <w:b/>
          <w:noProof/>
          <w:sz w:val="24"/>
          <w:szCs w:val="24"/>
        </w:rPr>
        <w:t>12(4)</w:t>
      </w:r>
      <w:r w:rsidRPr="00767F27">
        <w:rPr>
          <w:rFonts w:ascii="Helvetica" w:hAnsi="Helvetica"/>
          <w:noProof/>
          <w:sz w:val="24"/>
          <w:szCs w:val="24"/>
        </w:rPr>
        <w:t>, pages 357–374.</w:t>
      </w:r>
      <w:bookmarkEnd w:id="65"/>
    </w:p>
    <w:p w:rsidR="00CF0849" w:rsidRPr="00767F27" w:rsidRDefault="00CF0849" w:rsidP="00767F27">
      <w:pPr>
        <w:spacing w:line="240" w:lineRule="auto"/>
        <w:ind w:left="720" w:hanging="720"/>
        <w:rPr>
          <w:rFonts w:ascii="Helvetica" w:hAnsi="Helvetica"/>
          <w:noProof/>
          <w:sz w:val="24"/>
          <w:szCs w:val="24"/>
        </w:rPr>
      </w:pPr>
      <w:bookmarkStart w:id="66" w:name="_ENREF_66"/>
      <w:r w:rsidRPr="00767F27">
        <w:rPr>
          <w:rFonts w:ascii="Helvetica" w:hAnsi="Helvetica"/>
          <w:noProof/>
          <w:sz w:val="24"/>
          <w:szCs w:val="24"/>
        </w:rPr>
        <w:t xml:space="preserve">Wood, C and C E Jones (1997), "The Effect of Environmental Assessment on UK Local Planning Authority Decisions", </w:t>
      </w:r>
      <w:r w:rsidRPr="00767F27">
        <w:rPr>
          <w:rFonts w:ascii="Helvetica" w:hAnsi="Helvetica"/>
          <w:i/>
          <w:noProof/>
          <w:sz w:val="24"/>
          <w:szCs w:val="24"/>
        </w:rPr>
        <w:t>Urban Studies</w:t>
      </w:r>
      <w:r w:rsidRPr="00767F27">
        <w:rPr>
          <w:rFonts w:ascii="Helvetica" w:hAnsi="Helvetica"/>
          <w:noProof/>
          <w:sz w:val="24"/>
          <w:szCs w:val="24"/>
        </w:rPr>
        <w:t xml:space="preserve">, </w:t>
      </w:r>
      <w:r w:rsidRPr="00767F27">
        <w:rPr>
          <w:rFonts w:ascii="Helvetica" w:hAnsi="Helvetica"/>
          <w:b/>
          <w:noProof/>
          <w:sz w:val="24"/>
          <w:szCs w:val="24"/>
        </w:rPr>
        <w:t>34(8)</w:t>
      </w:r>
      <w:r w:rsidRPr="00767F27">
        <w:rPr>
          <w:rFonts w:ascii="Helvetica" w:hAnsi="Helvetica"/>
          <w:noProof/>
          <w:sz w:val="24"/>
          <w:szCs w:val="24"/>
        </w:rPr>
        <w:t>, pages 1237-1257.</w:t>
      </w:r>
      <w:bookmarkEnd w:id="66"/>
    </w:p>
    <w:p w:rsidR="00CF0849" w:rsidRDefault="00CF0849" w:rsidP="00767F27">
      <w:pPr>
        <w:spacing w:line="240" w:lineRule="auto"/>
        <w:rPr>
          <w:rFonts w:ascii="Helvetica" w:hAnsi="Helvetica"/>
          <w:noProof/>
          <w:sz w:val="24"/>
          <w:szCs w:val="24"/>
        </w:rPr>
      </w:pPr>
    </w:p>
    <w:p w:rsidR="00CF0849" w:rsidRPr="006A6056" w:rsidRDefault="00CF0849" w:rsidP="005B4784">
      <w:pPr>
        <w:rPr>
          <w:rFonts w:ascii="Times New Roman" w:hAnsi="Times New Roman"/>
          <w:sz w:val="24"/>
          <w:szCs w:val="24"/>
        </w:rPr>
      </w:pPr>
    </w:p>
    <w:p w:rsidR="00BB7445" w:rsidRDefault="00BB7445"/>
    <w:sectPr w:rsidR="00BB7445" w:rsidSect="005B4784">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0849" w:rsidRDefault="00CF0849" w:rsidP="00CF0849">
      <w:pPr>
        <w:spacing w:after="0" w:line="240" w:lineRule="auto"/>
      </w:pPr>
      <w:r>
        <w:separator/>
      </w:r>
    </w:p>
  </w:endnote>
  <w:endnote w:type="continuationSeparator" w:id="0">
    <w:p w:rsidR="00CF0849" w:rsidRDefault="00CF0849" w:rsidP="00CF08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Lucida Grande">
    <w:altName w:val="Courier New"/>
    <w:charset w:val="00"/>
    <w:family w:val="auto"/>
    <w:pitch w:val="variable"/>
    <w:sig w:usb0="E3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7918158"/>
      <w:docPartObj>
        <w:docPartGallery w:val="Page Numbers (Bottom of Page)"/>
        <w:docPartUnique/>
      </w:docPartObj>
    </w:sdtPr>
    <w:sdtEndPr>
      <w:rPr>
        <w:noProof/>
      </w:rPr>
    </w:sdtEndPr>
    <w:sdtContent>
      <w:p w:rsidR="00767F27" w:rsidRDefault="00CF0849">
        <w:pPr>
          <w:pStyle w:val="Footer"/>
          <w:jc w:val="center"/>
        </w:pPr>
        <w:r>
          <w:fldChar w:fldCharType="begin"/>
        </w:r>
        <w:r>
          <w:instrText xml:space="preserve"> PAGE   \* MERGEFORMAT </w:instrText>
        </w:r>
        <w:r>
          <w:fldChar w:fldCharType="separate"/>
        </w:r>
        <w:r>
          <w:rPr>
            <w:noProof/>
          </w:rPr>
          <w:t>14</w:t>
        </w:r>
        <w:r>
          <w:rPr>
            <w:noProof/>
          </w:rPr>
          <w:fldChar w:fldCharType="end"/>
        </w:r>
      </w:p>
    </w:sdtContent>
  </w:sdt>
  <w:p w:rsidR="00767F27" w:rsidRDefault="00CF08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0849" w:rsidRDefault="00CF0849" w:rsidP="00CF0849">
      <w:pPr>
        <w:spacing w:after="0" w:line="240" w:lineRule="auto"/>
      </w:pPr>
      <w:r>
        <w:separator/>
      </w:r>
    </w:p>
  </w:footnote>
  <w:footnote w:type="continuationSeparator" w:id="0">
    <w:p w:rsidR="00CF0849" w:rsidRDefault="00CF0849" w:rsidP="00CF0849">
      <w:pPr>
        <w:spacing w:after="0" w:line="240" w:lineRule="auto"/>
      </w:pPr>
      <w:r>
        <w:continuationSeparator/>
      </w:r>
    </w:p>
  </w:footnote>
  <w:footnote w:id="1">
    <w:p w:rsidR="00CF0849" w:rsidRDefault="00CF0849" w:rsidP="00313124">
      <w:pPr>
        <w:pStyle w:val="FootnoteText"/>
      </w:pPr>
      <w:r>
        <w:rPr>
          <w:rStyle w:val="FootnoteReference"/>
        </w:rPr>
        <w:t>*</w:t>
      </w:r>
      <w:r>
        <w:t xml:space="preserve"> </w:t>
      </w:r>
      <w:r w:rsidRPr="000D7098">
        <w:rPr>
          <w:rFonts w:ascii="Times New Roman" w:hAnsi="Times New Roman"/>
          <w:sz w:val="20"/>
        </w:rPr>
        <w:t>corresponding author</w:t>
      </w:r>
    </w:p>
  </w:footnote>
  <w:footnote w:id="2">
    <w:p w:rsidR="00CF0849" w:rsidRDefault="00CF0849">
      <w:pPr>
        <w:pStyle w:val="FootnoteText"/>
      </w:pPr>
      <w:r>
        <w:rPr>
          <w:rStyle w:val="FootnoteReference"/>
        </w:rPr>
        <w:t>*</w:t>
      </w:r>
      <w:r>
        <w:t xml:space="preserve"> </w:t>
      </w:r>
      <w:r w:rsidRPr="000D7098">
        <w:rPr>
          <w:rFonts w:ascii="Times New Roman" w:hAnsi="Times New Roman"/>
          <w:sz w:val="20"/>
        </w:rPr>
        <w:t>corresponding author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781F4B"/>
    <w:multiLevelType w:val="hybridMultilevel"/>
    <w:tmpl w:val="4BE62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D9155B"/>
    <w:multiLevelType w:val="hybridMultilevel"/>
    <w:tmpl w:val="EF24EB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9F40C09"/>
    <w:multiLevelType w:val="hybridMultilevel"/>
    <w:tmpl w:val="6DBE9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3490EE4"/>
    <w:multiLevelType w:val="hybridMultilevel"/>
    <w:tmpl w:val="F4C2611C"/>
    <w:lvl w:ilvl="0" w:tplc="D940F874">
      <w:start w:val="1"/>
      <w:numFmt w:val="decimal"/>
      <w:lvlText w:val="%1"/>
      <w:lvlJc w:val="left"/>
      <w:pPr>
        <w:ind w:left="720" w:hanging="360"/>
      </w:pPr>
      <w:rPr>
        <w:rFonts w:ascii="Times New Roman" w:eastAsia="Calibri"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37576EA"/>
    <w:multiLevelType w:val="hybridMultilevel"/>
    <w:tmpl w:val="7CF433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DFF5197"/>
    <w:multiLevelType w:val="hybridMultilevel"/>
    <w:tmpl w:val="A63CF3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71C8488E"/>
    <w:multiLevelType w:val="hybridMultilevel"/>
    <w:tmpl w:val="53EA9036"/>
    <w:lvl w:ilvl="0" w:tplc="4CA48936">
      <w:numFmt w:val="bullet"/>
      <w:lvlText w:val="-"/>
      <w:lvlJc w:val="left"/>
      <w:pPr>
        <w:ind w:left="720" w:hanging="360"/>
      </w:pPr>
      <w:rPr>
        <w:rFonts w:ascii="Calibri" w:eastAsia="Calibri" w:hAnsi="Calibri"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CF0849"/>
    <w:rsid w:val="00BB7445"/>
    <w:rsid w:val="00CF08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61A01C-EADF-429E-9744-01B695CFA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0849"/>
    <w:pPr>
      <w:spacing w:after="200" w:line="276" w:lineRule="auto"/>
    </w:pPr>
    <w:rPr>
      <w:sz w:val="22"/>
      <w:szCs w:val="22"/>
      <w:lang w:eastAsia="en-US"/>
    </w:rPr>
  </w:style>
  <w:style w:type="character" w:default="1" w:styleId="DefaultParagraphFont">
    <w:name w:val="Default Paragraph Font"/>
    <w:uiPriority w:val="1"/>
    <w:semiHidden/>
    <w:unhideWhenUsed/>
    <w:rsid w:val="00CF084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F0849"/>
  </w:style>
  <w:style w:type="character" w:styleId="Hyperlink">
    <w:name w:val="Hyperlink"/>
    <w:uiPriority w:val="99"/>
    <w:unhideWhenUsed/>
    <w:rsid w:val="00CF0849"/>
    <w:rPr>
      <w:color w:val="0000FF"/>
      <w:u w:val="single"/>
    </w:rPr>
  </w:style>
  <w:style w:type="paragraph" w:styleId="PlainText">
    <w:name w:val="Plain Text"/>
    <w:basedOn w:val="Normal"/>
    <w:link w:val="PlainTextChar"/>
    <w:uiPriority w:val="99"/>
    <w:semiHidden/>
    <w:unhideWhenUsed/>
    <w:rsid w:val="00CF0849"/>
    <w:pPr>
      <w:spacing w:after="0" w:line="240" w:lineRule="auto"/>
    </w:pPr>
    <w:rPr>
      <w:rFonts w:ascii="Consolas" w:hAnsi="Consolas"/>
      <w:sz w:val="21"/>
      <w:szCs w:val="21"/>
    </w:rPr>
  </w:style>
  <w:style w:type="character" w:customStyle="1" w:styleId="PlainTextChar">
    <w:name w:val="Plain Text Char"/>
    <w:link w:val="PlainText"/>
    <w:uiPriority w:val="99"/>
    <w:semiHidden/>
    <w:rsid w:val="00CF0849"/>
    <w:rPr>
      <w:rFonts w:ascii="Consolas" w:hAnsi="Consolas"/>
      <w:sz w:val="21"/>
      <w:szCs w:val="21"/>
      <w:lang w:eastAsia="en-US"/>
    </w:rPr>
  </w:style>
  <w:style w:type="table" w:styleId="TableGrid">
    <w:name w:val="Table Grid"/>
    <w:basedOn w:val="TableNormal"/>
    <w:uiPriority w:val="59"/>
    <w:rsid w:val="00CF0849"/>
    <w:rPr>
      <w:sz w:val="24"/>
      <w:szCs w:val="24"/>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xt">
    <w:name w:val="txt"/>
    <w:rsid w:val="00CF0849"/>
  </w:style>
  <w:style w:type="paragraph" w:customStyle="1" w:styleId="Default">
    <w:name w:val="Default"/>
    <w:rsid w:val="00CF0849"/>
    <w:pPr>
      <w:autoSpaceDE w:val="0"/>
      <w:autoSpaceDN w:val="0"/>
      <w:adjustRightInd w:val="0"/>
    </w:pPr>
    <w:rPr>
      <w:rFonts w:ascii="Times New Roman" w:eastAsia="Cambria" w:hAnsi="Times New Roman"/>
      <w:color w:val="000000"/>
      <w:sz w:val="24"/>
      <w:szCs w:val="24"/>
      <w:lang w:val="en-CA" w:eastAsia="en-US"/>
    </w:rPr>
  </w:style>
  <w:style w:type="paragraph" w:styleId="FootnoteText">
    <w:name w:val="footnote text"/>
    <w:basedOn w:val="Normal"/>
    <w:link w:val="FootnoteTextChar"/>
    <w:uiPriority w:val="99"/>
    <w:semiHidden/>
    <w:unhideWhenUsed/>
    <w:rsid w:val="00CF0849"/>
    <w:rPr>
      <w:sz w:val="24"/>
      <w:szCs w:val="24"/>
    </w:rPr>
  </w:style>
  <w:style w:type="character" w:customStyle="1" w:styleId="FootnoteTextChar">
    <w:name w:val="Footnote Text Char"/>
    <w:link w:val="FootnoteText"/>
    <w:uiPriority w:val="99"/>
    <w:semiHidden/>
    <w:rsid w:val="00CF0849"/>
    <w:rPr>
      <w:sz w:val="24"/>
      <w:szCs w:val="24"/>
      <w:lang w:eastAsia="en-US"/>
    </w:rPr>
  </w:style>
  <w:style w:type="character" w:styleId="FootnoteReference">
    <w:name w:val="footnote reference"/>
    <w:uiPriority w:val="99"/>
    <w:semiHidden/>
    <w:unhideWhenUsed/>
    <w:rsid w:val="00CF0849"/>
    <w:rPr>
      <w:vertAlign w:val="superscript"/>
    </w:rPr>
  </w:style>
  <w:style w:type="character" w:styleId="CommentReference">
    <w:name w:val="annotation reference"/>
    <w:uiPriority w:val="99"/>
    <w:semiHidden/>
    <w:unhideWhenUsed/>
    <w:rsid w:val="00CF0849"/>
    <w:rPr>
      <w:sz w:val="18"/>
      <w:szCs w:val="18"/>
    </w:rPr>
  </w:style>
  <w:style w:type="paragraph" w:styleId="CommentText">
    <w:name w:val="annotation text"/>
    <w:basedOn w:val="Normal"/>
    <w:link w:val="CommentTextChar"/>
    <w:uiPriority w:val="99"/>
    <w:semiHidden/>
    <w:unhideWhenUsed/>
    <w:rsid w:val="00CF0849"/>
    <w:rPr>
      <w:sz w:val="24"/>
      <w:szCs w:val="24"/>
    </w:rPr>
  </w:style>
  <w:style w:type="character" w:customStyle="1" w:styleId="CommentTextChar">
    <w:name w:val="Comment Text Char"/>
    <w:link w:val="CommentText"/>
    <w:uiPriority w:val="99"/>
    <w:semiHidden/>
    <w:rsid w:val="00CF0849"/>
    <w:rPr>
      <w:sz w:val="24"/>
      <w:szCs w:val="24"/>
      <w:lang w:eastAsia="en-US"/>
    </w:rPr>
  </w:style>
  <w:style w:type="paragraph" w:styleId="CommentSubject">
    <w:name w:val="annotation subject"/>
    <w:basedOn w:val="CommentText"/>
    <w:next w:val="CommentText"/>
    <w:link w:val="CommentSubjectChar"/>
    <w:uiPriority w:val="99"/>
    <w:semiHidden/>
    <w:unhideWhenUsed/>
    <w:rsid w:val="00CF0849"/>
    <w:rPr>
      <w:b/>
      <w:bCs/>
      <w:sz w:val="20"/>
      <w:szCs w:val="20"/>
    </w:rPr>
  </w:style>
  <w:style w:type="character" w:customStyle="1" w:styleId="CommentSubjectChar">
    <w:name w:val="Comment Subject Char"/>
    <w:link w:val="CommentSubject"/>
    <w:uiPriority w:val="99"/>
    <w:semiHidden/>
    <w:rsid w:val="00CF0849"/>
    <w:rPr>
      <w:b/>
      <w:bCs/>
      <w:lang w:eastAsia="en-US"/>
    </w:rPr>
  </w:style>
  <w:style w:type="paragraph" w:styleId="BalloonText">
    <w:name w:val="Balloon Text"/>
    <w:basedOn w:val="Normal"/>
    <w:link w:val="BalloonTextChar"/>
    <w:uiPriority w:val="99"/>
    <w:semiHidden/>
    <w:unhideWhenUsed/>
    <w:rsid w:val="00CF0849"/>
    <w:pPr>
      <w:spacing w:after="0"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CF0849"/>
    <w:rPr>
      <w:rFonts w:ascii="Lucida Grande" w:hAnsi="Lucida Grande" w:cs="Lucida Grande"/>
      <w:sz w:val="18"/>
      <w:szCs w:val="18"/>
      <w:lang w:eastAsia="en-US"/>
    </w:rPr>
  </w:style>
  <w:style w:type="paragraph" w:styleId="Header">
    <w:name w:val="header"/>
    <w:basedOn w:val="Normal"/>
    <w:link w:val="HeaderChar"/>
    <w:uiPriority w:val="99"/>
    <w:unhideWhenUsed/>
    <w:rsid w:val="00CF0849"/>
    <w:pPr>
      <w:tabs>
        <w:tab w:val="center" w:pos="4513"/>
        <w:tab w:val="right" w:pos="9026"/>
      </w:tabs>
      <w:spacing w:after="0" w:line="240" w:lineRule="auto"/>
    </w:pPr>
  </w:style>
  <w:style w:type="character" w:customStyle="1" w:styleId="HeaderChar">
    <w:name w:val="Header Char"/>
    <w:link w:val="Header"/>
    <w:uiPriority w:val="99"/>
    <w:rsid w:val="00CF0849"/>
    <w:rPr>
      <w:sz w:val="22"/>
      <w:szCs w:val="22"/>
      <w:lang w:eastAsia="en-US"/>
    </w:rPr>
  </w:style>
  <w:style w:type="paragraph" w:styleId="Footer">
    <w:name w:val="footer"/>
    <w:basedOn w:val="Normal"/>
    <w:link w:val="FooterChar"/>
    <w:uiPriority w:val="99"/>
    <w:unhideWhenUsed/>
    <w:rsid w:val="00CF0849"/>
    <w:pPr>
      <w:tabs>
        <w:tab w:val="center" w:pos="4513"/>
        <w:tab w:val="right" w:pos="9026"/>
      </w:tabs>
      <w:spacing w:after="0" w:line="240" w:lineRule="auto"/>
    </w:pPr>
  </w:style>
  <w:style w:type="character" w:customStyle="1" w:styleId="FooterChar">
    <w:name w:val="Footer Char"/>
    <w:link w:val="Footer"/>
    <w:uiPriority w:val="99"/>
    <w:rsid w:val="00CF0849"/>
    <w:rPr>
      <w:sz w:val="22"/>
      <w:szCs w:val="22"/>
      <w:lang w:eastAsia="en-US"/>
    </w:rPr>
  </w:style>
  <w:style w:type="paragraph" w:styleId="ListParagraph">
    <w:name w:val="List Paragraph"/>
    <w:basedOn w:val="Normal"/>
    <w:uiPriority w:val="34"/>
    <w:qFormat/>
    <w:rsid w:val="00CF0849"/>
    <w:pPr>
      <w:ind w:left="720"/>
      <w:contextualSpacing/>
    </w:pPr>
  </w:style>
  <w:style w:type="paragraph" w:styleId="Revision">
    <w:name w:val="Revision"/>
    <w:hidden/>
    <w:uiPriority w:val="99"/>
    <w:semiHidden/>
    <w:rsid w:val="00CF084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an.bond@uea.ac.uk" TargetMode="External"/><Relationship Id="rId13" Type="http://schemas.openxmlformats.org/officeDocument/2006/relationships/hyperlink" Target="mailto:alan.bond@uea.ac.uk" TargetMode="External"/><Relationship Id="rId18" Type="http://schemas.openxmlformats.org/officeDocument/2006/relationships/image" Target="media/image1.tif"/><Relationship Id="rId3" Type="http://schemas.openxmlformats.org/officeDocument/2006/relationships/settings" Target="settings.xml"/><Relationship Id="rId21" Type="http://schemas.openxmlformats.org/officeDocument/2006/relationships/hyperlink" Target="http://www.resalliance.org" TargetMode="External"/><Relationship Id="rId7" Type="http://schemas.openxmlformats.org/officeDocument/2006/relationships/hyperlink" Target="http://dx.doi.org/10.1016/j.jenvman.2014.12.030" TargetMode="External"/><Relationship Id="rId12" Type="http://schemas.openxmlformats.org/officeDocument/2006/relationships/hyperlink" Target="mailto:francois.retief@nwu.ac.za" TargetMode="External"/><Relationship Id="rId17" Type="http://schemas.openxmlformats.org/officeDocument/2006/relationships/hyperlink" Target="mailto:francois.retief@nwu.ac.za" TargetMode="External"/><Relationship Id="rId2" Type="http://schemas.openxmlformats.org/officeDocument/2006/relationships/styles" Target="styles.xml"/><Relationship Id="rId16" Type="http://schemas.openxmlformats.org/officeDocument/2006/relationships/hyperlink" Target="mailto:jenny@integral-sustainability.net" TargetMode="External"/><Relationship Id="rId20" Type="http://schemas.openxmlformats.org/officeDocument/2006/relationships/image" Target="media/image3.t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enny@integral-sustainability.net"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jill.gunn@usask.ca" TargetMode="External"/><Relationship Id="rId23" Type="http://schemas.openxmlformats.org/officeDocument/2006/relationships/fontTable" Target="fontTable.xml"/><Relationship Id="rId10" Type="http://schemas.openxmlformats.org/officeDocument/2006/relationships/hyperlink" Target="mailto:jill.gunn@usask.ca" TargetMode="External"/><Relationship Id="rId19" Type="http://schemas.openxmlformats.org/officeDocument/2006/relationships/image" Target="media/image2.tif"/><Relationship Id="rId4" Type="http://schemas.openxmlformats.org/officeDocument/2006/relationships/webSettings" Target="webSettings.xml"/><Relationship Id="rId9" Type="http://schemas.openxmlformats.org/officeDocument/2006/relationships/hyperlink" Target="mailto:A.Morrison-Saunders@murdoch.edu.au" TargetMode="External"/><Relationship Id="rId14" Type="http://schemas.openxmlformats.org/officeDocument/2006/relationships/hyperlink" Target="mailto:A.Morrison-Saunders@murdoch.edu.au"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5A5DA7F1.dotm</Template>
  <TotalTime>1</TotalTime>
  <Pages>20</Pages>
  <Words>8034</Words>
  <Characters>45799</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53726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Bond (ENV)</dc:creator>
  <cp:keywords/>
  <dc:description/>
  <cp:lastModifiedBy>Alan Bond (ENV)</cp:lastModifiedBy>
  <cp:revision>1</cp:revision>
  <dcterms:created xsi:type="dcterms:W3CDTF">2014-12-17T09:04:00Z</dcterms:created>
  <dcterms:modified xsi:type="dcterms:W3CDTF">2014-12-17T09:05:00Z</dcterms:modified>
</cp:coreProperties>
</file>