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Title</w:t>
      </w:r>
    </w:p>
    <w:p w:rsidR="00697CC0" w:rsidRPr="00B9614C" w:rsidRDefault="00A763B0" w:rsidP="00473D55">
      <w:pPr>
        <w:spacing w:line="360" w:lineRule="auto"/>
        <w:jc w:val="both"/>
        <w:rPr>
          <w:rFonts w:asciiTheme="majorBidi" w:hAnsiTheme="majorBidi" w:cstheme="majorBidi"/>
          <w:b/>
          <w:bCs/>
        </w:rPr>
      </w:pPr>
      <w:r>
        <w:rPr>
          <w:rFonts w:asciiTheme="majorBidi" w:hAnsiTheme="majorBidi" w:cstheme="majorBidi"/>
          <w:b/>
          <w:bCs/>
        </w:rPr>
        <w:t>Abandoned acid?</w:t>
      </w:r>
      <w:r w:rsidR="005A31FE">
        <w:rPr>
          <w:rFonts w:asciiTheme="majorBidi" w:hAnsiTheme="majorBidi" w:cstheme="majorBidi"/>
          <w:b/>
          <w:bCs/>
        </w:rPr>
        <w:t xml:space="preserve"> Understanding</w:t>
      </w:r>
      <w:r w:rsidR="00323462" w:rsidRPr="00B9614C">
        <w:rPr>
          <w:rFonts w:asciiTheme="majorBidi" w:hAnsiTheme="majorBidi" w:cstheme="majorBidi"/>
          <w:b/>
          <w:bCs/>
        </w:rPr>
        <w:t xml:space="preserve"> adherence to </w:t>
      </w:r>
      <w:r w:rsidR="00920552" w:rsidRPr="00B9614C">
        <w:rPr>
          <w:rFonts w:asciiTheme="majorBidi" w:hAnsiTheme="majorBidi" w:cstheme="majorBidi"/>
          <w:b/>
          <w:bCs/>
        </w:rPr>
        <w:t>bisphosphonate medication</w:t>
      </w:r>
      <w:r w:rsidR="005A31FE">
        <w:rPr>
          <w:rFonts w:asciiTheme="majorBidi" w:hAnsiTheme="majorBidi" w:cstheme="majorBidi"/>
          <w:b/>
          <w:bCs/>
        </w:rPr>
        <w:t>s</w:t>
      </w:r>
      <w:r w:rsidR="00920552" w:rsidRPr="00B9614C">
        <w:rPr>
          <w:rFonts w:asciiTheme="majorBidi" w:hAnsiTheme="majorBidi" w:cstheme="majorBidi"/>
          <w:b/>
          <w:bCs/>
        </w:rPr>
        <w:t xml:space="preserve"> for the </w:t>
      </w:r>
      <w:r w:rsidR="00323462" w:rsidRPr="00B9614C">
        <w:rPr>
          <w:rFonts w:asciiTheme="majorBidi" w:hAnsiTheme="majorBidi" w:cstheme="majorBidi"/>
          <w:b/>
          <w:bCs/>
        </w:rPr>
        <w:t>preventi</w:t>
      </w:r>
      <w:r w:rsidR="00810E69">
        <w:rPr>
          <w:rFonts w:asciiTheme="majorBidi" w:hAnsiTheme="majorBidi" w:cstheme="majorBidi"/>
          <w:b/>
          <w:bCs/>
        </w:rPr>
        <w:t xml:space="preserve">on </w:t>
      </w:r>
      <w:r w:rsidR="005A31FE">
        <w:rPr>
          <w:rFonts w:asciiTheme="majorBidi" w:hAnsiTheme="majorBidi" w:cstheme="majorBidi"/>
          <w:b/>
          <w:bCs/>
        </w:rPr>
        <w:t>of</w:t>
      </w:r>
      <w:r w:rsidR="00323462" w:rsidRPr="00B9614C">
        <w:rPr>
          <w:rFonts w:asciiTheme="majorBidi" w:hAnsiTheme="majorBidi" w:cstheme="majorBidi"/>
          <w:b/>
          <w:bCs/>
        </w:rPr>
        <w:t xml:space="preserve"> osteoporosis </w:t>
      </w:r>
      <w:r w:rsidR="005A31FE">
        <w:rPr>
          <w:rFonts w:asciiTheme="majorBidi" w:hAnsiTheme="majorBidi" w:cstheme="majorBidi"/>
          <w:b/>
          <w:bCs/>
        </w:rPr>
        <w:t>among older women</w:t>
      </w:r>
      <w:r w:rsidR="00A4644E" w:rsidRPr="00B9614C">
        <w:rPr>
          <w:rFonts w:asciiTheme="majorBidi" w:hAnsiTheme="majorBidi" w:cstheme="majorBidi"/>
          <w:b/>
          <w:bCs/>
        </w:rPr>
        <w:t xml:space="preserve">: A qualitative </w:t>
      </w:r>
      <w:r w:rsidR="005A31FE">
        <w:rPr>
          <w:rFonts w:asciiTheme="majorBidi" w:hAnsiTheme="majorBidi" w:cstheme="majorBidi"/>
          <w:b/>
          <w:bCs/>
        </w:rPr>
        <w:t>longitudinal study</w:t>
      </w:r>
    </w:p>
    <w:p w:rsidR="00AD0264" w:rsidRPr="00B9614C" w:rsidRDefault="00AD0264" w:rsidP="00473D55">
      <w:pPr>
        <w:spacing w:line="360" w:lineRule="auto"/>
        <w:jc w:val="both"/>
        <w:rPr>
          <w:rFonts w:asciiTheme="majorBidi" w:hAnsiTheme="majorBidi" w:cstheme="majorBidi"/>
          <w:b/>
          <w:bCs/>
        </w:rPr>
      </w:pP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Authors</w:t>
      </w:r>
    </w:p>
    <w:p w:rsidR="00A621C2" w:rsidRDefault="00A621C2" w:rsidP="00A621C2">
      <w:pPr>
        <w:spacing w:line="360" w:lineRule="auto"/>
        <w:jc w:val="both"/>
        <w:rPr>
          <w:rFonts w:asciiTheme="majorBidi" w:hAnsiTheme="majorBidi" w:cstheme="majorBidi"/>
          <w:b/>
          <w:bCs/>
        </w:rPr>
      </w:pPr>
      <w:r w:rsidRPr="00B9614C">
        <w:rPr>
          <w:rFonts w:asciiTheme="majorBidi" w:hAnsiTheme="majorBidi" w:cstheme="majorBidi"/>
          <w:b/>
          <w:bCs/>
        </w:rPr>
        <w:t>Charlotte Salter 1</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Lisa McDaid 2</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Debi Bhattacharya 3</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Richard Holland 1</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Tarnya Marshall 4</w:t>
      </w:r>
    </w:p>
    <w:p w:rsidR="00A621C2" w:rsidRPr="00B9614C" w:rsidRDefault="00A621C2" w:rsidP="00A621C2">
      <w:pPr>
        <w:spacing w:line="360" w:lineRule="auto"/>
        <w:jc w:val="both"/>
        <w:rPr>
          <w:rFonts w:asciiTheme="majorBidi" w:hAnsiTheme="majorBidi" w:cstheme="majorBidi"/>
          <w:b/>
          <w:bCs/>
        </w:rPr>
      </w:pPr>
      <w:r w:rsidRPr="00B9614C">
        <w:rPr>
          <w:rFonts w:asciiTheme="majorBidi" w:hAnsiTheme="majorBidi" w:cstheme="majorBidi"/>
          <w:b/>
          <w:bCs/>
        </w:rPr>
        <w:t>Amanda Howe 1</w:t>
      </w:r>
    </w:p>
    <w:p w:rsidR="00A621C2" w:rsidRPr="00B9614C" w:rsidRDefault="00A621C2" w:rsidP="00473D55">
      <w:pPr>
        <w:spacing w:line="360" w:lineRule="auto"/>
        <w:jc w:val="both"/>
        <w:rPr>
          <w:rFonts w:asciiTheme="majorBidi" w:hAnsiTheme="majorBidi" w:cstheme="majorBidi"/>
          <w:b/>
          <w:bCs/>
        </w:rPr>
      </w:pPr>
    </w:p>
    <w:p w:rsidR="00AD0264" w:rsidRPr="00B9614C" w:rsidRDefault="00AD0264" w:rsidP="00473D55">
      <w:pPr>
        <w:spacing w:line="360" w:lineRule="auto"/>
        <w:jc w:val="both"/>
        <w:rPr>
          <w:rFonts w:asciiTheme="majorBidi" w:hAnsiTheme="majorBidi" w:cstheme="majorBidi"/>
          <w:b/>
          <w:bCs/>
        </w:rPr>
      </w:pP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Affiliations</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1 Norwich Medical School, Faculty of Medicine &amp; Health Science. University of East Anglia. Norwich</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2 School of Rehabilitation Science, Faculty of Medicine &amp; Health Science. University of East Anglia. Norwich</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3 School of Chemistry and Pharmacy, University of East Anglia. Norwich</w:t>
      </w: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t xml:space="preserve">4 Norfolk &amp; Norwich University Foundation Trust Hospital. Norwich </w:t>
      </w:r>
    </w:p>
    <w:p w:rsidR="00AD0264" w:rsidRPr="00B9614C" w:rsidRDefault="00AD0264" w:rsidP="00473D55">
      <w:pPr>
        <w:spacing w:line="360" w:lineRule="auto"/>
        <w:jc w:val="both"/>
        <w:rPr>
          <w:rFonts w:asciiTheme="majorBidi" w:hAnsiTheme="majorBidi" w:cstheme="majorBidi"/>
          <w:b/>
          <w:bCs/>
        </w:rPr>
      </w:pPr>
    </w:p>
    <w:p w:rsidR="00AD0264" w:rsidRPr="00B9614C" w:rsidRDefault="00AD0264" w:rsidP="00473D55">
      <w:pPr>
        <w:spacing w:line="360" w:lineRule="auto"/>
        <w:jc w:val="both"/>
        <w:rPr>
          <w:rFonts w:asciiTheme="majorBidi" w:hAnsiTheme="majorBidi" w:cstheme="majorBidi"/>
          <w:b/>
          <w:bCs/>
        </w:rPr>
      </w:pPr>
    </w:p>
    <w:p w:rsidR="00AD0264" w:rsidRPr="00B9614C" w:rsidRDefault="00AD0264" w:rsidP="00473D55">
      <w:pPr>
        <w:spacing w:line="360" w:lineRule="auto"/>
        <w:jc w:val="both"/>
        <w:rPr>
          <w:rFonts w:asciiTheme="majorBidi" w:hAnsiTheme="majorBidi" w:cstheme="majorBidi"/>
        </w:rPr>
      </w:pPr>
    </w:p>
    <w:p w:rsidR="003C5F8E" w:rsidRPr="00B9614C" w:rsidRDefault="003C5F8E" w:rsidP="00473D55">
      <w:pPr>
        <w:spacing w:line="360" w:lineRule="auto"/>
        <w:jc w:val="both"/>
        <w:rPr>
          <w:rFonts w:asciiTheme="majorBidi" w:hAnsiTheme="majorBidi" w:cstheme="majorBidi"/>
          <w:b/>
          <w:bCs/>
        </w:rPr>
      </w:pPr>
    </w:p>
    <w:p w:rsidR="00AD0264" w:rsidRPr="00B9614C" w:rsidRDefault="00AD0264" w:rsidP="00473D55">
      <w:pPr>
        <w:jc w:val="both"/>
        <w:rPr>
          <w:rFonts w:asciiTheme="majorBidi" w:hAnsiTheme="majorBidi" w:cstheme="majorBidi"/>
          <w:b/>
          <w:bCs/>
        </w:rPr>
      </w:pPr>
      <w:r w:rsidRPr="00B9614C">
        <w:rPr>
          <w:rFonts w:asciiTheme="majorBidi" w:hAnsiTheme="majorBidi" w:cstheme="majorBidi"/>
          <w:b/>
          <w:bCs/>
        </w:rPr>
        <w:br w:type="page"/>
      </w: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lastRenderedPageBreak/>
        <w:t>Abstract</w:t>
      </w: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Background</w:t>
      </w: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rPr>
        <w:t xml:space="preserve">There is significant morbidity and mortality caused by the complications of osteoporosis, for which ageing is the greatest epidemiological risk factor. Preventive medications to delay osteoporosis are available, but little is known about motivators to adhere to these in the context of a symptomless condition with evidence based on screening results.  </w:t>
      </w:r>
    </w:p>
    <w:p w:rsidR="00FA25DB" w:rsidRPr="00FA25DB" w:rsidRDefault="00FA25DB" w:rsidP="00FA25DB">
      <w:pPr>
        <w:spacing w:line="360" w:lineRule="auto"/>
        <w:jc w:val="both"/>
        <w:rPr>
          <w:rFonts w:asciiTheme="majorBidi" w:hAnsiTheme="majorBidi" w:cstheme="majorBidi"/>
        </w:rPr>
      </w:pP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Aim</w:t>
      </w: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rPr>
        <w:t>To describe key perceptions that influence older women’s adherence and persistence with prescribed medication when identified to be at a higher than average risk of fracture.</w:t>
      </w:r>
    </w:p>
    <w:p w:rsidR="00FA25DB" w:rsidRPr="00FA25DB" w:rsidRDefault="00FA25DB" w:rsidP="00FA25DB">
      <w:pPr>
        <w:spacing w:line="360" w:lineRule="auto"/>
        <w:jc w:val="both"/>
        <w:rPr>
          <w:rFonts w:asciiTheme="majorBidi" w:hAnsiTheme="majorBidi" w:cstheme="majorBidi"/>
          <w:b/>
          <w:bCs/>
        </w:rPr>
      </w:pP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Design of study</w:t>
      </w: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rPr>
        <w:t xml:space="preserve">A longitudinal qualitative study embedded within a multi-centre trial exploring the effectiveness of screening for prevention of fractures.  </w:t>
      </w:r>
    </w:p>
    <w:p w:rsidR="00FA25DB" w:rsidRPr="00FA25DB" w:rsidRDefault="00FA25DB" w:rsidP="00FA25DB">
      <w:pPr>
        <w:spacing w:line="360" w:lineRule="auto"/>
        <w:jc w:val="both"/>
        <w:rPr>
          <w:rFonts w:asciiTheme="majorBidi" w:hAnsiTheme="majorBidi" w:cstheme="majorBidi"/>
        </w:rPr>
      </w:pP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Setting</w:t>
      </w:r>
      <w:r w:rsidRPr="00FA25DB">
        <w:rPr>
          <w:rFonts w:asciiTheme="majorBidi" w:hAnsiTheme="majorBidi" w:cstheme="majorBidi"/>
        </w:rPr>
        <w:t xml:space="preserve"> </w:t>
      </w: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rPr>
        <w:t>Primary care, Norfolk. United Kingdom</w:t>
      </w:r>
    </w:p>
    <w:p w:rsidR="00FA25DB" w:rsidRPr="00FA25DB" w:rsidRDefault="00FA25DB" w:rsidP="00FA25DB">
      <w:pPr>
        <w:spacing w:line="360" w:lineRule="auto"/>
        <w:jc w:val="both"/>
        <w:rPr>
          <w:rFonts w:asciiTheme="majorBidi" w:hAnsiTheme="majorBidi" w:cstheme="majorBidi"/>
        </w:rPr>
      </w:pP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Method</w:t>
      </w: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rPr>
        <w:t>Thirty older women aged 70-85 years of age who were offered preventive medication for osteoporosis and agreed to undertake two interviews at 6 and 24 months post-first prescription.</w:t>
      </w:r>
    </w:p>
    <w:p w:rsidR="00FA25DB" w:rsidRPr="00FA25DB" w:rsidRDefault="00FA25DB" w:rsidP="00FA25DB">
      <w:pPr>
        <w:spacing w:line="360" w:lineRule="auto"/>
        <w:jc w:val="both"/>
        <w:rPr>
          <w:rFonts w:asciiTheme="majorBidi" w:hAnsiTheme="majorBidi" w:cstheme="majorBidi"/>
          <w:b/>
          <w:bCs/>
        </w:rPr>
      </w:pPr>
    </w:p>
    <w:p w:rsidR="00FA25DB" w:rsidRPr="00FA25DB" w:rsidRDefault="00FA25DB" w:rsidP="00FA25DB">
      <w:pPr>
        <w:spacing w:line="360" w:lineRule="auto"/>
        <w:jc w:val="both"/>
        <w:rPr>
          <w:rFonts w:asciiTheme="majorBidi" w:hAnsiTheme="majorBidi" w:cstheme="majorBidi"/>
        </w:rPr>
      </w:pPr>
      <w:r w:rsidRPr="00FA25DB">
        <w:rPr>
          <w:rFonts w:asciiTheme="majorBidi" w:hAnsiTheme="majorBidi" w:cstheme="majorBidi"/>
          <w:b/>
          <w:bCs/>
        </w:rPr>
        <w:t>Results</w:t>
      </w:r>
      <w:r w:rsidRPr="00FA25DB">
        <w:rPr>
          <w:rFonts w:asciiTheme="majorBidi" w:hAnsiTheme="majorBidi" w:cstheme="majorBidi"/>
          <w:bCs/>
        </w:rPr>
        <w:t xml:space="preserve"> </w:t>
      </w:r>
    </w:p>
    <w:p w:rsidR="00FA25DB" w:rsidRPr="00FA25DB" w:rsidRDefault="00FA25DB" w:rsidP="00FA25DB">
      <w:pPr>
        <w:spacing w:line="360" w:lineRule="auto"/>
        <w:rPr>
          <w:rFonts w:asciiTheme="majorBidi" w:hAnsiTheme="majorBidi" w:cstheme="majorBidi"/>
        </w:rPr>
      </w:pPr>
      <w:r w:rsidRPr="00FA25DB">
        <w:rPr>
          <w:rFonts w:asciiTheme="majorBidi" w:hAnsiTheme="majorBidi" w:cstheme="majorBidi"/>
          <w:noProof/>
        </w:rPr>
        <w:t>There were no overall predictors of adherence which</w:t>
      </w:r>
      <w:r w:rsidRPr="00FA25DB">
        <w:rPr>
          <w:rFonts w:asciiTheme="majorBidi" w:hAnsiTheme="majorBidi" w:cstheme="majorBidi"/>
        </w:rPr>
        <w:t xml:space="preserve"> varied markedly over time. Participants’ perceptions and motivations to persist with medication were influenced by six core themes: understanding adherence and non-adherence, motivations and self-care, appraising and prioritising risk, anticipating and managing side effects, problems of understanding, and decision making around medication. Those engaged with supportive professionals could better tolerate and overcome barriers such as side-effects.</w:t>
      </w:r>
    </w:p>
    <w:p w:rsidR="00FA25DB" w:rsidRPr="00FA25DB" w:rsidRDefault="00FA25DB" w:rsidP="00FA25DB">
      <w:pPr>
        <w:spacing w:line="360" w:lineRule="auto"/>
        <w:jc w:val="both"/>
        <w:rPr>
          <w:rFonts w:asciiTheme="majorBidi" w:hAnsiTheme="majorBidi" w:cstheme="majorBidi"/>
        </w:rPr>
      </w:pPr>
    </w:p>
    <w:p w:rsidR="00FA25DB" w:rsidRPr="00FA25DB" w:rsidRDefault="00FA25DB" w:rsidP="00FA25DB">
      <w:pPr>
        <w:spacing w:line="360" w:lineRule="auto"/>
        <w:jc w:val="both"/>
        <w:rPr>
          <w:rFonts w:asciiTheme="majorBidi" w:hAnsiTheme="majorBidi" w:cstheme="majorBidi"/>
          <w:b/>
          <w:bCs/>
        </w:rPr>
      </w:pPr>
    </w:p>
    <w:p w:rsidR="00FA25DB" w:rsidRPr="00FA25DB" w:rsidRDefault="00FA25DB" w:rsidP="00FA25DB">
      <w:pPr>
        <w:spacing w:line="360" w:lineRule="auto"/>
        <w:jc w:val="both"/>
        <w:rPr>
          <w:rFonts w:asciiTheme="majorBidi" w:hAnsiTheme="majorBidi" w:cstheme="majorBidi"/>
          <w:b/>
          <w:bCs/>
        </w:rPr>
      </w:pPr>
      <w:r w:rsidRPr="00FA25DB">
        <w:rPr>
          <w:rFonts w:asciiTheme="majorBidi" w:hAnsiTheme="majorBidi" w:cstheme="majorBidi"/>
          <w:b/>
          <w:bCs/>
        </w:rPr>
        <w:t xml:space="preserve">Conclusions </w:t>
      </w:r>
    </w:p>
    <w:p w:rsidR="00FA25DB" w:rsidRPr="00FA25DB" w:rsidRDefault="00FA25DB" w:rsidP="00FA25DB">
      <w:pPr>
        <w:spacing w:line="360" w:lineRule="auto"/>
        <w:rPr>
          <w:rFonts w:asciiTheme="majorBidi" w:hAnsiTheme="majorBidi" w:cstheme="majorBidi"/>
          <w:bCs/>
        </w:rPr>
      </w:pPr>
      <w:r w:rsidRPr="00FA25DB">
        <w:rPr>
          <w:rFonts w:asciiTheme="majorBidi" w:hAnsiTheme="majorBidi" w:cstheme="majorBidi"/>
          <w:bCs/>
        </w:rPr>
        <w:t xml:space="preserve">Many issues are raised following screening in a cohort of women who have not previously sought advice about their bone health. Adherence to preventive medication for osteoporosis is complex and multifaceted. Individual participant </w:t>
      </w:r>
      <w:r w:rsidRPr="00FA25DB">
        <w:rPr>
          <w:rFonts w:asciiTheme="majorBidi" w:hAnsiTheme="majorBidi" w:cstheme="majorBidi"/>
        </w:rPr>
        <w:t xml:space="preserve">understanding, choice, risk and perceived need all interact to produce unpredictable patterns of usage and acceptability.  </w:t>
      </w:r>
      <w:r w:rsidRPr="00FA25DB">
        <w:rPr>
          <w:rFonts w:asciiTheme="majorBidi" w:hAnsiTheme="majorBidi" w:cstheme="majorBidi"/>
          <w:bCs/>
        </w:rPr>
        <w:t>There are clear implications for practice and</w:t>
      </w:r>
      <w:r w:rsidRPr="00FA25DB">
        <w:rPr>
          <w:rFonts w:asciiTheme="majorBidi" w:hAnsiTheme="majorBidi" w:cstheme="majorBidi"/>
          <w:iCs/>
        </w:rPr>
        <w:t xml:space="preserve"> health professionals should not assume adherence in any older women prescribed medication for the prevention of osteoporosis.  </w:t>
      </w:r>
      <w:r w:rsidRPr="00FA25DB">
        <w:rPr>
          <w:rFonts w:asciiTheme="majorBidi" w:hAnsiTheme="majorBidi" w:cstheme="majorBidi"/>
          <w:bCs/>
        </w:rPr>
        <w:t xml:space="preserve">The </w:t>
      </w:r>
      <w:r w:rsidRPr="00FA25DB">
        <w:rPr>
          <w:rFonts w:asciiTheme="majorBidi" w:hAnsiTheme="majorBidi" w:cstheme="majorBidi"/>
          <w:noProof/>
        </w:rPr>
        <w:t xml:space="preserve">beliefs and motivations of </w:t>
      </w:r>
      <w:bookmarkStart w:id="0" w:name="_GoBack"/>
      <w:bookmarkEnd w:id="0"/>
      <w:r w:rsidRPr="00FA25DB">
        <w:rPr>
          <w:rFonts w:asciiTheme="majorBidi" w:hAnsiTheme="majorBidi" w:cstheme="majorBidi"/>
          <w:noProof/>
        </w:rPr>
        <w:t>participants and their healthcare providers regarding the need to establish acceptable medication regimes is key to promoting and sustaining adherence</w:t>
      </w:r>
      <w:r w:rsidRPr="00FA25DB">
        <w:rPr>
          <w:rFonts w:asciiTheme="majorBidi" w:hAnsiTheme="majorBidi" w:cstheme="majorBidi"/>
          <w:bCs/>
        </w:rPr>
        <w:t xml:space="preserve">.  </w:t>
      </w:r>
    </w:p>
    <w:p w:rsidR="00FF695C" w:rsidRPr="00B9614C" w:rsidRDefault="00FF695C" w:rsidP="00627673">
      <w:pPr>
        <w:spacing w:line="360" w:lineRule="auto"/>
        <w:jc w:val="both"/>
        <w:rPr>
          <w:rFonts w:asciiTheme="majorBidi" w:hAnsiTheme="majorBidi" w:cstheme="majorBidi"/>
        </w:rPr>
      </w:pPr>
    </w:p>
    <w:p w:rsidR="00FF695C" w:rsidRPr="00B9614C" w:rsidRDefault="00FF695C" w:rsidP="00473D55">
      <w:pPr>
        <w:jc w:val="both"/>
      </w:pPr>
    </w:p>
    <w:p w:rsidR="00AD0264" w:rsidRPr="00B9614C" w:rsidRDefault="00AD0264" w:rsidP="00473D55">
      <w:pPr>
        <w:spacing w:line="360" w:lineRule="auto"/>
        <w:jc w:val="both"/>
        <w:rPr>
          <w:rFonts w:asciiTheme="majorBidi" w:hAnsiTheme="majorBidi" w:cstheme="majorBidi"/>
          <w:b/>
          <w:bCs/>
        </w:rPr>
      </w:pPr>
      <w:r w:rsidRPr="00B9614C">
        <w:rPr>
          <w:rFonts w:asciiTheme="majorBidi" w:hAnsiTheme="majorBidi" w:cstheme="majorBidi"/>
          <w:b/>
          <w:bCs/>
        </w:rPr>
        <w:br/>
      </w:r>
    </w:p>
    <w:p w:rsidR="00AD0264" w:rsidRPr="00B9614C" w:rsidRDefault="00AD0264" w:rsidP="00473D55">
      <w:pPr>
        <w:jc w:val="both"/>
        <w:rPr>
          <w:rFonts w:asciiTheme="majorBidi" w:hAnsiTheme="majorBidi" w:cstheme="majorBidi"/>
          <w:b/>
          <w:bCs/>
        </w:rPr>
      </w:pPr>
      <w:r w:rsidRPr="00B9614C">
        <w:rPr>
          <w:rFonts w:asciiTheme="majorBidi" w:hAnsiTheme="majorBidi" w:cstheme="majorBidi"/>
          <w:b/>
          <w:bCs/>
        </w:rPr>
        <w:br w:type="page"/>
      </w:r>
    </w:p>
    <w:p w:rsidR="00637976" w:rsidRPr="00B9614C" w:rsidRDefault="00637976" w:rsidP="00473D55">
      <w:pPr>
        <w:spacing w:line="360" w:lineRule="auto"/>
        <w:jc w:val="both"/>
        <w:rPr>
          <w:rFonts w:asciiTheme="majorBidi" w:hAnsiTheme="majorBidi" w:cstheme="majorBidi"/>
          <w:b/>
          <w:bCs/>
        </w:rPr>
      </w:pPr>
      <w:r w:rsidRPr="00B9614C">
        <w:rPr>
          <w:rFonts w:asciiTheme="majorBidi" w:hAnsiTheme="majorBidi" w:cstheme="majorBidi"/>
          <w:b/>
          <w:bCs/>
        </w:rPr>
        <w:lastRenderedPageBreak/>
        <w:t>Introduction</w:t>
      </w:r>
    </w:p>
    <w:p w:rsidR="00637976" w:rsidRPr="00B9614C" w:rsidRDefault="00637976" w:rsidP="00473D55">
      <w:pPr>
        <w:spacing w:line="360" w:lineRule="auto"/>
        <w:jc w:val="both"/>
        <w:rPr>
          <w:rFonts w:asciiTheme="majorBidi" w:hAnsiTheme="majorBidi" w:cstheme="majorBidi"/>
        </w:rPr>
      </w:pPr>
    </w:p>
    <w:p w:rsidR="00CE09C1" w:rsidRPr="00B9614C" w:rsidRDefault="00697CC0" w:rsidP="00A6020C">
      <w:pPr>
        <w:spacing w:line="360" w:lineRule="auto"/>
        <w:jc w:val="both"/>
        <w:rPr>
          <w:rFonts w:asciiTheme="majorBidi" w:hAnsiTheme="majorBidi" w:cstheme="majorBidi"/>
        </w:rPr>
      </w:pPr>
      <w:r w:rsidRPr="00B9614C">
        <w:rPr>
          <w:rFonts w:asciiTheme="majorBidi" w:hAnsiTheme="majorBidi" w:cstheme="majorBidi"/>
        </w:rPr>
        <w:t>There is significant morbidity and mortality caused by the complications of osteoporosis</w:t>
      </w:r>
      <w:r w:rsidR="00CE09C1" w:rsidRPr="00B9614C">
        <w:rPr>
          <w:rFonts w:asciiTheme="majorBidi" w:hAnsiTheme="majorBidi" w:cstheme="majorBidi"/>
        </w:rPr>
        <w:t>,</w:t>
      </w:r>
      <w:r w:rsidRPr="00B9614C">
        <w:rPr>
          <w:rFonts w:asciiTheme="majorBidi" w:hAnsiTheme="majorBidi" w:cstheme="majorBidi"/>
        </w:rPr>
        <w:t xml:space="preserve"> for which ageing is the greatest epidemiological </w:t>
      </w:r>
      <w:r w:rsidR="00473D55" w:rsidRPr="00B9614C">
        <w:rPr>
          <w:rFonts w:asciiTheme="majorBidi" w:hAnsiTheme="majorBidi" w:cstheme="majorBidi"/>
        </w:rPr>
        <w:t xml:space="preserve">risk factor. </w:t>
      </w:r>
      <w:r w:rsidRPr="00B9614C">
        <w:rPr>
          <w:rFonts w:asciiTheme="majorBidi" w:hAnsiTheme="majorBidi" w:cstheme="majorBidi"/>
        </w:rPr>
        <w:t xml:space="preserve">While other risks such as immobility, persistent low body weight, early menopause and </w:t>
      </w:r>
      <w:r w:rsidR="00920552" w:rsidRPr="00B9614C">
        <w:rPr>
          <w:rFonts w:asciiTheme="majorBidi" w:hAnsiTheme="majorBidi" w:cstheme="majorBidi"/>
        </w:rPr>
        <w:t>cortico</w:t>
      </w:r>
      <w:r w:rsidRPr="00B9614C">
        <w:rPr>
          <w:rFonts w:asciiTheme="majorBidi" w:hAnsiTheme="majorBidi" w:cstheme="majorBidi"/>
        </w:rPr>
        <w:t>steroid use may lead to early onset of osteoporosis, around 40% of women aged 70 will have osteoporosis, and as many as 90% will have a significantly increased risk of fracturing a bone in a fall or accident</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&lt;EndNote&gt;&lt;Cite&gt;&lt;Author&gt;Kanis&lt;/Author&gt;&lt;Year&gt;2002&lt;/Year&gt;&lt;RecNum&gt;1&lt;/RecNum&gt;&lt;DisplayText&gt;[1]&lt;/DisplayText&gt;&lt;record&gt;&lt;rec-number&gt;1&lt;/rec-number&gt;&lt;foreign-keys&gt;&lt;key app="EN" db-id="frw0wf09qsav0qer2zlx2v2ff9srazx5x2ae"&gt;1&lt;/key&gt;&lt;/foreign-keys&gt;&lt;ref-type name="Journal Article"&gt;17&lt;/ref-type&gt;&lt;contributors&gt;&lt;authors&gt;&lt;author&gt;Kanis, John A.&lt;/author&gt;&lt;/authors&gt;&lt;/contributors&gt;&lt;titles&gt;&lt;title&gt;Diagnosis of osteoporosis and assessment of fracture risk.&lt;/title&gt;&lt;secondary-title&gt;Lancet&lt;/secondary-title&gt;&lt;/titles&gt;&lt;periodical&gt;&lt;full-title&gt;Lancet&lt;/full-title&gt;&lt;/periodical&gt;&lt;pages&gt;1929-36&lt;/pages&gt;&lt;volume&gt;359&lt;/volume&gt;&lt;number&gt;9321&lt;/number&gt;&lt;dates&gt;&lt;year&gt;2002&lt;/year&gt;&lt;/dates&gt;&lt;urls&gt;&lt;/urls&gt;&lt;electronic-resource-num&gt;doi:10.1016/S0140-6736(02)08761-5&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 w:tooltip="Kanis, 2002 #1" w:history="1">
        <w:r w:rsidR="00A6020C" w:rsidRPr="00B9614C">
          <w:rPr>
            <w:rFonts w:asciiTheme="majorBidi" w:hAnsiTheme="majorBidi" w:cstheme="majorBidi"/>
            <w:noProof/>
          </w:rPr>
          <w:t>1</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&lt;EndNote&gt;&lt;Cite&gt;&lt;Author&gt;WHO&lt;/Author&gt;&lt;Year&gt;2003&lt;/Year&gt;&lt;RecNum&gt;2&lt;/RecNum&gt;&lt;DisplayText&gt;[2]&lt;/DisplayText&gt;&lt;record&gt;&lt;rec-number&gt;2&lt;/rec-number&gt;&lt;foreign-keys&gt;&lt;key app="EN" db-id="frw0wf09qsav0qer2zlx2v2ff9srazx5x2ae"&gt;2&lt;/key&gt;&lt;/foreign-keys&gt;&lt;ref-type name="Report"&gt;27&lt;/ref-type&gt;&lt;contributors&gt;&lt;authors&gt;&lt;author&gt;WHO&lt;/author&gt;&lt;/authors&gt;&lt;/contributors&gt;&lt;titles&gt;&lt;title&gt;Prevention and Management of osteoporosis&lt;/title&gt;&lt;secondary-title&gt;Report of a WHO Scientific Group&lt;/secondary-title&gt;&lt;/titles&gt;&lt;volume&gt;921&lt;/volume&gt;&lt;num-vols&gt;Technical Report Series&lt;/num-vols&gt;&lt;dates&gt;&lt;year&gt;2003&lt;/year&gt;&lt;/dates&gt;&lt;pub-location&gt;Geneva&lt;/pub-location&gt;&lt;publisher&gt;WHO&lt;/publisher&gt;&lt;urls&gt;&lt;/urls&gt;&lt;/record&gt;&lt;/Cite&gt;&lt;/EndNote&gt;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2" w:tooltip="WHO, 2003 #2" w:history="1">
        <w:r w:rsidR="00A6020C" w:rsidRPr="00B9614C">
          <w:rPr>
            <w:rFonts w:asciiTheme="majorBidi" w:hAnsiTheme="majorBidi" w:cstheme="majorBidi"/>
            <w:noProof/>
          </w:rPr>
          <w:t>2</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 xml:space="preserve">. </w:t>
      </w:r>
      <w:r w:rsidRPr="00B9614C">
        <w:rPr>
          <w:rFonts w:asciiTheme="majorBidi" w:hAnsiTheme="majorBidi" w:cstheme="majorBidi"/>
        </w:rPr>
        <w:t xml:space="preserve">This has led to a major research focus on the prevention of osteoporosis which has established that osteoporotic fractures can be significantly reduced by a combination of pharmacological </w:t>
      </w:r>
      <w:r w:rsidR="00273393" w:rsidRPr="00B9614C">
        <w:rPr>
          <w:rFonts w:asciiTheme="majorBidi" w:hAnsiTheme="majorBidi" w:cstheme="majorBidi"/>
        </w:rPr>
        <w:t xml:space="preserve">(bisphosphonates with calcium and vitamin D supplements) </w:t>
      </w:r>
      <w:r w:rsidRPr="00B9614C">
        <w:rPr>
          <w:rFonts w:asciiTheme="majorBidi" w:hAnsiTheme="majorBidi" w:cstheme="majorBidi"/>
        </w:rPr>
        <w:t>and behavioural interventions</w:t>
      </w:r>
      <w:r w:rsidR="00273393" w:rsidRPr="00B9614C">
        <w:rPr>
          <w:rFonts w:asciiTheme="majorBidi" w:hAnsiTheme="majorBidi" w:cstheme="majorBidi"/>
        </w:rPr>
        <w:t xml:space="preserve"> (dietary intake, smoking cessation, and weight bearing exercise).</w:t>
      </w:r>
    </w:p>
    <w:p w:rsidR="003B36AB" w:rsidRPr="00B9614C" w:rsidRDefault="003B36AB" w:rsidP="00473D55">
      <w:pPr>
        <w:spacing w:line="360" w:lineRule="auto"/>
        <w:jc w:val="both"/>
        <w:rPr>
          <w:rFonts w:asciiTheme="majorBidi" w:hAnsiTheme="majorBidi" w:cstheme="majorBidi"/>
        </w:rPr>
      </w:pPr>
    </w:p>
    <w:p w:rsidR="00697CC0" w:rsidRPr="00B9614C" w:rsidRDefault="00697CC0" w:rsidP="00A6020C">
      <w:pPr>
        <w:spacing w:line="360" w:lineRule="auto"/>
        <w:jc w:val="both"/>
        <w:rPr>
          <w:rFonts w:asciiTheme="majorBidi" w:hAnsiTheme="majorBidi" w:cstheme="majorBidi"/>
        </w:rPr>
      </w:pPr>
      <w:r w:rsidRPr="00B9614C">
        <w:rPr>
          <w:rFonts w:asciiTheme="majorBidi" w:hAnsiTheme="majorBidi" w:cstheme="majorBidi"/>
        </w:rPr>
        <w:t xml:space="preserve">More recent initiatives include the development of treatment algorithms and encouragement for primary care practitioners to identify patients who may be at </w:t>
      </w:r>
      <w:r w:rsidR="003B36AB" w:rsidRPr="00B9614C">
        <w:rPr>
          <w:rFonts w:asciiTheme="majorBidi" w:hAnsiTheme="majorBidi" w:cstheme="majorBidi"/>
        </w:rPr>
        <w:t>‘</w:t>
      </w:r>
      <w:r w:rsidRPr="00B9614C">
        <w:rPr>
          <w:rFonts w:asciiTheme="majorBidi" w:hAnsiTheme="majorBidi" w:cstheme="majorBidi"/>
        </w:rPr>
        <w:t>risk</w:t>
      </w:r>
      <w:r w:rsidR="003B36AB" w:rsidRPr="00B9614C">
        <w:rPr>
          <w:rFonts w:asciiTheme="majorBidi" w:hAnsiTheme="majorBidi" w:cstheme="majorBidi"/>
        </w:rPr>
        <w:t>’</w:t>
      </w:r>
      <w:r w:rsidRPr="00B9614C">
        <w:rPr>
          <w:rFonts w:asciiTheme="majorBidi" w:hAnsiTheme="majorBidi" w:cstheme="majorBidi"/>
        </w:rPr>
        <w:t xml:space="preserve"> </w:t>
      </w:r>
      <w:r w:rsidR="003B36AB" w:rsidRPr="00B9614C">
        <w:rPr>
          <w:rFonts w:asciiTheme="majorBidi" w:hAnsiTheme="majorBidi" w:cstheme="majorBidi"/>
        </w:rPr>
        <w:t xml:space="preserve">of fracturing </w:t>
      </w:r>
      <w:r w:rsidRPr="00B9614C">
        <w:rPr>
          <w:rFonts w:asciiTheme="majorBidi" w:hAnsiTheme="majorBidi" w:cstheme="majorBidi"/>
        </w:rPr>
        <w:t>and may benefit from preventive options</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&lt;EndNote&gt;&lt;Cite&gt;&lt;Author&gt;Verdijk&lt;/Author&gt;&lt;Year&gt;2009&lt;/Year&gt;&lt;RecNum&gt;49&lt;/RecNum&gt;&lt;DisplayText&gt;[3]&lt;/DisplayText&gt;&lt;record&gt;&lt;rec-number&gt;49&lt;/rec-number&gt;&lt;foreign-keys&gt;&lt;key app="EN" db-id="frw0wf09qsav0qer2zlx2v2ff9srazx5x2ae"&gt;49&lt;/key&gt;&lt;/foreign-keys&gt;&lt;ref-type name="Journal Article"&gt;17&lt;/ref-type&gt;&lt;contributors&gt;&lt;authors&gt;&lt;author&gt;Verdijk, N.A.&lt;/author&gt;&lt;author&gt;Romeijnders, A.C.&lt;/author&gt;&lt;author&gt;Ruskus, J.J.&lt;/author&gt;&lt;author&gt;Van Der Sluijs, C.&lt;/author&gt;&lt;author&gt;Pop, V.J.&lt;/author&gt;&lt;/authors&gt;&lt;/contributors&gt;&lt;titles&gt;&lt;title&gt;Validation of the Dutch guidelines for dual X-ray absorptiometry measurement&lt;/title&gt;&lt;secondary-title&gt;The British Journal of General Practice&lt;/secondary-title&gt;&lt;/titles&gt;&lt;periodical&gt;&lt;full-title&gt;The British Journal of General Practice&lt;/full-title&gt;&lt;/periodical&gt;&lt;pages&gt;256-60&lt;/pages&gt;&lt;volume&gt;59&lt;/volume&gt;&lt;number&gt;561&lt;/number&gt;&lt;dates&gt;&lt;year&gt;2009&lt;/year&gt;&lt;/dates&gt;&lt;urls&gt;&lt;/urls&gt;&lt;electronic-resource-num&gt;10.3399/bjgp09X420338 &lt;/electronic-resource-num&gt;&lt;/record&gt;&lt;/Cite&gt;&lt;/EndNote&gt;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3" w:tooltip="Verdijk, 2009 #49" w:history="1">
        <w:r w:rsidR="00A6020C" w:rsidRPr="00B9614C">
          <w:rPr>
            <w:rFonts w:asciiTheme="majorBidi" w:hAnsiTheme="majorBidi" w:cstheme="majorBidi"/>
            <w:noProof/>
          </w:rPr>
          <w:t>3</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&lt;EndNote&gt;&lt;Cite&gt;&lt;Author&gt;(SIGN)&lt;/Author&gt;&lt;Year&gt;2003&lt;/Year&gt;&lt;RecNum&gt;4&lt;/RecNum&gt;&lt;DisplayText&gt;[4]&lt;/DisplayText&gt;&lt;record&gt;&lt;rec-number&gt;4&lt;/rec-number&gt;&lt;foreign-keys&gt;&lt;key app="EN" db-id="frw0wf09qsav0qer2zlx2v2ff9srazx5x2ae"&gt;4&lt;/key&gt;&lt;/foreign-keys&gt;&lt;ref-type name="Report"&gt;27&lt;/ref-type&gt;&lt;contributors&gt;&lt;authors&gt;&lt;author&gt;Scottish Intercollegiate Guidelines Network (SIGN)&lt;/author&gt;&lt;/authors&gt;&lt;/contributors&gt;&lt;titles&gt;&lt;title&gt;Management of osteoporosis risk&lt;/title&gt;&lt;secondary-title&gt;SIGN guideline&lt;/secondary-title&gt;&lt;/titles&gt;&lt;number&gt;71&lt;/number&gt;&lt;dates&gt;&lt;year&gt;2003&lt;/year&gt;&lt;/dates&gt;&lt;urls&gt;&lt;related-urls&gt;&lt;url&gt; http://www.sign.ac.uk/guidelines/fulltext/71/section2.html &lt;/url&gt;&lt;/related-urls&gt;&lt;/urls&gt;&lt;access-date&gt;accessed 14 Sept 2012&lt;/access-date&gt;&lt;/record&gt;&lt;/Cite&gt;&lt;/EndNote&gt;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4" w:tooltip="(SIGN), 2003 #4" w:history="1">
        <w:r w:rsidR="00A6020C" w:rsidRPr="00B9614C">
          <w:rPr>
            <w:rFonts w:asciiTheme="majorBidi" w:hAnsiTheme="majorBidi" w:cstheme="majorBidi"/>
            <w:noProof/>
          </w:rPr>
          <w:t>4</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46EA9" w:rsidRPr="00B9614C">
        <w:rPr>
          <w:rFonts w:asciiTheme="majorBidi" w:hAnsiTheme="majorBidi" w:cstheme="majorBidi"/>
        </w:rPr>
        <w:t>.</w:t>
      </w:r>
      <w:r w:rsidR="00BC0AC7" w:rsidRPr="00B9614C">
        <w:rPr>
          <w:rFonts w:asciiTheme="majorBidi" w:hAnsiTheme="majorBidi" w:cstheme="majorBidi"/>
        </w:rPr>
        <w:t xml:space="preserve"> </w:t>
      </w:r>
      <w:r w:rsidR="003B36AB" w:rsidRPr="00B9614C">
        <w:rPr>
          <w:rFonts w:asciiTheme="majorBidi" w:hAnsiTheme="majorBidi" w:cstheme="majorBidi"/>
        </w:rPr>
        <w:t xml:space="preserve"> </w:t>
      </w:r>
      <w:r w:rsidRPr="00B9614C">
        <w:rPr>
          <w:rFonts w:asciiTheme="majorBidi" w:hAnsiTheme="majorBidi" w:cstheme="majorBidi"/>
        </w:rPr>
        <w:t xml:space="preserve">However, as </w:t>
      </w:r>
      <w:r w:rsidR="00DE43A2" w:rsidRPr="00B9614C">
        <w:rPr>
          <w:rFonts w:asciiTheme="majorBidi" w:hAnsiTheme="majorBidi" w:cstheme="majorBidi"/>
        </w:rPr>
        <w:t>the National Institute for Clinical Excellence (</w:t>
      </w:r>
      <w:r w:rsidRPr="00B9614C">
        <w:rPr>
          <w:rFonts w:asciiTheme="majorBidi" w:hAnsiTheme="majorBidi" w:cstheme="majorBidi"/>
        </w:rPr>
        <w:t>NICE</w:t>
      </w:r>
      <w:r w:rsidR="00DE43A2" w:rsidRPr="00B9614C">
        <w:rPr>
          <w:rFonts w:asciiTheme="majorBidi" w:hAnsiTheme="majorBidi" w:cstheme="majorBidi"/>
        </w:rPr>
        <w:t>)</w:t>
      </w:r>
      <w:r w:rsidRPr="00B9614C">
        <w:rPr>
          <w:rFonts w:asciiTheme="majorBidi" w:hAnsiTheme="majorBidi" w:cstheme="majorBidi"/>
        </w:rPr>
        <w:t xml:space="preserve"> acknowledge, </w:t>
      </w:r>
      <w:r w:rsidRPr="00B9614C">
        <w:rPr>
          <w:rFonts w:asciiTheme="majorBidi" w:hAnsiTheme="majorBidi" w:cstheme="majorBidi"/>
          <w:i/>
        </w:rPr>
        <w:t>“identifying who will benefit from preventative treatment is imprecise</w:t>
      </w:r>
      <w:r w:rsidR="008F3692" w:rsidRPr="00B9614C">
        <w:rPr>
          <w:rFonts w:asciiTheme="majorBidi" w:hAnsiTheme="majorBidi" w:cstheme="majorBidi"/>
          <w:i/>
        </w:rPr>
        <w:t>”</w:t>
      </w:r>
      <w:r w:rsidRPr="00B9614C">
        <w:rPr>
          <w:rFonts w:asciiTheme="majorBidi" w:hAnsiTheme="majorBidi" w:cstheme="majorBidi"/>
          <w: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&lt;EndNote&gt;&lt;Cite&gt;&lt;Author&gt;NICE&lt;/Author&gt;&lt;Year&gt;2012&lt;/Year&gt;&lt;RecNum&gt;5&lt;/RecNum&gt;&lt;DisplayText&gt;[5]&lt;/DisplayText&gt;&lt;record&gt;&lt;rec-number&gt;5&lt;/rec-number&gt;&lt;foreign-keys&gt;&lt;key app="EN" db-id="frw0wf09qsav0qer2zlx2v2ff9srazx5x2ae"&gt;5&lt;/key&gt;&lt;/foreign-keys&gt;&lt;ref-type name="Report"&gt;27&lt;/ref-type&gt;&lt;contributors&gt;&lt;authors&gt;&lt;author&gt;NICE&lt;/author&gt;&lt;/authors&gt;&lt;/contributors&gt;&lt;titles&gt;&lt;title&gt;Osteoporosis: Assessing the risk of fragility fracture&amp;#xD;&lt;/title&gt;&lt;secondary-title&gt;Guidelines Development Group.&lt;/secondary-title&gt;&lt;/titles&gt;&lt;number&gt;CG146&lt;/number&gt;&lt;dates&gt;&lt;year&gt;2012&lt;/year&gt;&lt;/dates&gt;&lt;pub-location&gt;London&lt;/pub-location&gt;&lt;publisher&gt;NICE&lt;/publisher&gt;&lt;urls&gt;&lt;related-urls&gt;&lt;url&gt;http://publications.nice.org.uk/osteoporosis-assessing-the-risk-of-fragility-fracture-cg146/guidance &lt;/url&gt;&lt;/related-urls&gt;&lt;/urls&gt;&lt;access-date&gt;accessed 14 Sept 2012&lt;/access-date&gt;&lt;/record&gt;&lt;/Cite&gt;&lt;/EndNote&gt;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5" w:tooltip="NICE, 2012 #5" w:history="1">
        <w:r w:rsidR="00A6020C" w:rsidRPr="00B9614C">
          <w:rPr>
            <w:rFonts w:asciiTheme="majorBidi" w:hAnsiTheme="majorBidi" w:cstheme="majorBidi"/>
            <w:noProof/>
          </w:rPr>
          <w:t>5</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w:t>
      </w:r>
      <w:r w:rsidRPr="00B9614C">
        <w:rPr>
          <w:rFonts w:asciiTheme="majorBidi" w:hAnsiTheme="majorBidi" w:cstheme="majorBidi"/>
          <w:i/>
        </w:rPr>
        <w:t xml:space="preserve"> </w:t>
      </w:r>
      <w:r w:rsidRPr="00B9614C">
        <w:rPr>
          <w:rFonts w:asciiTheme="majorBidi" w:hAnsiTheme="majorBidi" w:cstheme="majorBidi"/>
        </w:rPr>
        <w:t>No population screening programme currently exists for osteoporosis risk, and individuals are identified clinically on a case by case basis. Predictive risk of fracture compared to the norm for age and sex can now be calculated using clinical risk factors in conjunction with bone mineral densit</w:t>
      </w:r>
      <w:r w:rsidR="00DE43A2" w:rsidRPr="00B9614C">
        <w:rPr>
          <w:rFonts w:asciiTheme="majorBidi" w:hAnsiTheme="majorBidi" w:cstheme="majorBidi"/>
        </w:rPr>
        <w:t xml:space="preserve">y (BMD) measurements using </w:t>
      </w:r>
      <w:r w:rsidRPr="00B9614C">
        <w:rPr>
          <w:rFonts w:asciiTheme="majorBidi" w:hAnsiTheme="majorBidi" w:cstheme="majorBidi"/>
        </w:rPr>
        <w:t xml:space="preserve">Dual energy X-ray </w:t>
      </w:r>
      <w:r w:rsidR="00BC0AC7" w:rsidRPr="00B9614C">
        <w:rPr>
          <w:rFonts w:asciiTheme="majorBidi" w:hAnsiTheme="majorBidi" w:cstheme="majorBidi"/>
        </w:rPr>
        <w:t>Absorbtiometry</w:t>
      </w:r>
      <w:r w:rsidR="00DE43A2" w:rsidRPr="00B9614C">
        <w:rPr>
          <w:rFonts w:asciiTheme="majorBidi" w:hAnsiTheme="majorBidi" w:cstheme="majorBidi"/>
        </w:rPr>
        <w:t xml:space="preserve"> (DXA)</w:t>
      </w:r>
      <w:r w:rsidR="00746EA9" w:rsidRPr="00B9614C">
        <w:rPr>
          <w:rFonts w:asciiTheme="majorBidi" w:hAnsiTheme="majorBidi" w:cstheme="majorBidi"/>
        </w:rPr>
        <w:t xml:space="preserve"> scans</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&lt;EndNote&gt;&lt;Cite&gt;&lt;Author&gt;WHO&lt;/Author&gt;&lt;RecNum&gt;6&lt;/RecNum&gt;&lt;DisplayText&gt;[6]&lt;/DisplayText&gt;&lt;record&gt;&lt;rec-number&gt;6&lt;/rec-number&gt;&lt;foreign-keys&gt;&lt;key app="EN" db-id="frw0wf09qsav0qer2zlx2v2ff9srazx5x2ae"&gt;6&lt;/key&gt;&lt;/foreign-keys&gt;&lt;ref-type name="Web Page"&gt;12&lt;/ref-type&gt;&lt;contributors&gt;&lt;authors&gt;&lt;author&gt;WHO&lt;/author&gt;&lt;/authors&gt;&lt;/contributors&gt;&lt;titles&gt;&lt;title&gt;Fracture Risk Assessment Tool&lt;/title&gt;&lt;/titles&gt;&lt;dates&gt;&lt;/dates&gt;&lt;urls&gt;&lt;related-urls&gt;&lt;url&gt;http://www.shef.ac.uk/FRAX/tool.jsp?country=1&lt;/url&gt;&lt;/related-urls&gt;&lt;/urls&gt;&lt;custom2&gt;accessed 29 Jan 2013&lt;/custom2&gt;&lt;/record&gt;&lt;/Cite&gt;&lt;/EndNote&gt;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6" w:tooltip="WHO,  #6" w:history="1">
        <w:r w:rsidR="00A6020C" w:rsidRPr="00B9614C">
          <w:rPr>
            <w:rFonts w:asciiTheme="majorBidi" w:hAnsiTheme="majorBidi" w:cstheme="majorBidi"/>
            <w:noProof/>
          </w:rPr>
          <w:t>6</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&lt;EndNote&gt;&lt;Cite&gt;&lt;Author&gt;Kanis&lt;/Author&gt;&lt;Year&gt;2000&lt;/Year&gt;&lt;RecNum&gt;32&lt;/RecNum&gt;&lt;DisplayText&gt;[7]&lt;/DisplayText&gt;&lt;record&gt;&lt;rec-number&gt;32&lt;/rec-number&gt;&lt;foreign-keys&gt;&lt;key app="EN" db-id="frw0wf09qsav0qer2zlx2v2ff9srazx5x2ae"&gt;32&lt;/key&gt;&lt;/foreign-keys&gt;&lt;ref-type name="Journal Article"&gt;17&lt;/ref-type&gt;&lt;contributors&gt;&lt;authors&gt;&lt;author&gt;Kanis, JA&lt;/author&gt;&lt;author&gt;Glüer, C.C.&lt;/author&gt;&lt;/authors&gt;&lt;/contributors&gt;&lt;titles&gt;&lt;title&gt;An update on the diagnosis and assessment of osteoporosis with densitometry&lt;/title&gt;&lt;secondary-title&gt;Osteoporosis International&lt;/secondary-title&gt;&lt;/titles&gt;&lt;periodical&gt;&lt;full-title&gt;Osteoporosis International&lt;/full-title&gt;&lt;/periodical&gt;&lt;pages&gt;192-202&lt;/pages&gt;&lt;volume&gt;11&lt;/volume&gt;&lt;number&gt;3&lt;/number&gt;&lt;dates&gt;&lt;year&gt;2000&lt;/year&gt;&lt;/dates&gt;&lt;isbn&gt;0937-941X&lt;/isbn&gt;&lt;urls&gt;&lt;/urls&gt;&lt;electronic-resource-num&gt;10.1007/s001980050281&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7" w:tooltip="Kanis, 2000 #32" w:history="1">
        <w:r w:rsidR="00A6020C" w:rsidRPr="00B9614C">
          <w:rPr>
            <w:rFonts w:asciiTheme="majorBidi" w:hAnsiTheme="majorBidi" w:cstheme="majorBidi"/>
            <w:noProof/>
          </w:rPr>
          <w:t>7</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46EA9" w:rsidRPr="00B9614C">
        <w:rPr>
          <w:rFonts w:asciiTheme="majorBidi" w:hAnsiTheme="majorBidi" w:cstheme="majorBidi"/>
        </w:rPr>
        <w:t>,</w:t>
      </w:r>
      <w:r w:rsidR="003B36AB" w:rsidRPr="00B9614C">
        <w:rPr>
          <w:rFonts w:asciiTheme="majorBidi" w:hAnsiTheme="majorBidi" w:cstheme="majorBidi"/>
        </w:rPr>
        <w:t xml:space="preserve"> </w:t>
      </w:r>
      <w:r w:rsidR="00BC0AC7" w:rsidRPr="00B9614C">
        <w:rPr>
          <w:rFonts w:asciiTheme="majorBidi" w:hAnsiTheme="majorBidi" w:cstheme="majorBidi"/>
        </w:rPr>
        <w:t xml:space="preserve">creating </w:t>
      </w:r>
      <w:r w:rsidRPr="00B9614C">
        <w:rPr>
          <w:rFonts w:asciiTheme="majorBidi" w:hAnsiTheme="majorBidi" w:cstheme="majorBidi"/>
        </w:rPr>
        <w:t xml:space="preserve">new opportunities to identify individuals yet to sustain a fracture. </w:t>
      </w:r>
    </w:p>
    <w:p w:rsidR="00697CC0" w:rsidRPr="00B9614C" w:rsidRDefault="00697CC0" w:rsidP="00A6020C">
      <w:pPr>
        <w:spacing w:before="100" w:beforeAutospacing="1" w:after="100" w:afterAutospacing="1" w:line="360" w:lineRule="auto"/>
        <w:rPr>
          <w:rFonts w:asciiTheme="majorBidi" w:hAnsiTheme="majorBidi" w:cstheme="majorBidi"/>
        </w:rPr>
      </w:pPr>
      <w:r w:rsidRPr="00B9614C">
        <w:rPr>
          <w:rFonts w:asciiTheme="majorBidi" w:hAnsiTheme="majorBidi" w:cstheme="majorBidi"/>
        </w:rPr>
        <w:t>For screening to be effective, participants identified as high risk must be receptive to the intervention</w:t>
      </w:r>
      <w:r w:rsidR="00473D55" w:rsidRPr="00B9614C">
        <w:rPr>
          <w:rFonts w:asciiTheme="majorBidi" w:hAnsiTheme="majorBidi" w:cstheme="majorBidi"/>
        </w:rPr>
        <w:t xml:space="preserve">. </w:t>
      </w:r>
      <w:r w:rsidRPr="00B9614C">
        <w:rPr>
          <w:rFonts w:asciiTheme="majorBidi" w:hAnsiTheme="majorBidi" w:cstheme="majorBidi"/>
        </w:rPr>
        <w:t xml:space="preserve">Achieving </w:t>
      </w:r>
      <w:r w:rsidR="00BC0AC7" w:rsidRPr="00B9614C">
        <w:rPr>
          <w:rFonts w:asciiTheme="majorBidi" w:hAnsiTheme="majorBidi" w:cstheme="majorBidi"/>
        </w:rPr>
        <w:t>long-term</w:t>
      </w:r>
      <w:r w:rsidR="009751ED" w:rsidRPr="00B9614C">
        <w:rPr>
          <w:rFonts w:asciiTheme="majorBidi" w:hAnsiTheme="majorBidi" w:cstheme="majorBidi"/>
        </w:rPr>
        <w:t xml:space="preserve"> </w:t>
      </w:r>
      <w:r w:rsidRPr="00B9614C">
        <w:rPr>
          <w:rFonts w:asciiTheme="majorBidi" w:hAnsiTheme="majorBidi" w:cstheme="majorBidi"/>
        </w:rPr>
        <w:t>adherence to prescribed medications is more complex than just providing sufficient information</w:t>
      </w:r>
      <w:r w:rsidR="00BC0AC7" w:rsidRPr="00B9614C">
        <w:rPr>
          <w:rFonts w:asciiTheme="majorBidi" w:hAnsiTheme="majorBidi" w:cstheme="majorBidi"/>
        </w:rPr>
        <w:t xml:space="preserve"> o</w:t>
      </w:r>
      <w:r w:rsidRPr="00B9614C">
        <w:rPr>
          <w:rFonts w:asciiTheme="majorBidi" w:hAnsiTheme="majorBidi" w:cstheme="majorBidi"/>
        </w:rPr>
        <w:t>r an acceptable medication regime</w:t>
      </w:r>
      <w:r w:rsidR="00473D55" w:rsidRPr="00B9614C">
        <w:rPr>
          <w:rFonts w:asciiTheme="majorBidi" w:hAnsiTheme="majorBidi" w:cstheme="majorBidi"/>
        </w:rPr>
        <w:t xml:space="preserve">n. </w:t>
      </w:r>
      <w:r w:rsidRPr="00B9614C">
        <w:rPr>
          <w:rFonts w:asciiTheme="majorBidi" w:hAnsiTheme="majorBidi" w:cstheme="majorBidi"/>
        </w:rPr>
        <w:t>The literature suggests adherence is highly variable in osteoporosis prevention</w:t>
      </w:r>
      <w:r w:rsidR="00455807" w:rsidRPr="00B9614C">
        <w:rPr>
          <w:rFonts w:asciiTheme="majorBidi" w:hAnsiTheme="majorBidi" w:cstheme="majorBidi"/>
        </w:rPr>
        <w:t xml:space="preserve"> with </w:t>
      </w:r>
      <w:r w:rsidRPr="00B9614C">
        <w:rPr>
          <w:rFonts w:asciiTheme="majorBidi" w:hAnsiTheme="majorBidi" w:cstheme="majorBidi"/>
        </w:rPr>
        <w:t>age and co-morbidity explain</w:t>
      </w:r>
      <w:r w:rsidR="00455807" w:rsidRPr="00B9614C">
        <w:rPr>
          <w:rFonts w:asciiTheme="majorBidi" w:hAnsiTheme="majorBidi" w:cstheme="majorBidi"/>
        </w:rPr>
        <w:t>ing</w:t>
      </w:r>
      <w:r w:rsidRPr="00B9614C">
        <w:rPr>
          <w:rFonts w:asciiTheme="majorBidi" w:hAnsiTheme="majorBidi" w:cstheme="majorBidi"/>
        </w:rPr>
        <w:t xml:space="preserve"> relatively little of the variability</w:t>
      </w:r>
      <w:r w:rsidR="006B235B"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&lt;EndNote&gt;&lt;Cite&gt;&lt;Author&gt;Marshall IJ&lt;/Author&gt;&lt;Year&gt;2012&lt;/Year&gt;&lt;RecNum&gt;8&lt;/RecNum&gt;&lt;DisplayText&gt;[8]&lt;/DisplayText&gt;&lt;record&gt;&lt;rec-number&gt;8&lt;/rec-number&gt;&lt;foreign-keys&gt;&lt;key app="EN" db-id="frw0wf09qsav0qer2zlx2v2ff9srazx5x2ae"&gt;8&lt;/key&gt;&lt;/foreign-keys&gt;&lt;ref-type name="Journal Article"&gt;17&lt;/ref-type&gt;&lt;contributors&gt;&lt;authors&gt;&lt;author&gt;Marshall IJ, Wolfe CDA, McKevitt C&lt;/author&gt;&lt;/authors&gt;&lt;/contributors&gt;&lt;titles&gt;&lt;title&gt;Lay perspectives on hypertension and drug adherence: systematic review of qualitative research &lt;/title&gt;&lt;secondary-title&gt;British Medical Journal&lt;/secondary-title&gt;&lt;/titles&gt;&lt;periodical&gt;&lt;full-title&gt;British Medical Journal&lt;/full-title&gt;&lt;/periodical&gt;&lt;volume&gt;345&lt;/volume&gt;&lt;number&gt;e3953&lt;/number&gt;&lt;dates&gt;&lt;year&gt;2012&lt;/year&gt;&lt;/dates&gt;&lt;urls&gt;&lt;/urls&gt;&lt;electronic-resource-num&gt;doi:10.1136/bmj.e3953&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8" w:tooltip="Marshall IJ, 2012 #8" w:history="1">
        <w:r w:rsidR="00A6020C" w:rsidRPr="00B9614C">
          <w:rPr>
            <w:rFonts w:asciiTheme="majorBidi" w:hAnsiTheme="majorBidi" w:cstheme="majorBidi"/>
            <w:noProof/>
          </w:rPr>
          <w:t>8</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5E6D4F" w:rsidRPr="00B9614C">
        <w:rPr>
          <w:rFonts w:asciiTheme="majorBidi" w:hAnsiTheme="majorBidi" w:cstheme="majorBidi"/>
        </w:rPr>
        <w:t>,</w:t>
      </w:r>
      <w:r w:rsidR="006B235B"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&lt;EndNote&gt;&lt;Cite&gt;&lt;Author&gt;Solomon DH&lt;/Author&gt;&lt;Year&gt;2005&lt;/Year&gt;&lt;RecNum&gt;9&lt;/RecNum&gt;&lt;DisplayText&gt;[9]&lt;/DisplayText&gt;&lt;record&gt;&lt;rec-number&gt;9&lt;/rec-number&gt;&lt;foreign-keys&gt;&lt;key app="EN" db-id="frw0wf09qsav0qer2zlx2v2ff9srazx5x2ae"&gt;9&lt;/key&gt;&lt;/foreign-keys&gt;&lt;ref-type name="Journal Article"&gt;17&lt;/ref-type&gt;&lt;contributors&gt;&lt;authors&gt;&lt;author&gt;Solomon DH, Avorn J, Katz JN, Finklestein JS, Arnold M, Polinski JM, Brookhart MA.&lt;/author&gt;&lt;/authors&gt;&lt;/contributors&gt;&lt;titles&gt;&lt;title&gt;Compliance with osteoporosis medications &lt;/title&gt;&lt;secondary-title&gt;Arch Intern Med&lt;/secondary-title&gt;&lt;/titles&gt;&lt;periodical&gt;&lt;full-title&gt;Arch Intern Med&lt;/full-title&gt;&lt;/periodical&gt;&lt;pages&gt;2414-19&lt;/pages&gt;&lt;volume&gt;165&lt;/volume&gt;&lt;number&gt;20&lt;/number&gt;&lt;dates&gt;&lt;year&gt;2005&lt;/year&gt;&lt;/dates&gt;&lt;urls&gt;&lt;/urls&gt;&lt;electronic-resource-num&gt;10.1001/archinte.165.20.2414&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9" w:tooltip="Solomon DH, 2005 #9" w:history="1">
        <w:r w:rsidR="00A6020C" w:rsidRPr="00B9614C">
          <w:rPr>
            <w:rFonts w:asciiTheme="majorBidi" w:hAnsiTheme="majorBidi" w:cstheme="majorBidi"/>
            <w:noProof/>
          </w:rPr>
          <w:t>9</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 xml:space="preserve">. </w:t>
      </w:r>
      <w:r w:rsidR="006B235B" w:rsidRPr="00B9614C">
        <w:rPr>
          <w:rFonts w:asciiTheme="majorBidi" w:hAnsiTheme="majorBidi" w:cstheme="majorBidi"/>
        </w:rPr>
        <w:t>A</w:t>
      </w:r>
      <w:r w:rsidRPr="00B9614C">
        <w:rPr>
          <w:rFonts w:asciiTheme="majorBidi" w:hAnsiTheme="majorBidi" w:cstheme="majorBidi"/>
        </w:rPr>
        <w:t>ttempts to reduce complexity in dosing regimens do not necessarily improve adherence</w:t>
      </w:r>
      <w:r w:rsidR="007F273F" w:rsidRPr="00B9614C">
        <w:rPr>
          <w:rFonts w:asciiTheme="majorBidi" w:hAnsiTheme="majorBidi" w:cstheme="majorBidi"/>
        </w:rPr>
        <w:t xml:space="preserve"> </w:t>
      </w:r>
      <w:r w:rsidR="00686834" w:rsidRPr="00B9614C">
        <w:rPr>
          <w:rFonts w:cstheme="majorBidi"/>
        </w:rPr>
        <w:fldChar w:fldCharType="begin"/>
      </w:r>
      <w:r w:rsidR="007349A4">
        <w:rPr>
          <w:rFonts w:cstheme="majorBidi"/>
        </w:rPr>
        <w:instrText xml:space="preserve"> ADDIN EN.CITE &lt;EndNote&gt;&lt;Cite&gt;&lt;Author&gt;Recker RR &lt;/Author&gt;&lt;Year&gt;2005&lt;/Year&gt;&lt;RecNum&gt;10&lt;/RecNum&gt;&lt;DisplayText&gt;[10]&lt;/DisplayText&gt;&lt;record&gt;&lt;rec-number&gt;10&lt;/rec-number&gt;&lt;foreign-keys&gt;&lt;key app="EN" db-id="frw0wf09qsav0qer2zlx2v2ff9srazx5x2ae"&gt;10&lt;/key&gt;&lt;/foreign-keys&gt;&lt;ref-type name="Journal Article"&gt;17&lt;/ref-type&gt;&lt;contributors&gt;&lt;authors&gt;&lt;author&gt;Recker RR , Gallagher R , MacCosbe PE&lt;/author&gt;&lt;/authors&gt;&lt;/contributors&gt;&lt;titles&gt;&lt;title&gt;Effect of dosing frequency on bisphosphonate medication adherence in a large longitudinal cohort of women  &lt;/title&gt;&lt;secondary-title&gt;Mayo Clin Proc&lt;/secondary-title&gt;&lt;/titles&gt;&lt;periodical&gt;&lt;full-title&gt;Mayo Clin Proc&lt;/full-title&gt;&lt;/periodical&gt;&lt;pages&gt;856-61&lt;/pages&gt;&lt;volume&gt;80&lt;/volume&gt;&lt;number&gt;7&lt;/number&gt;&lt;dates&gt;&lt;year&gt;2005&lt;/year&gt;&lt;/dates&gt;&lt;urls&gt;&lt;/urls&gt;&lt;electronic-resource-num&gt;doi: 10.4065/80.7.856&lt;/electronic-resource-num&gt;&lt;/record&gt;&lt;/Cite&gt;&lt;/EndNote&gt;</w:instrText>
      </w:r>
      <w:r w:rsidR="00686834" w:rsidRPr="00B9614C">
        <w:rPr>
          <w:rFonts w:cstheme="majorBidi"/>
        </w:rPr>
        <w:fldChar w:fldCharType="separate"/>
      </w:r>
      <w:r w:rsidR="007F273F" w:rsidRPr="00B9614C">
        <w:rPr>
          <w:rFonts w:cstheme="majorBidi"/>
          <w:noProof/>
        </w:rPr>
        <w:t>[</w:t>
      </w:r>
      <w:hyperlink w:anchor="_ENREF_10" w:tooltip="Recker RR , 2005 #10" w:history="1">
        <w:r w:rsidR="00A6020C" w:rsidRPr="00B9614C">
          <w:rPr>
            <w:rFonts w:cstheme="majorBidi"/>
            <w:noProof/>
          </w:rPr>
          <w:t>10</w:t>
        </w:r>
      </w:hyperlink>
      <w:r w:rsidR="007F273F" w:rsidRPr="00B9614C">
        <w:rPr>
          <w:rFonts w:cstheme="majorBidi"/>
          <w:noProof/>
        </w:rPr>
        <w:t>]</w:t>
      </w:r>
      <w:r w:rsidR="00686834" w:rsidRPr="00B9614C">
        <w:rPr>
          <w:rFonts w:cstheme="majorBidi"/>
        </w:rPr>
        <w:fldChar w:fldCharType="end"/>
      </w:r>
      <w:r w:rsidR="005E6D4F" w:rsidRPr="00B9614C">
        <w:rPr>
          <w:rFonts w:cstheme="majorBidi"/>
        </w:rPr>
        <w:t>,</w:t>
      </w:r>
      <w:r w:rsidR="007F273F" w:rsidRPr="00B9614C">
        <w:rPr>
          <w:rFonts w:cstheme="majorBidi"/>
        </w:rPr>
        <w:t xml:space="preserve"> </w:t>
      </w:r>
      <w:r w:rsidR="00686834" w:rsidRPr="00B9614C">
        <w:rPr>
          <w:rFonts w:cstheme="majorBidi"/>
        </w:rPr>
        <w:fldChar w:fldCharType="begin"/>
      </w:r>
      <w:r w:rsidR="007349A4">
        <w:rPr>
          <w:rFonts w:cstheme="majorBidi"/>
        </w:rPr>
        <w:instrText xml:space="preserve"> ADDIN EN.CITE &lt;EndNote&gt;&lt;Cite&gt;&lt;Author&gt;Rossini M&lt;/Author&gt;&lt;Year&gt;2006&lt;/Year&gt;&lt;RecNum&gt;11&lt;/RecNum&gt;&lt;DisplayText&gt;[11]&lt;/DisplayText&gt;&lt;record&gt;&lt;rec-number&gt;11&lt;/rec-number&gt;&lt;foreign-keys&gt;&lt;key app="EN" db-id="frw0wf09qsav0qer2zlx2v2ff9srazx5x2ae"&gt;11&lt;/key&gt;&lt;/foreign-keys&gt;&lt;ref-type name="Journal Article"&gt;17&lt;/ref-type&gt;&lt;contributors&gt;&lt;authors&gt;&lt;author&gt;Rossini M, Bianchi G, Di Munno O, Giannini S, Minisula S, Sinigaglia L, Adam S.&lt;/author&gt;&lt;/authors&gt;&lt;/contributors&gt;&lt;titles&gt;&lt;title&gt;Determinants of adherence to osteoporosis treatment in clinical practice &lt;/title&gt;&lt;secondary-title&gt;Osteoporosis International&lt;/secondary-title&gt;&lt;/titles&gt;&lt;periodical&gt;&lt;full-title&gt;Osteoporosis International&lt;/full-title&gt;&lt;/periodical&gt;&lt;pages&gt;941-21&lt;/pages&gt;&lt;volume&gt;17&lt;/volume&gt;&lt;number&gt;6&lt;/number&gt;&lt;dates&gt;&lt;year&gt;2006&lt;/year&gt;&lt;/dates&gt;&lt;urls&gt;&lt;/urls&gt;&lt;electronic-resource-num&gt;doi:10.1007/s00198-006-0073-6&lt;/electronic-resource-num&gt;&lt;/record&gt;&lt;/Cite&gt;&lt;/EndNote&gt;</w:instrText>
      </w:r>
      <w:r w:rsidR="00686834" w:rsidRPr="00B9614C">
        <w:rPr>
          <w:rFonts w:cstheme="majorBidi"/>
        </w:rPr>
        <w:fldChar w:fldCharType="separate"/>
      </w:r>
      <w:r w:rsidR="007F273F" w:rsidRPr="00B9614C">
        <w:rPr>
          <w:rFonts w:cstheme="majorBidi"/>
          <w:noProof/>
        </w:rPr>
        <w:t>[</w:t>
      </w:r>
      <w:hyperlink w:anchor="_ENREF_11" w:tooltip="Rossini M, 2006 #11" w:history="1">
        <w:r w:rsidR="00A6020C" w:rsidRPr="00B9614C">
          <w:rPr>
            <w:rFonts w:cstheme="majorBidi"/>
            <w:noProof/>
          </w:rPr>
          <w:t>11</w:t>
        </w:r>
      </w:hyperlink>
      <w:r w:rsidR="007F273F" w:rsidRPr="00B9614C">
        <w:rPr>
          <w:rFonts w:cstheme="majorBidi"/>
          <w:noProof/>
        </w:rPr>
        <w:t>]</w:t>
      </w:r>
      <w:r w:rsidR="00686834" w:rsidRPr="00B9614C">
        <w:rPr>
          <w:rFonts w:cstheme="majorBidi"/>
        </w:rPr>
        <w:fldChar w:fldCharType="end"/>
      </w:r>
      <w:r w:rsidR="00473D55" w:rsidRPr="00B9614C">
        <w:rPr>
          <w:rFonts w:cstheme="majorBidi"/>
        </w:rPr>
        <w:t xml:space="preserve">. </w:t>
      </w:r>
      <w:r w:rsidR="00EC6B43" w:rsidRPr="00B9614C">
        <w:rPr>
          <w:lang w:eastAsia="zh-CN"/>
        </w:rPr>
        <w:t xml:space="preserve">Patients are recommended to take their bisphosphonates first thing in the morning before eating or drinking and with a glass of water.  There is a </w:t>
      </w:r>
      <w:r w:rsidR="00EC6B43" w:rsidRPr="00B9614C">
        <w:rPr>
          <w:lang w:eastAsia="zh-CN"/>
        </w:rPr>
        <w:lastRenderedPageBreak/>
        <w:t xml:space="preserve">requirement for them to remain upright for 30 minutes to avoid irritation to the </w:t>
      </w:r>
      <w:r w:rsidR="00EC6B43" w:rsidRPr="00B9614C">
        <w:rPr>
          <w:lang w:eastAsia="zh-CN" w:bidi="ar-DZ"/>
        </w:rPr>
        <w:t>oesophagus</w:t>
      </w:r>
      <w:r w:rsidR="00EC6B43" w:rsidRPr="00B9614C">
        <w:rPr>
          <w:lang w:eastAsia="zh-CN"/>
        </w:rPr>
        <w:t xml:space="preserve">. </w:t>
      </w:r>
      <w:r w:rsidR="00843E21" w:rsidRPr="00B9614C">
        <w:rPr>
          <w:lang w:eastAsia="zh-CN"/>
        </w:rPr>
        <w:t xml:space="preserve">Calcium supplements are frequently provided in the form of chewy tablets. </w:t>
      </w:r>
      <w:r w:rsidRPr="00B9614C">
        <w:rPr>
          <w:rFonts w:asciiTheme="majorBidi" w:hAnsiTheme="majorBidi" w:cstheme="majorBidi"/>
        </w:rPr>
        <w:t xml:space="preserve">Patients </w:t>
      </w:r>
      <w:r w:rsidR="003C6F52" w:rsidRPr="00B9614C">
        <w:rPr>
          <w:rFonts w:asciiTheme="majorBidi" w:hAnsiTheme="majorBidi" w:cstheme="majorBidi"/>
        </w:rPr>
        <w:t>may</w:t>
      </w:r>
      <w:r w:rsidRPr="00B9614C">
        <w:rPr>
          <w:rFonts w:asciiTheme="majorBidi" w:hAnsiTheme="majorBidi" w:cstheme="majorBidi"/>
        </w:rPr>
        <w:t xml:space="preserve"> understand the potential for osteoporosis to have a negative effect on their lives, and express strong motivation to protect their health, but this does not always align with taking medications</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F273F" w:rsidRPr="00B9614C">
        <w:rPr>
          <w:rFonts w:asciiTheme="majorBidi" w:hAnsiTheme="majorBidi" w:cstheme="majorBidi"/>
        </w:rPr>
        <w:instrText xml:space="preserve"> ADDIN EN.CITE &lt;EndNote&gt;&lt;Cite&gt;&lt;Author&gt;(IOF)&lt;/Author&gt;&lt;Year&gt;2005&lt;/Year&gt;&lt;RecNum&gt;11&lt;/RecNum&gt;&lt;DisplayText&gt;[12]&lt;/DisplayText&gt;&lt;record&gt;&lt;rec-number&gt;11&lt;/rec-number&gt;&lt;foreign-keys&gt;&lt;key app="EN" db-id="e5ttpxxpsrartne29sr5fxabdrrtzdzepp55"&gt;11&lt;/key&gt;&lt;/foreign-keys&gt;&lt;ref-type name="Report"&gt;27&lt;/ref-type&gt;&lt;contributors&gt;&lt;authors&gt;&lt;author&gt;International Osteoporosis Foundation (IOF)&lt;/author&gt;&lt;/authors&gt;&lt;/contributors&gt;&lt;titles&gt;&lt;title&gt;The adherence gap: Why osteoporosis patients don’t continue with treatment&amp;#xD;&lt;/title&gt;&lt;/titles&gt;&lt;dates&gt;&lt;year&gt;2005&lt;/year&gt;&lt;/dates&gt;&lt;pub-location&gt;Nyon&lt;/pub-location&gt;&lt;publisher&gt;IOF&lt;/publisher&gt;&lt;urls&gt;&lt;related-urls&gt;&lt;url&gt;http://www.iofbonehealth.org/sites/default/files/PDFs/adherence_gap_report_2005.pdf&lt;/url&gt;&lt;/related-urls&gt;&lt;/urls&gt;&lt;access-date&gt;accessed 29 Jan 2013&lt;/access-date&gt;&lt;/record&gt;&lt;/Cite&gt;&lt;/EndNote&gt;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2" w:tooltip="(IOF), 2005 #11" w:history="1">
        <w:r w:rsidR="00A6020C" w:rsidRPr="00B9614C">
          <w:rPr>
            <w:rFonts w:asciiTheme="majorBidi" w:hAnsiTheme="majorBidi" w:cstheme="majorBidi"/>
            <w:noProof/>
          </w:rPr>
          <w:t>12</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&lt;EndNote&gt;&lt;Cite&gt;&lt;Author&gt;Pound P&lt;/Author&gt;&lt;Year&gt;2005&lt;/Year&gt;&lt;RecNum&gt;13&lt;/RecNum&gt;&lt;DisplayText&gt;[13]&lt;/DisplayText&gt;&lt;record&gt;&lt;rec-number&gt;13&lt;/rec-number&gt;&lt;foreign-keys&gt;&lt;key app="EN" db-id="frw0wf09qsav0qer2zlx2v2ff9srazx5x2ae"&gt;13&lt;/key&gt;&lt;/foreign-keys&gt;&lt;ref-type name="Journal Article"&gt;17&lt;/ref-type&gt;&lt;contributors&gt;&lt;authors&gt;&lt;author&gt;Pound P, Britten N, Morgan M, Yardley L, Pope C, Daker-White G, Campbell R.&lt;/author&gt;&lt;/authors&gt;&lt;/contributors&gt;&lt;titles&gt;&lt;title&gt;Resisting medicines: A synthesis of qualitative studies of medicine taking&lt;/title&gt;&lt;secondary-title&gt;Social Science &amp;amp; Medicine&lt;/secondary-title&gt;&lt;/titles&gt;&lt;periodical&gt;&lt;full-title&gt;Social Science &amp;amp; Medicine&lt;/full-title&gt;&lt;/periodical&gt;&lt;pages&gt;133-55&lt;/pages&gt;&lt;volume&gt;61&lt;/volume&gt;&lt;number&gt;1&lt;/number&gt;&lt;dates&gt;&lt;year&gt;2005&lt;/year&gt;&lt;/dates&gt;&lt;urls&gt;&lt;/urls&gt;&lt;electronic-resource-num&gt;10.1016/j.socscimed.2004.11.063&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3" w:tooltip="Pound P, 2005 #13" w:history="1">
        <w:r w:rsidR="00A6020C" w:rsidRPr="00B9614C">
          <w:rPr>
            <w:rFonts w:asciiTheme="majorBidi" w:hAnsiTheme="majorBidi" w:cstheme="majorBidi"/>
            <w:noProof/>
          </w:rPr>
          <w:t>13</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473D55" w:rsidRPr="00B9614C">
        <w:rPr>
          <w:rFonts w:asciiTheme="majorBidi" w:hAnsiTheme="majorBidi" w:cstheme="majorBidi"/>
        </w:rPr>
        <w:t xml:space="preserve">. </w:t>
      </w:r>
      <w:r w:rsidRPr="00B9614C">
        <w:rPr>
          <w:rFonts w:asciiTheme="majorBidi" w:hAnsiTheme="majorBidi" w:cstheme="majorBidi"/>
        </w:rPr>
        <w:t>This therefore makes the motivations and decision making of older women around uptake of preventive medication of primary importance to the public health impact of any potential screening programme</w:t>
      </w:r>
      <w:r w:rsidR="009A5957" w:rsidRPr="00B9614C">
        <w:rPr>
          <w:rStyle w:val="EndnoteReference"/>
          <w:rFonts w:asciiTheme="majorBidi" w:hAnsiTheme="majorBidi" w:cstheme="majorBidi"/>
        </w:rPr>
        <w:endnoteReference w:id="1"/>
      </w:r>
      <w:r w:rsidR="00EC6B43" w:rsidRPr="00B9614C">
        <w:rPr>
          <w:rFonts w:asciiTheme="majorBidi" w:hAnsiTheme="majorBidi" w:cstheme="majorBidi"/>
        </w:rPr>
        <w:t xml:space="preserve"> as well as to the individual patient.</w:t>
      </w:r>
    </w:p>
    <w:p w:rsidR="00697CC0" w:rsidRPr="00B9614C" w:rsidRDefault="00697CC0" w:rsidP="00A6020C">
      <w:pPr>
        <w:spacing w:line="360" w:lineRule="auto"/>
        <w:jc w:val="both"/>
        <w:rPr>
          <w:rFonts w:asciiTheme="majorBidi" w:hAnsiTheme="majorBidi" w:cstheme="majorBidi"/>
        </w:rPr>
      </w:pPr>
      <w:r w:rsidRPr="00B9614C">
        <w:rPr>
          <w:rFonts w:asciiTheme="majorBidi" w:hAnsiTheme="majorBidi" w:cstheme="majorBidi"/>
        </w:rPr>
        <w:t>It is also known that patterns of adherence to osteoporosis medications vary over time</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&lt;EndNote&gt;&lt;Cite&gt;&lt;Author&gt;Brookhart MA&lt;/Author&gt;&lt;Year&gt;2007&lt;/Year&gt;&lt;RecNum&gt;14&lt;/RecNum&gt;&lt;DisplayText&gt;[14]&lt;/DisplayText&gt;&lt;record&gt;&lt;rec-number&gt;14&lt;/rec-number&gt;&lt;foreign-keys&gt;&lt;key app="EN" db-id="frw0wf09qsav0qer2zlx2v2ff9srazx5x2ae"&gt;14&lt;/key&gt;&lt;/foreign-keys&gt;&lt;ref-type name="Journal Article"&gt;17&lt;/ref-type&gt;&lt;contributors&gt;&lt;authors&gt;&lt;author&gt;Brookhart MA, Avorn J, Katz JN, Finklestein JS, Arnold M, Polinski JM, Patrick AR, Mogun H, Solomon DH.&lt;/author&gt;&lt;/authors&gt;&lt;/contributors&gt;&lt;titles&gt;&lt;title&gt;Gaps in treatment among users of osteoporosis medications: the dynamics of noncompliance &lt;/title&gt;&lt;secondary-title&gt;Am J Med&lt;/secondary-title&gt;&lt;/titles&gt;&lt;periodical&gt;&lt;full-title&gt;Am J Med&lt;/full-title&gt;&lt;/periodical&gt;&lt;pages&gt;251-60&lt;/pages&gt;&lt;volume&gt;120&lt;/volume&gt;&lt;number&gt;3&lt;/number&gt;&lt;dates&gt;&lt;year&gt;2007&lt;/year&gt;&lt;/dates&gt;&lt;urls&gt;&lt;/urls&gt;&lt;electronic-resource-num&gt;doi: 10.1016/j.amjmed.2006.03.029&lt;/electronic-resource-num&gt;&lt;/record&gt;&lt;/Cite&gt;&lt;/EndNote&gt;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4" w:tooltip="Brookhart MA, 2007 #14" w:history="1">
        <w:r w:rsidR="00A6020C" w:rsidRPr="00B9614C">
          <w:rPr>
            <w:rFonts w:asciiTheme="majorBidi" w:hAnsiTheme="majorBidi" w:cstheme="majorBidi"/>
            <w:noProof/>
          </w:rPr>
          <w:t>14</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5E6D4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&lt;EndNote&gt;&lt;Cite&gt;&lt;Author&gt;Pickney CS&lt;/Author&gt;&lt;Year&gt;2005&lt;/Year&gt;&lt;RecNum&gt;15&lt;/RecNum&gt;&lt;DisplayText&gt;[15]&lt;/DisplayText&gt;&lt;record&gt;&lt;rec-number&gt;15&lt;/rec-number&gt;&lt;foreign-keys&gt;&lt;key app="EN" db-id="frw0wf09qsav0qer2zlx2v2ff9srazx5x2ae"&gt;15&lt;/key&gt;&lt;/foreign-keys&gt;&lt;ref-type name="Journal Article"&gt;17&lt;/ref-type&gt;&lt;contributors&gt;&lt;authors&gt;&lt;author&gt;Pickney CS, Arnason JA&lt;/author&gt;&lt;/authors&gt;&lt;/contributors&gt;&lt;titles&gt;&lt;title&gt;Correlation between patient recall of bone densitometry results and subsequent treatment adherence &lt;/title&gt;&lt;secondary-title&gt;Osteoporosis International&lt;/secondary-title&gt;&lt;/titles&gt;&lt;periodical&gt;&lt;full-title&gt;Osteoporosis International&lt;/full-title&gt;&lt;/periodical&gt;&lt;pages&gt;1156-60&lt;/pages&gt;&lt;volume&gt;16&lt;/volume&gt;&lt;number&gt;9&lt;/number&gt;&lt;dates&gt;&lt;year&gt;2005&lt;/year&gt;&lt;/dates&gt;&lt;urls&gt;&lt;/urls&gt;&lt;electronic-resource-num&gt;doi:10.1007/s00198-004-1818-8&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5" w:tooltip="Pickney CS, 2005 #15" w:history="1">
        <w:r w:rsidR="00A6020C" w:rsidRPr="00B9614C">
          <w:rPr>
            <w:rFonts w:asciiTheme="majorBidi" w:hAnsiTheme="majorBidi" w:cstheme="majorBidi"/>
            <w:noProof/>
          </w:rPr>
          <w:t>15</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7F273F" w:rsidRPr="00B9614C">
        <w:rPr>
          <w:rFonts w:asciiTheme="majorBidi" w:hAnsiTheme="majorBidi" w:cstheme="majorBidi"/>
        </w:rPr>
        <w:t>.</w:t>
      </w:r>
      <w:r w:rsidR="00473D55" w:rsidRPr="00B9614C">
        <w:rPr>
          <w:rFonts w:asciiTheme="majorBidi" w:hAnsiTheme="majorBidi" w:cstheme="majorBidi"/>
        </w:rPr>
        <w:t xml:space="preserve"> </w:t>
      </w:r>
      <w:r w:rsidR="006B235B" w:rsidRPr="00B9614C">
        <w:rPr>
          <w:rFonts w:asciiTheme="majorBidi" w:hAnsiTheme="majorBidi" w:cstheme="majorBidi"/>
        </w:rPr>
        <w:t>However</w:t>
      </w:r>
      <w:r w:rsidRPr="00B9614C">
        <w:rPr>
          <w:rFonts w:asciiTheme="majorBidi" w:hAnsiTheme="majorBidi" w:cstheme="majorBidi"/>
        </w:rPr>
        <w:t>, a survey of patient</w:t>
      </w:r>
      <w:r w:rsidR="0039429E" w:rsidRPr="00B9614C">
        <w:rPr>
          <w:rFonts w:asciiTheme="majorBidi" w:hAnsiTheme="majorBidi" w:cstheme="majorBidi"/>
        </w:rPr>
        <w:t>s</w:t>
      </w:r>
      <w:r w:rsidRPr="00B9614C">
        <w:rPr>
          <w:rFonts w:asciiTheme="majorBidi" w:hAnsiTheme="majorBidi" w:cstheme="majorBidi"/>
        </w:rPr>
        <w:t xml:space="preserve"> and physicians showed that poor adherence reflected patient scepticism about the risks and values of treatment</w:t>
      </w:r>
      <w:r w:rsidR="009751ED" w:rsidRPr="00B9614C">
        <w:rPr>
          <w:rFonts w:asciiTheme="majorBidi" w:hAnsiTheme="majorBidi" w:cstheme="majorBidi"/>
        </w:rPr>
        <w:t>,</w:t>
      </w:r>
      <w:r w:rsidRPr="00B9614C">
        <w:rPr>
          <w:rFonts w:asciiTheme="majorBidi" w:hAnsiTheme="majorBidi" w:cstheme="majorBidi"/>
        </w:rPr>
        <w:t xml:space="preserve"> rather than a lack of factual knowledge. </w:t>
      </w:r>
      <w:r w:rsidRPr="00B9614C">
        <w:rPr>
          <w:rFonts w:asciiTheme="majorBidi" w:hAnsiTheme="majorBidi" w:cstheme="majorBidi"/>
          <w:noProof/>
        </w:rPr>
        <w:t xml:space="preserve">A </w:t>
      </w:r>
      <w:r w:rsidRPr="00B9614C">
        <w:rPr>
          <w:rFonts w:asciiTheme="majorBidi" w:hAnsiTheme="majorBidi" w:cstheme="majorBidi"/>
        </w:rPr>
        <w:t>qualitative synthesis of studies on lay experience of medicine taking found widespread caution about taking medication with many</w:t>
      </w:r>
      <w:r w:rsidR="007A21C9">
        <w:rPr>
          <w:rFonts w:asciiTheme="majorBidi" w:hAnsiTheme="majorBidi" w:cstheme="majorBidi"/>
        </w:rPr>
        <w:t xml:space="preserve"> participants </w:t>
      </w:r>
      <w:r w:rsidRPr="00B9614C">
        <w:rPr>
          <w:rFonts w:asciiTheme="majorBidi" w:hAnsiTheme="majorBidi" w:cstheme="majorBidi"/>
        </w:rPr>
        <w:t>‘testing’ prescribed medicines for efficacy and adverse side effects</w:t>
      </w:r>
      <w:r w:rsidR="007F273F"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&lt;EndNote&gt;&lt;Cite&gt;&lt;Author&gt;Brookhart MA&lt;/Author&gt;&lt;Year&gt;2007&lt;/Year&gt;&lt;RecNum&gt;14&lt;/RecNum&gt;&lt;DisplayText&gt;[14]&lt;/DisplayText&gt;&lt;record&gt;&lt;rec-number&gt;14&lt;/rec-number&gt;&lt;foreign-keys&gt;&lt;key app="EN" db-id="frw0wf09qsav0qer2zlx2v2ff9srazx5x2ae"&gt;14&lt;/key&gt;&lt;/foreign-keys&gt;&lt;ref-type name="Journal Article"&gt;17&lt;/ref-type&gt;&lt;contributors&gt;&lt;authors&gt;&lt;author&gt;Brookhart MA, Avorn J, Katz JN, Finklestein JS, Arnold M, Polinski JM, Patrick AR, Mogun H, Solomon DH.&lt;/author&gt;&lt;/authors&gt;&lt;/contributors&gt;&lt;titles&gt;&lt;title&gt;Gaps in treatment among users of osteoporosis medications: the dynamics of noncompliance &lt;/title&gt;&lt;secondary-title&gt;Am J Med&lt;/secondary-title&gt;&lt;/titles&gt;&lt;periodical&gt;&lt;full-title&gt;Am J Med&lt;/full-title&gt;&lt;/periodical&gt;&lt;pages&gt;251-60&lt;/pages&gt;&lt;volume&gt;120&lt;/volume&gt;&lt;number&gt;3&lt;/number&gt;&lt;dates&gt;&lt;year&gt;2007&lt;/year&gt;&lt;/dates&gt;&lt;urls&gt;&lt;/urls&gt;&lt;electronic-resource-num&gt;doi: 10.1016/j.amjmed.2006.03.029&lt;/electronic-resource-num&gt;&lt;/record&gt;&lt;/Cite&gt;&lt;/EndNote&gt;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4" w:tooltip="Brookhart MA, 2007 #14" w:history="1">
        <w:r w:rsidR="00A6020C" w:rsidRPr="00B9614C">
          <w:rPr>
            <w:rFonts w:asciiTheme="majorBidi" w:hAnsiTheme="majorBidi" w:cstheme="majorBidi"/>
            <w:noProof/>
          </w:rPr>
          <w:t>14</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473D55" w:rsidRPr="00B9614C">
        <w:rPr>
          <w:rFonts w:asciiTheme="majorBidi" w:hAnsiTheme="majorBidi" w:cstheme="majorBidi"/>
        </w:rPr>
        <w:t xml:space="preserve">. </w:t>
      </w:r>
      <w:r w:rsidR="006B235B" w:rsidRPr="00B9614C">
        <w:rPr>
          <w:rFonts w:asciiTheme="majorBidi" w:hAnsiTheme="majorBidi" w:cstheme="majorBidi"/>
        </w:rPr>
        <w:t>O</w:t>
      </w:r>
      <w:r w:rsidRPr="00B9614C">
        <w:rPr>
          <w:rFonts w:asciiTheme="majorBidi" w:hAnsiTheme="majorBidi" w:cstheme="majorBidi"/>
        </w:rPr>
        <w:t xml:space="preserve">ur pilot </w:t>
      </w:r>
      <w:r w:rsidR="006B235B" w:rsidRPr="00B9614C">
        <w:rPr>
          <w:rFonts w:asciiTheme="majorBidi" w:hAnsiTheme="majorBidi" w:cstheme="majorBidi"/>
        </w:rPr>
        <w:t>study found</w:t>
      </w:r>
      <w:r w:rsidRPr="00B9614C">
        <w:rPr>
          <w:rFonts w:asciiTheme="majorBidi" w:hAnsiTheme="majorBidi" w:cstheme="majorBidi"/>
        </w:rPr>
        <w:t xml:space="preserve"> as many as 50% of women at ‘high risk’ of fracture in the 70 – 85 age group were not receiving </w:t>
      </w:r>
      <w:r w:rsidR="007F273F" w:rsidRPr="00B9614C">
        <w:rPr>
          <w:rFonts w:asciiTheme="majorBidi" w:hAnsiTheme="majorBidi" w:cstheme="majorBidi"/>
        </w:rPr>
        <w:t>treatment four months later</w:t>
      </w:r>
      <w:r w:rsidRPr="00B9614C">
        <w:rPr>
          <w:rFonts w:asciiTheme="majorBidi" w:hAnsiTheme="majorBidi" w:cstheme="majorBidi"/>
        </w:rPr>
        <w:t xml:space="preserve"> </w:t>
      </w:r>
      <w:r w:rsidR="00686834" w:rsidRPr="00B9614C">
        <w:rPr>
          <w:rFonts w:asciiTheme="majorBidi" w:hAnsiTheme="majorBidi" w:cstheme="majorBidi"/>
        </w:rPr>
        <w:fldChar w:fldCharType="begin"/>
      </w:r>
      <w:r w:rsidR="007349A4">
        <w:rPr>
          <w:rFonts w:asciiTheme="majorBidi" w:hAnsiTheme="majorBidi" w:cstheme="majorBidi"/>
        </w:rPr>
        <w:instrText xml:space="preserve"> ADDIN EN.CITE &lt;EndNote&gt;&lt;Cite&gt;&lt;Author&gt;L.&lt;/Author&gt;&lt;RecNum&gt;16&lt;/RecNum&gt;&lt;DisplayText&gt;[16]&lt;/DisplayText&gt;&lt;record&gt;&lt;rec-number&gt;16&lt;/rec-number&gt;&lt;foreign-keys&gt;&lt;key app="EN" db-id="frw0wf09qsav0qer2zlx2v2ff9srazx5x2ae"&gt;16&lt;/key&gt;&lt;/foreign-keys&gt;&lt;ref-type name="Web Page"&gt;12&lt;/ref-type&gt;&lt;contributors&gt;&lt;authors&gt;&lt;author&gt;Shepstone L.&lt;/author&gt;&lt;/authors&gt;&lt;/contributors&gt;&lt;titles&gt;&lt;title&gt;A Pragmatic Randomised Clinical Trail of the Effectiveness and Cost Effectiveness of Targeted Population Screening for Low Bone Mineral Density in the Prevention of next of Femur Fractures: ISRCTN 11021925.&lt;/title&gt;&lt;/titles&gt;&lt;dates&gt;&lt;/dates&gt;&lt;urls&gt;&lt;/urls&gt;&lt;/record&gt;&lt;/Cite&gt;&lt;/EndNote&gt;</w:instrText>
      </w:r>
      <w:r w:rsidR="00686834" w:rsidRPr="00B9614C">
        <w:rPr>
          <w:rFonts w:asciiTheme="majorBidi" w:hAnsiTheme="majorBidi" w:cstheme="majorBidi"/>
        </w:rPr>
        <w:fldChar w:fldCharType="separate"/>
      </w:r>
      <w:r w:rsidR="007F273F" w:rsidRPr="00B9614C">
        <w:rPr>
          <w:rFonts w:asciiTheme="majorBidi" w:hAnsiTheme="majorBidi" w:cstheme="majorBidi"/>
          <w:noProof/>
        </w:rPr>
        <w:t>[</w:t>
      </w:r>
      <w:hyperlink w:anchor="_ENREF_16" w:tooltip="L.,  #16" w:history="1">
        <w:r w:rsidR="00A6020C" w:rsidRPr="00B9614C">
          <w:rPr>
            <w:rFonts w:asciiTheme="majorBidi" w:hAnsiTheme="majorBidi" w:cstheme="majorBidi"/>
            <w:noProof/>
          </w:rPr>
          <w:t>16</w:t>
        </w:r>
      </w:hyperlink>
      <w:r w:rsidR="007F273F" w:rsidRPr="00B9614C">
        <w:rPr>
          <w:rFonts w:asciiTheme="majorBidi" w:hAnsiTheme="majorBidi" w:cstheme="majorBidi"/>
          <w:noProof/>
        </w:rPr>
        <w:t>]</w:t>
      </w:r>
      <w:r w:rsidR="00686834" w:rsidRPr="00B9614C">
        <w:rPr>
          <w:rFonts w:asciiTheme="majorBidi" w:hAnsiTheme="majorBidi" w:cstheme="majorBidi"/>
        </w:rPr>
        <w:fldChar w:fldCharType="end"/>
      </w:r>
      <w:r w:rsidR="00473D55" w:rsidRPr="00B9614C">
        <w:rPr>
          <w:rFonts w:asciiTheme="majorBidi" w:hAnsiTheme="majorBidi" w:cstheme="majorBidi"/>
        </w:rPr>
        <w:t xml:space="preserve">. </w:t>
      </w:r>
      <w:r w:rsidRPr="00B9614C">
        <w:rPr>
          <w:rFonts w:asciiTheme="majorBidi" w:hAnsiTheme="majorBidi" w:cstheme="majorBidi"/>
        </w:rPr>
        <w:t>We therefore undertook this study to explore the factors that influence older women’s adherence to prescribed prophylactic medication when assessed to have high</w:t>
      </w:r>
      <w:r w:rsidR="003C6F52" w:rsidRPr="00B9614C">
        <w:rPr>
          <w:rFonts w:asciiTheme="majorBidi" w:hAnsiTheme="majorBidi" w:cstheme="majorBidi"/>
        </w:rPr>
        <w:t>er than average</w:t>
      </w:r>
      <w:r w:rsidRPr="00B9614C">
        <w:rPr>
          <w:rFonts w:asciiTheme="majorBidi" w:hAnsiTheme="majorBidi" w:cstheme="majorBidi"/>
        </w:rPr>
        <w:t xml:space="preserve"> risk of fracture following sc</w:t>
      </w:r>
      <w:r w:rsidR="00473D55" w:rsidRPr="00B9614C">
        <w:rPr>
          <w:rFonts w:asciiTheme="majorBidi" w:hAnsiTheme="majorBidi" w:cstheme="majorBidi"/>
        </w:rPr>
        <w:t xml:space="preserve">reening. </w:t>
      </w:r>
      <w:r w:rsidRPr="00B9614C">
        <w:rPr>
          <w:rFonts w:asciiTheme="majorBidi" w:hAnsiTheme="majorBidi" w:cstheme="majorBidi"/>
        </w:rPr>
        <w:t xml:space="preserve">This paper describes the perceptions and motivations to which participants attributed their willingness and ability to adhere to osteoporosis prevention regimes, and considers implications for practice.  </w:t>
      </w:r>
    </w:p>
    <w:p w:rsidR="00697CC0" w:rsidRPr="00B9614C" w:rsidRDefault="00697CC0" w:rsidP="00473D55">
      <w:pPr>
        <w:spacing w:line="360" w:lineRule="auto"/>
        <w:jc w:val="both"/>
        <w:rPr>
          <w:rFonts w:asciiTheme="majorBidi" w:hAnsiTheme="majorBidi" w:cstheme="majorBidi"/>
        </w:rPr>
      </w:pPr>
    </w:p>
    <w:p w:rsidR="00697CC0" w:rsidRPr="00B9614C" w:rsidRDefault="00C43128" w:rsidP="00473D55">
      <w:pPr>
        <w:spacing w:line="360" w:lineRule="auto"/>
        <w:jc w:val="both"/>
        <w:rPr>
          <w:rFonts w:asciiTheme="majorBidi" w:hAnsiTheme="majorBidi" w:cstheme="majorBidi"/>
          <w:b/>
          <w:bCs/>
          <w:noProof/>
        </w:rPr>
      </w:pPr>
      <w:r w:rsidRPr="00B9614C">
        <w:rPr>
          <w:rFonts w:asciiTheme="majorBidi" w:hAnsiTheme="majorBidi" w:cstheme="majorBidi"/>
          <w:b/>
          <w:bCs/>
          <w:noProof/>
        </w:rPr>
        <w:t>Method</w:t>
      </w:r>
    </w:p>
    <w:p w:rsidR="009A5957" w:rsidRPr="00B9614C" w:rsidRDefault="009A5957" w:rsidP="00473D55">
      <w:pPr>
        <w:spacing w:line="360" w:lineRule="auto"/>
        <w:jc w:val="both"/>
        <w:rPr>
          <w:rFonts w:asciiTheme="majorBidi" w:hAnsiTheme="majorBidi" w:cstheme="majorBidi"/>
          <w:b/>
          <w:noProof/>
        </w:rPr>
      </w:pPr>
    </w:p>
    <w:p w:rsidR="00697CC0" w:rsidRPr="00B9614C" w:rsidRDefault="00697CC0" w:rsidP="00473D55">
      <w:pPr>
        <w:spacing w:line="360" w:lineRule="auto"/>
        <w:jc w:val="both"/>
        <w:rPr>
          <w:rFonts w:asciiTheme="majorBidi" w:hAnsiTheme="majorBidi" w:cstheme="majorBidi"/>
          <w:b/>
          <w:noProof/>
        </w:rPr>
      </w:pPr>
      <w:r w:rsidRPr="00B9614C">
        <w:rPr>
          <w:rFonts w:asciiTheme="majorBidi" w:hAnsiTheme="majorBidi" w:cstheme="majorBidi"/>
          <w:b/>
          <w:noProof/>
        </w:rPr>
        <w:t>Participants and procedure</w:t>
      </w:r>
    </w:p>
    <w:p w:rsidR="004C153D" w:rsidRPr="00B9614C" w:rsidRDefault="00697CC0" w:rsidP="00A6020C">
      <w:pPr>
        <w:spacing w:line="360" w:lineRule="auto"/>
        <w:jc w:val="both"/>
        <w:rPr>
          <w:rFonts w:asciiTheme="majorBidi" w:hAnsiTheme="majorBidi" w:cstheme="majorBidi"/>
          <w:noProof/>
        </w:rPr>
      </w:pPr>
      <w:r w:rsidRPr="00B9614C">
        <w:rPr>
          <w:rFonts w:asciiTheme="majorBidi" w:hAnsiTheme="majorBidi" w:cstheme="majorBidi"/>
          <w:noProof/>
        </w:rPr>
        <w:t>The Adherence To Osteoporosis Medication</w:t>
      </w:r>
      <w:r w:rsidR="00DE43A2" w:rsidRPr="00B9614C">
        <w:rPr>
          <w:rFonts w:asciiTheme="majorBidi" w:hAnsiTheme="majorBidi" w:cstheme="majorBidi"/>
          <w:noProof/>
        </w:rPr>
        <w:t xml:space="preserve"> (ATOM Study</w:t>
      </w:r>
      <w:r w:rsidRPr="00B9614C">
        <w:rPr>
          <w:rFonts w:asciiTheme="majorBidi" w:hAnsiTheme="majorBidi" w:cstheme="majorBidi"/>
          <w:noProof/>
        </w:rPr>
        <w:t xml:space="preserve">) was established as a longitudinal qualitative study embedded within the Medical Research Council funded UK multi-centre randomised control trial </w:t>
      </w:r>
      <w:r w:rsidR="00DE43A2" w:rsidRPr="00B9614C">
        <w:rPr>
          <w:rFonts w:asciiTheme="majorBidi" w:hAnsiTheme="majorBidi" w:cstheme="majorBidi"/>
          <w:noProof/>
        </w:rPr>
        <w:t xml:space="preserve">on </w:t>
      </w:r>
      <w:r w:rsidRPr="00B9614C">
        <w:rPr>
          <w:rFonts w:asciiTheme="majorBidi" w:hAnsiTheme="majorBidi" w:cstheme="majorBidi"/>
          <w:noProof/>
        </w:rPr>
        <w:t>Screening for Osteoporosis in Older Women for the Prevention of Fractures</w:t>
      </w:r>
      <w:r w:rsidR="00DE43A2" w:rsidRPr="00B9614C">
        <w:rPr>
          <w:rFonts w:asciiTheme="majorBidi" w:hAnsiTheme="majorBidi" w:cstheme="majorBidi"/>
          <w:noProof/>
        </w:rPr>
        <w:t xml:space="preserve"> (SCOOP</w:t>
      </w:r>
      <w:r w:rsidRPr="00B9614C">
        <w:rPr>
          <w:rFonts w:asciiTheme="majorBidi" w:hAnsiTheme="majorBidi" w:cstheme="majorBidi"/>
          <w:noProof/>
        </w:rPr>
        <w:t>)</w:t>
      </w:r>
      <w:r w:rsidR="00473D55" w:rsidRPr="00B9614C">
        <w:rPr>
          <w:rFonts w:asciiTheme="majorBidi" w:hAnsiTheme="majorBidi" w:cstheme="majorBidi"/>
          <w:noProof/>
        </w:rPr>
        <w:t xml:space="preserve">. </w:t>
      </w:r>
      <w:r w:rsidRPr="00B9614C">
        <w:rPr>
          <w:rFonts w:asciiTheme="majorBidi" w:hAnsiTheme="majorBidi" w:cstheme="majorBidi"/>
          <w:noProof/>
        </w:rPr>
        <w:t>SCOOP</w:t>
      </w:r>
      <w:r w:rsidR="00686834" w:rsidRPr="00B9614C">
        <w:rPr>
          <w:rFonts w:asciiTheme="majorBidi" w:hAnsiTheme="majorBidi" w:cstheme="majorBidi"/>
          <w:noProof/>
        </w:rPr>
        <w:fldChar w:fldCharType="begin"/>
      </w:r>
      <w:r w:rsidR="007349A4">
        <w:rPr>
          <w:rFonts w:asciiTheme="majorBidi" w:hAnsiTheme="majorBidi" w:cstheme="majorBidi"/>
          <w:noProof/>
        </w:rPr>
        <w:instrText xml:space="preserve"> ADDIN EN.CITE &lt;EndNote&gt;&lt;Cite&gt;&lt;Author&gt;Shepstone L&lt;/Author&gt;&lt;Year&gt;2012&lt;/Year&gt;&lt;RecNum&gt;18&lt;/RecNum&gt;&lt;DisplayText&gt;[17]&lt;/DisplayText&gt;&lt;record&gt;&lt;rec-number&gt;18&lt;/rec-number&gt;&lt;foreign-keys&gt;&lt;key app="EN" db-id="frw0wf09qsav0qer2zlx2v2ff9srazx5x2ae"&gt;18&lt;/key&gt;&lt;/foreign-keys&gt;&lt;ref-type name="Journal Article"&gt;17&lt;/ref-type&gt;&lt;contributors&gt;&lt;authors&gt;&lt;author&gt;Shepstone L, Fordham R, Lenaghan E, Harvey I, Cooper C, Gittoes N, Heawood A, Peters T, O&amp;apos;Neill T, Torgerson D, Holland R, Howe A, Marshall T, Kanis J, McCloskey L.&lt;/author&gt;&lt;/authors&gt;&lt;/contributors&gt;&lt;titles&gt;&lt;title&gt;A pragmatic randomised controlled trial of the effectiveness and cost-effectiveness of screening older women for the prevention of fractures: Rationale, design and methods for the SCOOP study &lt;/title&gt;&lt;secondary-title&gt;Osteoporosis International&lt;/secondary-title&gt;&lt;/titles&gt;&lt;periodical&gt;&lt;full-title&gt;Osteoporosis International&lt;/full-title&gt;&lt;/periodical&gt;&lt;pages&gt;2507-15&lt;/pages&gt;&lt;volume&gt;23&lt;/volume&gt;&lt;number&gt;10&lt;/number&gt;&lt;dates&gt;&lt;year&gt;2012&lt;/year&gt;&lt;/dates&gt;&lt;urls&gt;&lt;/urls&gt;&lt;electronic-resource-num&gt;doi:10.1007/s00198-011-1876-7&lt;/electronic-resource-num&gt;&lt;/record&gt;&lt;/Cite&gt;&lt;/EndNote&gt;</w:instrText>
      </w:r>
      <w:r w:rsidR="00686834" w:rsidRPr="00B9614C">
        <w:rPr>
          <w:rFonts w:asciiTheme="majorBidi" w:hAnsiTheme="majorBidi" w:cstheme="majorBidi"/>
          <w:noProof/>
        </w:rPr>
        <w:fldChar w:fldCharType="separate"/>
      </w:r>
      <w:r w:rsidR="007F273F" w:rsidRPr="00B9614C">
        <w:rPr>
          <w:rFonts w:asciiTheme="majorBidi" w:hAnsiTheme="majorBidi" w:cstheme="majorBidi"/>
          <w:noProof/>
        </w:rPr>
        <w:t>[</w:t>
      </w:r>
      <w:hyperlink w:anchor="_ENREF_17" w:tooltip="Shepstone L, 2012 #18" w:history="1">
        <w:r w:rsidR="00A6020C" w:rsidRPr="00B9614C">
          <w:rPr>
            <w:rFonts w:asciiTheme="majorBidi" w:hAnsiTheme="majorBidi" w:cstheme="majorBidi"/>
            <w:noProof/>
          </w:rPr>
          <w:t>17</w:t>
        </w:r>
      </w:hyperlink>
      <w:r w:rsidR="007F273F" w:rsidRPr="00B9614C">
        <w:rPr>
          <w:rFonts w:asciiTheme="majorBidi" w:hAnsiTheme="majorBidi" w:cstheme="majorBidi"/>
          <w:noProof/>
        </w:rPr>
        <w:t>]</w:t>
      </w:r>
      <w:r w:rsidR="00686834" w:rsidRPr="00B9614C">
        <w:rPr>
          <w:rFonts w:asciiTheme="majorBidi" w:hAnsiTheme="majorBidi" w:cstheme="majorBidi"/>
          <w:noProof/>
        </w:rPr>
        <w:fldChar w:fldCharType="end"/>
      </w:r>
      <w:r w:rsidRPr="00B9614C">
        <w:rPr>
          <w:rFonts w:asciiTheme="majorBidi" w:hAnsiTheme="majorBidi" w:cstheme="majorBidi"/>
          <w:noProof/>
        </w:rPr>
        <w:t xml:space="preserve"> aims to explore the effectiveness of screening women aged 70 - 85 for the preve</w:t>
      </w:r>
      <w:r w:rsidR="00716B5F" w:rsidRPr="00B9614C">
        <w:rPr>
          <w:rFonts w:asciiTheme="majorBidi" w:hAnsiTheme="majorBidi" w:cstheme="majorBidi"/>
          <w:noProof/>
        </w:rPr>
        <w:t>ntion of fractures using a risk-</w:t>
      </w:r>
      <w:r w:rsidR="00473D55" w:rsidRPr="00B9614C">
        <w:rPr>
          <w:rFonts w:asciiTheme="majorBidi" w:hAnsiTheme="majorBidi" w:cstheme="majorBidi"/>
          <w:noProof/>
        </w:rPr>
        <w:t xml:space="preserve">prediction algorithm. </w:t>
      </w:r>
      <w:r w:rsidRPr="00B9614C">
        <w:rPr>
          <w:rFonts w:asciiTheme="majorBidi" w:hAnsiTheme="majorBidi" w:cstheme="majorBidi"/>
          <w:noProof/>
        </w:rPr>
        <w:t xml:space="preserve">The qualitative </w:t>
      </w:r>
      <w:r w:rsidR="00DE43A2" w:rsidRPr="00B9614C">
        <w:rPr>
          <w:rFonts w:asciiTheme="majorBidi" w:hAnsiTheme="majorBidi" w:cstheme="majorBidi"/>
          <w:noProof/>
        </w:rPr>
        <w:t>study took place in Norfolk</w:t>
      </w:r>
      <w:r w:rsidR="008F3692" w:rsidRPr="00B9614C">
        <w:rPr>
          <w:rFonts w:asciiTheme="majorBidi" w:hAnsiTheme="majorBidi" w:cstheme="majorBidi"/>
          <w:noProof/>
        </w:rPr>
        <w:t>,</w:t>
      </w:r>
      <w:r w:rsidR="00DE43A2" w:rsidRPr="00B9614C">
        <w:rPr>
          <w:rFonts w:asciiTheme="majorBidi" w:hAnsiTheme="majorBidi" w:cstheme="majorBidi"/>
          <w:noProof/>
        </w:rPr>
        <w:t xml:space="preserve"> United Kingdom</w:t>
      </w:r>
      <w:r w:rsidRPr="00B9614C">
        <w:rPr>
          <w:rFonts w:asciiTheme="majorBidi" w:hAnsiTheme="majorBidi" w:cstheme="majorBidi"/>
          <w:noProof/>
        </w:rPr>
        <w:t xml:space="preserve">.  </w:t>
      </w:r>
    </w:p>
    <w:p w:rsidR="004C153D" w:rsidRPr="00B9614C" w:rsidRDefault="004C153D" w:rsidP="00473D55">
      <w:pPr>
        <w:spacing w:line="360" w:lineRule="auto"/>
        <w:jc w:val="both"/>
        <w:rPr>
          <w:rFonts w:asciiTheme="majorBidi" w:hAnsiTheme="majorBidi" w:cstheme="majorBidi"/>
          <w:noProof/>
        </w:rPr>
      </w:pPr>
    </w:p>
    <w:p w:rsidR="004C153D" w:rsidRPr="00B9614C" w:rsidRDefault="004C153D" w:rsidP="00473D55">
      <w:pPr>
        <w:spacing w:line="360" w:lineRule="auto"/>
        <w:jc w:val="both"/>
        <w:rPr>
          <w:rFonts w:asciiTheme="majorBidi" w:hAnsiTheme="majorBidi" w:cstheme="majorBidi"/>
          <w:b/>
          <w:noProof/>
        </w:rPr>
      </w:pPr>
      <w:r w:rsidRPr="00B9614C">
        <w:rPr>
          <w:rFonts w:asciiTheme="majorBidi" w:hAnsiTheme="majorBidi" w:cstheme="majorBidi"/>
          <w:b/>
          <w:noProof/>
        </w:rPr>
        <w:t>Ethics Statement</w:t>
      </w:r>
    </w:p>
    <w:p w:rsidR="004C153D" w:rsidRPr="00B9614C" w:rsidRDefault="00697CC0" w:rsidP="00920552">
      <w:pPr>
        <w:spacing w:line="360" w:lineRule="auto"/>
        <w:jc w:val="both"/>
        <w:rPr>
          <w:rFonts w:asciiTheme="majorBidi" w:hAnsiTheme="majorBidi" w:cstheme="majorBidi"/>
        </w:rPr>
      </w:pPr>
      <w:r w:rsidRPr="00B9614C">
        <w:rPr>
          <w:rFonts w:asciiTheme="majorBidi" w:hAnsiTheme="majorBidi" w:cstheme="majorBidi"/>
          <w:noProof/>
        </w:rPr>
        <w:t xml:space="preserve">We secured approval from North West </w:t>
      </w:r>
      <w:r w:rsidR="00DE43A2" w:rsidRPr="00B9614C">
        <w:rPr>
          <w:rFonts w:asciiTheme="majorBidi" w:hAnsiTheme="majorBidi" w:cstheme="majorBidi"/>
          <w:noProof/>
        </w:rPr>
        <w:t xml:space="preserve">National Health Service </w:t>
      </w:r>
      <w:r w:rsidRPr="00B9614C">
        <w:rPr>
          <w:rFonts w:asciiTheme="majorBidi" w:hAnsiTheme="majorBidi" w:cstheme="majorBidi"/>
          <w:noProof/>
        </w:rPr>
        <w:t>Research Ethics Committee</w:t>
      </w:r>
      <w:r w:rsidR="004C153D" w:rsidRPr="00B9614C">
        <w:rPr>
          <w:rFonts w:asciiTheme="majorBidi" w:hAnsiTheme="majorBidi" w:cstheme="majorBidi"/>
          <w:noProof/>
        </w:rPr>
        <w:t xml:space="preserve"> </w:t>
      </w:r>
      <w:r w:rsidR="003E58F0" w:rsidRPr="00B9614C">
        <w:rPr>
          <w:rFonts w:asciiTheme="majorBidi" w:hAnsiTheme="majorBidi" w:cstheme="majorBidi"/>
        </w:rPr>
        <w:t xml:space="preserve">(Ref: </w:t>
      </w:r>
      <w:r w:rsidR="004C153D" w:rsidRPr="00B9614C">
        <w:rPr>
          <w:rFonts w:asciiTheme="majorBidi" w:hAnsiTheme="majorBidi" w:cstheme="majorBidi"/>
        </w:rPr>
        <w:t>07/H1010/70)</w:t>
      </w:r>
      <w:r w:rsidR="00473D55" w:rsidRPr="00B9614C">
        <w:rPr>
          <w:rFonts w:asciiTheme="majorBidi" w:hAnsiTheme="majorBidi" w:cstheme="majorBidi"/>
        </w:rPr>
        <w:t xml:space="preserve">. </w:t>
      </w:r>
      <w:r w:rsidR="004C153D" w:rsidRPr="00B9614C">
        <w:rPr>
          <w:rFonts w:asciiTheme="majorBidi" w:hAnsiTheme="majorBidi" w:cstheme="majorBidi"/>
        </w:rPr>
        <w:t>W</w:t>
      </w:r>
      <w:r w:rsidRPr="00B9614C">
        <w:rPr>
          <w:rFonts w:asciiTheme="majorBidi" w:hAnsiTheme="majorBidi" w:cstheme="majorBidi"/>
          <w:noProof/>
        </w:rPr>
        <w:t>ritten informed co</w:t>
      </w:r>
      <w:r w:rsidR="009A5957" w:rsidRPr="00B9614C">
        <w:rPr>
          <w:rFonts w:asciiTheme="majorBidi" w:hAnsiTheme="majorBidi" w:cstheme="majorBidi"/>
          <w:noProof/>
        </w:rPr>
        <w:t>nsent</w:t>
      </w:r>
      <w:r w:rsidRPr="00B9614C">
        <w:rPr>
          <w:rFonts w:asciiTheme="majorBidi" w:hAnsiTheme="majorBidi" w:cstheme="majorBidi"/>
          <w:noProof/>
        </w:rPr>
        <w:t xml:space="preserve"> </w:t>
      </w:r>
      <w:r w:rsidR="004C153D" w:rsidRPr="00B9614C">
        <w:rPr>
          <w:rFonts w:asciiTheme="majorBidi" w:hAnsiTheme="majorBidi" w:cstheme="majorBidi"/>
          <w:noProof/>
        </w:rPr>
        <w:t xml:space="preserve">was obtained </w:t>
      </w:r>
      <w:r w:rsidRPr="00B9614C">
        <w:rPr>
          <w:rFonts w:asciiTheme="majorBidi" w:hAnsiTheme="majorBidi" w:cstheme="majorBidi"/>
          <w:noProof/>
        </w:rPr>
        <w:t>from participant</w:t>
      </w:r>
      <w:r w:rsidR="001812A5" w:rsidRPr="00B9614C">
        <w:rPr>
          <w:rFonts w:asciiTheme="majorBidi" w:hAnsiTheme="majorBidi" w:cstheme="majorBidi"/>
          <w:noProof/>
        </w:rPr>
        <w:t>s</w:t>
      </w:r>
      <w:r w:rsidRPr="00B9614C">
        <w:rPr>
          <w:rFonts w:asciiTheme="majorBidi" w:hAnsiTheme="majorBidi" w:cstheme="majorBidi"/>
          <w:noProof/>
        </w:rPr>
        <w:t>.</w:t>
      </w:r>
      <w:r w:rsidR="003E58F0" w:rsidRPr="00B9614C">
        <w:rPr>
          <w:rFonts w:asciiTheme="majorBidi" w:hAnsiTheme="majorBidi" w:cstheme="majorBidi"/>
          <w:noProof/>
        </w:rPr>
        <w:t xml:space="preserve"> Two particip</w:t>
      </w:r>
      <w:r w:rsidR="00CB295F">
        <w:rPr>
          <w:rFonts w:asciiTheme="majorBidi" w:hAnsiTheme="majorBidi" w:cstheme="majorBidi"/>
          <w:noProof/>
        </w:rPr>
        <w:t>a</w:t>
      </w:r>
      <w:r w:rsidR="003E58F0" w:rsidRPr="00B9614C">
        <w:rPr>
          <w:rFonts w:asciiTheme="majorBidi" w:hAnsiTheme="majorBidi" w:cstheme="majorBidi"/>
          <w:noProof/>
        </w:rPr>
        <w:t xml:space="preserve">nts with mild cognitive impairment </w:t>
      </w:r>
      <w:r w:rsidR="00920552" w:rsidRPr="00B9614C">
        <w:rPr>
          <w:rFonts w:asciiTheme="majorBidi" w:hAnsiTheme="majorBidi" w:cstheme="majorBidi"/>
          <w:noProof/>
        </w:rPr>
        <w:t xml:space="preserve">were supported in the </w:t>
      </w:r>
      <w:r w:rsidR="003E58F0" w:rsidRPr="00B9614C">
        <w:rPr>
          <w:rFonts w:asciiTheme="majorBidi" w:hAnsiTheme="majorBidi" w:cstheme="majorBidi"/>
          <w:noProof/>
        </w:rPr>
        <w:t xml:space="preserve"> consent</w:t>
      </w:r>
      <w:r w:rsidR="00920552" w:rsidRPr="00B9614C">
        <w:rPr>
          <w:rFonts w:asciiTheme="majorBidi" w:hAnsiTheme="majorBidi" w:cstheme="majorBidi"/>
          <w:noProof/>
        </w:rPr>
        <w:t>ing and interview process by their</w:t>
      </w:r>
      <w:r w:rsidR="003E58F0" w:rsidRPr="00B9614C">
        <w:rPr>
          <w:rFonts w:asciiTheme="majorBidi" w:hAnsiTheme="majorBidi" w:cstheme="majorBidi"/>
          <w:noProof/>
        </w:rPr>
        <w:t xml:space="preserve"> </w:t>
      </w:r>
      <w:r w:rsidR="00920552" w:rsidRPr="00B9614C">
        <w:rPr>
          <w:rFonts w:asciiTheme="majorBidi" w:hAnsiTheme="majorBidi" w:cstheme="majorBidi"/>
          <w:noProof/>
        </w:rPr>
        <w:t>husbands.</w:t>
      </w:r>
      <w:r w:rsidRPr="00B9614C">
        <w:rPr>
          <w:rFonts w:asciiTheme="majorBidi" w:hAnsiTheme="majorBidi" w:cstheme="majorBidi"/>
          <w:noProof/>
        </w:rPr>
        <w:t xml:space="preserve">  </w:t>
      </w:r>
    </w:p>
    <w:p w:rsidR="00697CC0" w:rsidRPr="00B9614C" w:rsidRDefault="00697CC0" w:rsidP="00473D55">
      <w:pPr>
        <w:spacing w:line="360" w:lineRule="auto"/>
        <w:jc w:val="both"/>
        <w:rPr>
          <w:rFonts w:asciiTheme="majorBidi" w:hAnsiTheme="majorBidi" w:cstheme="majorBidi"/>
          <w:noProof/>
        </w:rPr>
      </w:pPr>
    </w:p>
    <w:p w:rsidR="00697CC0" w:rsidRPr="00B9614C" w:rsidRDefault="00697CC0" w:rsidP="00473D55">
      <w:pPr>
        <w:spacing w:line="360" w:lineRule="auto"/>
        <w:jc w:val="both"/>
        <w:rPr>
          <w:rFonts w:asciiTheme="majorBidi" w:hAnsiTheme="majorBidi" w:cstheme="majorBidi"/>
          <w:noProof/>
        </w:rPr>
      </w:pPr>
      <w:r w:rsidRPr="00B9614C">
        <w:rPr>
          <w:rFonts w:asciiTheme="majorBidi" w:hAnsiTheme="majorBidi" w:cstheme="majorBidi"/>
          <w:noProof/>
        </w:rPr>
        <w:t xml:space="preserve">The research comprised a longitudinal </w:t>
      </w:r>
      <w:r w:rsidR="006B235B" w:rsidRPr="00B9614C">
        <w:rPr>
          <w:rFonts w:asciiTheme="majorBidi" w:hAnsiTheme="majorBidi" w:cstheme="majorBidi"/>
          <w:noProof/>
        </w:rPr>
        <w:t xml:space="preserve">design with </w:t>
      </w:r>
      <w:r w:rsidR="00622851" w:rsidRPr="00B9614C">
        <w:rPr>
          <w:rFonts w:asciiTheme="majorBidi" w:hAnsiTheme="majorBidi" w:cstheme="majorBidi"/>
          <w:noProof/>
        </w:rPr>
        <w:t>t</w:t>
      </w:r>
      <w:r w:rsidR="009751ED" w:rsidRPr="00B9614C">
        <w:rPr>
          <w:rFonts w:asciiTheme="majorBidi" w:hAnsiTheme="majorBidi" w:cstheme="majorBidi"/>
          <w:noProof/>
        </w:rPr>
        <w:t>wo</w:t>
      </w:r>
      <w:r w:rsidR="00622851" w:rsidRPr="00B9614C">
        <w:rPr>
          <w:rFonts w:asciiTheme="majorBidi" w:hAnsiTheme="majorBidi" w:cstheme="majorBidi"/>
          <w:noProof/>
        </w:rPr>
        <w:t xml:space="preserve"> in-depth</w:t>
      </w:r>
      <w:r w:rsidRPr="00B9614C">
        <w:rPr>
          <w:rFonts w:asciiTheme="majorBidi" w:hAnsiTheme="majorBidi" w:cstheme="majorBidi"/>
          <w:noProof/>
        </w:rPr>
        <w:t xml:space="preserve"> interviews </w:t>
      </w:r>
      <w:r w:rsidR="009E77E0">
        <w:rPr>
          <w:rFonts w:asciiTheme="majorBidi" w:hAnsiTheme="majorBidi" w:cstheme="majorBidi"/>
          <w:noProof/>
        </w:rPr>
        <w:t xml:space="preserve">conducted </w:t>
      </w:r>
      <w:r w:rsidRPr="00B9614C">
        <w:rPr>
          <w:rFonts w:asciiTheme="majorBidi" w:hAnsiTheme="majorBidi" w:cstheme="majorBidi"/>
          <w:noProof/>
        </w:rPr>
        <w:t>18 months apart</w:t>
      </w:r>
      <w:r w:rsidR="009751ED" w:rsidRPr="00B9614C">
        <w:rPr>
          <w:rFonts w:asciiTheme="majorBidi" w:hAnsiTheme="majorBidi" w:cstheme="majorBidi"/>
          <w:noProof/>
        </w:rPr>
        <w:t xml:space="preserve">, the first at around 6 months post-randomisation. </w:t>
      </w:r>
      <w:r w:rsidRPr="00B9614C">
        <w:rPr>
          <w:rFonts w:asciiTheme="majorBidi" w:hAnsiTheme="majorBidi" w:cstheme="majorBidi"/>
          <w:noProof/>
        </w:rPr>
        <w:t xml:space="preserve">The sample was </w:t>
      </w:r>
      <w:r w:rsidR="00622851" w:rsidRPr="00B9614C">
        <w:rPr>
          <w:rFonts w:asciiTheme="majorBidi" w:hAnsiTheme="majorBidi" w:cstheme="majorBidi"/>
          <w:noProof/>
        </w:rPr>
        <w:t xml:space="preserve">drawn </w:t>
      </w:r>
      <w:r w:rsidRPr="00B9614C">
        <w:rPr>
          <w:rFonts w:asciiTheme="majorBidi" w:hAnsiTheme="majorBidi" w:cstheme="majorBidi"/>
          <w:noProof/>
        </w:rPr>
        <w:t>f</w:t>
      </w:r>
      <w:r w:rsidR="009751ED" w:rsidRPr="00B9614C">
        <w:rPr>
          <w:rFonts w:asciiTheme="majorBidi" w:hAnsiTheme="majorBidi" w:cstheme="majorBidi"/>
          <w:noProof/>
        </w:rPr>
        <w:t xml:space="preserve">rom </w:t>
      </w:r>
      <w:r w:rsidRPr="00B9614C">
        <w:rPr>
          <w:rFonts w:asciiTheme="majorBidi" w:hAnsiTheme="majorBidi" w:cstheme="majorBidi"/>
          <w:noProof/>
        </w:rPr>
        <w:t xml:space="preserve">those found to be at ‘higher than average’ risk of a subsequent fracture and whose prescribing data showed they had started </w:t>
      </w:r>
      <w:r w:rsidR="000D49A3">
        <w:rPr>
          <w:rFonts w:asciiTheme="majorBidi" w:hAnsiTheme="majorBidi" w:cstheme="majorBidi"/>
          <w:noProof/>
        </w:rPr>
        <w:t xml:space="preserve">medications for the prevention of </w:t>
      </w:r>
      <w:r w:rsidRPr="00B9614C">
        <w:rPr>
          <w:rFonts w:asciiTheme="majorBidi" w:hAnsiTheme="majorBidi" w:cstheme="majorBidi"/>
          <w:noProof/>
        </w:rPr>
        <w:t xml:space="preserve">osteoporosis.  Participants were </w:t>
      </w:r>
      <w:r w:rsidR="00716B5F" w:rsidRPr="00B9614C">
        <w:rPr>
          <w:rFonts w:asciiTheme="majorBidi" w:hAnsiTheme="majorBidi" w:cstheme="majorBidi"/>
          <w:noProof/>
        </w:rPr>
        <w:t>purposively sampled</w:t>
      </w:r>
      <w:r w:rsidRPr="00B9614C">
        <w:rPr>
          <w:rFonts w:asciiTheme="majorBidi" w:hAnsiTheme="majorBidi" w:cstheme="majorBidi"/>
          <w:noProof/>
        </w:rPr>
        <w:t xml:space="preserve"> from </w:t>
      </w:r>
      <w:r w:rsidR="00146BB6" w:rsidRPr="00B9614C">
        <w:rPr>
          <w:rFonts w:asciiTheme="majorBidi" w:hAnsiTheme="majorBidi" w:cstheme="majorBidi"/>
          <w:noProof/>
        </w:rPr>
        <w:t xml:space="preserve">demographic and adherence data already collected by the SCOOP </w:t>
      </w:r>
      <w:r w:rsidR="009E77E0">
        <w:rPr>
          <w:rFonts w:asciiTheme="majorBidi" w:hAnsiTheme="majorBidi" w:cstheme="majorBidi"/>
          <w:noProof/>
        </w:rPr>
        <w:t>trial</w:t>
      </w:r>
      <w:r w:rsidR="00146BB6" w:rsidRPr="00B9614C">
        <w:rPr>
          <w:rFonts w:asciiTheme="majorBidi" w:hAnsiTheme="majorBidi" w:cstheme="majorBidi"/>
          <w:noProof/>
        </w:rPr>
        <w:t xml:space="preserve"> </w:t>
      </w:r>
      <w:r w:rsidR="00716B5F" w:rsidRPr="00B9614C">
        <w:rPr>
          <w:rFonts w:asciiTheme="majorBidi" w:hAnsiTheme="majorBidi" w:cstheme="majorBidi"/>
          <w:noProof/>
        </w:rPr>
        <w:t>(see Table 1)</w:t>
      </w:r>
      <w:r w:rsidR="00462534" w:rsidRPr="00B9614C">
        <w:rPr>
          <w:rFonts w:asciiTheme="majorBidi" w:hAnsiTheme="majorBidi" w:cstheme="majorBidi"/>
          <w:noProof/>
        </w:rPr>
        <w:t xml:space="preserve">. </w:t>
      </w:r>
      <w:r w:rsidRPr="00B9614C">
        <w:rPr>
          <w:rFonts w:asciiTheme="majorBidi" w:hAnsiTheme="majorBidi" w:cstheme="majorBidi"/>
          <w:noProof/>
        </w:rPr>
        <w:t>As the focus of our study was to explore why older women were adherent</w:t>
      </w:r>
      <w:r w:rsidR="009751ED" w:rsidRPr="00B9614C">
        <w:rPr>
          <w:rFonts w:asciiTheme="majorBidi" w:hAnsiTheme="majorBidi" w:cstheme="majorBidi"/>
          <w:noProof/>
        </w:rPr>
        <w:t>,</w:t>
      </w:r>
      <w:r w:rsidRPr="00B9614C">
        <w:rPr>
          <w:rFonts w:asciiTheme="majorBidi" w:hAnsiTheme="majorBidi" w:cstheme="majorBidi"/>
          <w:noProof/>
        </w:rPr>
        <w:t xml:space="preserve"> we constructed our sample to include more women self-reporting they were adherent when contacted by phone than reporting they were non-adherent to their osteoporosis medication. </w:t>
      </w:r>
    </w:p>
    <w:p w:rsidR="00146BB6" w:rsidRPr="00B9614C" w:rsidRDefault="00146BB6" w:rsidP="00473D55">
      <w:pPr>
        <w:spacing w:line="360" w:lineRule="auto"/>
        <w:jc w:val="both"/>
        <w:rPr>
          <w:rFonts w:asciiTheme="majorBidi" w:hAnsiTheme="majorBidi" w:cstheme="majorBidi"/>
          <w:noProof/>
        </w:rPr>
      </w:pPr>
    </w:p>
    <w:p w:rsidR="00697CC0" w:rsidRPr="00B9614C" w:rsidRDefault="00146BB6" w:rsidP="00462534">
      <w:pPr>
        <w:spacing w:line="360" w:lineRule="auto"/>
        <w:jc w:val="both"/>
        <w:rPr>
          <w:rFonts w:asciiTheme="majorBidi" w:hAnsiTheme="majorBidi" w:cstheme="majorBidi"/>
        </w:rPr>
      </w:pPr>
      <w:r w:rsidRPr="00B9614C">
        <w:rPr>
          <w:rFonts w:asciiTheme="majorBidi" w:hAnsiTheme="majorBidi" w:cstheme="majorBidi"/>
          <w:noProof/>
        </w:rPr>
        <w:t xml:space="preserve">For the purpose of this study </w:t>
      </w:r>
      <w:r w:rsidR="00697CC0" w:rsidRPr="00B9614C">
        <w:rPr>
          <w:rFonts w:asciiTheme="majorBidi" w:hAnsiTheme="majorBidi" w:cstheme="majorBidi"/>
        </w:rPr>
        <w:t xml:space="preserve">‘adherent’ </w:t>
      </w:r>
      <w:r w:rsidR="00AA4185" w:rsidRPr="00B9614C">
        <w:rPr>
          <w:rFonts w:asciiTheme="majorBidi" w:hAnsiTheme="majorBidi" w:cstheme="majorBidi"/>
        </w:rPr>
        <w:t>included</w:t>
      </w:r>
      <w:r w:rsidR="00697CC0" w:rsidRPr="00B9614C">
        <w:rPr>
          <w:rFonts w:asciiTheme="majorBidi" w:hAnsiTheme="majorBidi" w:cstheme="majorBidi"/>
        </w:rPr>
        <w:t xml:space="preserve"> both women stating they were taking </w:t>
      </w:r>
      <w:r w:rsidR="00AC2654" w:rsidRPr="00B9614C">
        <w:rPr>
          <w:rFonts w:asciiTheme="majorBidi" w:hAnsiTheme="majorBidi" w:cstheme="majorBidi"/>
        </w:rPr>
        <w:t xml:space="preserve">bisphosphonate </w:t>
      </w:r>
      <w:r w:rsidR="00697CC0" w:rsidRPr="00B9614C">
        <w:rPr>
          <w:rFonts w:asciiTheme="majorBidi" w:hAnsiTheme="majorBidi" w:cstheme="majorBidi"/>
        </w:rPr>
        <w:t>medication as instructed,</w:t>
      </w:r>
      <w:r w:rsidR="00697CC0" w:rsidRPr="00B9614C" w:rsidDel="00DB085B">
        <w:rPr>
          <w:rFonts w:asciiTheme="majorBidi" w:hAnsiTheme="majorBidi" w:cstheme="majorBidi"/>
        </w:rPr>
        <w:t xml:space="preserve"> </w:t>
      </w:r>
      <w:r w:rsidR="00697CC0" w:rsidRPr="00B9614C">
        <w:rPr>
          <w:rFonts w:asciiTheme="majorBidi" w:hAnsiTheme="majorBidi" w:cstheme="majorBidi"/>
        </w:rPr>
        <w:t xml:space="preserve">and those stating they were intentionally or unintentionally missing doses but no more than 1 in 5 (i.e. 80% adherence or more). </w:t>
      </w:r>
      <w:r w:rsidR="00AA4185" w:rsidRPr="00B9614C">
        <w:rPr>
          <w:rFonts w:asciiTheme="majorBidi" w:hAnsiTheme="majorBidi" w:cstheme="majorBidi"/>
        </w:rPr>
        <w:t>N</w:t>
      </w:r>
      <w:r w:rsidR="00697CC0" w:rsidRPr="00B9614C">
        <w:rPr>
          <w:rFonts w:asciiTheme="majorBidi" w:hAnsiTheme="majorBidi" w:cstheme="majorBidi"/>
        </w:rPr>
        <w:t xml:space="preserve">on-adherent’ </w:t>
      </w:r>
      <w:r w:rsidR="00AA4185" w:rsidRPr="00B9614C">
        <w:rPr>
          <w:rFonts w:asciiTheme="majorBidi" w:hAnsiTheme="majorBidi" w:cstheme="majorBidi"/>
        </w:rPr>
        <w:t xml:space="preserve">included </w:t>
      </w:r>
      <w:r w:rsidR="00697CC0" w:rsidRPr="00B9614C">
        <w:rPr>
          <w:rFonts w:asciiTheme="majorBidi" w:hAnsiTheme="majorBidi" w:cstheme="majorBidi"/>
        </w:rPr>
        <w:t xml:space="preserve">all those who had discontinued bisphosphonate medication, or were taking them &lt;80% of the time, but who might still be taking prescribed supplements (calcium and vitamin D). </w:t>
      </w:r>
    </w:p>
    <w:p w:rsidR="00697CC0" w:rsidRPr="00B9614C" w:rsidRDefault="00697CC0" w:rsidP="00473D55">
      <w:pPr>
        <w:spacing w:line="360" w:lineRule="auto"/>
        <w:jc w:val="both"/>
        <w:rPr>
          <w:rFonts w:asciiTheme="majorBidi" w:hAnsiTheme="majorBidi" w:cstheme="majorBidi"/>
          <w:noProof/>
        </w:rPr>
      </w:pPr>
    </w:p>
    <w:p w:rsidR="00697CC0" w:rsidRPr="00B9614C" w:rsidRDefault="00697CC0" w:rsidP="00473D55">
      <w:pPr>
        <w:spacing w:line="360" w:lineRule="auto"/>
        <w:jc w:val="both"/>
        <w:rPr>
          <w:rFonts w:asciiTheme="majorBidi" w:hAnsiTheme="majorBidi" w:cstheme="majorBidi"/>
          <w:b/>
          <w:noProof/>
        </w:rPr>
      </w:pPr>
      <w:r w:rsidRPr="00B9614C">
        <w:rPr>
          <w:rFonts w:asciiTheme="majorBidi" w:hAnsiTheme="majorBidi" w:cstheme="majorBidi"/>
          <w:b/>
          <w:noProof/>
        </w:rPr>
        <w:t>The interviews</w:t>
      </w:r>
    </w:p>
    <w:p w:rsidR="00523BF5" w:rsidRPr="00B9614C" w:rsidRDefault="00716B5F" w:rsidP="00A6020C">
      <w:pPr>
        <w:spacing w:line="360" w:lineRule="auto"/>
        <w:jc w:val="both"/>
        <w:rPr>
          <w:noProof/>
        </w:rPr>
      </w:pPr>
      <w:r w:rsidRPr="00B9614C">
        <w:rPr>
          <w:rFonts w:asciiTheme="majorBidi" w:hAnsiTheme="majorBidi" w:cstheme="majorBidi"/>
          <w:noProof/>
        </w:rPr>
        <w:t>I</w:t>
      </w:r>
      <w:r w:rsidR="00697CC0" w:rsidRPr="00B9614C">
        <w:rPr>
          <w:rFonts w:asciiTheme="majorBidi" w:hAnsiTheme="majorBidi" w:cstheme="majorBidi"/>
          <w:noProof/>
        </w:rPr>
        <w:t xml:space="preserve">nterviews </w:t>
      </w:r>
      <w:r w:rsidR="0095406A" w:rsidRPr="00B9614C">
        <w:rPr>
          <w:rFonts w:asciiTheme="majorBidi" w:hAnsiTheme="majorBidi" w:cstheme="majorBidi"/>
          <w:noProof/>
        </w:rPr>
        <w:t>took place</w:t>
      </w:r>
      <w:r w:rsidR="008F3692" w:rsidRPr="00B9614C">
        <w:rPr>
          <w:rFonts w:asciiTheme="majorBidi" w:hAnsiTheme="majorBidi" w:cstheme="majorBidi"/>
          <w:noProof/>
        </w:rPr>
        <w:t xml:space="preserve"> at </w:t>
      </w:r>
      <w:r w:rsidR="009E77E0">
        <w:rPr>
          <w:rFonts w:asciiTheme="majorBidi" w:hAnsiTheme="majorBidi" w:cstheme="majorBidi"/>
          <w:noProof/>
        </w:rPr>
        <w:t>participants</w:t>
      </w:r>
      <w:r w:rsidR="000D49A3">
        <w:rPr>
          <w:rFonts w:asciiTheme="majorBidi" w:hAnsiTheme="majorBidi" w:cstheme="majorBidi"/>
          <w:noProof/>
        </w:rPr>
        <w:t>’</w:t>
      </w:r>
      <w:r w:rsidR="009E77E0">
        <w:rPr>
          <w:rFonts w:asciiTheme="majorBidi" w:hAnsiTheme="majorBidi" w:cstheme="majorBidi"/>
          <w:noProof/>
        </w:rPr>
        <w:t xml:space="preserve"> </w:t>
      </w:r>
      <w:r w:rsidR="0095406A" w:rsidRPr="00B9614C">
        <w:rPr>
          <w:rFonts w:asciiTheme="majorBidi" w:hAnsiTheme="majorBidi" w:cstheme="majorBidi"/>
          <w:noProof/>
        </w:rPr>
        <w:t>home</w:t>
      </w:r>
      <w:r w:rsidR="009E77E0">
        <w:rPr>
          <w:rFonts w:asciiTheme="majorBidi" w:hAnsiTheme="majorBidi" w:cstheme="majorBidi"/>
          <w:noProof/>
        </w:rPr>
        <w:t>s</w:t>
      </w:r>
      <w:r w:rsidR="0095406A" w:rsidRPr="00B9614C">
        <w:rPr>
          <w:rFonts w:asciiTheme="majorBidi" w:hAnsiTheme="majorBidi" w:cstheme="majorBidi"/>
          <w:noProof/>
        </w:rPr>
        <w:t xml:space="preserve"> and </w:t>
      </w:r>
      <w:r w:rsidR="00697CC0" w:rsidRPr="00B9614C">
        <w:rPr>
          <w:rFonts w:asciiTheme="majorBidi" w:hAnsiTheme="majorBidi" w:cstheme="majorBidi"/>
          <w:noProof/>
        </w:rPr>
        <w:t>lasted an average of 74 minutes</w:t>
      </w:r>
      <w:r w:rsidR="00462534" w:rsidRPr="00B9614C">
        <w:rPr>
          <w:rFonts w:asciiTheme="majorBidi" w:hAnsiTheme="majorBidi" w:cstheme="majorBidi"/>
          <w:noProof/>
        </w:rPr>
        <w:t xml:space="preserve">. </w:t>
      </w:r>
      <w:r w:rsidR="00473D55" w:rsidRPr="00B9614C">
        <w:rPr>
          <w:rFonts w:asciiTheme="majorBidi" w:hAnsiTheme="majorBidi" w:cstheme="majorBidi"/>
          <w:noProof/>
        </w:rPr>
        <w:t xml:space="preserve">They </w:t>
      </w:r>
      <w:r w:rsidR="0039429E" w:rsidRPr="00B9614C">
        <w:rPr>
          <w:rFonts w:asciiTheme="majorBidi" w:hAnsiTheme="majorBidi" w:cstheme="majorBidi"/>
          <w:noProof/>
        </w:rPr>
        <w:t xml:space="preserve">were </w:t>
      </w:r>
      <w:r w:rsidR="00697CC0" w:rsidRPr="00B9614C">
        <w:rPr>
          <w:rFonts w:asciiTheme="majorBidi" w:hAnsiTheme="majorBidi" w:cstheme="majorBidi"/>
          <w:noProof/>
        </w:rPr>
        <w:t>based on a topic guide developed to explore women’s understanding of osteoporosis, responses to screening results, current usage of preventive medicine, motivators and detractors from taking medication and follow up with healthcare professionals. Interview recordings were transcribed verbati</w:t>
      </w:r>
      <w:r w:rsidR="00DA0869" w:rsidRPr="00B9614C">
        <w:rPr>
          <w:rFonts w:asciiTheme="majorBidi" w:hAnsiTheme="majorBidi" w:cstheme="majorBidi"/>
          <w:noProof/>
        </w:rPr>
        <w:t>m and anonymised</w:t>
      </w:r>
      <w:r w:rsidR="00462534" w:rsidRPr="00B9614C">
        <w:rPr>
          <w:rFonts w:asciiTheme="majorBidi" w:hAnsiTheme="majorBidi" w:cstheme="majorBidi"/>
          <w:noProof/>
        </w:rPr>
        <w:t xml:space="preserve">. </w:t>
      </w:r>
      <w:r w:rsidR="00697CC0" w:rsidRPr="00B9614C">
        <w:rPr>
          <w:rFonts w:asciiTheme="majorBidi" w:hAnsiTheme="majorBidi" w:cstheme="majorBidi"/>
          <w:noProof/>
        </w:rPr>
        <w:t>Familiarisation, data management, coding and categorisation were carried out by the interdisciplinary research</w:t>
      </w:r>
      <w:r w:rsidR="001C1BB0" w:rsidRPr="00B9614C">
        <w:rPr>
          <w:rFonts w:asciiTheme="majorBidi" w:hAnsiTheme="majorBidi" w:cstheme="majorBidi"/>
          <w:noProof/>
        </w:rPr>
        <w:t xml:space="preserve"> team including CS, LM and AH. </w:t>
      </w:r>
      <w:r w:rsidR="00697CC0" w:rsidRPr="00B9614C">
        <w:rPr>
          <w:rFonts w:asciiTheme="majorBidi" w:hAnsiTheme="majorBidi" w:cstheme="majorBidi"/>
          <w:noProof/>
        </w:rPr>
        <w:t>Iteration between both data sets and the research literature helped inform the analysis at the explana</w:t>
      </w:r>
      <w:r w:rsidR="00462534" w:rsidRPr="00B9614C">
        <w:rPr>
          <w:rFonts w:asciiTheme="majorBidi" w:hAnsiTheme="majorBidi" w:cstheme="majorBidi"/>
          <w:noProof/>
        </w:rPr>
        <w:t xml:space="preserve">tory level. </w:t>
      </w:r>
      <w:r w:rsidR="0095406A" w:rsidRPr="00B9614C">
        <w:rPr>
          <w:rFonts w:asciiTheme="majorBidi" w:hAnsiTheme="majorBidi" w:cstheme="majorBidi"/>
          <w:noProof/>
        </w:rPr>
        <w:t>The principles of Framework A</w:t>
      </w:r>
      <w:r w:rsidR="00697CC0" w:rsidRPr="00B9614C">
        <w:rPr>
          <w:rFonts w:asciiTheme="majorBidi" w:hAnsiTheme="majorBidi" w:cstheme="majorBidi"/>
          <w:noProof/>
        </w:rPr>
        <w:t xml:space="preserve">nalysis </w:t>
      </w:r>
      <w:r w:rsidR="00686834" w:rsidRPr="00B9614C">
        <w:rPr>
          <w:rFonts w:asciiTheme="majorBidi" w:hAnsiTheme="majorBidi" w:cstheme="majorBidi"/>
          <w:noProof/>
        </w:rPr>
        <w:fldChar w:fldCharType="begin"/>
      </w:r>
      <w:r w:rsidR="007349A4">
        <w:rPr>
          <w:rFonts w:asciiTheme="majorBidi" w:hAnsiTheme="majorBidi" w:cstheme="majorBidi"/>
          <w:noProof/>
        </w:rPr>
        <w:instrText xml:space="preserve"> ADDIN EN.CITE &lt;EndNote&gt;&lt;Cite&gt;&lt;Author&gt;Ritchie J&lt;/Author&gt;&lt;Year&gt;2003&lt;/Year&gt;&lt;RecNum&gt;17&lt;/RecNum&gt;&lt;DisplayText&gt;[18]&lt;/DisplayText&gt;&lt;record&gt;&lt;rec-number&gt;17&lt;/rec-number&gt;&lt;foreign-keys&gt;&lt;key app="EN" db-id="frw0wf09qsav0qer2zlx2v2ff9srazx5x2ae"&gt;17&lt;/key&gt;&lt;/foreign-keys&gt;&lt;ref-type name="Book"&gt;6&lt;/ref-type&gt;&lt;contributors&gt;&lt;authors&gt;&lt;author&gt;Ritchie J, Lewis J. &lt;/author&gt;&lt;/authors&gt;&lt;/contributors&gt;&lt;titles&gt;&lt;title&gt;Qualitative research practice: A guide for social science students and researchers&lt;/title&gt;&lt;/titles&gt;&lt;dates&gt;&lt;year&gt;2003&lt;/year&gt;&lt;/dates&gt;&lt;pub-location&gt;London&lt;/pub-location&gt;&lt;publisher&gt;Sage Publications&lt;/publisher&gt;&lt;urls&gt;&lt;/urls&gt;&lt;/record&gt;&lt;/Cite&gt;&lt;/EndNote&gt;</w:instrText>
      </w:r>
      <w:r w:rsidR="00686834" w:rsidRPr="00B9614C">
        <w:rPr>
          <w:rFonts w:asciiTheme="majorBidi" w:hAnsiTheme="majorBidi" w:cstheme="majorBidi"/>
          <w:noProof/>
        </w:rPr>
        <w:fldChar w:fldCharType="separate"/>
      </w:r>
      <w:r w:rsidR="007F273F" w:rsidRPr="00B9614C">
        <w:rPr>
          <w:rFonts w:asciiTheme="majorBidi" w:hAnsiTheme="majorBidi" w:cstheme="majorBidi"/>
          <w:noProof/>
        </w:rPr>
        <w:t>[</w:t>
      </w:r>
      <w:hyperlink w:anchor="_ENREF_18" w:tooltip="Ritchie J, 2003 #17" w:history="1">
        <w:r w:rsidR="00A6020C" w:rsidRPr="00B9614C">
          <w:rPr>
            <w:rFonts w:asciiTheme="majorBidi" w:hAnsiTheme="majorBidi" w:cstheme="majorBidi"/>
            <w:noProof/>
          </w:rPr>
          <w:t>18</w:t>
        </w:r>
      </w:hyperlink>
      <w:r w:rsidR="007F273F" w:rsidRPr="00B9614C">
        <w:rPr>
          <w:rFonts w:asciiTheme="majorBidi" w:hAnsiTheme="majorBidi" w:cstheme="majorBidi"/>
          <w:noProof/>
        </w:rPr>
        <w:t>]</w:t>
      </w:r>
      <w:r w:rsidR="00686834" w:rsidRPr="00B9614C">
        <w:rPr>
          <w:rFonts w:asciiTheme="majorBidi" w:hAnsiTheme="majorBidi" w:cstheme="majorBidi"/>
          <w:noProof/>
        </w:rPr>
        <w:fldChar w:fldCharType="end"/>
      </w:r>
      <w:r w:rsidR="00AC2654" w:rsidRPr="00B9614C">
        <w:t xml:space="preserve"> </w:t>
      </w:r>
      <w:r w:rsidR="00697CC0" w:rsidRPr="00B9614C">
        <w:rPr>
          <w:rFonts w:asciiTheme="majorBidi" w:hAnsiTheme="majorBidi" w:cstheme="majorBidi"/>
          <w:noProof/>
        </w:rPr>
        <w:t>were used to order, chart and search the data both manually and supported by relevant software (NVivo 9 Software, MSWord and Framework)</w:t>
      </w:r>
      <w:r w:rsidR="00462534" w:rsidRPr="00B9614C">
        <w:rPr>
          <w:rFonts w:asciiTheme="majorBidi" w:hAnsiTheme="majorBidi" w:cstheme="majorBidi"/>
          <w:noProof/>
        </w:rPr>
        <w:t>.</w:t>
      </w:r>
      <w:r w:rsidR="001C1BB0" w:rsidRPr="00B9614C">
        <w:rPr>
          <w:rFonts w:asciiTheme="majorBidi" w:hAnsiTheme="majorBidi" w:cstheme="majorBidi"/>
          <w:noProof/>
        </w:rPr>
        <w:t xml:space="preserve"> </w:t>
      </w:r>
      <w:r w:rsidR="009A5957" w:rsidRPr="00B9614C">
        <w:rPr>
          <w:noProof/>
        </w:rPr>
        <w:t xml:space="preserve">Illustrative </w:t>
      </w:r>
      <w:r w:rsidR="00523BF5" w:rsidRPr="00B9614C">
        <w:rPr>
          <w:noProof/>
        </w:rPr>
        <w:t xml:space="preserve">quotations are selected to elucidate the study findings.  Extracts are labelled using participant number, age at interview and summary adherence status to both bisphosphonates and calcium supplements. </w:t>
      </w:r>
    </w:p>
    <w:p w:rsidR="00697CC0" w:rsidRPr="00B9614C" w:rsidRDefault="00697CC0" w:rsidP="00473D55">
      <w:pPr>
        <w:spacing w:line="360" w:lineRule="auto"/>
        <w:jc w:val="both"/>
        <w:rPr>
          <w:rFonts w:asciiTheme="majorBidi" w:hAnsiTheme="majorBidi" w:cstheme="majorBidi"/>
          <w:noProof/>
        </w:rPr>
      </w:pPr>
    </w:p>
    <w:p w:rsidR="00697CC0" w:rsidRPr="00B9614C" w:rsidRDefault="00697CC0" w:rsidP="00473D55">
      <w:pPr>
        <w:spacing w:line="360" w:lineRule="auto"/>
        <w:jc w:val="both"/>
        <w:rPr>
          <w:rFonts w:asciiTheme="majorBidi" w:hAnsiTheme="majorBidi" w:cstheme="majorBidi"/>
          <w:b/>
          <w:bCs/>
          <w:noProof/>
        </w:rPr>
      </w:pPr>
      <w:r w:rsidRPr="00B9614C">
        <w:rPr>
          <w:rFonts w:asciiTheme="majorBidi" w:hAnsiTheme="majorBidi" w:cstheme="majorBidi"/>
          <w:b/>
          <w:bCs/>
          <w:noProof/>
        </w:rPr>
        <w:t>R</w:t>
      </w:r>
      <w:r w:rsidR="00C43128" w:rsidRPr="00B9614C">
        <w:rPr>
          <w:rFonts w:asciiTheme="majorBidi" w:hAnsiTheme="majorBidi" w:cstheme="majorBidi"/>
          <w:b/>
          <w:bCs/>
          <w:noProof/>
        </w:rPr>
        <w:t>esults</w:t>
      </w:r>
    </w:p>
    <w:p w:rsidR="00697CC0" w:rsidRPr="00B9614C" w:rsidRDefault="00697CC0" w:rsidP="00473D55">
      <w:pPr>
        <w:spacing w:line="360" w:lineRule="auto"/>
        <w:jc w:val="both"/>
        <w:rPr>
          <w:rFonts w:asciiTheme="majorBidi" w:hAnsiTheme="majorBidi" w:cstheme="majorBidi"/>
          <w:noProof/>
        </w:rPr>
      </w:pPr>
      <w:r w:rsidRPr="00B9614C">
        <w:rPr>
          <w:rFonts w:asciiTheme="majorBidi" w:hAnsiTheme="majorBidi" w:cstheme="majorBidi"/>
          <w:noProof/>
        </w:rPr>
        <w:t>Ninety women in the ‘higher than average’ risk group recruited to the Norwich arm of the SCOOP Trial indicated they would be willing to take part</w:t>
      </w:r>
      <w:r w:rsidR="000D49A3">
        <w:rPr>
          <w:rFonts w:asciiTheme="majorBidi" w:hAnsiTheme="majorBidi" w:cstheme="majorBidi"/>
          <w:noProof/>
        </w:rPr>
        <w:t xml:space="preserve"> in the qualitative sub-study</w:t>
      </w:r>
      <w:r w:rsidR="00462534" w:rsidRPr="00B9614C">
        <w:rPr>
          <w:rFonts w:asciiTheme="majorBidi" w:hAnsiTheme="majorBidi" w:cstheme="majorBidi"/>
          <w:noProof/>
        </w:rPr>
        <w:t xml:space="preserve">. </w:t>
      </w:r>
      <w:r w:rsidR="009751ED" w:rsidRPr="00B9614C">
        <w:rPr>
          <w:rFonts w:asciiTheme="majorBidi" w:hAnsiTheme="majorBidi" w:cstheme="majorBidi"/>
          <w:noProof/>
        </w:rPr>
        <w:t>From these we recruited a</w:t>
      </w:r>
      <w:r w:rsidRPr="00B9614C">
        <w:rPr>
          <w:rFonts w:asciiTheme="majorBidi" w:hAnsiTheme="majorBidi" w:cstheme="majorBidi"/>
          <w:noProof/>
        </w:rPr>
        <w:t xml:space="preserve"> sample of 30 (33%) </w:t>
      </w:r>
      <w:r w:rsidR="009751ED" w:rsidRPr="00B9614C">
        <w:rPr>
          <w:rFonts w:asciiTheme="majorBidi" w:hAnsiTheme="majorBidi" w:cstheme="majorBidi"/>
          <w:noProof/>
        </w:rPr>
        <w:t xml:space="preserve">women, age range </w:t>
      </w:r>
      <w:r w:rsidRPr="00B9614C">
        <w:rPr>
          <w:rFonts w:asciiTheme="majorBidi" w:hAnsiTheme="majorBidi" w:cstheme="majorBidi"/>
          <w:noProof/>
        </w:rPr>
        <w:t xml:space="preserve"> 73 – 85 years (</w:t>
      </w:r>
      <w:r w:rsidR="00462534" w:rsidRPr="00B9614C">
        <w:rPr>
          <w:rFonts w:asciiTheme="majorBidi" w:hAnsiTheme="majorBidi" w:cstheme="majorBidi"/>
          <w:noProof/>
        </w:rPr>
        <w:t xml:space="preserve">Table 1). </w:t>
      </w:r>
      <w:r w:rsidRPr="00B9614C">
        <w:rPr>
          <w:rFonts w:asciiTheme="majorBidi" w:hAnsiTheme="majorBidi" w:cstheme="majorBidi"/>
          <w:noProof/>
        </w:rPr>
        <w:t xml:space="preserve">Five participants were unable to participate in the </w:t>
      </w:r>
      <w:r w:rsidR="00AC2654" w:rsidRPr="00B9614C">
        <w:rPr>
          <w:rFonts w:asciiTheme="majorBidi" w:hAnsiTheme="majorBidi" w:cstheme="majorBidi"/>
          <w:noProof/>
        </w:rPr>
        <w:t>follow-up</w:t>
      </w:r>
      <w:r w:rsidR="009A5957" w:rsidRPr="00B9614C">
        <w:rPr>
          <w:rFonts w:asciiTheme="majorBidi" w:hAnsiTheme="majorBidi" w:cstheme="majorBidi"/>
          <w:noProof/>
        </w:rPr>
        <w:t xml:space="preserve"> </w:t>
      </w:r>
      <w:r w:rsidRPr="00B9614C">
        <w:rPr>
          <w:rFonts w:asciiTheme="majorBidi" w:hAnsiTheme="majorBidi" w:cstheme="majorBidi"/>
          <w:noProof/>
        </w:rPr>
        <w:t xml:space="preserve">interview due to death or withdrawal from the study.  </w:t>
      </w:r>
    </w:p>
    <w:p w:rsidR="00697CC0" w:rsidRPr="00B9614C" w:rsidRDefault="00697CC0" w:rsidP="00473D55">
      <w:pPr>
        <w:spacing w:line="360" w:lineRule="auto"/>
        <w:jc w:val="both"/>
        <w:rPr>
          <w:rFonts w:asciiTheme="majorBidi" w:hAnsiTheme="majorBidi" w:cstheme="majorBidi"/>
          <w:noProof/>
        </w:rPr>
      </w:pPr>
    </w:p>
    <w:p w:rsidR="00697CC0" w:rsidRPr="00B9614C" w:rsidRDefault="005A31FE" w:rsidP="00473D55">
      <w:pPr>
        <w:spacing w:line="360" w:lineRule="auto"/>
        <w:jc w:val="both"/>
        <w:rPr>
          <w:rFonts w:asciiTheme="majorBidi" w:hAnsiTheme="majorBidi" w:cstheme="majorBidi"/>
          <w:b/>
        </w:rPr>
      </w:pPr>
      <w:r>
        <w:rPr>
          <w:rFonts w:asciiTheme="majorBidi" w:hAnsiTheme="majorBidi" w:cstheme="majorBidi"/>
          <w:b/>
        </w:rPr>
        <w:t>Understanding adherence and non-adherence</w:t>
      </w:r>
    </w:p>
    <w:p w:rsidR="00523BF5" w:rsidRPr="00B9614C" w:rsidRDefault="00523BF5" w:rsidP="00462534">
      <w:pPr>
        <w:spacing w:line="360" w:lineRule="auto"/>
        <w:jc w:val="both"/>
        <w:rPr>
          <w:rFonts w:asciiTheme="majorBidi" w:hAnsiTheme="majorBidi" w:cstheme="majorBidi"/>
          <w:noProof/>
        </w:rPr>
      </w:pPr>
      <w:r w:rsidRPr="00B9614C">
        <w:rPr>
          <w:rFonts w:asciiTheme="majorBidi" w:hAnsiTheme="majorBidi" w:cstheme="majorBidi"/>
          <w:noProof/>
        </w:rPr>
        <w:t xml:space="preserve">All 30 participants </w:t>
      </w:r>
      <w:r w:rsidR="0039429E" w:rsidRPr="00B9614C">
        <w:rPr>
          <w:rFonts w:asciiTheme="majorBidi" w:hAnsiTheme="majorBidi" w:cstheme="majorBidi"/>
          <w:noProof/>
        </w:rPr>
        <w:t xml:space="preserve">were prescribed </w:t>
      </w:r>
      <w:r w:rsidRPr="00B9614C">
        <w:rPr>
          <w:rFonts w:asciiTheme="majorBidi" w:hAnsiTheme="majorBidi" w:cstheme="majorBidi"/>
          <w:noProof/>
        </w:rPr>
        <w:t>bisphosphonates and all except one</w:t>
      </w:r>
      <w:r w:rsidR="00462534" w:rsidRPr="00B9614C">
        <w:rPr>
          <w:rFonts w:asciiTheme="majorBidi" w:hAnsiTheme="majorBidi" w:cstheme="majorBidi"/>
          <w:noProof/>
        </w:rPr>
        <w:t xml:space="preserve"> commenced their first course. </w:t>
      </w:r>
      <w:r w:rsidRPr="00B9614C">
        <w:rPr>
          <w:rFonts w:asciiTheme="majorBidi" w:hAnsiTheme="majorBidi" w:cstheme="majorBidi"/>
          <w:noProof/>
        </w:rPr>
        <w:t>Of the 10 participants shown in Table 2 wh</w:t>
      </w:r>
      <w:r w:rsidR="00BE1DB9" w:rsidRPr="00B9614C">
        <w:rPr>
          <w:rFonts w:asciiTheme="majorBidi" w:hAnsiTheme="majorBidi" w:cstheme="majorBidi"/>
          <w:noProof/>
        </w:rPr>
        <w:t>o reported being non-adherent at</w:t>
      </w:r>
      <w:r w:rsidRPr="00B9614C">
        <w:rPr>
          <w:rFonts w:asciiTheme="majorBidi" w:hAnsiTheme="majorBidi" w:cstheme="majorBidi"/>
          <w:noProof/>
        </w:rPr>
        <w:t xml:space="preserve"> Phase 1</w:t>
      </w:r>
      <w:r w:rsidR="00BE1DB9" w:rsidRPr="00B9614C">
        <w:rPr>
          <w:rFonts w:asciiTheme="majorBidi" w:hAnsiTheme="majorBidi" w:cstheme="majorBidi"/>
          <w:noProof/>
        </w:rPr>
        <w:t xml:space="preserve"> Interviews</w:t>
      </w:r>
      <w:r w:rsidRPr="00B9614C">
        <w:rPr>
          <w:rFonts w:asciiTheme="majorBidi" w:hAnsiTheme="majorBidi" w:cstheme="majorBidi"/>
          <w:noProof/>
        </w:rPr>
        <w:t xml:space="preserve">, nine made this decision without discussion with their </w:t>
      </w:r>
      <w:r w:rsidR="000D49A3">
        <w:rPr>
          <w:rFonts w:asciiTheme="majorBidi" w:hAnsiTheme="majorBidi" w:cstheme="majorBidi"/>
          <w:noProof/>
        </w:rPr>
        <w:t>g</w:t>
      </w:r>
      <w:r w:rsidR="0095406A" w:rsidRPr="00B9614C">
        <w:rPr>
          <w:rFonts w:asciiTheme="majorBidi" w:hAnsiTheme="majorBidi" w:cstheme="majorBidi"/>
          <w:noProof/>
        </w:rPr>
        <w:t xml:space="preserve">eneral </w:t>
      </w:r>
      <w:r w:rsidR="000D49A3">
        <w:rPr>
          <w:rFonts w:asciiTheme="majorBidi" w:hAnsiTheme="majorBidi" w:cstheme="majorBidi"/>
          <w:noProof/>
        </w:rPr>
        <w:t>p</w:t>
      </w:r>
      <w:r w:rsidR="0095406A" w:rsidRPr="00B9614C">
        <w:rPr>
          <w:rFonts w:asciiTheme="majorBidi" w:hAnsiTheme="majorBidi" w:cstheme="majorBidi"/>
          <w:noProof/>
        </w:rPr>
        <w:t xml:space="preserve">racitioner </w:t>
      </w:r>
      <w:r w:rsidR="00462534" w:rsidRPr="00B9614C">
        <w:rPr>
          <w:rFonts w:asciiTheme="majorBidi" w:hAnsiTheme="majorBidi" w:cstheme="majorBidi"/>
          <w:noProof/>
        </w:rPr>
        <w:t>. A</w:t>
      </w:r>
      <w:r w:rsidRPr="00B9614C">
        <w:rPr>
          <w:rFonts w:asciiTheme="majorBidi" w:hAnsiTheme="majorBidi" w:cstheme="majorBidi"/>
          <w:noProof/>
        </w:rPr>
        <w:t xml:space="preserve">ll bar </w:t>
      </w:r>
      <w:r w:rsidR="00786049" w:rsidRPr="00B9614C">
        <w:rPr>
          <w:rFonts w:asciiTheme="majorBidi" w:hAnsiTheme="majorBidi" w:cstheme="majorBidi"/>
          <w:noProof/>
        </w:rPr>
        <w:t>one</w:t>
      </w:r>
      <w:r w:rsidR="00471A25" w:rsidRPr="00B9614C">
        <w:rPr>
          <w:rFonts w:asciiTheme="majorBidi" w:hAnsiTheme="majorBidi" w:cstheme="majorBidi"/>
          <w:noProof/>
        </w:rPr>
        <w:t xml:space="preserve"> </w:t>
      </w:r>
      <w:r w:rsidRPr="00B9614C">
        <w:rPr>
          <w:rFonts w:asciiTheme="majorBidi" w:hAnsiTheme="majorBidi" w:cstheme="majorBidi"/>
          <w:noProof/>
        </w:rPr>
        <w:t xml:space="preserve">said they had done this within a month of </w:t>
      </w:r>
      <w:r w:rsidR="00473D55" w:rsidRPr="00B9614C">
        <w:rPr>
          <w:rFonts w:asciiTheme="majorBidi" w:hAnsiTheme="majorBidi" w:cstheme="majorBidi"/>
          <w:noProof/>
        </w:rPr>
        <w:t xml:space="preserve">collecting </w:t>
      </w:r>
      <w:r w:rsidR="00462534" w:rsidRPr="00B9614C">
        <w:rPr>
          <w:rFonts w:asciiTheme="majorBidi" w:hAnsiTheme="majorBidi" w:cstheme="majorBidi"/>
          <w:noProof/>
        </w:rPr>
        <w:t xml:space="preserve">their first prescription. </w:t>
      </w:r>
      <w:r w:rsidRPr="00B9614C">
        <w:rPr>
          <w:rFonts w:asciiTheme="majorBidi" w:hAnsiTheme="majorBidi" w:cstheme="majorBidi"/>
          <w:noProof/>
        </w:rPr>
        <w:t xml:space="preserve">The combination of bisphosphonate and calcium: vitamin D supplements was reported to be taken by 12 participants. </w:t>
      </w:r>
    </w:p>
    <w:p w:rsidR="00523BF5" w:rsidRPr="00B9614C" w:rsidRDefault="00523BF5" w:rsidP="00473D55">
      <w:pPr>
        <w:spacing w:line="360" w:lineRule="auto"/>
        <w:jc w:val="both"/>
        <w:rPr>
          <w:rFonts w:asciiTheme="majorBidi" w:hAnsiTheme="majorBidi" w:cstheme="majorBidi"/>
          <w:noProof/>
        </w:rPr>
      </w:pPr>
    </w:p>
    <w:p w:rsidR="00697CC0" w:rsidRPr="00B9614C" w:rsidRDefault="00345FCC" w:rsidP="00473D55">
      <w:pPr>
        <w:spacing w:line="360" w:lineRule="auto"/>
        <w:jc w:val="both"/>
        <w:rPr>
          <w:rFonts w:asciiTheme="majorBidi" w:hAnsiTheme="majorBidi" w:cstheme="majorBidi"/>
        </w:rPr>
      </w:pPr>
      <w:r w:rsidRPr="00B9614C">
        <w:rPr>
          <w:rFonts w:asciiTheme="majorBidi" w:hAnsiTheme="majorBidi" w:cstheme="majorBidi"/>
          <w:noProof/>
        </w:rPr>
        <w:t xml:space="preserve">Of the 25 </w:t>
      </w:r>
      <w:r w:rsidR="00523BF5" w:rsidRPr="00B9614C">
        <w:rPr>
          <w:rFonts w:asciiTheme="majorBidi" w:hAnsiTheme="majorBidi" w:cstheme="majorBidi"/>
          <w:noProof/>
        </w:rPr>
        <w:t xml:space="preserve">participants </w:t>
      </w:r>
      <w:r w:rsidRPr="00B9614C">
        <w:rPr>
          <w:rFonts w:asciiTheme="majorBidi" w:hAnsiTheme="majorBidi" w:cstheme="majorBidi"/>
          <w:noProof/>
        </w:rPr>
        <w:t xml:space="preserve">who </w:t>
      </w:r>
      <w:r w:rsidR="00523BF5" w:rsidRPr="00B9614C">
        <w:rPr>
          <w:rFonts w:asciiTheme="majorBidi" w:hAnsiTheme="majorBidi" w:cstheme="majorBidi"/>
          <w:noProof/>
        </w:rPr>
        <w:t>t</w:t>
      </w:r>
      <w:r w:rsidR="00462534" w:rsidRPr="00B9614C">
        <w:rPr>
          <w:rFonts w:asciiTheme="majorBidi" w:hAnsiTheme="majorBidi" w:cstheme="majorBidi"/>
          <w:noProof/>
        </w:rPr>
        <w:t xml:space="preserve">ook part in Phase 2 Interviews, </w:t>
      </w:r>
      <w:r w:rsidRPr="00B9614C">
        <w:rPr>
          <w:rFonts w:asciiTheme="majorBidi" w:hAnsiTheme="majorBidi" w:cstheme="majorBidi"/>
          <w:noProof/>
        </w:rPr>
        <w:t>t</w:t>
      </w:r>
      <w:r w:rsidR="00523BF5" w:rsidRPr="00B9614C">
        <w:rPr>
          <w:rFonts w:asciiTheme="majorBidi" w:hAnsiTheme="majorBidi" w:cstheme="majorBidi"/>
          <w:noProof/>
        </w:rPr>
        <w:t xml:space="preserve">hirteen </w:t>
      </w:r>
      <w:r w:rsidR="009E77E0">
        <w:rPr>
          <w:rFonts w:asciiTheme="majorBidi" w:hAnsiTheme="majorBidi" w:cstheme="majorBidi"/>
          <w:noProof/>
        </w:rPr>
        <w:t>had</w:t>
      </w:r>
      <w:r w:rsidR="009E77E0" w:rsidRPr="00B9614C">
        <w:rPr>
          <w:rFonts w:asciiTheme="majorBidi" w:hAnsiTheme="majorBidi" w:cstheme="majorBidi"/>
          <w:noProof/>
        </w:rPr>
        <w:t xml:space="preserve"> </w:t>
      </w:r>
      <w:r w:rsidR="00523BF5" w:rsidRPr="00B9614C">
        <w:rPr>
          <w:rFonts w:asciiTheme="majorBidi" w:hAnsiTheme="majorBidi" w:cstheme="majorBidi"/>
          <w:noProof/>
        </w:rPr>
        <w:t xml:space="preserve">remained adherent to bisphosphonate medication and one previously non-adherent participant reported she </w:t>
      </w:r>
      <w:r w:rsidR="009E77E0">
        <w:rPr>
          <w:rFonts w:asciiTheme="majorBidi" w:hAnsiTheme="majorBidi" w:cstheme="majorBidi"/>
          <w:noProof/>
        </w:rPr>
        <w:t>had started</w:t>
      </w:r>
      <w:r w:rsidR="00523BF5" w:rsidRPr="00B9614C">
        <w:rPr>
          <w:rFonts w:asciiTheme="majorBidi" w:hAnsiTheme="majorBidi" w:cstheme="majorBidi"/>
          <w:noProof/>
        </w:rPr>
        <w:t xml:space="preserve"> taking </w:t>
      </w:r>
      <w:r w:rsidR="00471A25" w:rsidRPr="00B9614C">
        <w:rPr>
          <w:rFonts w:asciiTheme="majorBidi" w:hAnsiTheme="majorBidi" w:cstheme="majorBidi"/>
          <w:noProof/>
        </w:rPr>
        <w:t>her medication as pres</w:t>
      </w:r>
      <w:r w:rsidR="00473D55" w:rsidRPr="00B9614C">
        <w:rPr>
          <w:rFonts w:asciiTheme="majorBidi" w:hAnsiTheme="majorBidi" w:cstheme="majorBidi"/>
          <w:noProof/>
        </w:rPr>
        <w:t>cribed</w:t>
      </w:r>
      <w:r w:rsidR="00462534" w:rsidRPr="00B9614C">
        <w:rPr>
          <w:rFonts w:asciiTheme="majorBidi" w:hAnsiTheme="majorBidi" w:cstheme="majorBidi"/>
          <w:noProof/>
        </w:rPr>
        <w:t xml:space="preserve">. </w:t>
      </w:r>
      <w:r w:rsidR="00523BF5" w:rsidRPr="00B9614C">
        <w:rPr>
          <w:rFonts w:asciiTheme="majorBidi" w:hAnsiTheme="majorBidi" w:cstheme="majorBidi"/>
          <w:noProof/>
        </w:rPr>
        <w:t>Eleven were non-adherent including three women that had given up their bisphosphonat</w:t>
      </w:r>
      <w:r w:rsidR="00473D55" w:rsidRPr="00B9614C">
        <w:rPr>
          <w:rFonts w:asciiTheme="majorBidi" w:hAnsiTheme="majorBidi" w:cstheme="majorBidi"/>
          <w:noProof/>
        </w:rPr>
        <w:t>e medicine between interviews</w:t>
      </w:r>
      <w:r w:rsidR="00462534" w:rsidRPr="00B9614C">
        <w:rPr>
          <w:rFonts w:asciiTheme="majorBidi" w:hAnsiTheme="majorBidi" w:cstheme="majorBidi"/>
          <w:noProof/>
        </w:rPr>
        <w:t xml:space="preserve">. </w:t>
      </w:r>
      <w:r w:rsidR="00523BF5" w:rsidRPr="00B9614C">
        <w:rPr>
          <w:rFonts w:asciiTheme="majorBidi" w:hAnsiTheme="majorBidi" w:cstheme="majorBidi"/>
          <w:noProof/>
        </w:rPr>
        <w:t xml:space="preserve">Thus, a significant proportion of our sample were taking </w:t>
      </w:r>
      <w:r w:rsidR="00523BF5" w:rsidRPr="00B9614C">
        <w:rPr>
          <w:rFonts w:asciiTheme="majorBidi" w:hAnsiTheme="majorBidi" w:cstheme="majorBidi"/>
          <w:i/>
          <w:iCs/>
          <w:noProof/>
        </w:rPr>
        <w:t>no medication</w:t>
      </w:r>
      <w:r w:rsidR="00523BF5" w:rsidRPr="00B9614C">
        <w:rPr>
          <w:rFonts w:asciiTheme="majorBidi" w:hAnsiTheme="majorBidi" w:cstheme="majorBidi"/>
          <w:noProof/>
        </w:rPr>
        <w:t xml:space="preserve"> for the prevention of fracture and osteoporosis at 18 months </w:t>
      </w:r>
      <w:r w:rsidR="00473D55" w:rsidRPr="00B9614C">
        <w:rPr>
          <w:rFonts w:asciiTheme="majorBidi" w:hAnsiTheme="majorBidi" w:cstheme="majorBidi"/>
          <w:noProof/>
        </w:rPr>
        <w:t xml:space="preserve">(44%). </w:t>
      </w:r>
      <w:r w:rsidR="00697CC0" w:rsidRPr="00B9614C">
        <w:rPr>
          <w:rFonts w:asciiTheme="majorBidi" w:hAnsiTheme="majorBidi" w:cstheme="majorBidi"/>
        </w:rPr>
        <w:t xml:space="preserve">Even within the ‘adherent’ group, many women admitted deficits in their adherence; sometimes this was deliberate, to avoid inconvenience, sometimes </w:t>
      </w:r>
      <w:r w:rsidR="009E77E0">
        <w:rPr>
          <w:rFonts w:asciiTheme="majorBidi" w:hAnsiTheme="majorBidi" w:cstheme="majorBidi"/>
        </w:rPr>
        <w:t xml:space="preserve">it was </w:t>
      </w:r>
      <w:r w:rsidR="00697CC0" w:rsidRPr="00B9614C">
        <w:rPr>
          <w:rFonts w:asciiTheme="majorBidi" w:hAnsiTheme="majorBidi" w:cstheme="majorBidi"/>
        </w:rPr>
        <w:t xml:space="preserve">because they forgot one day, but took it the next. </w:t>
      </w:r>
    </w:p>
    <w:p w:rsidR="00697CC0" w:rsidRPr="00B9614C" w:rsidRDefault="00697CC0" w:rsidP="00473D55">
      <w:pPr>
        <w:spacing w:line="360" w:lineRule="auto"/>
        <w:jc w:val="both"/>
        <w:rPr>
          <w:noProof/>
        </w:rPr>
      </w:pPr>
    </w:p>
    <w:p w:rsidR="00697CC0" w:rsidRPr="00B9614C" w:rsidRDefault="00697CC0" w:rsidP="00473D55">
      <w:pPr>
        <w:spacing w:line="360" w:lineRule="auto"/>
        <w:jc w:val="both"/>
      </w:pPr>
      <w:r w:rsidRPr="00B9614C">
        <w:rPr>
          <w:noProof/>
        </w:rPr>
        <w:t>We found no obvious pattern or factors linking with adherence</w:t>
      </w:r>
      <w:r w:rsidR="00462534" w:rsidRPr="00B9614C">
        <w:rPr>
          <w:noProof/>
        </w:rPr>
        <w:t xml:space="preserve">. </w:t>
      </w:r>
      <w:r w:rsidRPr="00B9614C">
        <w:rPr>
          <w:noProof/>
        </w:rPr>
        <w:t xml:space="preserve">Responses to screening, acceptance of risk status, existing medical history, previous experience of falls, fractures and family history did not appear to predict </w:t>
      </w:r>
      <w:r w:rsidRPr="00B9614C">
        <w:rPr>
          <w:rFonts w:asciiTheme="majorBidi" w:hAnsiTheme="majorBidi" w:cstheme="majorBidi"/>
          <w:noProof/>
        </w:rPr>
        <w:t>womens’ adherence status</w:t>
      </w:r>
      <w:r w:rsidRPr="00B9614C">
        <w:rPr>
          <w:noProof/>
        </w:rPr>
        <w:t xml:space="preserve">. </w:t>
      </w:r>
    </w:p>
    <w:p w:rsidR="00697CC0" w:rsidRPr="00B9614C" w:rsidRDefault="00697CC0" w:rsidP="00462534">
      <w:pPr>
        <w:spacing w:line="360" w:lineRule="auto"/>
        <w:jc w:val="both"/>
        <w:rPr>
          <w:rFonts w:asciiTheme="majorBidi" w:hAnsiTheme="majorBidi" w:cstheme="majorBidi"/>
        </w:rPr>
      </w:pPr>
      <w:r w:rsidRPr="00B9614C">
        <w:rPr>
          <w:rFonts w:asciiTheme="majorBidi" w:hAnsiTheme="majorBidi" w:cstheme="majorBidi"/>
        </w:rPr>
        <w:t xml:space="preserve">Some participants complained </w:t>
      </w:r>
      <w:r w:rsidR="009E77E0">
        <w:rPr>
          <w:rFonts w:asciiTheme="majorBidi" w:hAnsiTheme="majorBidi" w:cstheme="majorBidi"/>
        </w:rPr>
        <w:t>about</w:t>
      </w:r>
      <w:r w:rsidR="009E77E0" w:rsidRPr="00B9614C">
        <w:rPr>
          <w:rFonts w:asciiTheme="majorBidi" w:hAnsiTheme="majorBidi" w:cstheme="majorBidi"/>
        </w:rPr>
        <w:t xml:space="preserve"> </w:t>
      </w:r>
      <w:r w:rsidRPr="00B9614C">
        <w:rPr>
          <w:rFonts w:asciiTheme="majorBidi" w:hAnsiTheme="majorBidi" w:cstheme="majorBidi"/>
        </w:rPr>
        <w:t xml:space="preserve">the complexity of the regimen, many had experienced side effects, some said their </w:t>
      </w:r>
      <w:r w:rsidR="00DE43A2" w:rsidRPr="00B9614C">
        <w:rPr>
          <w:rFonts w:asciiTheme="majorBidi" w:hAnsiTheme="majorBidi" w:cstheme="majorBidi"/>
        </w:rPr>
        <w:t>general practitioner</w:t>
      </w:r>
      <w:r w:rsidRPr="00B9614C">
        <w:rPr>
          <w:rFonts w:asciiTheme="majorBidi" w:hAnsiTheme="majorBidi" w:cstheme="majorBidi"/>
        </w:rPr>
        <w:t xml:space="preserve"> had stopped the medication, and some had misunderstood the reasons for taking them long-term</w:t>
      </w:r>
      <w:r w:rsidR="00471A25" w:rsidRPr="00B9614C">
        <w:rPr>
          <w:rFonts w:asciiTheme="majorBidi" w:hAnsiTheme="majorBidi" w:cstheme="majorBidi"/>
        </w:rPr>
        <w:t xml:space="preserve">. </w:t>
      </w:r>
      <w:r w:rsidR="00462534" w:rsidRPr="00B9614C">
        <w:rPr>
          <w:rFonts w:asciiTheme="majorBidi" w:hAnsiTheme="majorBidi" w:cstheme="majorBidi"/>
        </w:rPr>
        <w:t>H</w:t>
      </w:r>
      <w:r w:rsidRPr="00B9614C">
        <w:rPr>
          <w:rFonts w:asciiTheme="majorBidi" w:hAnsiTheme="majorBidi" w:cstheme="majorBidi"/>
        </w:rPr>
        <w:t>owever, many adherent women reported similar issues. Few cited ‘forgetting’ as a key cause of non-</w:t>
      </w:r>
      <w:r w:rsidR="00462534" w:rsidRPr="00B9614C">
        <w:rPr>
          <w:rFonts w:asciiTheme="majorBidi" w:hAnsiTheme="majorBidi" w:cstheme="majorBidi"/>
        </w:rPr>
        <w:t xml:space="preserve">adherence. </w:t>
      </w:r>
      <w:r w:rsidRPr="00B9614C">
        <w:rPr>
          <w:rFonts w:asciiTheme="majorBidi" w:hAnsiTheme="majorBidi" w:cstheme="majorBidi"/>
        </w:rPr>
        <w:t>A</w:t>
      </w:r>
      <w:r w:rsidR="00BE1DB9" w:rsidRPr="00B9614C">
        <w:rPr>
          <w:rFonts w:asciiTheme="majorBidi" w:hAnsiTheme="majorBidi" w:cstheme="majorBidi"/>
        </w:rPr>
        <w:t>lmost all respondents</w:t>
      </w:r>
      <w:r w:rsidRPr="00B9614C">
        <w:rPr>
          <w:rFonts w:asciiTheme="majorBidi" w:hAnsiTheme="majorBidi" w:cstheme="majorBidi"/>
        </w:rPr>
        <w:t xml:space="preserve"> declared a willingness </w:t>
      </w:r>
      <w:r w:rsidR="009E77E0">
        <w:rPr>
          <w:rFonts w:asciiTheme="majorBidi" w:hAnsiTheme="majorBidi" w:cstheme="majorBidi"/>
        </w:rPr>
        <w:t>to ‘</w:t>
      </w:r>
      <w:r w:rsidRPr="00B9614C">
        <w:rPr>
          <w:rFonts w:asciiTheme="majorBidi" w:hAnsiTheme="majorBidi" w:cstheme="majorBidi"/>
        </w:rPr>
        <w:t>in principle</w:t>
      </w:r>
      <w:r w:rsidR="009E77E0">
        <w:rPr>
          <w:rFonts w:asciiTheme="majorBidi" w:hAnsiTheme="majorBidi" w:cstheme="majorBidi"/>
        </w:rPr>
        <w:t>’</w:t>
      </w:r>
      <w:r w:rsidRPr="00B9614C">
        <w:rPr>
          <w:rFonts w:asciiTheme="majorBidi" w:hAnsiTheme="majorBidi" w:cstheme="majorBidi"/>
        </w:rPr>
        <w:t xml:space="preserve"> do what their </w:t>
      </w:r>
      <w:r w:rsidR="00DE43A2" w:rsidRPr="00B9614C">
        <w:rPr>
          <w:rFonts w:asciiTheme="majorBidi" w:hAnsiTheme="majorBidi" w:cstheme="majorBidi"/>
        </w:rPr>
        <w:t xml:space="preserve">general practitioner </w:t>
      </w:r>
      <w:r w:rsidRPr="00B9614C">
        <w:rPr>
          <w:rFonts w:asciiTheme="majorBidi" w:hAnsiTheme="majorBidi" w:cstheme="majorBidi"/>
        </w:rPr>
        <w:t>advised, but some non-adherent women cited medical permission or support for their choice</w:t>
      </w:r>
      <w:r w:rsidR="00365452" w:rsidRPr="00B9614C">
        <w:rPr>
          <w:rFonts w:asciiTheme="majorBidi" w:hAnsiTheme="majorBidi" w:cstheme="majorBidi"/>
        </w:rPr>
        <w:t xml:space="preserve"> to stop</w:t>
      </w:r>
      <w:r w:rsidRPr="00B9614C">
        <w:rPr>
          <w:rFonts w:asciiTheme="majorBidi" w:hAnsiTheme="majorBidi" w:cstheme="majorBidi"/>
        </w:rPr>
        <w:t xml:space="preserve">: </w:t>
      </w:r>
    </w:p>
    <w:p w:rsidR="00471A25" w:rsidRPr="00B9614C" w:rsidRDefault="00471A25" w:rsidP="00473D55">
      <w:pPr>
        <w:spacing w:line="360" w:lineRule="auto"/>
        <w:jc w:val="both"/>
        <w:rPr>
          <w:rFonts w:asciiTheme="majorBidi" w:hAnsiTheme="majorBidi" w:cstheme="majorBidi"/>
        </w:rPr>
      </w:pPr>
    </w:p>
    <w:p w:rsidR="00697CC0" w:rsidRPr="00B9614C" w:rsidRDefault="00697CC0" w:rsidP="00920552">
      <w:pPr>
        <w:spacing w:line="360" w:lineRule="auto"/>
        <w:ind w:left="720"/>
        <w:jc w:val="both"/>
        <w:rPr>
          <w:rFonts w:asciiTheme="majorBidi" w:hAnsiTheme="majorBidi" w:cstheme="majorBidi"/>
          <w:i/>
        </w:rPr>
      </w:pPr>
      <w:r w:rsidRPr="00B9614C">
        <w:rPr>
          <w:rFonts w:asciiTheme="majorBidi" w:hAnsiTheme="majorBidi" w:cstheme="majorBidi"/>
          <w:iCs/>
        </w:rPr>
        <w:t>He was quite happy</w:t>
      </w:r>
      <w:r w:rsidR="00920552" w:rsidRPr="00B9614C">
        <w:rPr>
          <w:rFonts w:asciiTheme="majorBidi" w:hAnsiTheme="majorBidi" w:cstheme="majorBidi"/>
          <w:iCs/>
        </w:rPr>
        <w:t>,</w:t>
      </w:r>
      <w:r w:rsidRPr="00B9614C">
        <w:rPr>
          <w:rFonts w:asciiTheme="majorBidi" w:hAnsiTheme="majorBidi" w:cstheme="majorBidi"/>
          <w:iCs/>
        </w:rPr>
        <w:t xml:space="preserve"> he said alright just stop</w:t>
      </w:r>
      <w:r w:rsidR="00920552" w:rsidRPr="00B9614C">
        <w:rPr>
          <w:rFonts w:asciiTheme="majorBidi" w:hAnsiTheme="majorBidi" w:cstheme="majorBidi"/>
          <w:iCs/>
        </w:rPr>
        <w:t>. H</w:t>
      </w:r>
      <w:r w:rsidRPr="00B9614C">
        <w:rPr>
          <w:rFonts w:asciiTheme="majorBidi" w:hAnsiTheme="majorBidi" w:cstheme="majorBidi"/>
          <w:iCs/>
        </w:rPr>
        <w:t>e said we’ve had no broken bones in your family</w:t>
      </w:r>
      <w:r w:rsidR="008759A6" w:rsidRPr="00B9614C">
        <w:rPr>
          <w:rFonts w:asciiTheme="majorBidi" w:hAnsiTheme="majorBidi" w:cstheme="majorBidi"/>
          <w:iCs/>
        </w:rPr>
        <w:t>,</w:t>
      </w:r>
      <w:r w:rsidRPr="00B9614C">
        <w:rPr>
          <w:rFonts w:asciiTheme="majorBidi" w:hAnsiTheme="majorBidi" w:cstheme="majorBidi"/>
          <w:iCs/>
        </w:rPr>
        <w:t xml:space="preserve"> he said you</w:t>
      </w:r>
      <w:r w:rsidR="007A21C9">
        <w:rPr>
          <w:rFonts w:asciiTheme="majorBidi" w:hAnsiTheme="majorBidi" w:cstheme="majorBidi"/>
          <w:iCs/>
        </w:rPr>
        <w:t xml:space="preserve">’ll probably be quite alright. </w:t>
      </w:r>
      <w:r w:rsidRPr="00B9614C">
        <w:rPr>
          <w:rFonts w:asciiTheme="majorBidi" w:hAnsiTheme="majorBidi" w:cstheme="majorBidi"/>
          <w:iCs/>
        </w:rPr>
        <w:t>(Participant 12</w:t>
      </w:r>
      <w:r w:rsidR="00B011FD" w:rsidRPr="00B9614C">
        <w:rPr>
          <w:rFonts w:asciiTheme="majorBidi" w:hAnsiTheme="majorBidi" w:cstheme="majorBidi"/>
          <w:iCs/>
        </w:rPr>
        <w:t>,</w:t>
      </w:r>
      <w:r w:rsidRPr="00B9614C">
        <w:rPr>
          <w:rFonts w:asciiTheme="majorBidi" w:hAnsiTheme="majorBidi" w:cstheme="majorBidi"/>
          <w:iCs/>
        </w:rPr>
        <w:t xml:space="preserve"> age 84 – became Non-Adherent to Bisphosphonates</w:t>
      </w:r>
      <w:r w:rsidRPr="00B9614C">
        <w:rPr>
          <w:rFonts w:asciiTheme="majorBidi" w:hAnsiTheme="majorBidi" w:cstheme="majorBidi"/>
        </w:rPr>
        <w:t xml:space="preserve"> by Phase 2.  Refused Calcium)</w:t>
      </w:r>
    </w:p>
    <w:p w:rsidR="00697CC0" w:rsidRPr="00B9614C" w:rsidRDefault="00AA4185" w:rsidP="00473D55">
      <w:pPr>
        <w:tabs>
          <w:tab w:val="left" w:pos="2504"/>
        </w:tabs>
        <w:spacing w:line="360" w:lineRule="auto"/>
        <w:jc w:val="both"/>
        <w:rPr>
          <w:rFonts w:asciiTheme="majorBidi" w:hAnsiTheme="majorBidi" w:cstheme="majorBidi"/>
        </w:rPr>
      </w:pPr>
      <w:r w:rsidRPr="00B9614C">
        <w:rPr>
          <w:rFonts w:asciiTheme="majorBidi" w:hAnsiTheme="majorBidi" w:cstheme="majorBidi"/>
        </w:rPr>
        <w:tab/>
      </w:r>
    </w:p>
    <w:p w:rsidR="00D81DC9" w:rsidRPr="00CE148A" w:rsidRDefault="00D81DC9" w:rsidP="00D81DC9">
      <w:pPr>
        <w:spacing w:line="360" w:lineRule="auto"/>
      </w:pPr>
      <w:r w:rsidRPr="00CE148A">
        <w:rPr>
          <w:color w:val="000000"/>
        </w:rPr>
        <w:t>Personal scepticism about the value of the treatments did not seem to link clearly with non-adherence. For example, the following participant was adherent to her medications, but demonstrated very little belief that she needed them at her age</w:t>
      </w:r>
      <w:r>
        <w:rPr>
          <w:color w:val="000000"/>
        </w:rPr>
        <w:t>:</w:t>
      </w:r>
    </w:p>
    <w:p w:rsidR="00B011FD" w:rsidRPr="00B9614C" w:rsidRDefault="00B011FD" w:rsidP="00D81DC9">
      <w:pPr>
        <w:spacing w:line="360" w:lineRule="auto"/>
        <w:jc w:val="both"/>
        <w:rPr>
          <w:rFonts w:asciiTheme="majorBidi" w:hAnsiTheme="majorBidi" w:cstheme="majorBidi"/>
        </w:rPr>
      </w:pPr>
    </w:p>
    <w:p w:rsidR="00697CC0" w:rsidRPr="00B9614C" w:rsidRDefault="00697CC0" w:rsidP="00473D55">
      <w:pPr>
        <w:spacing w:line="360" w:lineRule="auto"/>
        <w:ind w:left="720"/>
        <w:jc w:val="both"/>
        <w:rPr>
          <w:rFonts w:asciiTheme="majorBidi" w:hAnsiTheme="majorBidi" w:cstheme="majorBidi"/>
          <w:iCs/>
        </w:rPr>
      </w:pPr>
      <w:r w:rsidRPr="00B9614C">
        <w:rPr>
          <w:rFonts w:asciiTheme="majorBidi" w:hAnsiTheme="majorBidi" w:cstheme="majorBidi"/>
          <w:iCs/>
        </w:rPr>
        <w:t>I thought well yes I am 80</w:t>
      </w:r>
      <w:r w:rsidR="00920552" w:rsidRPr="00B9614C">
        <w:rPr>
          <w:rFonts w:asciiTheme="majorBidi" w:hAnsiTheme="majorBidi" w:cstheme="majorBidi"/>
          <w:iCs/>
        </w:rPr>
        <w:t>,</w:t>
      </w:r>
      <w:r w:rsidRPr="00B9614C">
        <w:rPr>
          <w:rFonts w:asciiTheme="majorBidi" w:hAnsiTheme="majorBidi" w:cstheme="majorBidi"/>
          <w:iCs/>
        </w:rPr>
        <w:t xml:space="preserve"> so I probably have anyway (thinning bones) and I also thought it is a bit </w:t>
      </w:r>
      <w:r w:rsidRPr="00B9614C">
        <w:rPr>
          <w:rFonts w:asciiTheme="majorBidi" w:hAnsiTheme="majorBidi" w:cstheme="majorBidi"/>
          <w:i/>
        </w:rPr>
        <w:t>late</w:t>
      </w:r>
      <w:r w:rsidRPr="00B9614C">
        <w:rPr>
          <w:rFonts w:asciiTheme="majorBidi" w:hAnsiTheme="majorBidi" w:cstheme="majorBidi"/>
          <w:iCs/>
        </w:rPr>
        <w:t xml:space="preserve"> to start treating me now I honestly did. That</w:t>
      </w:r>
      <w:r w:rsidR="00345FCC" w:rsidRPr="00B9614C">
        <w:rPr>
          <w:rFonts w:asciiTheme="majorBidi" w:hAnsiTheme="majorBidi" w:cstheme="majorBidi"/>
          <w:iCs/>
        </w:rPr>
        <w:t xml:space="preserve"> was my sort of attitude but the letter </w:t>
      </w:r>
      <w:r w:rsidRPr="00B9614C">
        <w:rPr>
          <w:rFonts w:asciiTheme="majorBidi" w:hAnsiTheme="majorBidi" w:cstheme="majorBidi"/>
          <w:iCs/>
        </w:rPr>
        <w:t xml:space="preserve">said </w:t>
      </w:r>
      <w:r w:rsidR="00345FCC" w:rsidRPr="00B9614C">
        <w:rPr>
          <w:rFonts w:asciiTheme="majorBidi" w:hAnsiTheme="majorBidi" w:cstheme="majorBidi"/>
          <w:iCs/>
        </w:rPr>
        <w:t>‘</w:t>
      </w:r>
      <w:r w:rsidRPr="00B9614C">
        <w:rPr>
          <w:rFonts w:asciiTheme="majorBidi" w:hAnsiTheme="majorBidi" w:cstheme="majorBidi"/>
          <w:iCs/>
        </w:rPr>
        <w:t>go and see your doctor</w:t>
      </w:r>
      <w:r w:rsidR="00345FCC" w:rsidRPr="00B9614C">
        <w:rPr>
          <w:rFonts w:asciiTheme="majorBidi" w:hAnsiTheme="majorBidi" w:cstheme="majorBidi"/>
          <w:iCs/>
        </w:rPr>
        <w:t>’</w:t>
      </w:r>
      <w:r w:rsidRPr="00B9614C">
        <w:rPr>
          <w:rFonts w:asciiTheme="majorBidi" w:hAnsiTheme="majorBidi" w:cstheme="majorBidi"/>
          <w:iCs/>
        </w:rPr>
        <w:t xml:space="preserve">, so I went and saw </w:t>
      </w:r>
      <w:r w:rsidR="007A21C9">
        <w:rPr>
          <w:rFonts w:asciiTheme="majorBidi" w:hAnsiTheme="majorBidi" w:cstheme="majorBidi"/>
          <w:iCs/>
        </w:rPr>
        <w:t>my doctor and he gave me those.</w:t>
      </w:r>
      <w:r w:rsidRPr="00B9614C">
        <w:rPr>
          <w:rFonts w:asciiTheme="majorBidi" w:hAnsiTheme="majorBidi" w:cstheme="majorBidi"/>
          <w:iCs/>
        </w:rPr>
        <w:t xml:space="preserve"> (Participant 24</w:t>
      </w:r>
      <w:r w:rsidR="00B011FD" w:rsidRPr="00B9614C">
        <w:rPr>
          <w:rFonts w:asciiTheme="majorBidi" w:hAnsiTheme="majorBidi" w:cstheme="majorBidi"/>
          <w:iCs/>
        </w:rPr>
        <w:t>,</w:t>
      </w:r>
      <w:r w:rsidRPr="00B9614C">
        <w:rPr>
          <w:rFonts w:asciiTheme="majorBidi" w:hAnsiTheme="majorBidi" w:cstheme="majorBidi"/>
          <w:iCs/>
        </w:rPr>
        <w:t xml:space="preserve"> age 80 - Adherent to both Bisphosphonates &amp; Calcium Phase 1, subsequently withdrew)</w:t>
      </w:r>
    </w:p>
    <w:p w:rsidR="00697CC0" w:rsidRPr="00B9614C" w:rsidRDefault="00697CC0" w:rsidP="00473D55">
      <w:pPr>
        <w:spacing w:line="360" w:lineRule="auto"/>
        <w:jc w:val="both"/>
        <w:rPr>
          <w:rFonts w:asciiTheme="majorBidi" w:hAnsiTheme="majorBidi" w:cstheme="majorBidi"/>
        </w:rPr>
      </w:pPr>
    </w:p>
    <w:p w:rsidR="00697CC0" w:rsidRPr="00B9614C" w:rsidRDefault="00697CC0" w:rsidP="00473D55">
      <w:pPr>
        <w:spacing w:line="360" w:lineRule="auto"/>
        <w:jc w:val="both"/>
        <w:rPr>
          <w:rFonts w:asciiTheme="majorBidi" w:hAnsiTheme="majorBidi" w:cstheme="majorBidi"/>
        </w:rPr>
      </w:pPr>
      <w:r w:rsidRPr="00B9614C">
        <w:rPr>
          <w:rFonts w:asciiTheme="majorBidi" w:hAnsiTheme="majorBidi" w:cstheme="majorBidi"/>
        </w:rPr>
        <w:t>By contrast</w:t>
      </w:r>
      <w:r w:rsidR="00A3434C">
        <w:rPr>
          <w:rFonts w:asciiTheme="majorBidi" w:hAnsiTheme="majorBidi" w:cstheme="majorBidi"/>
        </w:rPr>
        <w:t xml:space="preserve"> </w:t>
      </w:r>
      <w:r w:rsidRPr="00B9614C">
        <w:rPr>
          <w:rFonts w:asciiTheme="majorBidi" w:hAnsiTheme="majorBidi" w:cstheme="majorBidi"/>
        </w:rPr>
        <w:t xml:space="preserve">Participant 22 </w:t>
      </w:r>
      <w:r w:rsidR="00D81DC9">
        <w:rPr>
          <w:rFonts w:asciiTheme="majorBidi" w:hAnsiTheme="majorBidi" w:cstheme="majorBidi"/>
        </w:rPr>
        <w:t>was non-adherent</w:t>
      </w:r>
      <w:r w:rsidR="00810E69">
        <w:rPr>
          <w:rFonts w:asciiTheme="majorBidi" w:hAnsiTheme="majorBidi" w:cstheme="majorBidi"/>
        </w:rPr>
        <w:t xml:space="preserve">. </w:t>
      </w:r>
      <w:r w:rsidR="00A3434C">
        <w:rPr>
          <w:rFonts w:asciiTheme="majorBidi" w:hAnsiTheme="majorBidi" w:cstheme="majorBidi"/>
        </w:rPr>
        <w:t>She</w:t>
      </w:r>
      <w:r w:rsidR="00810E69">
        <w:rPr>
          <w:rFonts w:asciiTheme="majorBidi" w:hAnsiTheme="majorBidi" w:cstheme="majorBidi"/>
        </w:rPr>
        <w:t xml:space="preserve"> </w:t>
      </w:r>
      <w:r w:rsidRPr="00B9614C">
        <w:rPr>
          <w:rFonts w:asciiTheme="majorBidi" w:hAnsiTheme="majorBidi" w:cstheme="majorBidi"/>
        </w:rPr>
        <w:t>felt anyone could break a bone in the next 10 years and would have expected to fracture by now if she was</w:t>
      </w:r>
      <w:r w:rsidR="008759A6" w:rsidRPr="00B9614C">
        <w:rPr>
          <w:rFonts w:asciiTheme="majorBidi" w:hAnsiTheme="majorBidi" w:cstheme="majorBidi"/>
        </w:rPr>
        <w:t xml:space="preserve"> really</w:t>
      </w:r>
      <w:r w:rsidRPr="00B9614C">
        <w:rPr>
          <w:rFonts w:asciiTheme="majorBidi" w:hAnsiTheme="majorBidi" w:cstheme="majorBidi"/>
        </w:rPr>
        <w:t xml:space="preserve"> at risk</w:t>
      </w:r>
      <w:r w:rsidR="00D81DC9">
        <w:rPr>
          <w:rFonts w:asciiTheme="majorBidi" w:hAnsiTheme="majorBidi" w:cstheme="majorBidi"/>
        </w:rPr>
        <w:t>.</w:t>
      </w:r>
      <w:r w:rsidRPr="00B9614C">
        <w:rPr>
          <w:rFonts w:asciiTheme="majorBidi" w:hAnsiTheme="majorBidi" w:cstheme="majorBidi"/>
        </w:rPr>
        <w:t xml:space="preserve"> </w:t>
      </w:r>
      <w:r w:rsidR="00D81DC9">
        <w:rPr>
          <w:rFonts w:asciiTheme="majorBidi" w:hAnsiTheme="majorBidi" w:cstheme="majorBidi"/>
        </w:rPr>
        <w:t>She described how her own m</w:t>
      </w:r>
      <w:r w:rsidR="00D81DC9" w:rsidRPr="00B9614C">
        <w:rPr>
          <w:rFonts w:asciiTheme="majorBidi" w:hAnsiTheme="majorBidi" w:cstheme="majorBidi"/>
        </w:rPr>
        <w:t xml:space="preserve">other </w:t>
      </w:r>
      <w:r w:rsidR="00D81DC9">
        <w:rPr>
          <w:rFonts w:asciiTheme="majorBidi" w:hAnsiTheme="majorBidi" w:cstheme="majorBidi"/>
        </w:rPr>
        <w:t>had fallen and broken</w:t>
      </w:r>
      <w:r w:rsidR="00D81DC9" w:rsidRPr="00B9614C">
        <w:rPr>
          <w:rFonts w:asciiTheme="majorBidi" w:hAnsiTheme="majorBidi" w:cstheme="majorBidi"/>
        </w:rPr>
        <w:t xml:space="preserve"> her hip</w:t>
      </w:r>
      <w:r w:rsidR="00D81DC9">
        <w:rPr>
          <w:rFonts w:asciiTheme="majorBidi" w:hAnsiTheme="majorBidi" w:cstheme="majorBidi"/>
        </w:rPr>
        <w:t xml:space="preserve"> yet appeared to remain personally unconcerned</w:t>
      </w:r>
      <w:r w:rsidR="00D81DC9" w:rsidRPr="00B9614C">
        <w:rPr>
          <w:rFonts w:asciiTheme="majorBidi" w:hAnsiTheme="majorBidi" w:cstheme="majorBidi"/>
        </w:rPr>
        <w:t>:</w:t>
      </w:r>
    </w:p>
    <w:p w:rsidR="00B011FD" w:rsidRPr="00B9614C" w:rsidRDefault="00B011FD" w:rsidP="00473D55">
      <w:pPr>
        <w:spacing w:line="360" w:lineRule="auto"/>
        <w:jc w:val="both"/>
        <w:rPr>
          <w:rFonts w:asciiTheme="majorBidi" w:hAnsiTheme="majorBidi" w:cstheme="majorBidi"/>
        </w:rPr>
      </w:pPr>
    </w:p>
    <w:p w:rsidR="00697CC0" w:rsidRPr="00B9614C" w:rsidRDefault="00697CC0" w:rsidP="00473D55">
      <w:pPr>
        <w:spacing w:line="360" w:lineRule="auto"/>
        <w:ind w:left="720"/>
        <w:jc w:val="both"/>
        <w:rPr>
          <w:rFonts w:asciiTheme="majorBidi" w:hAnsiTheme="majorBidi" w:cstheme="majorBidi"/>
          <w:iCs/>
        </w:rPr>
      </w:pPr>
      <w:r w:rsidRPr="00B9614C">
        <w:rPr>
          <w:rFonts w:asciiTheme="majorBidi" w:hAnsiTheme="majorBidi" w:cstheme="majorBidi"/>
        </w:rPr>
        <w:t xml:space="preserve">When they said well look ‘a higher risk of breaking a bone over the next 10 years’ and I thought well </w:t>
      </w:r>
      <w:r w:rsidRPr="00B9614C">
        <w:rPr>
          <w:rFonts w:asciiTheme="majorBidi" w:hAnsiTheme="majorBidi" w:cstheme="majorBidi"/>
          <w:i/>
          <w:iCs/>
        </w:rPr>
        <w:t>I’m over 80 so it’s not surprising</w:t>
      </w:r>
      <w:r w:rsidRPr="00B9614C">
        <w:rPr>
          <w:rFonts w:asciiTheme="majorBidi" w:hAnsiTheme="majorBidi" w:cstheme="majorBidi"/>
        </w:rPr>
        <w:t xml:space="preserve"> (laughs).</w:t>
      </w:r>
      <w:r w:rsidRPr="00B9614C">
        <w:rPr>
          <w:rFonts w:asciiTheme="majorBidi" w:hAnsiTheme="majorBidi" w:cstheme="majorBidi"/>
          <w:i/>
          <w:iCs/>
        </w:rPr>
        <w:t xml:space="preserve">  </w:t>
      </w:r>
      <w:r w:rsidRPr="00B9614C">
        <w:rPr>
          <w:rFonts w:asciiTheme="majorBidi" w:hAnsiTheme="majorBidi" w:cstheme="majorBidi"/>
          <w:iCs/>
        </w:rPr>
        <w:t>(Participant 22</w:t>
      </w:r>
      <w:r w:rsidR="00B011FD" w:rsidRPr="00B9614C">
        <w:rPr>
          <w:rFonts w:asciiTheme="majorBidi" w:hAnsiTheme="majorBidi" w:cstheme="majorBidi"/>
          <w:iCs/>
        </w:rPr>
        <w:t>,</w:t>
      </w:r>
      <w:r w:rsidRPr="00B9614C">
        <w:rPr>
          <w:rFonts w:asciiTheme="majorBidi" w:hAnsiTheme="majorBidi" w:cstheme="majorBidi"/>
          <w:iCs/>
        </w:rPr>
        <w:t xml:space="preserve"> age 84 – Continually Non-Adherent to both Bisphosphonates &amp; Calcium)</w:t>
      </w:r>
    </w:p>
    <w:p w:rsidR="00697CC0" w:rsidRPr="00B9614C" w:rsidRDefault="00697CC0" w:rsidP="00473D55">
      <w:pPr>
        <w:spacing w:line="360" w:lineRule="auto"/>
        <w:jc w:val="both"/>
        <w:rPr>
          <w:rFonts w:asciiTheme="majorBidi" w:hAnsiTheme="majorBidi" w:cstheme="majorBidi"/>
        </w:rPr>
      </w:pPr>
    </w:p>
    <w:p w:rsidR="00697CC0" w:rsidRPr="00B9614C" w:rsidRDefault="00697CC0" w:rsidP="00473D55">
      <w:pPr>
        <w:pStyle w:val="ListParagraph"/>
        <w:spacing w:after="0" w:line="360" w:lineRule="auto"/>
        <w:ind w:left="0"/>
        <w:jc w:val="both"/>
        <w:rPr>
          <w:rFonts w:asciiTheme="majorBidi" w:hAnsiTheme="majorBidi" w:cstheme="majorBidi"/>
          <w:b/>
          <w:sz w:val="24"/>
          <w:szCs w:val="24"/>
        </w:rPr>
      </w:pPr>
      <w:r w:rsidRPr="00B9614C">
        <w:rPr>
          <w:rFonts w:asciiTheme="majorBidi" w:hAnsiTheme="majorBidi" w:cstheme="majorBidi"/>
          <w:b/>
          <w:sz w:val="24"/>
          <w:szCs w:val="24"/>
        </w:rPr>
        <w:t>Motivations</w:t>
      </w:r>
      <w:r w:rsidR="00D81DC9">
        <w:rPr>
          <w:rFonts w:asciiTheme="majorBidi" w:hAnsiTheme="majorBidi" w:cstheme="majorBidi"/>
          <w:b/>
          <w:sz w:val="24"/>
          <w:szCs w:val="24"/>
        </w:rPr>
        <w:t>,</w:t>
      </w:r>
      <w:r w:rsidRPr="00B9614C">
        <w:rPr>
          <w:rFonts w:asciiTheme="majorBidi" w:hAnsiTheme="majorBidi" w:cstheme="majorBidi"/>
          <w:b/>
          <w:sz w:val="24"/>
          <w:szCs w:val="24"/>
        </w:rPr>
        <w:t xml:space="preserve"> </w:t>
      </w:r>
      <w:r w:rsidR="0091706D">
        <w:rPr>
          <w:rFonts w:asciiTheme="majorBidi" w:hAnsiTheme="majorBidi" w:cstheme="majorBidi"/>
          <w:b/>
          <w:sz w:val="24"/>
          <w:szCs w:val="24"/>
        </w:rPr>
        <w:t>s</w:t>
      </w:r>
      <w:r w:rsidR="0091706D" w:rsidRPr="00B9614C">
        <w:rPr>
          <w:rFonts w:asciiTheme="majorBidi" w:hAnsiTheme="majorBidi" w:cstheme="majorBidi"/>
          <w:b/>
          <w:sz w:val="24"/>
          <w:szCs w:val="24"/>
        </w:rPr>
        <w:t>elf-care</w:t>
      </w:r>
      <w:r w:rsidR="00D81DC9">
        <w:rPr>
          <w:rFonts w:asciiTheme="majorBidi" w:hAnsiTheme="majorBidi" w:cstheme="majorBidi"/>
          <w:b/>
          <w:sz w:val="24"/>
          <w:szCs w:val="24"/>
        </w:rPr>
        <w:t xml:space="preserve"> and adherence</w:t>
      </w:r>
    </w:p>
    <w:p w:rsidR="00697CC0" w:rsidRPr="00B9614C" w:rsidRDefault="00697CC0" w:rsidP="00473D55">
      <w:pPr>
        <w:spacing w:line="360" w:lineRule="auto"/>
        <w:jc w:val="both"/>
        <w:rPr>
          <w:rFonts w:asciiTheme="majorBidi" w:hAnsiTheme="majorBidi" w:cstheme="majorBidi"/>
        </w:rPr>
      </w:pPr>
      <w:r w:rsidRPr="00B9614C">
        <w:rPr>
          <w:rFonts w:asciiTheme="majorBidi" w:hAnsiTheme="majorBidi" w:cstheme="majorBidi"/>
        </w:rPr>
        <w:t xml:space="preserve">All the respondents regardless of adherence status seemed to have accepted the need for </w:t>
      </w:r>
      <w:r w:rsidR="009E77E0">
        <w:rPr>
          <w:rFonts w:asciiTheme="majorBidi" w:hAnsiTheme="majorBidi" w:cstheme="majorBidi"/>
        </w:rPr>
        <w:t xml:space="preserve">better </w:t>
      </w:r>
      <w:r w:rsidRPr="00B9614C">
        <w:rPr>
          <w:rFonts w:asciiTheme="majorBidi" w:hAnsiTheme="majorBidi" w:cstheme="majorBidi"/>
        </w:rPr>
        <w:t>self-</w:t>
      </w:r>
      <w:r w:rsidR="00B011FD" w:rsidRPr="00B9614C">
        <w:rPr>
          <w:rFonts w:asciiTheme="majorBidi" w:hAnsiTheme="majorBidi" w:cstheme="majorBidi"/>
        </w:rPr>
        <w:t>care and an altered lifestyle</w:t>
      </w:r>
      <w:r w:rsidR="009E77E0">
        <w:rPr>
          <w:rFonts w:asciiTheme="majorBidi" w:hAnsiTheme="majorBidi" w:cstheme="majorBidi"/>
        </w:rPr>
        <w:t xml:space="preserve"> in order to prevent fractures</w:t>
      </w:r>
      <w:r w:rsidR="00B011FD" w:rsidRPr="00B9614C">
        <w:rPr>
          <w:rFonts w:asciiTheme="majorBidi" w:hAnsiTheme="majorBidi" w:cstheme="majorBidi"/>
        </w:rPr>
        <w:t xml:space="preserve">. </w:t>
      </w:r>
      <w:r w:rsidRPr="00B9614C">
        <w:rPr>
          <w:rFonts w:asciiTheme="majorBidi" w:hAnsiTheme="majorBidi" w:cstheme="majorBidi"/>
        </w:rPr>
        <w:t xml:space="preserve">Many </w:t>
      </w:r>
      <w:r w:rsidR="009E77E0">
        <w:rPr>
          <w:rFonts w:asciiTheme="majorBidi" w:hAnsiTheme="majorBidi" w:cstheme="majorBidi"/>
        </w:rPr>
        <w:t>believed</w:t>
      </w:r>
      <w:r w:rsidR="009E77E0" w:rsidRPr="00B9614C">
        <w:rPr>
          <w:rFonts w:asciiTheme="majorBidi" w:hAnsiTheme="majorBidi" w:cstheme="majorBidi"/>
        </w:rPr>
        <w:t xml:space="preserve"> </w:t>
      </w:r>
      <w:r w:rsidRPr="00B9614C">
        <w:rPr>
          <w:rFonts w:asciiTheme="majorBidi" w:hAnsiTheme="majorBidi" w:cstheme="majorBidi"/>
        </w:rPr>
        <w:t xml:space="preserve">they had been doing this all their lives through a good diet, plenty of physical activity and exercise: </w:t>
      </w:r>
    </w:p>
    <w:p w:rsidR="00B011FD" w:rsidRPr="00B9614C" w:rsidRDefault="00B011FD" w:rsidP="00473D55">
      <w:pPr>
        <w:spacing w:line="360" w:lineRule="auto"/>
        <w:jc w:val="both"/>
        <w:rPr>
          <w:rFonts w:asciiTheme="majorBidi" w:hAnsiTheme="majorBidi" w:cstheme="majorBidi"/>
        </w:rPr>
      </w:pPr>
    </w:p>
    <w:p w:rsidR="00697CC0" w:rsidRPr="00B9614C" w:rsidRDefault="00697CC0" w:rsidP="0047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jc w:val="both"/>
        <w:rPr>
          <w:rFonts w:asciiTheme="majorBidi" w:hAnsiTheme="majorBidi" w:cstheme="majorBidi"/>
          <w:i/>
          <w:iCs/>
        </w:rPr>
      </w:pPr>
      <w:r w:rsidRPr="00B9614C">
        <w:rPr>
          <w:rFonts w:asciiTheme="majorBidi" w:hAnsiTheme="majorBidi" w:cstheme="majorBidi"/>
          <w:i/>
          <w:iCs/>
        </w:rPr>
        <w:tab/>
      </w:r>
      <w:r w:rsidRPr="00B9614C">
        <w:rPr>
          <w:rFonts w:asciiTheme="majorBidi" w:hAnsiTheme="majorBidi" w:cstheme="majorBidi"/>
        </w:rPr>
        <w:t>Because I’ve always taken calcium you know. I’ve always had a lot of cheese</w:t>
      </w:r>
      <w:r w:rsidR="00920552" w:rsidRPr="00B9614C">
        <w:rPr>
          <w:rFonts w:asciiTheme="majorBidi" w:hAnsiTheme="majorBidi" w:cstheme="majorBidi"/>
        </w:rPr>
        <w:t>,</w:t>
      </w:r>
      <w:r w:rsidRPr="00B9614C">
        <w:rPr>
          <w:rFonts w:asciiTheme="majorBidi" w:hAnsiTheme="majorBidi" w:cstheme="majorBidi"/>
        </w:rPr>
        <w:t xml:space="preserve"> a lot of yoghurt and I drink a certain amount of milk I have calcium</w:t>
      </w:r>
      <w:r w:rsidR="00920552" w:rsidRPr="00B9614C">
        <w:rPr>
          <w:rFonts w:asciiTheme="majorBidi" w:hAnsiTheme="majorBidi" w:cstheme="majorBidi"/>
        </w:rPr>
        <w:t xml:space="preserve"> and I have a lot of vegetables</w:t>
      </w:r>
      <w:r w:rsidR="008759A6" w:rsidRPr="00B9614C">
        <w:rPr>
          <w:rFonts w:asciiTheme="majorBidi" w:hAnsiTheme="majorBidi" w:cstheme="majorBidi"/>
        </w:rPr>
        <w:t>.</w:t>
      </w:r>
      <w:r w:rsidR="007A21C9">
        <w:rPr>
          <w:rFonts w:asciiTheme="majorBidi" w:hAnsiTheme="majorBidi" w:cstheme="majorBidi"/>
        </w:rPr>
        <w:t xml:space="preserve"> </w:t>
      </w:r>
      <w:r w:rsidRPr="00B9614C">
        <w:rPr>
          <w:rFonts w:asciiTheme="majorBidi" w:hAnsiTheme="majorBidi" w:cstheme="majorBidi"/>
          <w:iCs/>
        </w:rPr>
        <w:t>(Participant</w:t>
      </w:r>
      <w:r w:rsidR="00B011FD" w:rsidRPr="00B9614C">
        <w:rPr>
          <w:rFonts w:asciiTheme="majorBidi" w:hAnsiTheme="majorBidi" w:cstheme="majorBidi"/>
          <w:iCs/>
        </w:rPr>
        <w:t xml:space="preserve"> 10, age</w:t>
      </w:r>
      <w:r w:rsidRPr="00B9614C">
        <w:rPr>
          <w:rFonts w:asciiTheme="majorBidi" w:hAnsiTheme="majorBidi" w:cstheme="majorBidi"/>
          <w:iCs/>
        </w:rPr>
        <w:t xml:space="preserve"> 73 - Continually adherent bisphosphonates. Calcium not prescribed)</w:t>
      </w:r>
    </w:p>
    <w:p w:rsidR="00697CC0" w:rsidRPr="00B9614C" w:rsidRDefault="00697CC0" w:rsidP="0047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jc w:val="both"/>
        <w:rPr>
          <w:rFonts w:asciiTheme="majorBidi" w:hAnsiTheme="majorBidi" w:cstheme="majorBidi"/>
          <w:iCs/>
        </w:rPr>
      </w:pPr>
    </w:p>
    <w:p w:rsidR="00697CC0" w:rsidRPr="00B9614C" w:rsidRDefault="007A21C9" w:rsidP="0047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jc w:val="both"/>
        <w:rPr>
          <w:rFonts w:asciiTheme="majorBidi" w:hAnsiTheme="majorBidi" w:cstheme="majorBidi"/>
        </w:rPr>
      </w:pPr>
      <w:r>
        <w:rPr>
          <w:rFonts w:asciiTheme="majorBidi" w:hAnsiTheme="majorBidi" w:cstheme="majorBidi"/>
        </w:rPr>
        <w:tab/>
      </w:r>
      <w:r w:rsidR="00697CC0" w:rsidRPr="00B9614C">
        <w:rPr>
          <w:rFonts w:asciiTheme="majorBidi" w:hAnsiTheme="majorBidi" w:cstheme="majorBidi"/>
        </w:rPr>
        <w:t>I take a cod liver oil pill every day</w:t>
      </w:r>
      <w:r w:rsidR="00707E92" w:rsidRPr="00B9614C">
        <w:rPr>
          <w:rFonts w:asciiTheme="majorBidi" w:hAnsiTheme="majorBidi" w:cstheme="majorBidi"/>
        </w:rPr>
        <w:t>,</w:t>
      </w:r>
      <w:r w:rsidR="00697CC0" w:rsidRPr="00B9614C">
        <w:rPr>
          <w:rFonts w:asciiTheme="majorBidi" w:hAnsiTheme="majorBidi" w:cstheme="majorBidi"/>
        </w:rPr>
        <w:t xml:space="preserve"> winter and</w:t>
      </w:r>
      <w:r w:rsidR="00920552" w:rsidRPr="00B9614C">
        <w:rPr>
          <w:rFonts w:asciiTheme="majorBidi" w:hAnsiTheme="majorBidi" w:cstheme="majorBidi"/>
        </w:rPr>
        <w:t xml:space="preserve"> summer. I’m sure that’s a help</w:t>
      </w:r>
      <w:r w:rsidR="008759A6" w:rsidRPr="00B9614C">
        <w:rPr>
          <w:rFonts w:asciiTheme="majorBidi" w:hAnsiTheme="majorBidi" w:cstheme="majorBidi"/>
        </w:rPr>
        <w:t>.</w:t>
      </w:r>
      <w:r w:rsidR="00697CC0" w:rsidRPr="00B9614C">
        <w:rPr>
          <w:rFonts w:asciiTheme="majorBidi" w:hAnsiTheme="majorBidi" w:cstheme="majorBidi"/>
        </w:rPr>
        <w:t xml:space="preserve"> (Participant</w:t>
      </w:r>
      <w:r w:rsidR="00B011FD" w:rsidRPr="00B9614C">
        <w:rPr>
          <w:rFonts w:asciiTheme="majorBidi" w:hAnsiTheme="majorBidi" w:cstheme="majorBidi"/>
        </w:rPr>
        <w:t xml:space="preserve"> 09, age</w:t>
      </w:r>
      <w:r w:rsidR="00697CC0" w:rsidRPr="00B9614C">
        <w:rPr>
          <w:rFonts w:asciiTheme="majorBidi" w:hAnsiTheme="majorBidi" w:cstheme="majorBidi"/>
        </w:rPr>
        <w:t xml:space="preserve"> 85 </w:t>
      </w:r>
      <w:r w:rsidR="00B011FD" w:rsidRPr="00B9614C">
        <w:rPr>
          <w:rFonts w:asciiTheme="majorBidi" w:hAnsiTheme="majorBidi" w:cstheme="majorBidi"/>
        </w:rPr>
        <w:t xml:space="preserve">- </w:t>
      </w:r>
      <w:r w:rsidR="00697CC0" w:rsidRPr="00B9614C">
        <w:rPr>
          <w:rFonts w:asciiTheme="majorBidi" w:hAnsiTheme="majorBidi" w:cstheme="majorBidi"/>
        </w:rPr>
        <w:t>Continually non-adherent bisphosphonates &amp; calcium)</w:t>
      </w:r>
    </w:p>
    <w:p w:rsidR="00944948" w:rsidRPr="00B9614C" w:rsidRDefault="00944948" w:rsidP="0047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jc w:val="both"/>
        <w:rPr>
          <w:rFonts w:asciiTheme="majorBidi" w:hAnsiTheme="majorBidi" w:cstheme="majorBidi"/>
          <w:iCs/>
        </w:rPr>
      </w:pPr>
    </w:p>
    <w:p w:rsidR="005307FB" w:rsidRPr="00B9614C" w:rsidRDefault="009E77E0" w:rsidP="00473D55">
      <w:pPr>
        <w:spacing w:line="360" w:lineRule="auto"/>
        <w:jc w:val="both"/>
        <w:rPr>
          <w:rFonts w:asciiTheme="majorBidi" w:hAnsiTheme="majorBidi" w:cstheme="majorBidi"/>
        </w:rPr>
      </w:pPr>
      <w:r>
        <w:rPr>
          <w:rFonts w:asciiTheme="majorBidi" w:hAnsiTheme="majorBidi" w:cstheme="majorBidi"/>
        </w:rPr>
        <w:t>In addition, m</w:t>
      </w:r>
      <w:r w:rsidR="005307FB" w:rsidRPr="00B9614C">
        <w:rPr>
          <w:rFonts w:asciiTheme="majorBidi" w:hAnsiTheme="majorBidi" w:cstheme="majorBidi"/>
        </w:rPr>
        <w:t xml:space="preserve">any </w:t>
      </w:r>
      <w:r w:rsidR="005307FB" w:rsidRPr="00B9614C">
        <w:rPr>
          <w:rFonts w:asciiTheme="majorBidi" w:hAnsiTheme="majorBidi" w:cstheme="majorBidi"/>
          <w:noProof/>
        </w:rPr>
        <w:t xml:space="preserve">participants </w:t>
      </w:r>
      <w:r w:rsidR="005307FB" w:rsidRPr="00B9614C">
        <w:rPr>
          <w:rFonts w:asciiTheme="majorBidi" w:hAnsiTheme="majorBidi" w:cstheme="majorBidi"/>
        </w:rPr>
        <w:t xml:space="preserve">had </w:t>
      </w:r>
      <w:r>
        <w:rPr>
          <w:rFonts w:asciiTheme="majorBidi" w:hAnsiTheme="majorBidi" w:cstheme="majorBidi"/>
        </w:rPr>
        <w:t xml:space="preserve">adjusted their daily </w:t>
      </w:r>
      <w:r w:rsidR="005307FB" w:rsidRPr="00B9614C">
        <w:rPr>
          <w:rFonts w:asciiTheme="majorBidi" w:hAnsiTheme="majorBidi" w:cstheme="majorBidi"/>
        </w:rPr>
        <w:t xml:space="preserve">routines to </w:t>
      </w:r>
      <w:r>
        <w:rPr>
          <w:rFonts w:asciiTheme="majorBidi" w:hAnsiTheme="majorBidi" w:cstheme="majorBidi"/>
        </w:rPr>
        <w:t>enhance their capacity to take</w:t>
      </w:r>
      <w:r w:rsidR="005307FB" w:rsidRPr="00B9614C">
        <w:rPr>
          <w:rFonts w:asciiTheme="majorBidi" w:hAnsiTheme="majorBidi" w:cstheme="majorBidi"/>
        </w:rPr>
        <w:t xml:space="preserve"> their regimens</w:t>
      </w:r>
      <w:r>
        <w:rPr>
          <w:rFonts w:asciiTheme="majorBidi" w:hAnsiTheme="majorBidi" w:cstheme="majorBidi"/>
        </w:rPr>
        <w:t xml:space="preserve"> as prescribed</w:t>
      </w:r>
      <w:r w:rsidR="00E255EC">
        <w:rPr>
          <w:rFonts w:asciiTheme="majorBidi" w:hAnsiTheme="majorBidi" w:cstheme="majorBidi"/>
        </w:rPr>
        <w:t>.</w:t>
      </w:r>
      <w:r w:rsidR="005307FB" w:rsidRPr="00B9614C">
        <w:rPr>
          <w:rFonts w:asciiTheme="majorBidi" w:hAnsiTheme="majorBidi" w:cstheme="majorBidi"/>
        </w:rPr>
        <w:t xml:space="preserve"> </w:t>
      </w:r>
      <w:r w:rsidR="00E255EC">
        <w:rPr>
          <w:rFonts w:asciiTheme="majorBidi" w:hAnsiTheme="majorBidi" w:cstheme="majorBidi"/>
        </w:rPr>
        <w:t>W</w:t>
      </w:r>
      <w:r w:rsidR="005307FB" w:rsidRPr="00B9614C">
        <w:rPr>
          <w:rFonts w:asciiTheme="majorBidi" w:hAnsiTheme="majorBidi" w:cstheme="majorBidi"/>
        </w:rPr>
        <w:t xml:space="preserve">eekly doses </w:t>
      </w:r>
      <w:r w:rsidR="00E255EC">
        <w:rPr>
          <w:rFonts w:asciiTheme="majorBidi" w:hAnsiTheme="majorBidi" w:cstheme="majorBidi"/>
        </w:rPr>
        <w:t xml:space="preserve">were linked </w:t>
      </w:r>
      <w:r w:rsidR="005307FB" w:rsidRPr="00B9614C">
        <w:rPr>
          <w:rFonts w:asciiTheme="majorBidi" w:hAnsiTheme="majorBidi" w:cstheme="majorBidi"/>
        </w:rPr>
        <w:t xml:space="preserve">with memorable events, </w:t>
      </w:r>
      <w:r w:rsidR="00E255EC">
        <w:rPr>
          <w:rFonts w:asciiTheme="majorBidi" w:hAnsiTheme="majorBidi" w:cstheme="majorBidi"/>
        </w:rPr>
        <w:t>and</w:t>
      </w:r>
      <w:r w:rsidR="005307FB" w:rsidRPr="00B9614C">
        <w:rPr>
          <w:rFonts w:asciiTheme="majorBidi" w:hAnsiTheme="majorBidi" w:cstheme="majorBidi"/>
        </w:rPr>
        <w:t xml:space="preserve"> chores such as ironing </w:t>
      </w:r>
      <w:r w:rsidR="00E255EC">
        <w:rPr>
          <w:rFonts w:asciiTheme="majorBidi" w:hAnsiTheme="majorBidi" w:cstheme="majorBidi"/>
        </w:rPr>
        <w:t xml:space="preserve">utilised </w:t>
      </w:r>
      <w:r w:rsidR="005307FB" w:rsidRPr="00B9614C">
        <w:rPr>
          <w:rFonts w:asciiTheme="majorBidi" w:hAnsiTheme="majorBidi" w:cstheme="majorBidi"/>
        </w:rPr>
        <w:t xml:space="preserve">to fulfil the half hour </w:t>
      </w:r>
      <w:r>
        <w:rPr>
          <w:rFonts w:asciiTheme="majorBidi" w:hAnsiTheme="majorBidi" w:cstheme="majorBidi"/>
        </w:rPr>
        <w:t>required in</w:t>
      </w:r>
      <w:r w:rsidRPr="00B9614C">
        <w:rPr>
          <w:rFonts w:asciiTheme="majorBidi" w:hAnsiTheme="majorBidi" w:cstheme="majorBidi"/>
        </w:rPr>
        <w:t xml:space="preserve"> </w:t>
      </w:r>
      <w:r w:rsidR="00944948" w:rsidRPr="00B9614C">
        <w:rPr>
          <w:rFonts w:asciiTheme="majorBidi" w:hAnsiTheme="majorBidi" w:cstheme="majorBidi"/>
        </w:rPr>
        <w:t xml:space="preserve">remaining </w:t>
      </w:r>
      <w:r w:rsidR="005307FB" w:rsidRPr="00B9614C">
        <w:rPr>
          <w:rFonts w:asciiTheme="majorBidi" w:hAnsiTheme="majorBidi" w:cstheme="majorBidi"/>
        </w:rPr>
        <w:t>upright:</w:t>
      </w:r>
    </w:p>
    <w:p w:rsidR="007F273F" w:rsidRPr="00B9614C" w:rsidRDefault="007F273F" w:rsidP="00473D55">
      <w:pPr>
        <w:spacing w:line="360" w:lineRule="auto"/>
        <w:jc w:val="both"/>
        <w:rPr>
          <w:rFonts w:asciiTheme="majorBidi" w:hAnsiTheme="majorBidi" w:cstheme="majorBidi"/>
        </w:rPr>
      </w:pPr>
    </w:p>
    <w:p w:rsidR="005307FB" w:rsidRPr="00B9614C" w:rsidRDefault="005307FB" w:rsidP="00473D55">
      <w:pPr>
        <w:tabs>
          <w:tab w:val="left" w:pos="720"/>
          <w:tab w:val="left" w:pos="7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777" w:hanging="720"/>
        <w:jc w:val="both"/>
        <w:rPr>
          <w:i/>
        </w:rPr>
      </w:pPr>
      <w:r w:rsidRPr="00B9614C">
        <w:rPr>
          <w:rFonts w:asciiTheme="majorBidi" w:hAnsiTheme="majorBidi" w:cstheme="majorBidi"/>
        </w:rPr>
        <w:tab/>
      </w:r>
      <w:r w:rsidRPr="00B9614C">
        <w:rPr>
          <w:rFonts w:asciiTheme="majorBidi" w:hAnsiTheme="majorBidi" w:cstheme="majorBidi"/>
          <w:iCs/>
        </w:rPr>
        <w:t>So I try and get up early</w:t>
      </w:r>
      <w:r w:rsidR="00920552" w:rsidRPr="00B9614C">
        <w:rPr>
          <w:rFonts w:asciiTheme="majorBidi" w:hAnsiTheme="majorBidi" w:cstheme="majorBidi"/>
          <w:iCs/>
        </w:rPr>
        <w:t>,</w:t>
      </w:r>
      <w:r w:rsidRPr="00B9614C">
        <w:rPr>
          <w:rFonts w:asciiTheme="majorBidi" w:hAnsiTheme="majorBidi" w:cstheme="majorBidi"/>
          <w:iCs/>
        </w:rPr>
        <w:t xml:space="preserve"> take it with this load of water and find something to do standing up</w:t>
      </w:r>
      <w:r w:rsidR="00707E92" w:rsidRPr="00B9614C">
        <w:rPr>
          <w:rFonts w:asciiTheme="majorBidi" w:hAnsiTheme="majorBidi" w:cstheme="majorBidi"/>
          <w:iCs/>
        </w:rPr>
        <w:t>,</w:t>
      </w:r>
      <w:r w:rsidRPr="00B9614C">
        <w:rPr>
          <w:rFonts w:asciiTheme="majorBidi" w:hAnsiTheme="majorBidi" w:cstheme="majorBidi"/>
          <w:iCs/>
        </w:rPr>
        <w:t xml:space="preserve"> whether it</w:t>
      </w:r>
      <w:r w:rsidR="0084679F" w:rsidRPr="00B9614C">
        <w:rPr>
          <w:rFonts w:asciiTheme="majorBidi" w:hAnsiTheme="majorBidi" w:cstheme="majorBidi"/>
          <w:iCs/>
        </w:rPr>
        <w:t>’</w:t>
      </w:r>
      <w:r w:rsidRPr="00B9614C">
        <w:rPr>
          <w:rFonts w:asciiTheme="majorBidi" w:hAnsiTheme="majorBidi" w:cstheme="majorBidi"/>
          <w:iCs/>
        </w:rPr>
        <w:t>s ironing for an hour which I did this week (laughs) or going round the g</w:t>
      </w:r>
      <w:r w:rsidR="00B76C79" w:rsidRPr="00B9614C">
        <w:rPr>
          <w:rFonts w:asciiTheme="majorBidi" w:hAnsiTheme="majorBidi" w:cstheme="majorBidi"/>
          <w:iCs/>
        </w:rPr>
        <w:t xml:space="preserve">arden seeing what’s in flower. </w:t>
      </w:r>
      <w:r w:rsidRPr="00B9614C">
        <w:rPr>
          <w:rFonts w:asciiTheme="majorBidi" w:hAnsiTheme="majorBidi" w:cstheme="majorBidi"/>
          <w:iCs/>
        </w:rPr>
        <w:t>You have just got to find something to do which takes your mind off it.</w:t>
      </w:r>
      <w:r w:rsidRPr="00B9614C">
        <w:rPr>
          <w:rFonts w:asciiTheme="majorBidi" w:hAnsiTheme="majorBidi" w:cstheme="majorBidi"/>
          <w:i/>
        </w:rPr>
        <w:t xml:space="preserve"> (</w:t>
      </w:r>
      <w:r w:rsidR="00B011FD" w:rsidRPr="00B9614C">
        <w:rPr>
          <w:rFonts w:asciiTheme="majorBidi" w:hAnsiTheme="majorBidi" w:cstheme="majorBidi"/>
        </w:rPr>
        <w:t>Participant 06</w:t>
      </w:r>
      <w:r w:rsidR="00534855" w:rsidRPr="00B9614C">
        <w:rPr>
          <w:rFonts w:asciiTheme="majorBidi" w:hAnsiTheme="majorBidi" w:cstheme="majorBidi"/>
        </w:rPr>
        <w:t>,</w:t>
      </w:r>
      <w:r w:rsidR="00B011FD" w:rsidRPr="00B9614C">
        <w:rPr>
          <w:rFonts w:asciiTheme="majorBidi" w:hAnsiTheme="majorBidi" w:cstheme="majorBidi"/>
        </w:rPr>
        <w:t xml:space="preserve"> age</w:t>
      </w:r>
      <w:r w:rsidRPr="00B9614C">
        <w:rPr>
          <w:rFonts w:asciiTheme="majorBidi" w:hAnsiTheme="majorBidi" w:cstheme="majorBidi"/>
        </w:rPr>
        <w:t xml:space="preserve"> 80 – Continually Adherent to </w:t>
      </w:r>
      <w:r w:rsidRPr="00B9614C">
        <w:t xml:space="preserve">Bisphosphonates. Non-adherent to Calcium) </w:t>
      </w:r>
    </w:p>
    <w:p w:rsidR="005307FB" w:rsidRPr="00B9614C" w:rsidRDefault="005307FB" w:rsidP="00473D55">
      <w:pPr>
        <w:jc w:val="both"/>
      </w:pPr>
    </w:p>
    <w:p w:rsidR="005307FB" w:rsidRPr="00B9614C" w:rsidRDefault="005307FB" w:rsidP="00473D55">
      <w:pPr>
        <w:tabs>
          <w:tab w:val="left" w:pos="720"/>
          <w:tab w:val="left" w:pos="7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777" w:hanging="720"/>
        <w:jc w:val="both"/>
        <w:rPr>
          <w:i/>
        </w:rPr>
      </w:pPr>
      <w:r w:rsidRPr="00B9614C">
        <w:rPr>
          <w:i/>
          <w:iCs/>
        </w:rPr>
        <w:tab/>
      </w:r>
      <w:r w:rsidRPr="00B9614C">
        <w:t>Market day is a Wednesday and I always used to go down to buy plants every Wednesday. I always used to think I can’t go down and get any plants</w:t>
      </w:r>
      <w:r w:rsidR="00920552" w:rsidRPr="00B9614C">
        <w:t>,</w:t>
      </w:r>
      <w:r w:rsidRPr="00B9614C">
        <w:t xml:space="preserve"> s</w:t>
      </w:r>
      <w:r w:rsidR="00B76C79" w:rsidRPr="00B9614C">
        <w:t xml:space="preserve">o I always remember Wednesday. </w:t>
      </w:r>
      <w:r w:rsidRPr="00B9614C">
        <w:t xml:space="preserve">That </w:t>
      </w:r>
      <w:r w:rsidR="00345FCC" w:rsidRPr="00B9614C">
        <w:t>was</w:t>
      </w:r>
      <w:r w:rsidR="007A21C9">
        <w:t xml:space="preserve"> my day.</w:t>
      </w:r>
      <w:r w:rsidRPr="00B9614C">
        <w:rPr>
          <w:rFonts w:asciiTheme="majorBidi" w:hAnsiTheme="majorBidi" w:cstheme="majorBidi"/>
          <w:i/>
        </w:rPr>
        <w:t xml:space="preserve"> (</w:t>
      </w:r>
      <w:r w:rsidR="00B011FD" w:rsidRPr="00B9614C">
        <w:rPr>
          <w:rFonts w:asciiTheme="majorBidi" w:hAnsiTheme="majorBidi" w:cstheme="majorBidi"/>
        </w:rPr>
        <w:t>Participant 30</w:t>
      </w:r>
      <w:r w:rsidR="00534855" w:rsidRPr="00B9614C">
        <w:rPr>
          <w:rFonts w:asciiTheme="majorBidi" w:hAnsiTheme="majorBidi" w:cstheme="majorBidi"/>
        </w:rPr>
        <w:t>,</w:t>
      </w:r>
      <w:r w:rsidR="00B011FD" w:rsidRPr="00B9614C">
        <w:rPr>
          <w:rFonts w:asciiTheme="majorBidi" w:hAnsiTheme="majorBidi" w:cstheme="majorBidi"/>
        </w:rPr>
        <w:t xml:space="preserve"> age</w:t>
      </w:r>
      <w:r w:rsidRPr="00B9614C">
        <w:rPr>
          <w:rFonts w:asciiTheme="majorBidi" w:hAnsiTheme="majorBidi" w:cstheme="majorBidi"/>
        </w:rPr>
        <w:t xml:space="preserve"> 75 – Continually Non-Adherent to </w:t>
      </w:r>
      <w:r w:rsidRPr="00B9614C">
        <w:t xml:space="preserve">Bisphosphonates.  Took Calcium supplements at Phase 2) </w:t>
      </w:r>
    </w:p>
    <w:p w:rsidR="005307FB" w:rsidRPr="00B9614C" w:rsidRDefault="005307FB" w:rsidP="00473D55">
      <w:pPr>
        <w:jc w:val="both"/>
      </w:pPr>
    </w:p>
    <w:p w:rsidR="005307FB" w:rsidRPr="00B9614C" w:rsidRDefault="005307FB" w:rsidP="00473D55">
      <w:pPr>
        <w:spacing w:line="360" w:lineRule="auto"/>
        <w:jc w:val="both"/>
        <w:rPr>
          <w:rFonts w:asciiTheme="majorBidi" w:hAnsiTheme="majorBidi" w:cstheme="majorBidi"/>
        </w:rPr>
      </w:pPr>
      <w:r w:rsidRPr="00B9614C">
        <w:rPr>
          <w:rFonts w:asciiTheme="majorBidi" w:hAnsiTheme="majorBidi" w:cstheme="majorBidi"/>
        </w:rPr>
        <w:t xml:space="preserve">Carers played a role in aiding adherence for two </w:t>
      </w:r>
      <w:r w:rsidR="00B2473E" w:rsidRPr="00B9614C">
        <w:rPr>
          <w:rFonts w:asciiTheme="majorBidi" w:hAnsiTheme="majorBidi" w:cstheme="majorBidi"/>
        </w:rPr>
        <w:t xml:space="preserve">participants </w:t>
      </w:r>
      <w:r w:rsidRPr="00B9614C">
        <w:rPr>
          <w:rFonts w:asciiTheme="majorBidi" w:hAnsiTheme="majorBidi" w:cstheme="majorBidi"/>
        </w:rPr>
        <w:t xml:space="preserve">with cognitive impairments by bringing the medication to them and altering the routine to ensure no food or cup of tea at the same time: </w:t>
      </w:r>
    </w:p>
    <w:p w:rsidR="00B011FD" w:rsidRPr="00B9614C" w:rsidRDefault="00B011FD" w:rsidP="00473D55">
      <w:pPr>
        <w:spacing w:line="360" w:lineRule="auto"/>
        <w:jc w:val="both"/>
        <w:rPr>
          <w:rFonts w:asciiTheme="majorBidi" w:hAnsiTheme="majorBidi" w:cstheme="majorBidi"/>
        </w:rPr>
      </w:pPr>
    </w:p>
    <w:p w:rsidR="00697CC0" w:rsidRPr="00B9614C" w:rsidRDefault="005307FB" w:rsidP="00473D55">
      <w:pPr>
        <w:spacing w:line="360" w:lineRule="auto"/>
        <w:ind w:left="720"/>
        <w:jc w:val="both"/>
      </w:pPr>
      <w:r w:rsidRPr="00B9614C">
        <w:rPr>
          <w:iCs/>
        </w:rPr>
        <w:t>He’d put it on his computer to remind me (and) he puts them in front of me and lets me get on with it</w:t>
      </w:r>
      <w:r w:rsidR="00B011FD" w:rsidRPr="00B9614C">
        <w:rPr>
          <w:iCs/>
        </w:rPr>
        <w:t>.</w:t>
      </w:r>
      <w:r w:rsidRPr="00B9614C">
        <w:t xml:space="preserve"> (Participant 17</w:t>
      </w:r>
      <w:r w:rsidR="00534855" w:rsidRPr="00B9614C">
        <w:t>,</w:t>
      </w:r>
      <w:r w:rsidRPr="00B9614C">
        <w:t xml:space="preserve"> age</w:t>
      </w:r>
      <w:r w:rsidR="00534855" w:rsidRPr="00B9614C">
        <w:t xml:space="preserve"> </w:t>
      </w:r>
      <w:r w:rsidRPr="00B9614C">
        <w:t>75 – Continually Adherent Bisphosphonates. Calcium not prescribed).</w:t>
      </w:r>
    </w:p>
    <w:p w:rsidR="005307FB" w:rsidRPr="00B9614C" w:rsidRDefault="005307FB" w:rsidP="00473D55">
      <w:pPr>
        <w:ind w:left="720"/>
        <w:jc w:val="both"/>
      </w:pPr>
    </w:p>
    <w:p w:rsidR="00697CC0" w:rsidRPr="00B9614C" w:rsidRDefault="00697CC0" w:rsidP="00473D55">
      <w:pPr>
        <w:spacing w:line="360" w:lineRule="auto"/>
        <w:jc w:val="both"/>
        <w:rPr>
          <w:rFonts w:asciiTheme="majorBidi" w:hAnsiTheme="majorBidi" w:cstheme="majorBidi"/>
          <w:noProof/>
        </w:rPr>
      </w:pPr>
      <w:r w:rsidRPr="00B9614C">
        <w:rPr>
          <w:rFonts w:asciiTheme="majorBidi" w:hAnsiTheme="majorBidi" w:cstheme="majorBidi"/>
          <w:noProof/>
        </w:rPr>
        <w:t>Autonomy was</w:t>
      </w:r>
      <w:r w:rsidR="00810E69">
        <w:rPr>
          <w:rFonts w:asciiTheme="majorBidi" w:hAnsiTheme="majorBidi" w:cstheme="majorBidi"/>
          <w:noProof/>
        </w:rPr>
        <w:t xml:space="preserve"> </w:t>
      </w:r>
      <w:r w:rsidR="00E255EC">
        <w:rPr>
          <w:rFonts w:asciiTheme="majorBidi" w:hAnsiTheme="majorBidi" w:cstheme="majorBidi"/>
          <w:noProof/>
        </w:rPr>
        <w:t>also</w:t>
      </w:r>
      <w:r w:rsidR="00810E69">
        <w:rPr>
          <w:rFonts w:asciiTheme="majorBidi" w:hAnsiTheme="majorBidi" w:cstheme="majorBidi"/>
          <w:noProof/>
        </w:rPr>
        <w:t xml:space="preserve"> </w:t>
      </w:r>
      <w:r w:rsidRPr="00B9614C">
        <w:rPr>
          <w:rFonts w:asciiTheme="majorBidi" w:hAnsiTheme="majorBidi" w:cstheme="majorBidi"/>
          <w:noProof/>
        </w:rPr>
        <w:t xml:space="preserve">a powerful motivator, characterised by the need to be independent and responsible in order to be able to care for self and others:  </w:t>
      </w:r>
    </w:p>
    <w:p w:rsidR="00B011FD" w:rsidRPr="00B9614C" w:rsidRDefault="00B011FD" w:rsidP="00473D55">
      <w:pPr>
        <w:spacing w:line="360" w:lineRule="auto"/>
        <w:jc w:val="both"/>
        <w:rPr>
          <w:rFonts w:asciiTheme="majorBidi" w:hAnsiTheme="majorBidi" w:cstheme="majorBidi"/>
          <w:noProof/>
        </w:rPr>
      </w:pPr>
    </w:p>
    <w:p w:rsidR="00697CC0" w:rsidRPr="00B9614C" w:rsidRDefault="00697CC0" w:rsidP="00920552">
      <w:pPr>
        <w:spacing w:line="360" w:lineRule="auto"/>
        <w:ind w:left="360"/>
        <w:jc w:val="both"/>
        <w:rPr>
          <w:rFonts w:asciiTheme="majorBidi" w:hAnsiTheme="majorBidi" w:cstheme="majorBidi"/>
          <w:noProof/>
        </w:rPr>
      </w:pPr>
      <w:r w:rsidRPr="00B9614C">
        <w:rPr>
          <w:rFonts w:asciiTheme="majorBidi" w:hAnsiTheme="majorBidi" w:cstheme="majorBidi"/>
          <w:noProof/>
        </w:rPr>
        <w:t>Well it is just the independence. I don’t want to be a nuisance to the family at all if I can help it</w:t>
      </w:r>
      <w:r w:rsidR="00920552" w:rsidRPr="00B9614C">
        <w:rPr>
          <w:rFonts w:asciiTheme="majorBidi" w:hAnsiTheme="majorBidi" w:cstheme="majorBidi"/>
          <w:noProof/>
        </w:rPr>
        <w:t>,</w:t>
      </w:r>
      <w:r w:rsidRPr="00B9614C">
        <w:rPr>
          <w:rFonts w:asciiTheme="majorBidi" w:hAnsiTheme="majorBidi" w:cstheme="majorBidi"/>
          <w:noProof/>
        </w:rPr>
        <w:t xml:space="preserve"> and if I haven’t done something that might have helped I’d feel a bit guilty</w:t>
      </w:r>
      <w:r w:rsidR="00920552" w:rsidRPr="00B9614C">
        <w:rPr>
          <w:rFonts w:asciiTheme="majorBidi" w:hAnsiTheme="majorBidi" w:cstheme="majorBidi"/>
          <w:noProof/>
        </w:rPr>
        <w:t>. I</w:t>
      </w:r>
      <w:r w:rsidRPr="00B9614C">
        <w:rPr>
          <w:rFonts w:asciiTheme="majorBidi" w:hAnsiTheme="majorBidi" w:cstheme="majorBidi"/>
          <w:noProof/>
        </w:rPr>
        <w:t>f you can do anything to prevent that happen</w:t>
      </w:r>
      <w:r w:rsidR="007A21C9">
        <w:rPr>
          <w:rFonts w:asciiTheme="majorBidi" w:hAnsiTheme="majorBidi" w:cstheme="majorBidi"/>
          <w:noProof/>
        </w:rPr>
        <w:t xml:space="preserve">ing it does help a little bit. </w:t>
      </w:r>
      <w:r w:rsidRPr="00B9614C">
        <w:rPr>
          <w:rFonts w:asciiTheme="majorBidi" w:hAnsiTheme="majorBidi" w:cstheme="majorBidi"/>
          <w:noProof/>
        </w:rPr>
        <w:t>(Participant 03</w:t>
      </w:r>
      <w:r w:rsidR="00534855" w:rsidRPr="00B9614C">
        <w:rPr>
          <w:rFonts w:asciiTheme="majorBidi" w:hAnsiTheme="majorBidi" w:cstheme="majorBidi"/>
          <w:noProof/>
        </w:rPr>
        <w:t>,</w:t>
      </w:r>
      <w:r w:rsidRPr="00B9614C">
        <w:rPr>
          <w:rFonts w:asciiTheme="majorBidi" w:hAnsiTheme="majorBidi" w:cstheme="majorBidi"/>
          <w:noProof/>
        </w:rPr>
        <w:t xml:space="preserve"> age 83 – Continually Adherent Bisphosphonates. Calcium not prescribed)</w:t>
      </w:r>
    </w:p>
    <w:p w:rsidR="00697CC0" w:rsidRPr="00B9614C" w:rsidRDefault="00697CC0" w:rsidP="00473D55">
      <w:pPr>
        <w:spacing w:line="360" w:lineRule="auto"/>
        <w:jc w:val="both"/>
        <w:rPr>
          <w:rFonts w:asciiTheme="majorBidi" w:hAnsiTheme="majorBidi" w:cstheme="majorBidi"/>
          <w:noProof/>
        </w:rPr>
      </w:pPr>
    </w:p>
    <w:p w:rsidR="00697CC0" w:rsidRPr="00B9614C" w:rsidRDefault="00697CC0" w:rsidP="00473D55">
      <w:pPr>
        <w:spacing w:line="360" w:lineRule="auto"/>
        <w:ind w:left="360"/>
        <w:jc w:val="both"/>
        <w:rPr>
          <w:rFonts w:asciiTheme="majorBidi" w:hAnsiTheme="majorBidi" w:cstheme="majorBidi"/>
          <w:noProof/>
        </w:rPr>
      </w:pPr>
      <w:r w:rsidRPr="00B9614C">
        <w:rPr>
          <w:rFonts w:asciiTheme="majorBidi" w:hAnsiTheme="majorBidi" w:cstheme="majorBidi"/>
          <w:noProof/>
        </w:rPr>
        <w:t>I like to protect myself as much as possible for my husband, well for me (too) for me I mean obviously.</w:t>
      </w:r>
      <w:r w:rsidRPr="00B9614C">
        <w:rPr>
          <w:rFonts w:asciiTheme="majorBidi" w:hAnsiTheme="majorBidi" w:cstheme="majorBidi"/>
          <w:i/>
          <w:iCs/>
          <w:noProof/>
        </w:rPr>
        <w:t xml:space="preserve"> </w:t>
      </w:r>
      <w:r w:rsidRPr="00B9614C">
        <w:rPr>
          <w:rFonts w:asciiTheme="majorBidi" w:hAnsiTheme="majorBidi" w:cstheme="majorBidi"/>
          <w:noProof/>
        </w:rPr>
        <w:t>(Participant 18</w:t>
      </w:r>
      <w:r w:rsidR="00534855" w:rsidRPr="00B9614C">
        <w:rPr>
          <w:rFonts w:asciiTheme="majorBidi" w:hAnsiTheme="majorBidi" w:cstheme="majorBidi"/>
          <w:noProof/>
        </w:rPr>
        <w:t>,</w:t>
      </w:r>
      <w:r w:rsidRPr="00B9614C">
        <w:rPr>
          <w:rFonts w:asciiTheme="majorBidi" w:hAnsiTheme="majorBidi" w:cstheme="majorBidi"/>
          <w:noProof/>
        </w:rPr>
        <w:t xml:space="preserve"> age 80 – Non-Adherent Bisphosphonates by Phase 2. Non-adherent to Calcium)</w:t>
      </w:r>
      <w:r w:rsidRPr="00B9614C">
        <w:rPr>
          <w:rFonts w:asciiTheme="majorBidi" w:hAnsiTheme="majorBidi" w:cstheme="majorBidi"/>
          <w:i/>
          <w:iCs/>
          <w:noProof/>
        </w:rPr>
        <w:t xml:space="preserve"> </w:t>
      </w:r>
    </w:p>
    <w:p w:rsidR="00B011FD" w:rsidRPr="00B9614C" w:rsidRDefault="00B011FD" w:rsidP="00473D55">
      <w:pPr>
        <w:spacing w:line="360" w:lineRule="auto"/>
        <w:jc w:val="both"/>
        <w:rPr>
          <w:rFonts w:asciiTheme="majorBidi" w:hAnsiTheme="majorBidi" w:cstheme="majorBidi"/>
          <w:b/>
        </w:rPr>
      </w:pPr>
    </w:p>
    <w:p w:rsidR="00697CC0" w:rsidRPr="00B9614C" w:rsidRDefault="00697CC0" w:rsidP="00473D55">
      <w:pPr>
        <w:spacing w:line="360" w:lineRule="auto"/>
        <w:jc w:val="both"/>
        <w:rPr>
          <w:rFonts w:asciiTheme="majorBidi" w:hAnsiTheme="majorBidi" w:cstheme="majorBidi"/>
          <w:b/>
        </w:rPr>
      </w:pPr>
      <w:r w:rsidRPr="00B9614C">
        <w:rPr>
          <w:rFonts w:asciiTheme="majorBidi" w:hAnsiTheme="majorBidi" w:cstheme="majorBidi"/>
          <w:b/>
        </w:rPr>
        <w:t>Appraising and prioritising risk</w:t>
      </w:r>
    </w:p>
    <w:p w:rsidR="00697CC0" w:rsidRPr="00B9614C" w:rsidRDefault="00A3434C" w:rsidP="00473D55">
      <w:pPr>
        <w:spacing w:line="360" w:lineRule="auto"/>
        <w:jc w:val="both"/>
        <w:rPr>
          <w:rFonts w:asciiTheme="majorBidi" w:hAnsiTheme="majorBidi" w:cstheme="majorBidi"/>
        </w:rPr>
      </w:pPr>
      <w:r>
        <w:rPr>
          <w:rFonts w:asciiTheme="majorBidi" w:hAnsiTheme="majorBidi" w:cstheme="majorBidi"/>
        </w:rPr>
        <w:t xml:space="preserve">Phase 1 interviews </w:t>
      </w:r>
      <w:r w:rsidR="00710262">
        <w:rPr>
          <w:rFonts w:asciiTheme="majorBidi" w:hAnsiTheme="majorBidi" w:cstheme="majorBidi"/>
        </w:rPr>
        <w:t xml:space="preserve">specifically </w:t>
      </w:r>
      <w:r>
        <w:rPr>
          <w:rFonts w:asciiTheme="majorBidi" w:hAnsiTheme="majorBidi" w:cstheme="majorBidi"/>
        </w:rPr>
        <w:t xml:space="preserve">asked participants about their reaction to their recent risk assessment.  </w:t>
      </w:r>
      <w:r w:rsidR="00697CC0" w:rsidRPr="00B9614C">
        <w:rPr>
          <w:rFonts w:asciiTheme="majorBidi" w:hAnsiTheme="majorBidi" w:cstheme="majorBidi"/>
        </w:rPr>
        <w:t xml:space="preserve">Risk perceptions </w:t>
      </w:r>
      <w:r>
        <w:rPr>
          <w:rFonts w:asciiTheme="majorBidi" w:hAnsiTheme="majorBidi" w:cstheme="majorBidi"/>
        </w:rPr>
        <w:t>at this</w:t>
      </w:r>
      <w:r w:rsidR="00697CC0" w:rsidRPr="00B9614C">
        <w:rPr>
          <w:rFonts w:asciiTheme="majorBidi" w:hAnsiTheme="majorBidi" w:cstheme="majorBidi"/>
        </w:rPr>
        <w:t xml:space="preserve"> phase were mostly expressed in ‘sense making’ comments </w:t>
      </w:r>
      <w:r w:rsidR="00E255EC">
        <w:rPr>
          <w:rFonts w:asciiTheme="majorBidi" w:hAnsiTheme="majorBidi" w:cstheme="majorBidi"/>
        </w:rPr>
        <w:t xml:space="preserve">regarding </w:t>
      </w:r>
      <w:r w:rsidR="00697CC0" w:rsidRPr="00B9614C">
        <w:rPr>
          <w:rFonts w:asciiTheme="majorBidi" w:hAnsiTheme="majorBidi" w:cstheme="majorBidi"/>
        </w:rPr>
        <w:t xml:space="preserve">the context of </w:t>
      </w:r>
      <w:r w:rsidR="00B2473E" w:rsidRPr="00B9614C">
        <w:rPr>
          <w:rFonts w:asciiTheme="majorBidi" w:hAnsiTheme="majorBidi" w:cstheme="majorBidi"/>
        </w:rPr>
        <w:t>ageing</w:t>
      </w:r>
      <w:r w:rsidR="00462534" w:rsidRPr="00B9614C">
        <w:rPr>
          <w:rFonts w:asciiTheme="majorBidi" w:hAnsiTheme="majorBidi" w:cstheme="majorBidi"/>
        </w:rPr>
        <w:t xml:space="preserve">. </w:t>
      </w:r>
      <w:r w:rsidR="00697CC0" w:rsidRPr="00B9614C">
        <w:rPr>
          <w:rFonts w:asciiTheme="majorBidi" w:hAnsiTheme="majorBidi" w:cstheme="majorBidi"/>
        </w:rPr>
        <w:t xml:space="preserve">There was added complexity </w:t>
      </w:r>
      <w:r>
        <w:rPr>
          <w:rFonts w:asciiTheme="majorBidi" w:hAnsiTheme="majorBidi" w:cstheme="majorBidi"/>
        </w:rPr>
        <w:t xml:space="preserve">for participants who had been given </w:t>
      </w:r>
      <w:r w:rsidR="00697CC0" w:rsidRPr="00B9614C">
        <w:rPr>
          <w:rFonts w:asciiTheme="majorBidi" w:hAnsiTheme="majorBidi" w:cstheme="majorBidi"/>
        </w:rPr>
        <w:t xml:space="preserve">a risk status </w:t>
      </w:r>
      <w:r>
        <w:rPr>
          <w:rFonts w:asciiTheme="majorBidi" w:hAnsiTheme="majorBidi" w:cstheme="majorBidi"/>
        </w:rPr>
        <w:t xml:space="preserve">of ‘higher than average’ but had </w:t>
      </w:r>
      <w:r w:rsidR="00697CC0" w:rsidRPr="00B9614C">
        <w:rPr>
          <w:rFonts w:asciiTheme="majorBidi" w:hAnsiTheme="majorBidi" w:cstheme="majorBidi"/>
        </w:rPr>
        <w:t>no visible signs or experience of symptoms:</w:t>
      </w:r>
    </w:p>
    <w:p w:rsidR="00534855" w:rsidRPr="00B9614C" w:rsidRDefault="00534855" w:rsidP="00473D55">
      <w:pPr>
        <w:spacing w:line="360" w:lineRule="auto"/>
        <w:jc w:val="both"/>
        <w:rPr>
          <w:rFonts w:asciiTheme="majorBidi" w:hAnsiTheme="majorBidi" w:cstheme="majorBidi"/>
        </w:rPr>
      </w:pPr>
    </w:p>
    <w:p w:rsidR="00697CC0" w:rsidRPr="00B9614C" w:rsidRDefault="00697CC0" w:rsidP="00920552">
      <w:pPr>
        <w:spacing w:line="360" w:lineRule="auto"/>
        <w:ind w:left="720"/>
        <w:jc w:val="both"/>
        <w:rPr>
          <w:rFonts w:asciiTheme="majorBidi" w:hAnsiTheme="majorBidi" w:cstheme="majorBidi"/>
          <w:iCs/>
        </w:rPr>
      </w:pPr>
      <w:r w:rsidRPr="00B9614C">
        <w:rPr>
          <w:rFonts w:asciiTheme="majorBidi" w:hAnsiTheme="majorBidi" w:cstheme="majorBidi"/>
          <w:i/>
          <w:iCs/>
        </w:rPr>
        <w:t>Not in a million years</w:t>
      </w:r>
      <w:r w:rsidR="00920552" w:rsidRPr="00B9614C">
        <w:rPr>
          <w:rFonts w:asciiTheme="majorBidi" w:hAnsiTheme="majorBidi" w:cstheme="majorBidi"/>
        </w:rPr>
        <w:t xml:space="preserve">. </w:t>
      </w:r>
      <w:r w:rsidRPr="00B9614C">
        <w:rPr>
          <w:rFonts w:asciiTheme="majorBidi" w:hAnsiTheme="majorBidi" w:cstheme="majorBidi"/>
        </w:rPr>
        <w:t>I thought oh they’ll come back and say oh you’re fine</w:t>
      </w:r>
      <w:r w:rsidR="00920552" w:rsidRPr="00B9614C">
        <w:rPr>
          <w:rFonts w:asciiTheme="majorBidi" w:hAnsiTheme="majorBidi" w:cstheme="majorBidi"/>
        </w:rPr>
        <w:t>. A</w:t>
      </w:r>
      <w:r w:rsidRPr="00B9614C">
        <w:rPr>
          <w:rFonts w:asciiTheme="majorBidi" w:hAnsiTheme="majorBidi" w:cstheme="majorBidi"/>
        </w:rPr>
        <w:t>nd they wrote back and said I was</w:t>
      </w:r>
      <w:r w:rsidR="00920552" w:rsidRPr="00B9614C">
        <w:rPr>
          <w:rFonts w:asciiTheme="majorBidi" w:hAnsiTheme="majorBidi" w:cstheme="majorBidi"/>
        </w:rPr>
        <w:t>n’t. Y</w:t>
      </w:r>
      <w:r w:rsidRPr="00B9614C">
        <w:rPr>
          <w:rFonts w:asciiTheme="majorBidi" w:hAnsiTheme="majorBidi" w:cstheme="majorBidi"/>
        </w:rPr>
        <w:t>es I thought I couldn’t believe it because I’</w:t>
      </w:r>
      <w:r w:rsidR="00B76C79" w:rsidRPr="00B9614C">
        <w:rPr>
          <w:rFonts w:asciiTheme="majorBidi" w:hAnsiTheme="majorBidi" w:cstheme="majorBidi"/>
        </w:rPr>
        <w:t>ve alway</w:t>
      </w:r>
      <w:r w:rsidR="007A21C9">
        <w:rPr>
          <w:rFonts w:asciiTheme="majorBidi" w:hAnsiTheme="majorBidi" w:cstheme="majorBidi"/>
        </w:rPr>
        <w:t>s had a balanced diet.</w:t>
      </w:r>
      <w:r w:rsidR="00B76C79" w:rsidRPr="00B9614C">
        <w:rPr>
          <w:rFonts w:asciiTheme="majorBidi" w:hAnsiTheme="majorBidi" w:cstheme="majorBidi"/>
        </w:rPr>
        <w:t xml:space="preserve"> </w:t>
      </w:r>
      <w:r w:rsidRPr="00B9614C">
        <w:rPr>
          <w:rFonts w:asciiTheme="majorBidi" w:hAnsiTheme="majorBidi" w:cstheme="majorBidi"/>
        </w:rPr>
        <w:t>(</w:t>
      </w:r>
      <w:r w:rsidRPr="00B9614C">
        <w:rPr>
          <w:rFonts w:asciiTheme="majorBidi" w:hAnsiTheme="majorBidi" w:cstheme="majorBidi"/>
          <w:iCs/>
        </w:rPr>
        <w:t>Participant 29</w:t>
      </w:r>
      <w:r w:rsidR="00534855" w:rsidRPr="00B9614C">
        <w:rPr>
          <w:rFonts w:asciiTheme="majorBidi" w:hAnsiTheme="majorBidi" w:cstheme="majorBidi"/>
          <w:iCs/>
        </w:rPr>
        <w:t>,</w:t>
      </w:r>
      <w:r w:rsidRPr="00B9614C">
        <w:rPr>
          <w:rFonts w:asciiTheme="majorBidi" w:hAnsiTheme="majorBidi" w:cstheme="majorBidi"/>
          <w:iCs/>
        </w:rPr>
        <w:t xml:space="preserve"> age 75 – Continually Adherent to both Bisphosphonates &amp; Calcium)</w:t>
      </w:r>
    </w:p>
    <w:p w:rsidR="00944948" w:rsidRPr="00B9614C" w:rsidRDefault="00944948" w:rsidP="00473D55">
      <w:pPr>
        <w:spacing w:line="360" w:lineRule="auto"/>
        <w:jc w:val="both"/>
        <w:rPr>
          <w:rFonts w:asciiTheme="majorBidi" w:hAnsiTheme="majorBidi" w:cstheme="majorBidi"/>
        </w:rPr>
      </w:pPr>
    </w:p>
    <w:p w:rsidR="00944948" w:rsidRPr="00B9614C" w:rsidRDefault="00B2473E" w:rsidP="00473D55">
      <w:pPr>
        <w:spacing w:line="360" w:lineRule="auto"/>
        <w:jc w:val="both"/>
        <w:rPr>
          <w:rFonts w:asciiTheme="majorBidi" w:hAnsiTheme="majorBidi" w:cstheme="majorBidi"/>
        </w:rPr>
      </w:pPr>
      <w:r w:rsidRPr="00B9614C">
        <w:rPr>
          <w:rFonts w:asciiTheme="majorBidi" w:hAnsiTheme="majorBidi" w:cstheme="majorBidi"/>
        </w:rPr>
        <w:t>Many of those who had initially questioned</w:t>
      </w:r>
      <w:r w:rsidR="00944948" w:rsidRPr="00B9614C">
        <w:rPr>
          <w:rFonts w:asciiTheme="majorBidi" w:hAnsiTheme="majorBidi" w:cstheme="majorBidi"/>
        </w:rPr>
        <w:t xml:space="preserve"> their risk status and express</w:t>
      </w:r>
      <w:r w:rsidRPr="00B9614C">
        <w:rPr>
          <w:rFonts w:asciiTheme="majorBidi" w:hAnsiTheme="majorBidi" w:cstheme="majorBidi"/>
        </w:rPr>
        <w:t>ed</w:t>
      </w:r>
      <w:r w:rsidR="00944948" w:rsidRPr="00B9614C">
        <w:rPr>
          <w:rFonts w:asciiTheme="majorBidi" w:hAnsiTheme="majorBidi" w:cstheme="majorBidi"/>
        </w:rPr>
        <w:t xml:space="preserve"> negative reactions had adjusted to their status and cite</w:t>
      </w:r>
      <w:r w:rsidRPr="00B9614C">
        <w:rPr>
          <w:rFonts w:asciiTheme="majorBidi" w:hAnsiTheme="majorBidi" w:cstheme="majorBidi"/>
        </w:rPr>
        <w:t>d</w:t>
      </w:r>
      <w:r w:rsidR="00944948" w:rsidRPr="00B9614C">
        <w:rPr>
          <w:rFonts w:asciiTheme="majorBidi" w:hAnsiTheme="majorBidi" w:cstheme="majorBidi"/>
        </w:rPr>
        <w:t xml:space="preserve"> measures </w:t>
      </w:r>
      <w:r w:rsidRPr="00B9614C">
        <w:rPr>
          <w:rFonts w:asciiTheme="majorBidi" w:hAnsiTheme="majorBidi" w:cstheme="majorBidi"/>
        </w:rPr>
        <w:t>taken</w:t>
      </w:r>
      <w:r w:rsidR="00944948" w:rsidRPr="00B9614C">
        <w:rPr>
          <w:rFonts w:asciiTheme="majorBidi" w:hAnsiTheme="majorBidi" w:cstheme="majorBidi"/>
        </w:rPr>
        <w:t xml:space="preserve"> to be self-protecti</w:t>
      </w:r>
      <w:r w:rsidR="00E255EC">
        <w:rPr>
          <w:rFonts w:asciiTheme="majorBidi" w:hAnsiTheme="majorBidi" w:cstheme="majorBidi"/>
        </w:rPr>
        <w:t>ve</w:t>
      </w:r>
      <w:r w:rsidR="00944948" w:rsidRPr="00B9614C">
        <w:rPr>
          <w:rFonts w:asciiTheme="majorBidi" w:hAnsiTheme="majorBidi" w:cstheme="majorBidi"/>
        </w:rPr>
        <w:t xml:space="preserve"> </w:t>
      </w:r>
      <w:r w:rsidRPr="00B9614C">
        <w:rPr>
          <w:rFonts w:asciiTheme="majorBidi" w:hAnsiTheme="majorBidi" w:cstheme="majorBidi"/>
        </w:rPr>
        <w:t xml:space="preserve">such as </w:t>
      </w:r>
      <w:r w:rsidR="00944948" w:rsidRPr="00B9614C">
        <w:rPr>
          <w:rFonts w:asciiTheme="majorBidi" w:hAnsiTheme="majorBidi" w:cstheme="majorBidi"/>
        </w:rPr>
        <w:t xml:space="preserve">not climbing ladders and </w:t>
      </w:r>
      <w:r w:rsidR="00E255EC">
        <w:rPr>
          <w:rFonts w:asciiTheme="majorBidi" w:hAnsiTheme="majorBidi" w:cstheme="majorBidi"/>
        </w:rPr>
        <w:t xml:space="preserve">prioritising </w:t>
      </w:r>
      <w:r w:rsidR="00944948" w:rsidRPr="00B9614C">
        <w:rPr>
          <w:rFonts w:asciiTheme="majorBidi" w:hAnsiTheme="majorBidi" w:cstheme="majorBidi"/>
        </w:rPr>
        <w:t xml:space="preserve">a calcium rich diet: </w:t>
      </w:r>
    </w:p>
    <w:p w:rsidR="00534855" w:rsidRPr="00B9614C" w:rsidRDefault="00534855" w:rsidP="00473D55">
      <w:pPr>
        <w:spacing w:line="360" w:lineRule="auto"/>
        <w:jc w:val="both"/>
        <w:rPr>
          <w:rFonts w:asciiTheme="majorBidi" w:hAnsiTheme="majorBidi" w:cstheme="majorBidi"/>
        </w:rPr>
      </w:pPr>
    </w:p>
    <w:p w:rsidR="00944948" w:rsidRPr="00B9614C" w:rsidRDefault="00944948" w:rsidP="00920552">
      <w:pPr>
        <w:spacing w:line="360" w:lineRule="auto"/>
        <w:ind w:left="720"/>
        <w:jc w:val="both"/>
        <w:rPr>
          <w:rFonts w:asciiTheme="majorBidi" w:hAnsiTheme="majorBidi" w:cstheme="majorBidi"/>
          <w:iCs/>
        </w:rPr>
      </w:pPr>
      <w:r w:rsidRPr="00B9614C">
        <w:rPr>
          <w:rFonts w:asciiTheme="majorBidi" w:hAnsiTheme="majorBidi" w:cstheme="majorBidi"/>
        </w:rPr>
        <w:t xml:space="preserve">Oh yeah it’s made me </w:t>
      </w:r>
      <w:r w:rsidRPr="00B9614C">
        <w:rPr>
          <w:rFonts w:asciiTheme="majorBidi" w:hAnsiTheme="majorBidi" w:cstheme="majorBidi"/>
          <w:i/>
          <w:iCs/>
        </w:rPr>
        <w:t>more</w:t>
      </w:r>
      <w:r w:rsidRPr="00B9614C">
        <w:rPr>
          <w:rFonts w:asciiTheme="majorBidi" w:hAnsiTheme="majorBidi" w:cstheme="majorBidi"/>
        </w:rPr>
        <w:t xml:space="preserve"> careful since I had that density scan and had the letter to say that um (pause) you know on average</w:t>
      </w:r>
      <w:r w:rsidR="00920552" w:rsidRPr="00B9614C">
        <w:rPr>
          <w:rFonts w:asciiTheme="majorBidi" w:hAnsiTheme="majorBidi" w:cstheme="majorBidi"/>
        </w:rPr>
        <w:t>,</w:t>
      </w:r>
      <w:r w:rsidRPr="00B9614C">
        <w:rPr>
          <w:rFonts w:asciiTheme="majorBidi" w:hAnsiTheme="majorBidi" w:cstheme="majorBidi"/>
        </w:rPr>
        <w:t xml:space="preserve"> if I fell over I would more easily break a bone than you know than normal</w:t>
      </w:r>
      <w:r w:rsidR="00920552" w:rsidRPr="00B9614C">
        <w:rPr>
          <w:rFonts w:asciiTheme="majorBidi" w:hAnsiTheme="majorBidi" w:cstheme="majorBidi"/>
        </w:rPr>
        <w:t>. S</w:t>
      </w:r>
      <w:r w:rsidRPr="00B9614C">
        <w:rPr>
          <w:rFonts w:asciiTheme="majorBidi" w:hAnsiTheme="majorBidi" w:cstheme="majorBidi"/>
        </w:rPr>
        <w:t xml:space="preserve">o that was a </w:t>
      </w:r>
      <w:r w:rsidRPr="00B9614C">
        <w:rPr>
          <w:rFonts w:asciiTheme="majorBidi" w:hAnsiTheme="majorBidi" w:cstheme="majorBidi"/>
          <w:i/>
          <w:iCs/>
        </w:rPr>
        <w:t>good</w:t>
      </w:r>
      <w:r w:rsidRPr="00B9614C">
        <w:rPr>
          <w:rFonts w:asciiTheme="majorBidi" w:hAnsiTheme="majorBidi" w:cstheme="majorBidi"/>
        </w:rPr>
        <w:t xml:space="preserve"> thing because it has made me more </w:t>
      </w:r>
      <w:r w:rsidR="00920552" w:rsidRPr="00B9614C">
        <w:rPr>
          <w:rFonts w:asciiTheme="majorBidi" w:hAnsiTheme="majorBidi" w:cstheme="majorBidi"/>
        </w:rPr>
        <w:t xml:space="preserve">(careful) </w:t>
      </w:r>
      <w:r w:rsidRPr="00B9614C">
        <w:rPr>
          <w:rFonts w:asciiTheme="majorBidi" w:hAnsiTheme="majorBidi" w:cstheme="majorBidi"/>
        </w:rPr>
        <w:t>and as you notice, I’ve got no rugs.</w:t>
      </w:r>
      <w:r w:rsidRPr="00B9614C">
        <w:rPr>
          <w:rFonts w:asciiTheme="majorBidi" w:hAnsiTheme="majorBidi" w:cstheme="majorBidi"/>
          <w:i/>
          <w:iCs/>
        </w:rPr>
        <w:t xml:space="preserve"> </w:t>
      </w:r>
      <w:r w:rsidRPr="00B9614C">
        <w:rPr>
          <w:rFonts w:asciiTheme="majorBidi" w:hAnsiTheme="majorBidi" w:cstheme="majorBidi"/>
          <w:iCs/>
        </w:rPr>
        <w:t>(Participant 24</w:t>
      </w:r>
      <w:r w:rsidR="00534855" w:rsidRPr="00B9614C">
        <w:rPr>
          <w:rFonts w:asciiTheme="majorBidi" w:hAnsiTheme="majorBidi" w:cstheme="majorBidi"/>
          <w:iCs/>
        </w:rPr>
        <w:t>,</w:t>
      </w:r>
      <w:r w:rsidRPr="00B9614C">
        <w:rPr>
          <w:rFonts w:asciiTheme="majorBidi" w:hAnsiTheme="majorBidi" w:cstheme="majorBidi"/>
          <w:iCs/>
        </w:rPr>
        <w:t xml:space="preserve"> age 80 - Adherent to both Bisphosphonates &amp; Calcium Phase 1, subsequently withdrew)</w:t>
      </w:r>
    </w:p>
    <w:p w:rsidR="00944948" w:rsidRPr="00B9614C" w:rsidRDefault="00944948" w:rsidP="00473D55">
      <w:pPr>
        <w:spacing w:line="360" w:lineRule="auto"/>
        <w:jc w:val="both"/>
        <w:rPr>
          <w:rFonts w:asciiTheme="majorBidi" w:hAnsiTheme="majorBidi" w:cstheme="majorBidi"/>
        </w:rPr>
      </w:pPr>
    </w:p>
    <w:p w:rsidR="00697CC0" w:rsidRPr="00B9614C" w:rsidRDefault="005307FB" w:rsidP="00473D55">
      <w:pPr>
        <w:spacing w:line="360" w:lineRule="auto"/>
        <w:jc w:val="both"/>
        <w:rPr>
          <w:rFonts w:asciiTheme="majorBidi" w:hAnsiTheme="majorBidi" w:cstheme="majorBidi"/>
        </w:rPr>
      </w:pPr>
      <w:r w:rsidRPr="00B9614C">
        <w:rPr>
          <w:rFonts w:asciiTheme="majorBidi" w:hAnsiTheme="majorBidi" w:cstheme="majorBidi"/>
        </w:rPr>
        <w:t xml:space="preserve">We explored the data for </w:t>
      </w:r>
      <w:r w:rsidR="0055124A" w:rsidRPr="00B9614C">
        <w:rPr>
          <w:rFonts w:asciiTheme="majorBidi" w:hAnsiTheme="majorBidi" w:cstheme="majorBidi"/>
        </w:rPr>
        <w:t>links</w:t>
      </w:r>
      <w:r w:rsidRPr="00B9614C">
        <w:rPr>
          <w:rFonts w:asciiTheme="majorBidi" w:hAnsiTheme="majorBidi" w:cstheme="majorBidi"/>
        </w:rPr>
        <w:t xml:space="preserve"> between positive self-caring attitude</w:t>
      </w:r>
      <w:r w:rsidR="0055124A" w:rsidRPr="00B9614C">
        <w:rPr>
          <w:rFonts w:asciiTheme="majorBidi" w:hAnsiTheme="majorBidi" w:cstheme="majorBidi"/>
        </w:rPr>
        <w:t>s</w:t>
      </w:r>
      <w:r w:rsidRPr="00B9614C">
        <w:rPr>
          <w:rFonts w:asciiTheme="majorBidi" w:hAnsiTheme="majorBidi" w:cstheme="majorBidi"/>
        </w:rPr>
        <w:t xml:space="preserve"> (as exemplified by women in the first interviews giving examples of longstanding commitment to weight bearing exercise and good nutrition) and active embracing of pharmacological options</w:t>
      </w:r>
      <w:r w:rsidR="00E255EC">
        <w:rPr>
          <w:rFonts w:asciiTheme="majorBidi" w:hAnsiTheme="majorBidi" w:cstheme="majorBidi"/>
        </w:rPr>
        <w:t xml:space="preserve"> for preventing fractures</w:t>
      </w:r>
      <w:r w:rsidRPr="00B9614C">
        <w:rPr>
          <w:rFonts w:asciiTheme="majorBidi" w:hAnsiTheme="majorBidi" w:cstheme="majorBidi"/>
        </w:rPr>
        <w:t xml:space="preserve">. </w:t>
      </w:r>
      <w:r w:rsidR="00697CC0" w:rsidRPr="00B9614C">
        <w:t xml:space="preserve">We </w:t>
      </w:r>
      <w:r w:rsidRPr="00B9614C">
        <w:t>also looked for an</w:t>
      </w:r>
      <w:r w:rsidR="00697CC0" w:rsidRPr="00B9614C">
        <w:t xml:space="preserve"> interrelationship between women’s ‘accepting’ versus ‘questioning’ of their risk assessment and adherence to prescribed medication, including their reported participation in the decision making process and recourse to </w:t>
      </w:r>
      <w:r w:rsidR="00462534" w:rsidRPr="00B9614C">
        <w:t xml:space="preserve">other support and information. </w:t>
      </w:r>
      <w:r w:rsidR="00697CC0" w:rsidRPr="00B9614C">
        <w:t xml:space="preserve">Neither state appeared to be linked with </w:t>
      </w:r>
      <w:r w:rsidR="002E5C63" w:rsidRPr="00B9614C">
        <w:t xml:space="preserve">long-term </w:t>
      </w:r>
      <w:r w:rsidR="00697CC0" w:rsidRPr="00B9614C">
        <w:t xml:space="preserve">adherence </w:t>
      </w:r>
      <w:r w:rsidR="0055124A" w:rsidRPr="00B9614C">
        <w:t>with</w:t>
      </w:r>
      <w:r w:rsidR="00534855" w:rsidRPr="00B9614C">
        <w:t xml:space="preserve"> equal numbers of women </w:t>
      </w:r>
      <w:r w:rsidR="00E255EC">
        <w:t xml:space="preserve">remaining adherent to their medication who were </w:t>
      </w:r>
      <w:r w:rsidR="002E5C63" w:rsidRPr="00B9614C">
        <w:t xml:space="preserve">‘questioning’ (n=7) as ‘accepting’ (n=7). </w:t>
      </w:r>
      <w:r w:rsidR="002E5C63" w:rsidRPr="00B9614C">
        <w:rPr>
          <w:rFonts w:asciiTheme="majorBidi" w:hAnsiTheme="majorBidi" w:cstheme="majorBidi"/>
        </w:rPr>
        <w:t>Furthermore</w:t>
      </w:r>
      <w:r w:rsidR="00E31C50" w:rsidRPr="00B9614C">
        <w:rPr>
          <w:rFonts w:asciiTheme="majorBidi" w:hAnsiTheme="majorBidi" w:cstheme="majorBidi"/>
        </w:rPr>
        <w:t>,</w:t>
      </w:r>
      <w:r w:rsidR="00697CC0" w:rsidRPr="00B9614C">
        <w:rPr>
          <w:rFonts w:asciiTheme="majorBidi" w:hAnsiTheme="majorBidi" w:cstheme="majorBidi"/>
        </w:rPr>
        <w:t xml:space="preserve"> there was no link to adherence from either an initial strong emotive reaction or passive acceptance</w:t>
      </w:r>
      <w:r w:rsidR="000B7262">
        <w:rPr>
          <w:rFonts w:asciiTheme="majorBidi" w:hAnsiTheme="majorBidi" w:cstheme="majorBidi"/>
        </w:rPr>
        <w:t>. For example, the following initially adherent participant had moved from a state of shock to positive acceptance, and yet gave up on her medication within a year</w:t>
      </w:r>
      <w:r w:rsidR="00697CC0" w:rsidRPr="00B9614C">
        <w:rPr>
          <w:rFonts w:asciiTheme="majorBidi" w:hAnsiTheme="majorBidi" w:cstheme="majorBidi"/>
        </w:rPr>
        <w:t>:</w:t>
      </w:r>
    </w:p>
    <w:p w:rsidR="00534855" w:rsidRPr="00B9614C" w:rsidRDefault="00534855" w:rsidP="00473D55">
      <w:pPr>
        <w:spacing w:line="360" w:lineRule="auto"/>
        <w:jc w:val="both"/>
        <w:rPr>
          <w:rFonts w:asciiTheme="majorBidi" w:hAnsiTheme="majorBidi" w:cstheme="majorBidi"/>
        </w:rPr>
      </w:pPr>
    </w:p>
    <w:p w:rsidR="00697CC0" w:rsidRPr="00B9614C" w:rsidRDefault="00697CC0" w:rsidP="00473D55">
      <w:pPr>
        <w:tabs>
          <w:tab w:val="left" w:pos="720"/>
          <w:tab w:val="left" w:pos="7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77" w:hanging="720"/>
        <w:jc w:val="both"/>
        <w:rPr>
          <w:rFonts w:asciiTheme="majorBidi" w:hAnsiTheme="majorBidi" w:cstheme="majorBidi"/>
        </w:rPr>
      </w:pPr>
      <w:r w:rsidRPr="00B9614C">
        <w:rPr>
          <w:i/>
          <w:iCs/>
        </w:rPr>
        <w:tab/>
      </w:r>
      <w:r w:rsidRPr="00B9614C">
        <w:t>Well in a way when I got over the shock I thought well I kno</w:t>
      </w:r>
      <w:r w:rsidR="007A21C9">
        <w:t>w something more about my body.</w:t>
      </w:r>
      <w:r w:rsidRPr="00B9614C">
        <w:rPr>
          <w:rFonts w:asciiTheme="majorBidi" w:hAnsiTheme="majorBidi" w:cstheme="majorBidi"/>
          <w:iCs/>
        </w:rPr>
        <w:t xml:space="preserve"> (Participant 07</w:t>
      </w:r>
      <w:r w:rsidR="00534855" w:rsidRPr="00B9614C">
        <w:rPr>
          <w:rFonts w:asciiTheme="majorBidi" w:hAnsiTheme="majorBidi" w:cstheme="majorBidi"/>
          <w:iCs/>
        </w:rPr>
        <w:t>,</w:t>
      </w:r>
      <w:r w:rsidRPr="00B9614C">
        <w:rPr>
          <w:rFonts w:asciiTheme="majorBidi" w:hAnsiTheme="majorBidi" w:cstheme="majorBidi"/>
          <w:iCs/>
        </w:rPr>
        <w:t xml:space="preserve"> age 74 - Became Non- Adherent to Bisphosphonates by Phase 2.  Adherent to Calcium)</w:t>
      </w:r>
    </w:p>
    <w:p w:rsidR="00697CC0" w:rsidRPr="00B9614C" w:rsidRDefault="00697CC0" w:rsidP="00473D55">
      <w:pPr>
        <w:spacing w:line="360" w:lineRule="auto"/>
        <w:jc w:val="both"/>
        <w:rPr>
          <w:rFonts w:asciiTheme="majorBidi" w:hAnsiTheme="majorBidi" w:cstheme="majorBidi"/>
        </w:rPr>
      </w:pPr>
    </w:p>
    <w:p w:rsidR="00D81DC9" w:rsidRDefault="00697CC0" w:rsidP="00473D55">
      <w:pPr>
        <w:spacing w:line="360" w:lineRule="auto"/>
        <w:jc w:val="both"/>
        <w:rPr>
          <w:rFonts w:asciiTheme="majorBidi" w:hAnsiTheme="majorBidi" w:cstheme="majorBidi"/>
        </w:rPr>
      </w:pPr>
      <w:r w:rsidRPr="00B9614C">
        <w:rPr>
          <w:rFonts w:asciiTheme="majorBidi" w:hAnsiTheme="majorBidi" w:cstheme="majorBidi"/>
        </w:rPr>
        <w:t>However, the long-term and hidden changes of bones which ‘thin’ or ‘crumble’ seemed a lower priority than other illnesses</w:t>
      </w:r>
      <w:r w:rsidR="002E5C63" w:rsidRPr="00B9614C">
        <w:rPr>
          <w:rFonts w:asciiTheme="majorBidi" w:hAnsiTheme="majorBidi" w:cstheme="majorBidi"/>
        </w:rPr>
        <w:t>. P</w:t>
      </w:r>
      <w:r w:rsidRPr="00B9614C">
        <w:rPr>
          <w:rFonts w:asciiTheme="majorBidi" w:hAnsiTheme="majorBidi" w:cstheme="majorBidi"/>
        </w:rPr>
        <w:t>articipants’ recall of medication reviews mirror</w:t>
      </w:r>
      <w:r w:rsidR="002E5C63" w:rsidRPr="00B9614C">
        <w:rPr>
          <w:rFonts w:asciiTheme="majorBidi" w:hAnsiTheme="majorBidi" w:cstheme="majorBidi"/>
        </w:rPr>
        <w:t>ed</w:t>
      </w:r>
      <w:r w:rsidRPr="00B9614C">
        <w:rPr>
          <w:rFonts w:asciiTheme="majorBidi" w:hAnsiTheme="majorBidi" w:cstheme="majorBidi"/>
        </w:rPr>
        <w:t xml:space="preserve"> this, with </w:t>
      </w:r>
      <w:r w:rsidR="002E5C63" w:rsidRPr="00B9614C">
        <w:rPr>
          <w:rFonts w:asciiTheme="majorBidi" w:hAnsiTheme="majorBidi" w:cstheme="majorBidi"/>
        </w:rPr>
        <w:t>most</w:t>
      </w:r>
      <w:r w:rsidRPr="00B9614C">
        <w:rPr>
          <w:rFonts w:asciiTheme="majorBidi" w:hAnsiTheme="majorBidi" w:cstheme="majorBidi"/>
        </w:rPr>
        <w:t xml:space="preserve"> women reporting that their osteoporosis medications was rarely reviewed </w:t>
      </w:r>
      <w:r w:rsidR="00462534" w:rsidRPr="00B9614C">
        <w:rPr>
          <w:rFonts w:asciiTheme="majorBidi" w:hAnsiTheme="majorBidi" w:cstheme="majorBidi"/>
        </w:rPr>
        <w:t xml:space="preserve">or mentioned in consultations. </w:t>
      </w:r>
    </w:p>
    <w:p w:rsidR="00D81DC9" w:rsidRDefault="00D81DC9" w:rsidP="00473D55">
      <w:pPr>
        <w:spacing w:line="360" w:lineRule="auto"/>
        <w:jc w:val="both"/>
        <w:rPr>
          <w:rFonts w:asciiTheme="majorBidi" w:hAnsiTheme="majorBidi" w:cstheme="majorBidi"/>
        </w:rPr>
      </w:pPr>
    </w:p>
    <w:p w:rsidR="00D81DC9" w:rsidRPr="00A3434C" w:rsidRDefault="00D44252" w:rsidP="00473D55">
      <w:pPr>
        <w:spacing w:line="360" w:lineRule="auto"/>
        <w:jc w:val="both"/>
        <w:rPr>
          <w:rFonts w:asciiTheme="majorBidi" w:hAnsiTheme="majorBidi" w:cstheme="majorBidi"/>
          <w:b/>
        </w:rPr>
      </w:pPr>
      <w:r w:rsidRPr="00D44252">
        <w:rPr>
          <w:rFonts w:asciiTheme="majorBidi" w:hAnsiTheme="majorBidi" w:cstheme="majorBidi"/>
          <w:b/>
        </w:rPr>
        <w:t>Anticipating and managing side effects</w:t>
      </w:r>
    </w:p>
    <w:p w:rsidR="00710262" w:rsidRPr="00B9614C" w:rsidRDefault="00710262" w:rsidP="00A763B0">
      <w:pPr>
        <w:spacing w:line="360" w:lineRule="auto"/>
        <w:jc w:val="both"/>
        <w:rPr>
          <w:rFonts w:asciiTheme="majorBidi" w:hAnsiTheme="majorBidi" w:cstheme="majorBidi"/>
          <w:noProof/>
        </w:rPr>
      </w:pPr>
      <w:r>
        <w:rPr>
          <w:rFonts w:asciiTheme="majorBidi" w:hAnsiTheme="majorBidi" w:cstheme="majorBidi"/>
        </w:rPr>
        <w:t>Eighteen</w:t>
      </w:r>
      <w:r w:rsidRPr="00B9614C">
        <w:rPr>
          <w:rFonts w:asciiTheme="majorBidi" w:hAnsiTheme="majorBidi" w:cstheme="majorBidi"/>
        </w:rPr>
        <w:t xml:space="preserve"> </w:t>
      </w:r>
      <w:r w:rsidRPr="00B9614C">
        <w:rPr>
          <w:rFonts w:asciiTheme="majorBidi" w:hAnsiTheme="majorBidi" w:cstheme="majorBidi"/>
          <w:noProof/>
        </w:rPr>
        <w:t>women experienc</w:t>
      </w:r>
      <w:r>
        <w:rPr>
          <w:rFonts w:asciiTheme="majorBidi" w:hAnsiTheme="majorBidi" w:cstheme="majorBidi"/>
          <w:noProof/>
        </w:rPr>
        <w:t>ed</w:t>
      </w:r>
      <w:r w:rsidRPr="00B9614C">
        <w:rPr>
          <w:rFonts w:asciiTheme="majorBidi" w:hAnsiTheme="majorBidi" w:cstheme="majorBidi"/>
          <w:noProof/>
        </w:rPr>
        <w:t xml:space="preserve"> side effects from mild to very severe. These ranged from unsettled stomach problems to violent nausea, vomiting bile, and burning: </w:t>
      </w:r>
    </w:p>
    <w:p w:rsidR="00710262" w:rsidRPr="00B9614C" w:rsidRDefault="00710262" w:rsidP="00710262">
      <w:pPr>
        <w:jc w:val="both"/>
        <w:rPr>
          <w:rFonts w:asciiTheme="majorBidi" w:hAnsiTheme="majorBidi" w:cstheme="majorBidi"/>
          <w:noProof/>
        </w:rPr>
      </w:pPr>
    </w:p>
    <w:p w:rsidR="00710262" w:rsidRPr="00B9614C" w:rsidRDefault="00710262" w:rsidP="00710262">
      <w:pPr>
        <w:spacing w:line="360" w:lineRule="auto"/>
        <w:ind w:left="720"/>
        <w:jc w:val="both"/>
        <w:rPr>
          <w:rFonts w:asciiTheme="majorBidi" w:hAnsiTheme="majorBidi" w:cstheme="majorBidi"/>
          <w:iCs/>
        </w:rPr>
      </w:pPr>
      <w:r w:rsidRPr="00B9614C">
        <w:rPr>
          <w:rFonts w:asciiTheme="majorBidi" w:hAnsiTheme="majorBidi" w:cstheme="majorBidi"/>
        </w:rPr>
        <w:t xml:space="preserve">They’re </w:t>
      </w:r>
      <w:r w:rsidRPr="00B9614C">
        <w:rPr>
          <w:rFonts w:asciiTheme="majorBidi" w:hAnsiTheme="majorBidi" w:cstheme="majorBidi"/>
          <w:i/>
          <w:iCs/>
        </w:rPr>
        <w:t>horrible</w:t>
      </w:r>
      <w:r w:rsidRPr="00B9614C">
        <w:rPr>
          <w:rFonts w:asciiTheme="majorBidi" w:hAnsiTheme="majorBidi" w:cstheme="majorBidi"/>
        </w:rPr>
        <w:t xml:space="preserve"> they really were. Well I mean honestly I got a really sore stomach and then on Monday my stomach was really bad and honestly it just felt full of air an</w:t>
      </w:r>
      <w:r>
        <w:rPr>
          <w:rFonts w:asciiTheme="majorBidi" w:hAnsiTheme="majorBidi" w:cstheme="majorBidi"/>
        </w:rPr>
        <w:t>d I’d touch it and it was sore.</w:t>
      </w:r>
      <w:r w:rsidRPr="00B9614C">
        <w:rPr>
          <w:rFonts w:asciiTheme="majorBidi" w:hAnsiTheme="majorBidi" w:cstheme="majorBidi"/>
        </w:rPr>
        <w:t xml:space="preserve"> </w:t>
      </w:r>
      <w:r w:rsidRPr="00B9614C">
        <w:rPr>
          <w:rFonts w:asciiTheme="majorBidi" w:hAnsiTheme="majorBidi" w:cstheme="majorBidi"/>
          <w:iCs/>
        </w:rPr>
        <w:t>(Participant 24, age 80 - Adherent to both Bisphosphonates &amp; Calcium Phase 1, subsequently withdrew)</w:t>
      </w:r>
    </w:p>
    <w:p w:rsidR="00710262" w:rsidRDefault="00710262" w:rsidP="00710262">
      <w:pPr>
        <w:spacing w:line="360" w:lineRule="auto"/>
        <w:jc w:val="both"/>
        <w:rPr>
          <w:rFonts w:asciiTheme="majorBidi" w:hAnsiTheme="majorBidi" w:cstheme="majorBidi"/>
          <w:noProof/>
        </w:rPr>
      </w:pPr>
    </w:p>
    <w:p w:rsidR="00710262" w:rsidRPr="004B7E4D" w:rsidRDefault="00710262" w:rsidP="00A763B0">
      <w:pPr>
        <w:spacing w:line="360" w:lineRule="auto"/>
        <w:jc w:val="both"/>
        <w:rPr>
          <w:rFonts w:asciiTheme="majorBidi" w:hAnsiTheme="majorBidi" w:cstheme="majorBidi"/>
          <w:noProof/>
        </w:rPr>
      </w:pPr>
      <w:r w:rsidRPr="004B7E4D">
        <w:rPr>
          <w:rFonts w:asciiTheme="majorBidi" w:hAnsiTheme="majorBidi" w:cstheme="majorBidi"/>
          <w:noProof/>
        </w:rPr>
        <w:t>While severe side effects were linked to non-adherence, there was no simple relationship between side effects and persisting with medication, some trying up to 3 different medications</w:t>
      </w:r>
      <w:r w:rsidR="00672A29">
        <w:rPr>
          <w:rFonts w:asciiTheme="majorBidi" w:hAnsiTheme="majorBidi" w:cstheme="majorBidi"/>
          <w:noProof/>
        </w:rPr>
        <w:t xml:space="preserve">. </w:t>
      </w:r>
      <w:r w:rsidR="00A763B0">
        <w:rPr>
          <w:rFonts w:asciiTheme="majorBidi" w:hAnsiTheme="majorBidi" w:cstheme="majorBidi"/>
          <w:noProof/>
        </w:rPr>
        <w:t>In fact, the anticipation of side effects seemed to be enough to put off some participants, with t</w:t>
      </w:r>
      <w:r w:rsidRPr="004B7E4D">
        <w:rPr>
          <w:rFonts w:asciiTheme="majorBidi" w:hAnsiTheme="majorBidi" w:cstheme="majorBidi"/>
          <w:noProof/>
        </w:rPr>
        <w:t xml:space="preserve">hree </w:t>
      </w:r>
      <w:r w:rsidR="00A763B0">
        <w:rPr>
          <w:rFonts w:asciiTheme="majorBidi" w:hAnsiTheme="majorBidi" w:cstheme="majorBidi"/>
          <w:noProof/>
        </w:rPr>
        <w:t xml:space="preserve">in particular reporting that they </w:t>
      </w:r>
      <w:r w:rsidRPr="004B7E4D">
        <w:rPr>
          <w:rFonts w:asciiTheme="majorBidi" w:hAnsiTheme="majorBidi" w:cstheme="majorBidi"/>
          <w:noProof/>
        </w:rPr>
        <w:t xml:space="preserve">were put off by </w:t>
      </w:r>
      <w:r w:rsidR="00A763B0">
        <w:rPr>
          <w:rFonts w:asciiTheme="majorBidi" w:hAnsiTheme="majorBidi" w:cstheme="majorBidi"/>
          <w:noProof/>
        </w:rPr>
        <w:t xml:space="preserve">the possible </w:t>
      </w:r>
      <w:r w:rsidRPr="004B7E4D">
        <w:rPr>
          <w:rFonts w:asciiTheme="majorBidi" w:hAnsiTheme="majorBidi" w:cstheme="majorBidi"/>
          <w:noProof/>
        </w:rPr>
        <w:t>side effects described in the medicines information leaflet</w:t>
      </w:r>
      <w:r w:rsidR="00A763B0">
        <w:rPr>
          <w:rFonts w:asciiTheme="majorBidi" w:hAnsiTheme="majorBidi" w:cstheme="majorBidi"/>
          <w:noProof/>
        </w:rPr>
        <w:t>. E</w:t>
      </w:r>
      <w:r w:rsidRPr="004B7E4D">
        <w:rPr>
          <w:rFonts w:asciiTheme="majorBidi" w:hAnsiTheme="majorBidi" w:cstheme="majorBidi"/>
          <w:noProof/>
        </w:rPr>
        <w:t>ven the name ‘alendronic acid’</w:t>
      </w:r>
      <w:r w:rsidR="00A763B0">
        <w:rPr>
          <w:rFonts w:asciiTheme="majorBidi" w:hAnsiTheme="majorBidi" w:cstheme="majorBidi"/>
          <w:noProof/>
        </w:rPr>
        <w:t xml:space="preserve"> was cause for concern for some</w:t>
      </w:r>
      <w:r w:rsidRPr="004B7E4D">
        <w:rPr>
          <w:rFonts w:asciiTheme="majorBidi" w:hAnsiTheme="majorBidi" w:cstheme="majorBidi"/>
          <w:noProof/>
        </w:rPr>
        <w:t xml:space="preserve">: </w:t>
      </w:r>
    </w:p>
    <w:p w:rsidR="00710262" w:rsidRPr="004B7E4D" w:rsidRDefault="00710262" w:rsidP="00710262">
      <w:pPr>
        <w:spacing w:line="360" w:lineRule="auto"/>
        <w:jc w:val="both"/>
        <w:rPr>
          <w:rFonts w:asciiTheme="majorBidi" w:hAnsiTheme="majorBidi" w:cstheme="majorBidi"/>
          <w:noProof/>
        </w:rPr>
      </w:pPr>
    </w:p>
    <w:p w:rsidR="00710262" w:rsidRPr="00B9614C" w:rsidRDefault="00710262" w:rsidP="00710262">
      <w:pPr>
        <w:spacing w:line="360" w:lineRule="auto"/>
        <w:ind w:left="720"/>
        <w:jc w:val="both"/>
        <w:rPr>
          <w:rFonts w:asciiTheme="majorBidi" w:hAnsiTheme="majorBidi" w:cstheme="majorBidi"/>
          <w:noProof/>
        </w:rPr>
      </w:pPr>
      <w:r w:rsidRPr="004B7E4D">
        <w:rPr>
          <w:rFonts w:asciiTheme="majorBidi" w:hAnsiTheme="majorBidi" w:cstheme="majorBidi"/>
          <w:noProof/>
        </w:rPr>
        <w:t xml:space="preserve">Because it says </w:t>
      </w:r>
      <w:r w:rsidRPr="004B7E4D">
        <w:rPr>
          <w:rFonts w:asciiTheme="majorBidi" w:hAnsiTheme="majorBidi" w:cstheme="majorBidi"/>
          <w:i/>
          <w:iCs/>
          <w:noProof/>
        </w:rPr>
        <w:t>acid</w:t>
      </w:r>
      <w:r w:rsidRPr="004B7E4D">
        <w:rPr>
          <w:rFonts w:asciiTheme="majorBidi" w:hAnsiTheme="majorBidi" w:cstheme="majorBidi"/>
          <w:noProof/>
        </w:rPr>
        <w:t xml:space="preserve"> (laughs). It isn’t a natural thing. I just don’t like the idea of taki</w:t>
      </w:r>
      <w:r>
        <w:rPr>
          <w:rFonts w:asciiTheme="majorBidi" w:hAnsiTheme="majorBidi" w:cstheme="majorBidi"/>
          <w:noProof/>
        </w:rPr>
        <w:t>ng an acid and not lying down.</w:t>
      </w:r>
      <w:r w:rsidRPr="004B7E4D">
        <w:rPr>
          <w:rFonts w:asciiTheme="majorBidi" w:hAnsiTheme="majorBidi" w:cstheme="majorBidi"/>
          <w:noProof/>
        </w:rPr>
        <w:t xml:space="preserve"> (Participant 13, age 75 – became adherent by Phase 2. Adherent to Calcium)</w:t>
      </w:r>
    </w:p>
    <w:p w:rsidR="00710262" w:rsidRDefault="00710262" w:rsidP="00473D55">
      <w:pPr>
        <w:spacing w:line="360" w:lineRule="auto"/>
        <w:jc w:val="both"/>
        <w:rPr>
          <w:rFonts w:asciiTheme="majorBidi" w:hAnsiTheme="majorBidi" w:cstheme="majorBidi"/>
        </w:rPr>
      </w:pPr>
    </w:p>
    <w:p w:rsidR="00697CC0" w:rsidRPr="00B9614C" w:rsidRDefault="00697CC0" w:rsidP="00473D55">
      <w:pPr>
        <w:spacing w:line="360" w:lineRule="auto"/>
        <w:jc w:val="both"/>
        <w:rPr>
          <w:rFonts w:asciiTheme="majorBidi" w:hAnsiTheme="majorBidi" w:cstheme="majorBidi"/>
          <w:noProof/>
        </w:rPr>
      </w:pPr>
      <w:r w:rsidRPr="00B9614C">
        <w:rPr>
          <w:rFonts w:asciiTheme="majorBidi" w:hAnsiTheme="majorBidi" w:cstheme="majorBidi"/>
        </w:rPr>
        <w:t xml:space="preserve">The need for support </w:t>
      </w:r>
      <w:r w:rsidR="00672A29">
        <w:rPr>
          <w:rFonts w:asciiTheme="majorBidi" w:hAnsiTheme="majorBidi" w:cstheme="majorBidi"/>
        </w:rPr>
        <w:t>concerning side effects</w:t>
      </w:r>
      <w:r w:rsidRPr="00B9614C">
        <w:rPr>
          <w:rFonts w:asciiTheme="majorBidi" w:hAnsiTheme="majorBidi" w:cstheme="majorBidi"/>
        </w:rPr>
        <w:t xml:space="preserve"> was also highlighted by a number of non-adherent women who anticipated side effects</w:t>
      </w:r>
      <w:r w:rsidR="00C626CD" w:rsidRPr="00B9614C">
        <w:rPr>
          <w:rFonts w:asciiTheme="majorBidi" w:hAnsiTheme="majorBidi" w:cstheme="majorBidi"/>
        </w:rPr>
        <w:t xml:space="preserve"> that might aggravate existing problems</w:t>
      </w:r>
      <w:r w:rsidRPr="00B9614C">
        <w:rPr>
          <w:rFonts w:asciiTheme="majorBidi" w:hAnsiTheme="majorBidi" w:cstheme="majorBidi"/>
          <w:noProof/>
        </w:rPr>
        <w:t>:</w:t>
      </w:r>
    </w:p>
    <w:p w:rsidR="00534855" w:rsidRPr="00B9614C" w:rsidRDefault="00534855" w:rsidP="00473D55">
      <w:pPr>
        <w:spacing w:line="360" w:lineRule="auto"/>
        <w:jc w:val="both"/>
        <w:rPr>
          <w:rFonts w:asciiTheme="majorBidi" w:hAnsiTheme="majorBidi" w:cstheme="majorBidi"/>
          <w:noProof/>
        </w:rPr>
      </w:pPr>
    </w:p>
    <w:p w:rsidR="00697CC0" w:rsidRPr="00B9614C" w:rsidRDefault="00697CC0" w:rsidP="00473D55">
      <w:pPr>
        <w:spacing w:line="360" w:lineRule="auto"/>
        <w:ind w:left="720"/>
        <w:jc w:val="both"/>
        <w:rPr>
          <w:rFonts w:asciiTheme="majorBidi" w:hAnsiTheme="majorBidi" w:cstheme="majorBidi"/>
        </w:rPr>
      </w:pPr>
      <w:r w:rsidRPr="00B9614C">
        <w:rPr>
          <w:rFonts w:asciiTheme="majorBidi" w:hAnsiTheme="majorBidi" w:cstheme="majorBidi"/>
        </w:rPr>
        <w:t xml:space="preserve">To me it seemed more important that I, you know, (avoid) this reflux than breaking my hip because I thought I can be </w:t>
      </w:r>
      <w:r w:rsidRPr="00B9614C">
        <w:rPr>
          <w:rFonts w:asciiTheme="majorBidi" w:hAnsiTheme="majorBidi" w:cstheme="majorBidi"/>
          <w:i/>
          <w:iCs/>
        </w:rPr>
        <w:t>careful</w:t>
      </w:r>
      <w:r w:rsidR="007A21C9">
        <w:rPr>
          <w:rFonts w:asciiTheme="majorBidi" w:hAnsiTheme="majorBidi" w:cstheme="majorBidi"/>
        </w:rPr>
        <w:t>.</w:t>
      </w:r>
      <w:r w:rsidRPr="00B9614C">
        <w:rPr>
          <w:rFonts w:asciiTheme="majorBidi" w:hAnsiTheme="majorBidi" w:cstheme="majorBidi"/>
        </w:rPr>
        <w:t xml:space="preserve"> (Participant</w:t>
      </w:r>
      <w:r w:rsidR="00534855" w:rsidRPr="00B9614C">
        <w:rPr>
          <w:rFonts w:asciiTheme="majorBidi" w:hAnsiTheme="majorBidi" w:cstheme="majorBidi"/>
        </w:rPr>
        <w:t xml:space="preserve"> 23, age</w:t>
      </w:r>
      <w:r w:rsidRPr="00B9614C">
        <w:rPr>
          <w:rFonts w:asciiTheme="majorBidi" w:hAnsiTheme="majorBidi" w:cstheme="majorBidi"/>
        </w:rPr>
        <w:t xml:space="preserve"> 81 – tried one Bisphosphonate tablet only. Non-starter Calcium)</w:t>
      </w:r>
    </w:p>
    <w:p w:rsidR="00697CC0" w:rsidRPr="00B9614C" w:rsidRDefault="00697CC0" w:rsidP="00473D55">
      <w:pPr>
        <w:spacing w:line="360" w:lineRule="auto"/>
        <w:ind w:left="720"/>
        <w:jc w:val="both"/>
        <w:rPr>
          <w:rFonts w:asciiTheme="majorBidi" w:hAnsiTheme="majorBidi" w:cstheme="majorBidi"/>
        </w:rPr>
      </w:pPr>
    </w:p>
    <w:p w:rsidR="00697CC0" w:rsidRPr="00B9614C" w:rsidRDefault="00697CC0" w:rsidP="00B76C79">
      <w:pPr>
        <w:spacing w:line="360" w:lineRule="auto"/>
        <w:ind w:left="720"/>
        <w:jc w:val="both"/>
        <w:rPr>
          <w:rFonts w:asciiTheme="majorBidi" w:hAnsiTheme="majorBidi" w:cstheme="majorBidi"/>
        </w:rPr>
      </w:pPr>
      <w:r w:rsidRPr="00B9614C">
        <w:rPr>
          <w:rFonts w:asciiTheme="majorBidi" w:hAnsiTheme="majorBidi" w:cstheme="majorBidi"/>
        </w:rPr>
        <w:t xml:space="preserve">The tablets that he gave me when I read the side effects it was like a </w:t>
      </w:r>
      <w:r w:rsidRPr="00B9614C">
        <w:rPr>
          <w:rFonts w:asciiTheme="majorBidi" w:hAnsiTheme="majorBidi" w:cstheme="majorBidi"/>
          <w:i/>
          <w:iCs/>
        </w:rPr>
        <w:t>horror film</w:t>
      </w:r>
      <w:r w:rsidRPr="00B9614C">
        <w:rPr>
          <w:rFonts w:asciiTheme="majorBidi" w:hAnsiTheme="majorBidi" w:cstheme="majorBidi"/>
        </w:rPr>
        <w:t xml:space="preserve"> really</w:t>
      </w:r>
      <w:r w:rsidR="00920552" w:rsidRPr="00B9614C">
        <w:rPr>
          <w:rFonts w:asciiTheme="majorBidi" w:hAnsiTheme="majorBidi" w:cstheme="majorBidi"/>
        </w:rPr>
        <w:t>. A</w:t>
      </w:r>
      <w:r w:rsidRPr="00B9614C">
        <w:rPr>
          <w:rFonts w:asciiTheme="majorBidi" w:hAnsiTheme="majorBidi" w:cstheme="majorBidi"/>
        </w:rPr>
        <w:t>nd I thought well I’m better off chancing</w:t>
      </w:r>
      <w:r w:rsidR="00E31C50" w:rsidRPr="00B9614C">
        <w:rPr>
          <w:rFonts w:asciiTheme="majorBidi" w:hAnsiTheme="majorBidi" w:cstheme="majorBidi"/>
        </w:rPr>
        <w:t>,</w:t>
      </w:r>
      <w:r w:rsidRPr="00B9614C">
        <w:rPr>
          <w:rFonts w:asciiTheme="majorBidi" w:hAnsiTheme="majorBidi" w:cstheme="majorBidi"/>
        </w:rPr>
        <w:t xml:space="preserve"> sort of breaking a bone</w:t>
      </w:r>
      <w:r w:rsidR="00E31C50" w:rsidRPr="00B9614C">
        <w:rPr>
          <w:rFonts w:asciiTheme="majorBidi" w:hAnsiTheme="majorBidi" w:cstheme="majorBidi"/>
        </w:rPr>
        <w:t>,</w:t>
      </w:r>
      <w:r w:rsidRPr="00B9614C">
        <w:rPr>
          <w:rFonts w:asciiTheme="majorBidi" w:hAnsiTheme="majorBidi" w:cstheme="majorBidi"/>
        </w:rPr>
        <w:t xml:space="preserve"> than all the horrible things it said on there about </w:t>
      </w:r>
      <w:r w:rsidR="00B76C79" w:rsidRPr="00B9614C">
        <w:rPr>
          <w:rFonts w:asciiTheme="majorBidi" w:hAnsiTheme="majorBidi" w:cstheme="majorBidi"/>
        </w:rPr>
        <w:t xml:space="preserve">(how) </w:t>
      </w:r>
      <w:r w:rsidRPr="00B9614C">
        <w:rPr>
          <w:rFonts w:asciiTheme="majorBidi" w:hAnsiTheme="majorBidi" w:cstheme="majorBidi"/>
        </w:rPr>
        <w:t>you could get these stomach ulcers and all things like that</w:t>
      </w:r>
      <w:r w:rsidR="00B76C79" w:rsidRPr="00B9614C">
        <w:rPr>
          <w:rFonts w:asciiTheme="majorBidi" w:hAnsiTheme="majorBidi" w:cstheme="majorBidi"/>
        </w:rPr>
        <w:t>. A</w:t>
      </w:r>
      <w:r w:rsidRPr="00B9614C">
        <w:rPr>
          <w:rFonts w:asciiTheme="majorBidi" w:hAnsiTheme="majorBidi" w:cstheme="majorBidi"/>
        </w:rPr>
        <w:t>nd I do suffer sort of with h</w:t>
      </w:r>
      <w:r w:rsidR="00B76C79" w:rsidRPr="00B9614C">
        <w:rPr>
          <w:rFonts w:asciiTheme="majorBidi" w:hAnsiTheme="majorBidi" w:cstheme="majorBidi"/>
        </w:rPr>
        <w:t xml:space="preserve">eartburn and things like that. </w:t>
      </w:r>
      <w:r w:rsidR="00C626CD" w:rsidRPr="00B9614C">
        <w:rPr>
          <w:rFonts w:asciiTheme="majorBidi" w:hAnsiTheme="majorBidi" w:cstheme="majorBidi"/>
        </w:rPr>
        <w:t>Y</w:t>
      </w:r>
      <w:r w:rsidRPr="00B9614C">
        <w:rPr>
          <w:rFonts w:asciiTheme="majorBidi" w:hAnsiTheme="majorBidi" w:cstheme="majorBidi"/>
        </w:rPr>
        <w:t>ou have to sort of keep upright for so long after taking the tablets</w:t>
      </w:r>
      <w:r w:rsidR="00B76C79" w:rsidRPr="00B9614C">
        <w:rPr>
          <w:rFonts w:asciiTheme="majorBidi" w:hAnsiTheme="majorBidi" w:cstheme="majorBidi"/>
        </w:rPr>
        <w:t>.</w:t>
      </w:r>
      <w:r w:rsidRPr="00B9614C">
        <w:rPr>
          <w:rFonts w:asciiTheme="majorBidi" w:hAnsiTheme="majorBidi" w:cstheme="majorBidi"/>
        </w:rPr>
        <w:t xml:space="preserve"> I thought well I’m better off as I am</w:t>
      </w:r>
      <w:r w:rsidR="007A21C9">
        <w:rPr>
          <w:rFonts w:asciiTheme="majorBidi" w:hAnsiTheme="majorBidi" w:cstheme="majorBidi"/>
        </w:rPr>
        <w:t xml:space="preserve"> than more things wrong really.</w:t>
      </w:r>
      <w:r w:rsidRPr="00B9614C">
        <w:rPr>
          <w:rFonts w:asciiTheme="majorBidi" w:hAnsiTheme="majorBidi" w:cstheme="majorBidi"/>
        </w:rPr>
        <w:t xml:space="preserve"> (Participant 21</w:t>
      </w:r>
      <w:r w:rsidR="00534855" w:rsidRPr="00B9614C">
        <w:rPr>
          <w:rFonts w:asciiTheme="majorBidi" w:hAnsiTheme="majorBidi" w:cstheme="majorBidi"/>
        </w:rPr>
        <w:t>,</w:t>
      </w:r>
      <w:r w:rsidRPr="00B9614C">
        <w:rPr>
          <w:rFonts w:asciiTheme="majorBidi" w:hAnsiTheme="majorBidi" w:cstheme="majorBidi"/>
        </w:rPr>
        <w:t xml:space="preserve"> age 75 – non-starter Bisphosphonates and Calcium)</w:t>
      </w:r>
    </w:p>
    <w:p w:rsidR="00697CC0" w:rsidRPr="00B9614C" w:rsidRDefault="00697CC0" w:rsidP="00473D55">
      <w:pPr>
        <w:spacing w:line="360" w:lineRule="auto"/>
        <w:jc w:val="both"/>
        <w:rPr>
          <w:rFonts w:asciiTheme="majorBidi" w:hAnsiTheme="majorBidi" w:cstheme="majorBidi"/>
          <w:iCs/>
          <w:noProof/>
        </w:rPr>
      </w:pPr>
    </w:p>
    <w:p w:rsidR="00697CC0" w:rsidRPr="00B9614C" w:rsidRDefault="00697CC0" w:rsidP="00473D55">
      <w:pPr>
        <w:spacing w:line="360" w:lineRule="auto"/>
        <w:jc w:val="both"/>
        <w:rPr>
          <w:rFonts w:asciiTheme="majorBidi" w:hAnsiTheme="majorBidi" w:cstheme="majorBidi"/>
          <w:b/>
          <w:iCs/>
          <w:noProof/>
        </w:rPr>
      </w:pPr>
      <w:r w:rsidRPr="00B9614C">
        <w:rPr>
          <w:rFonts w:asciiTheme="majorBidi" w:hAnsiTheme="majorBidi" w:cstheme="majorBidi"/>
          <w:b/>
          <w:iCs/>
          <w:noProof/>
        </w:rPr>
        <w:t>Problems of understanding</w:t>
      </w:r>
    </w:p>
    <w:p w:rsidR="00697CC0" w:rsidRPr="00B9614C" w:rsidRDefault="00DA7488" w:rsidP="00473D55">
      <w:pPr>
        <w:spacing w:line="360" w:lineRule="auto"/>
        <w:jc w:val="both"/>
        <w:rPr>
          <w:rFonts w:asciiTheme="majorBidi" w:hAnsiTheme="majorBidi" w:cstheme="majorBidi"/>
        </w:rPr>
      </w:pPr>
      <w:r>
        <w:rPr>
          <w:rFonts w:asciiTheme="majorBidi" w:hAnsiTheme="majorBidi" w:cstheme="majorBidi"/>
          <w:iCs/>
          <w:noProof/>
        </w:rPr>
        <w:t xml:space="preserve">A number of problems of understanding were evident in the interviews regarding osteoporosis risk, prevention and management in older women. </w:t>
      </w:r>
      <w:r w:rsidR="00697CC0" w:rsidRPr="00B9614C">
        <w:rPr>
          <w:rFonts w:asciiTheme="majorBidi" w:hAnsiTheme="majorBidi" w:cstheme="majorBidi"/>
          <w:iCs/>
          <w:noProof/>
        </w:rPr>
        <w:t xml:space="preserve">Although there was fear and concern about developing osteoporosis, there was </w:t>
      </w:r>
      <w:r w:rsidR="00E255EC">
        <w:rPr>
          <w:rFonts w:asciiTheme="majorBidi" w:hAnsiTheme="majorBidi" w:cstheme="majorBidi"/>
          <w:iCs/>
          <w:noProof/>
        </w:rPr>
        <w:t>also</w:t>
      </w:r>
      <w:r w:rsidR="00710262">
        <w:rPr>
          <w:rFonts w:asciiTheme="majorBidi" w:hAnsiTheme="majorBidi" w:cstheme="majorBidi"/>
          <w:iCs/>
          <w:noProof/>
        </w:rPr>
        <w:t xml:space="preserve"> </w:t>
      </w:r>
      <w:r w:rsidR="00697CC0" w:rsidRPr="00B9614C">
        <w:rPr>
          <w:rFonts w:asciiTheme="majorBidi" w:hAnsiTheme="majorBidi" w:cstheme="majorBidi"/>
          <w:iCs/>
          <w:noProof/>
        </w:rPr>
        <w:t>a perception that falling and fracturing were normal in old age</w:t>
      </w:r>
      <w:r w:rsidR="00462534" w:rsidRPr="00B9614C">
        <w:rPr>
          <w:iCs/>
          <w:noProof/>
        </w:rPr>
        <w:t xml:space="preserve">. </w:t>
      </w:r>
      <w:r w:rsidR="00697CC0" w:rsidRPr="00B9614C">
        <w:rPr>
          <w:iCs/>
          <w:noProof/>
        </w:rPr>
        <w:t xml:space="preserve">Others </w:t>
      </w:r>
      <w:r w:rsidR="00697CC0" w:rsidRPr="00B9614C">
        <w:t>debated</w:t>
      </w:r>
      <w:r w:rsidR="005307FB" w:rsidRPr="00B9614C">
        <w:t xml:space="preserve"> the magnitude of </w:t>
      </w:r>
      <w:r w:rsidR="00697CC0" w:rsidRPr="00B9614C">
        <w:t>risk, es</w:t>
      </w:r>
      <w:r w:rsidR="005307FB" w:rsidRPr="00B9614C">
        <w:t xml:space="preserve">pecially when compared to </w:t>
      </w:r>
      <w:r w:rsidR="00697CC0" w:rsidRPr="00B9614C">
        <w:t>problems such as diabetes and heart disease</w:t>
      </w:r>
      <w:r w:rsidR="00462534" w:rsidRPr="00B9614C">
        <w:rPr>
          <w:iCs/>
          <w:noProof/>
        </w:rPr>
        <w:t xml:space="preserve">. </w:t>
      </w:r>
      <w:r w:rsidR="00697CC0" w:rsidRPr="00B9614C">
        <w:t xml:space="preserve">Some women questioned why the </w:t>
      </w:r>
      <w:r w:rsidR="00DE43A2" w:rsidRPr="00B9614C">
        <w:rPr>
          <w:rFonts w:asciiTheme="majorBidi" w:hAnsiTheme="majorBidi" w:cstheme="majorBidi"/>
        </w:rPr>
        <w:t>Dual energy X-ray Absorbtiometry</w:t>
      </w:r>
      <w:r w:rsidR="005307FB" w:rsidRPr="00B9614C">
        <w:t xml:space="preserve"> </w:t>
      </w:r>
      <w:r w:rsidR="00697CC0" w:rsidRPr="00B9614C">
        <w:t>screening had not been repeated to monitor the eff</w:t>
      </w:r>
      <w:r w:rsidR="00534855" w:rsidRPr="00B9614C">
        <w:t xml:space="preserve">ectiveness of the medication. </w:t>
      </w:r>
      <w:r w:rsidR="00697CC0" w:rsidRPr="00B9614C">
        <w:t>Nine patients adherent at Phase 1 mentioned this specifically, and 3 of these had become non-adherent by Phase 2</w:t>
      </w:r>
      <w:r w:rsidR="00697CC0" w:rsidRPr="00B9614C">
        <w:rPr>
          <w:rFonts w:asciiTheme="majorBidi" w:hAnsiTheme="majorBidi" w:cstheme="majorBidi"/>
        </w:rPr>
        <w:t xml:space="preserve">: </w:t>
      </w:r>
    </w:p>
    <w:p w:rsidR="00534855" w:rsidRPr="00B9614C" w:rsidRDefault="00534855" w:rsidP="00473D55">
      <w:pPr>
        <w:spacing w:line="360" w:lineRule="auto"/>
        <w:jc w:val="both"/>
        <w:rPr>
          <w:rFonts w:asciiTheme="majorBidi" w:hAnsiTheme="majorBidi" w:cstheme="majorBidi"/>
        </w:rPr>
      </w:pPr>
    </w:p>
    <w:p w:rsidR="00697CC0" w:rsidRPr="00B9614C" w:rsidRDefault="00697CC0" w:rsidP="00B76C79">
      <w:pPr>
        <w:spacing w:line="360" w:lineRule="auto"/>
        <w:ind w:left="720"/>
        <w:jc w:val="both"/>
        <w:rPr>
          <w:rFonts w:asciiTheme="majorBidi" w:hAnsiTheme="majorBidi" w:cstheme="majorBidi"/>
          <w:iCs/>
        </w:rPr>
      </w:pPr>
      <w:r w:rsidRPr="00B9614C">
        <w:rPr>
          <w:rFonts w:asciiTheme="majorBidi" w:hAnsiTheme="majorBidi" w:cstheme="majorBidi"/>
          <w:noProof/>
        </w:rPr>
        <w:t>I really would like to have another scan to see how my body is now, if it’s any wors</w:t>
      </w:r>
      <w:r w:rsidR="00B76C79" w:rsidRPr="00B9614C">
        <w:rPr>
          <w:rFonts w:asciiTheme="majorBidi" w:hAnsiTheme="majorBidi" w:cstheme="majorBidi"/>
          <w:noProof/>
        </w:rPr>
        <w:t>e or still the same or whatever.</w:t>
      </w:r>
      <w:r w:rsidRPr="00B9614C">
        <w:rPr>
          <w:rFonts w:asciiTheme="majorBidi" w:hAnsiTheme="majorBidi" w:cstheme="majorBidi"/>
          <w:noProof/>
        </w:rPr>
        <w:t xml:space="preserve"> I’d like to do that but apparently they don’t</w:t>
      </w:r>
      <w:r w:rsidR="00B76C79" w:rsidRPr="00B9614C">
        <w:rPr>
          <w:rFonts w:asciiTheme="majorBidi" w:hAnsiTheme="majorBidi" w:cstheme="majorBidi"/>
          <w:noProof/>
        </w:rPr>
        <w:t>,</w:t>
      </w:r>
      <w:r w:rsidRPr="00B9614C">
        <w:rPr>
          <w:rFonts w:asciiTheme="majorBidi" w:hAnsiTheme="majorBidi" w:cstheme="majorBidi"/>
          <w:noProof/>
        </w:rPr>
        <w:t xml:space="preserve"> they like to leave it a certain amount of years don’t they</w:t>
      </w:r>
      <w:r w:rsidR="00B76C79" w:rsidRPr="00B9614C">
        <w:rPr>
          <w:rFonts w:asciiTheme="majorBidi" w:hAnsiTheme="majorBidi" w:cstheme="majorBidi"/>
          <w:noProof/>
        </w:rPr>
        <w:t>?</w:t>
      </w:r>
      <w:r w:rsidRPr="00B9614C">
        <w:rPr>
          <w:rFonts w:asciiTheme="majorBidi" w:hAnsiTheme="majorBidi" w:cstheme="majorBidi"/>
          <w:noProof/>
        </w:rPr>
        <w:t xml:space="preserve"> I’ve read that.</w:t>
      </w:r>
      <w:r w:rsidRPr="00B9614C">
        <w:rPr>
          <w:rFonts w:asciiTheme="majorBidi" w:hAnsiTheme="majorBidi" w:cstheme="majorBidi"/>
          <w:i/>
          <w:iCs/>
          <w:noProof/>
        </w:rPr>
        <w:t xml:space="preserve"> </w:t>
      </w:r>
      <w:r w:rsidRPr="00B9614C">
        <w:rPr>
          <w:rFonts w:asciiTheme="majorBidi" w:hAnsiTheme="majorBidi" w:cstheme="majorBidi"/>
          <w:iCs/>
        </w:rPr>
        <w:t>(Participant 24</w:t>
      </w:r>
      <w:r w:rsidR="00534855" w:rsidRPr="00B9614C">
        <w:rPr>
          <w:rFonts w:asciiTheme="majorBidi" w:hAnsiTheme="majorBidi" w:cstheme="majorBidi"/>
          <w:iCs/>
        </w:rPr>
        <w:t>,</w:t>
      </w:r>
      <w:r w:rsidRPr="00B9614C">
        <w:rPr>
          <w:rFonts w:asciiTheme="majorBidi" w:hAnsiTheme="majorBidi" w:cstheme="majorBidi"/>
          <w:iCs/>
        </w:rPr>
        <w:t xml:space="preserve"> age 80 - Adherent to both Bisphosphonates &amp; Calcium Phase 1, subsequently withdrew)</w:t>
      </w:r>
    </w:p>
    <w:p w:rsidR="005307FB" w:rsidRPr="00B9614C" w:rsidRDefault="005307FB" w:rsidP="00473D55">
      <w:pPr>
        <w:spacing w:line="360" w:lineRule="auto"/>
        <w:jc w:val="both"/>
        <w:rPr>
          <w:rFonts w:asciiTheme="majorBidi" w:hAnsiTheme="majorBidi" w:cstheme="majorBidi"/>
          <w:noProof/>
        </w:rPr>
      </w:pPr>
    </w:p>
    <w:p w:rsidR="00697CC0" w:rsidRPr="00B9614C" w:rsidRDefault="00697CC0" w:rsidP="00473D55">
      <w:pPr>
        <w:spacing w:line="360" w:lineRule="auto"/>
        <w:ind w:left="720" w:firstLine="45"/>
        <w:jc w:val="both"/>
        <w:rPr>
          <w:rFonts w:asciiTheme="majorBidi" w:hAnsiTheme="majorBidi" w:cstheme="majorBidi"/>
        </w:rPr>
      </w:pPr>
      <w:r w:rsidRPr="00B9614C">
        <w:rPr>
          <w:rFonts w:asciiTheme="majorBidi" w:hAnsiTheme="majorBidi" w:cstheme="majorBidi"/>
          <w:iCs/>
        </w:rPr>
        <w:t>I mean if you’re going through all that performance, well it was for me with the lack of being able to swallow, but if you think you are doing that to no avail</w:t>
      </w:r>
      <w:r w:rsidR="00B76C79" w:rsidRPr="00B9614C">
        <w:rPr>
          <w:rFonts w:asciiTheme="majorBidi" w:hAnsiTheme="majorBidi" w:cstheme="majorBidi"/>
          <w:iCs/>
        </w:rPr>
        <w:t>,</w:t>
      </w:r>
      <w:r w:rsidRPr="00B9614C">
        <w:rPr>
          <w:rFonts w:asciiTheme="majorBidi" w:hAnsiTheme="majorBidi" w:cstheme="majorBidi"/>
          <w:iCs/>
        </w:rPr>
        <w:t xml:space="preserve"> y</w:t>
      </w:r>
      <w:r w:rsidR="007A21C9">
        <w:rPr>
          <w:rFonts w:asciiTheme="majorBidi" w:hAnsiTheme="majorBidi" w:cstheme="majorBidi"/>
          <w:iCs/>
        </w:rPr>
        <w:t>ou think well what’s the point.</w:t>
      </w:r>
      <w:r w:rsidRPr="00B9614C">
        <w:rPr>
          <w:rFonts w:asciiTheme="majorBidi" w:hAnsiTheme="majorBidi" w:cstheme="majorBidi"/>
        </w:rPr>
        <w:t xml:space="preserve"> (Participant</w:t>
      </w:r>
      <w:r w:rsidR="00534855" w:rsidRPr="00B9614C">
        <w:rPr>
          <w:rFonts w:asciiTheme="majorBidi" w:hAnsiTheme="majorBidi" w:cstheme="majorBidi"/>
        </w:rPr>
        <w:t xml:space="preserve"> 25, age</w:t>
      </w:r>
      <w:r w:rsidRPr="00B9614C">
        <w:rPr>
          <w:rFonts w:asciiTheme="majorBidi" w:hAnsiTheme="majorBidi" w:cstheme="majorBidi"/>
        </w:rPr>
        <w:t xml:space="preserve"> 77</w:t>
      </w:r>
      <w:r w:rsidR="00534855" w:rsidRPr="00B9614C">
        <w:rPr>
          <w:rFonts w:asciiTheme="majorBidi" w:hAnsiTheme="majorBidi" w:cstheme="majorBidi"/>
        </w:rPr>
        <w:t xml:space="preserve"> -</w:t>
      </w:r>
      <w:r w:rsidRPr="00B9614C">
        <w:rPr>
          <w:rFonts w:asciiTheme="majorBidi" w:hAnsiTheme="majorBidi" w:cstheme="majorBidi"/>
        </w:rPr>
        <w:t xml:space="preserve"> became Non-adherent to Bisphosphonates &amp; Calcium Phase 2)</w:t>
      </w:r>
    </w:p>
    <w:p w:rsidR="00697CC0" w:rsidRPr="00B9614C" w:rsidRDefault="00697CC0" w:rsidP="00473D55">
      <w:pPr>
        <w:spacing w:line="360" w:lineRule="auto"/>
        <w:jc w:val="both"/>
        <w:rPr>
          <w:rFonts w:asciiTheme="majorBidi" w:hAnsiTheme="majorBidi" w:cstheme="majorBidi"/>
        </w:rPr>
      </w:pPr>
    </w:p>
    <w:p w:rsidR="00D81DC9" w:rsidRPr="00710262" w:rsidRDefault="00D81DC9" w:rsidP="00D81DC9">
      <w:pPr>
        <w:spacing w:line="360" w:lineRule="auto"/>
        <w:jc w:val="both"/>
        <w:rPr>
          <w:rFonts w:asciiTheme="majorBidi" w:hAnsiTheme="majorBidi" w:cstheme="majorBidi"/>
        </w:rPr>
      </w:pPr>
      <w:r w:rsidRPr="00710262">
        <w:rPr>
          <w:rFonts w:asciiTheme="majorBidi" w:hAnsiTheme="majorBidi" w:cstheme="majorBidi"/>
        </w:rPr>
        <w:t>A number of women in both groups expressed significant confusion about the nature and importance of the risk portrayed by the positive screening result</w:t>
      </w:r>
      <w:r w:rsidR="005F47D9">
        <w:rPr>
          <w:rFonts w:asciiTheme="majorBidi" w:hAnsiTheme="majorBidi" w:cstheme="majorBidi"/>
        </w:rPr>
        <w:t>. There was also confusion between falls and fractures, with some participants talking about their fracture risk in terms of instability rather than fragility</w:t>
      </w:r>
      <w:r w:rsidRPr="00710262">
        <w:rPr>
          <w:rFonts w:asciiTheme="majorBidi" w:hAnsiTheme="majorBidi" w:cstheme="majorBidi"/>
        </w:rPr>
        <w:t xml:space="preserve">: </w:t>
      </w:r>
    </w:p>
    <w:p w:rsidR="00D81DC9" w:rsidRPr="00710262" w:rsidRDefault="00D81DC9" w:rsidP="00D81DC9">
      <w:pPr>
        <w:spacing w:line="360" w:lineRule="auto"/>
        <w:jc w:val="both"/>
        <w:rPr>
          <w:rFonts w:asciiTheme="majorBidi" w:hAnsiTheme="majorBidi" w:cstheme="majorBidi"/>
        </w:rPr>
      </w:pPr>
    </w:p>
    <w:p w:rsidR="00D81DC9" w:rsidRPr="00710262" w:rsidRDefault="00D81DC9" w:rsidP="00D81DC9">
      <w:pPr>
        <w:spacing w:line="360" w:lineRule="auto"/>
        <w:ind w:left="720"/>
        <w:jc w:val="both"/>
        <w:rPr>
          <w:rFonts w:asciiTheme="majorBidi" w:hAnsiTheme="majorBidi" w:cstheme="majorBidi"/>
          <w:iCs/>
        </w:rPr>
      </w:pPr>
      <w:r w:rsidRPr="00710262">
        <w:rPr>
          <w:rFonts w:asciiTheme="majorBidi" w:hAnsiTheme="majorBidi" w:cstheme="majorBidi"/>
        </w:rPr>
        <w:t>As I say, I would have thought somebody with osteoporosis would have fallen over and broken their bones.</w:t>
      </w:r>
      <w:r w:rsidRPr="00710262">
        <w:rPr>
          <w:rFonts w:asciiTheme="majorBidi" w:hAnsiTheme="majorBidi" w:cstheme="majorBidi"/>
          <w:i/>
          <w:iCs/>
        </w:rPr>
        <w:t xml:space="preserve"> </w:t>
      </w:r>
      <w:r w:rsidRPr="00710262">
        <w:rPr>
          <w:rFonts w:asciiTheme="majorBidi" w:hAnsiTheme="majorBidi" w:cstheme="majorBidi"/>
          <w:iCs/>
        </w:rPr>
        <w:t>(Participant 07, age 74 - Non</w:t>
      </w:r>
      <w:r w:rsidR="005F47D9">
        <w:rPr>
          <w:rFonts w:asciiTheme="majorBidi" w:hAnsiTheme="majorBidi" w:cstheme="majorBidi"/>
          <w:iCs/>
        </w:rPr>
        <w:t xml:space="preserve"> </w:t>
      </w:r>
      <w:r w:rsidRPr="00710262">
        <w:rPr>
          <w:rFonts w:asciiTheme="majorBidi" w:hAnsiTheme="majorBidi" w:cstheme="majorBidi"/>
          <w:iCs/>
        </w:rPr>
        <w:t>adherent to Bisphosphonates by Phase 2. Adherent to Calcium)</w:t>
      </w:r>
    </w:p>
    <w:p w:rsidR="00D81DC9" w:rsidRPr="00710262" w:rsidRDefault="00D81DC9" w:rsidP="00D81DC9">
      <w:pPr>
        <w:spacing w:line="360" w:lineRule="auto"/>
        <w:ind w:left="720"/>
        <w:jc w:val="both"/>
        <w:rPr>
          <w:rFonts w:asciiTheme="majorBidi" w:hAnsiTheme="majorBidi" w:cstheme="majorBidi"/>
          <w:i/>
          <w:iCs/>
        </w:rPr>
      </w:pPr>
    </w:p>
    <w:p w:rsidR="00D81DC9" w:rsidRPr="00710262" w:rsidRDefault="00D81DC9" w:rsidP="00D81DC9">
      <w:pPr>
        <w:spacing w:line="360" w:lineRule="auto"/>
        <w:ind w:left="720"/>
        <w:jc w:val="both"/>
        <w:rPr>
          <w:rFonts w:asciiTheme="majorBidi" w:hAnsiTheme="majorBidi" w:cstheme="majorBidi"/>
          <w:iCs/>
        </w:rPr>
      </w:pPr>
      <w:r w:rsidRPr="00710262">
        <w:rPr>
          <w:rFonts w:asciiTheme="majorBidi" w:hAnsiTheme="majorBidi" w:cstheme="majorBidi"/>
        </w:rPr>
        <w:t>I was surprised because I felt that I’d not had a lot of falls or tottery or anything. I thought people that were at higher risk were inclined to fall.</w:t>
      </w:r>
      <w:r w:rsidRPr="00710262">
        <w:rPr>
          <w:rFonts w:asciiTheme="majorBidi" w:hAnsiTheme="majorBidi" w:cstheme="majorBidi"/>
          <w:i/>
          <w:iCs/>
        </w:rPr>
        <w:t xml:space="preserve"> </w:t>
      </w:r>
      <w:r w:rsidRPr="00710262">
        <w:rPr>
          <w:rFonts w:asciiTheme="majorBidi" w:hAnsiTheme="majorBidi" w:cstheme="majorBidi"/>
          <w:iCs/>
        </w:rPr>
        <w:t xml:space="preserve">(Participant 01, age 75 - Continually Adherent to Bisphosphonates. Took Calcium intermittently) </w:t>
      </w:r>
    </w:p>
    <w:p w:rsidR="00D81DC9" w:rsidRPr="00710262" w:rsidRDefault="00D81DC9" w:rsidP="00D81DC9">
      <w:pPr>
        <w:spacing w:line="360" w:lineRule="auto"/>
        <w:ind w:left="720"/>
        <w:jc w:val="both"/>
        <w:rPr>
          <w:rFonts w:asciiTheme="majorBidi" w:hAnsiTheme="majorBidi" w:cstheme="majorBidi"/>
          <w:iCs/>
        </w:rPr>
      </w:pPr>
    </w:p>
    <w:p w:rsidR="00D81DC9" w:rsidRPr="00B9614C" w:rsidRDefault="00D81DC9" w:rsidP="00D81DC9">
      <w:pPr>
        <w:spacing w:line="360" w:lineRule="auto"/>
        <w:ind w:left="720"/>
        <w:jc w:val="both"/>
        <w:rPr>
          <w:rFonts w:asciiTheme="majorBidi" w:hAnsiTheme="majorBidi" w:cstheme="majorBidi"/>
          <w:iCs/>
        </w:rPr>
      </w:pPr>
      <w:r w:rsidRPr="00710262">
        <w:rPr>
          <w:rFonts w:asciiTheme="majorBidi" w:hAnsiTheme="majorBidi" w:cstheme="majorBidi"/>
          <w:iCs/>
        </w:rPr>
        <w:t>So I thought well that (bisphosphonate medication) will prevent me falling cos the main reason was if my bones got stronger I could do more in the garden and things like that and get on the steps more often. I can’t anyway cos I get dizzy (but) that was my thoughts.</w:t>
      </w:r>
      <w:r w:rsidRPr="00710262">
        <w:rPr>
          <w:rFonts w:asciiTheme="majorBidi" w:hAnsiTheme="majorBidi" w:cstheme="majorBidi"/>
          <w:i/>
        </w:rPr>
        <w:t xml:space="preserve">  </w:t>
      </w:r>
      <w:r w:rsidRPr="00710262">
        <w:rPr>
          <w:rFonts w:asciiTheme="majorBidi" w:hAnsiTheme="majorBidi" w:cstheme="majorBidi"/>
          <w:iCs/>
        </w:rPr>
        <w:t>(Participant 30, age 75 - Continually Non adherent to Bisphosphonates. Took Calcium at Phase 2)</w:t>
      </w:r>
    </w:p>
    <w:p w:rsidR="00D81DC9" w:rsidRDefault="00D81DC9" w:rsidP="00473D55">
      <w:pPr>
        <w:spacing w:line="360" w:lineRule="auto"/>
        <w:jc w:val="both"/>
        <w:rPr>
          <w:rFonts w:asciiTheme="majorBidi" w:hAnsiTheme="majorBidi" w:cstheme="majorBidi"/>
        </w:rPr>
      </w:pPr>
    </w:p>
    <w:p w:rsidR="00697CC0" w:rsidRPr="00B9614C" w:rsidRDefault="00361461" w:rsidP="00473D55">
      <w:pPr>
        <w:spacing w:line="360" w:lineRule="auto"/>
        <w:jc w:val="both"/>
        <w:rPr>
          <w:rFonts w:asciiTheme="majorBidi" w:hAnsiTheme="majorBidi" w:cstheme="majorBidi"/>
        </w:rPr>
      </w:pPr>
      <w:r>
        <w:rPr>
          <w:rFonts w:asciiTheme="majorBidi" w:hAnsiTheme="majorBidi" w:cstheme="majorBidi"/>
        </w:rPr>
        <w:t>Confusion about the effectiveness of the medication was common</w:t>
      </w:r>
      <w:r w:rsidR="005F47D9">
        <w:rPr>
          <w:rFonts w:asciiTheme="majorBidi" w:hAnsiTheme="majorBidi" w:cstheme="majorBidi"/>
        </w:rPr>
        <w:t xml:space="preserve"> and p</w:t>
      </w:r>
      <w:r>
        <w:rPr>
          <w:rFonts w:asciiTheme="majorBidi" w:hAnsiTheme="majorBidi" w:cstheme="majorBidi"/>
        </w:rPr>
        <w:t xml:space="preserve">articipants </w:t>
      </w:r>
      <w:r w:rsidR="005F47D9">
        <w:rPr>
          <w:rFonts w:asciiTheme="majorBidi" w:hAnsiTheme="majorBidi" w:cstheme="majorBidi"/>
        </w:rPr>
        <w:t>frequently reflected on</w:t>
      </w:r>
      <w:r>
        <w:rPr>
          <w:rFonts w:asciiTheme="majorBidi" w:hAnsiTheme="majorBidi" w:cstheme="majorBidi"/>
        </w:rPr>
        <w:t xml:space="preserve"> </w:t>
      </w:r>
      <w:r w:rsidR="005F47D9">
        <w:rPr>
          <w:rFonts w:asciiTheme="majorBidi" w:hAnsiTheme="majorBidi" w:cstheme="majorBidi"/>
        </w:rPr>
        <w:t>‘</w:t>
      </w:r>
      <w:r>
        <w:rPr>
          <w:rFonts w:asciiTheme="majorBidi" w:hAnsiTheme="majorBidi" w:cstheme="majorBidi"/>
        </w:rPr>
        <w:t xml:space="preserve">not </w:t>
      </w:r>
      <w:r w:rsidR="00710262">
        <w:rPr>
          <w:rFonts w:asciiTheme="majorBidi" w:hAnsiTheme="majorBidi" w:cstheme="majorBidi"/>
        </w:rPr>
        <w:t>know</w:t>
      </w:r>
      <w:r w:rsidR="005F47D9">
        <w:rPr>
          <w:rFonts w:asciiTheme="majorBidi" w:hAnsiTheme="majorBidi" w:cstheme="majorBidi"/>
        </w:rPr>
        <w:t>ing’</w:t>
      </w:r>
      <w:r>
        <w:rPr>
          <w:rFonts w:asciiTheme="majorBidi" w:hAnsiTheme="majorBidi" w:cstheme="majorBidi"/>
        </w:rPr>
        <w:t xml:space="preserve"> if they were getting any benefit from taking the medication or not. </w:t>
      </w:r>
      <w:r w:rsidR="00697CC0" w:rsidRPr="00B9614C">
        <w:rPr>
          <w:rFonts w:asciiTheme="majorBidi" w:hAnsiTheme="majorBidi" w:cstheme="majorBidi"/>
        </w:rPr>
        <w:t>Participant 16 was fully adherent with no</w:t>
      </w:r>
      <w:r w:rsidR="007A21C9">
        <w:rPr>
          <w:rFonts w:asciiTheme="majorBidi" w:hAnsiTheme="majorBidi" w:cstheme="majorBidi"/>
        </w:rPr>
        <w:t xml:space="preserve"> side effects, but felt it was ‘</w:t>
      </w:r>
      <w:r w:rsidR="00697CC0" w:rsidRPr="00B9614C">
        <w:rPr>
          <w:rFonts w:asciiTheme="majorBidi" w:hAnsiTheme="majorBidi" w:cstheme="majorBidi"/>
        </w:rPr>
        <w:t>disco</w:t>
      </w:r>
      <w:r w:rsidR="007A21C9">
        <w:rPr>
          <w:rFonts w:asciiTheme="majorBidi" w:hAnsiTheme="majorBidi" w:cstheme="majorBidi"/>
        </w:rPr>
        <w:t>uraging not knowing if it works’</w:t>
      </w:r>
      <w:r w:rsidR="00710262">
        <w:rPr>
          <w:rFonts w:asciiTheme="majorBidi" w:hAnsiTheme="majorBidi" w:cstheme="majorBidi"/>
        </w:rPr>
        <w:t>,</w:t>
      </w:r>
      <w:r w:rsidR="00697CC0" w:rsidRPr="00B9614C">
        <w:rPr>
          <w:rFonts w:asciiTheme="majorBidi" w:hAnsiTheme="majorBidi" w:cstheme="majorBidi"/>
        </w:rPr>
        <w:t xml:space="preserve"> as did others:</w:t>
      </w:r>
    </w:p>
    <w:p w:rsidR="00534855" w:rsidRPr="00B9614C" w:rsidRDefault="00534855" w:rsidP="00473D55">
      <w:pPr>
        <w:spacing w:line="360" w:lineRule="auto"/>
        <w:jc w:val="both"/>
        <w:rPr>
          <w:rFonts w:asciiTheme="majorBidi" w:hAnsiTheme="majorBidi" w:cstheme="majorBidi"/>
        </w:rPr>
      </w:pPr>
    </w:p>
    <w:p w:rsidR="00697CC0" w:rsidRPr="00B9614C" w:rsidRDefault="00697CC0" w:rsidP="00B76C79">
      <w:pPr>
        <w:spacing w:line="360" w:lineRule="auto"/>
        <w:ind w:left="720"/>
        <w:jc w:val="both"/>
        <w:rPr>
          <w:rFonts w:asciiTheme="majorBidi" w:hAnsiTheme="majorBidi" w:cstheme="majorBidi"/>
          <w:noProof/>
        </w:rPr>
      </w:pPr>
      <w:r w:rsidRPr="00B9614C">
        <w:rPr>
          <w:rFonts w:asciiTheme="majorBidi" w:hAnsiTheme="majorBidi" w:cstheme="majorBidi"/>
          <w:noProof/>
        </w:rPr>
        <w:t xml:space="preserve">I suppose the fact of never having broken anything coupled with the fact there’s </w:t>
      </w:r>
      <w:r w:rsidR="00B76C79" w:rsidRPr="00B9614C">
        <w:rPr>
          <w:rFonts w:asciiTheme="majorBidi" w:hAnsiTheme="majorBidi" w:cstheme="majorBidi"/>
          <w:noProof/>
        </w:rPr>
        <w:t>no signal in your body is there? T</w:t>
      </w:r>
      <w:r w:rsidRPr="00B9614C">
        <w:rPr>
          <w:rFonts w:asciiTheme="majorBidi" w:hAnsiTheme="majorBidi" w:cstheme="majorBidi"/>
          <w:noProof/>
        </w:rPr>
        <w:t>here’s nothing that tells you that there is anything wrong</w:t>
      </w:r>
      <w:r w:rsidR="00B64DD6" w:rsidRPr="00B9614C">
        <w:rPr>
          <w:rFonts w:asciiTheme="majorBidi" w:hAnsiTheme="majorBidi" w:cstheme="majorBidi"/>
          <w:noProof/>
        </w:rPr>
        <w:t>,</w:t>
      </w:r>
      <w:r w:rsidRPr="00B9614C">
        <w:rPr>
          <w:rFonts w:asciiTheme="majorBidi" w:hAnsiTheme="majorBidi" w:cstheme="majorBidi"/>
          <w:noProof/>
        </w:rPr>
        <w:t xml:space="preserve"> so you don’t feel that there’s anything wrong.</w:t>
      </w:r>
      <w:r w:rsidRPr="00B9614C">
        <w:rPr>
          <w:rFonts w:asciiTheme="majorBidi" w:hAnsiTheme="majorBidi" w:cstheme="majorBidi"/>
          <w:i/>
          <w:iCs/>
          <w:noProof/>
        </w:rPr>
        <w:t xml:space="preserve"> </w:t>
      </w:r>
      <w:r w:rsidRPr="00B9614C">
        <w:rPr>
          <w:rFonts w:asciiTheme="majorBidi" w:hAnsiTheme="majorBidi" w:cstheme="majorBidi"/>
          <w:noProof/>
        </w:rPr>
        <w:t>(Participant 08</w:t>
      </w:r>
      <w:r w:rsidR="00534855" w:rsidRPr="00B9614C">
        <w:rPr>
          <w:rFonts w:asciiTheme="majorBidi" w:hAnsiTheme="majorBidi" w:cstheme="majorBidi"/>
          <w:noProof/>
        </w:rPr>
        <w:t>,</w:t>
      </w:r>
      <w:r w:rsidRPr="00B9614C">
        <w:rPr>
          <w:rFonts w:asciiTheme="majorBidi" w:hAnsiTheme="majorBidi" w:cstheme="majorBidi"/>
          <w:noProof/>
        </w:rPr>
        <w:t xml:space="preserve"> age 75 – Continually Adherence Bisphosphonates and Calcium) </w:t>
      </w:r>
    </w:p>
    <w:p w:rsidR="00697CC0" w:rsidRPr="00B9614C" w:rsidRDefault="00697CC0" w:rsidP="00473D55">
      <w:pPr>
        <w:spacing w:line="360" w:lineRule="auto"/>
        <w:jc w:val="both"/>
        <w:rPr>
          <w:rFonts w:asciiTheme="majorBidi" w:hAnsiTheme="majorBidi" w:cstheme="majorBidi"/>
        </w:rPr>
      </w:pPr>
    </w:p>
    <w:p w:rsidR="00697CC0" w:rsidRPr="00B9614C" w:rsidRDefault="00697CC0" w:rsidP="00473D55">
      <w:pPr>
        <w:spacing w:line="360" w:lineRule="auto"/>
        <w:jc w:val="both"/>
        <w:rPr>
          <w:rFonts w:asciiTheme="majorBidi" w:hAnsiTheme="majorBidi" w:cstheme="majorBidi"/>
          <w:b/>
        </w:rPr>
      </w:pPr>
      <w:r w:rsidRPr="00B9614C">
        <w:rPr>
          <w:rFonts w:asciiTheme="majorBidi" w:hAnsiTheme="majorBidi" w:cstheme="majorBidi"/>
          <w:b/>
        </w:rPr>
        <w:t>Decision making around medication</w:t>
      </w:r>
    </w:p>
    <w:p w:rsidR="00A66C4F" w:rsidRDefault="00A84027" w:rsidP="009875D0">
      <w:pPr>
        <w:spacing w:line="360" w:lineRule="auto"/>
        <w:jc w:val="both"/>
        <w:rPr>
          <w:rFonts w:asciiTheme="majorBidi" w:hAnsiTheme="majorBidi" w:cstheme="majorBidi"/>
        </w:rPr>
      </w:pPr>
      <w:r w:rsidRPr="00B9614C">
        <w:rPr>
          <w:rFonts w:asciiTheme="majorBidi" w:hAnsiTheme="majorBidi" w:cstheme="majorBidi"/>
        </w:rPr>
        <w:t>Overall we found</w:t>
      </w:r>
      <w:r w:rsidR="00697CC0" w:rsidRPr="00B9614C">
        <w:rPr>
          <w:rFonts w:asciiTheme="majorBidi" w:hAnsiTheme="majorBidi" w:cstheme="majorBidi"/>
        </w:rPr>
        <w:t xml:space="preserve"> clear if unpredictable narratives around medication choice, with key factors being the initial result, side effects and subsequent health service intervention of medication prescription. Decisions were reviewed in a number of situations and personal costs weighed up against perceived benefits of taking the medication.</w:t>
      </w:r>
      <w:r w:rsidR="00462534" w:rsidRPr="00B9614C">
        <w:rPr>
          <w:rFonts w:asciiTheme="majorBidi" w:hAnsiTheme="majorBidi" w:cstheme="majorBidi"/>
        </w:rPr>
        <w:t xml:space="preserve"> </w:t>
      </w:r>
      <w:r w:rsidR="00A66C4F">
        <w:rPr>
          <w:rFonts w:asciiTheme="majorBidi" w:hAnsiTheme="majorBidi" w:cstheme="majorBidi"/>
        </w:rPr>
        <w:t>Participant 09 describe</w:t>
      </w:r>
      <w:r w:rsidR="009D511A">
        <w:rPr>
          <w:rFonts w:asciiTheme="majorBidi" w:hAnsiTheme="majorBidi" w:cstheme="majorBidi"/>
        </w:rPr>
        <w:t>d</w:t>
      </w:r>
      <w:r w:rsidR="00A66C4F">
        <w:rPr>
          <w:rFonts w:asciiTheme="majorBidi" w:hAnsiTheme="majorBidi" w:cstheme="majorBidi"/>
        </w:rPr>
        <w:t xml:space="preserve"> how she made the decision in the light of her own understanding of her needs and the relative benefit of taking the medication.  She made her </w:t>
      </w:r>
      <w:r w:rsidR="004B7E4D">
        <w:rPr>
          <w:rFonts w:asciiTheme="majorBidi" w:hAnsiTheme="majorBidi" w:cstheme="majorBidi"/>
        </w:rPr>
        <w:t xml:space="preserve">final </w:t>
      </w:r>
      <w:r w:rsidR="00A66C4F">
        <w:rPr>
          <w:rFonts w:asciiTheme="majorBidi" w:hAnsiTheme="majorBidi" w:cstheme="majorBidi"/>
        </w:rPr>
        <w:t xml:space="preserve">decision </w:t>
      </w:r>
      <w:r w:rsidR="004B7E4D">
        <w:rPr>
          <w:rFonts w:asciiTheme="majorBidi" w:hAnsiTheme="majorBidi" w:cstheme="majorBidi"/>
        </w:rPr>
        <w:t xml:space="preserve">in consultation </w:t>
      </w:r>
      <w:r w:rsidR="00A66C4F">
        <w:rPr>
          <w:rFonts w:asciiTheme="majorBidi" w:hAnsiTheme="majorBidi" w:cstheme="majorBidi"/>
        </w:rPr>
        <w:t xml:space="preserve">with her doctor: </w:t>
      </w:r>
    </w:p>
    <w:p w:rsidR="004B7E4D" w:rsidRDefault="004B7E4D" w:rsidP="009875D0">
      <w:pPr>
        <w:spacing w:line="360" w:lineRule="auto"/>
        <w:jc w:val="both"/>
        <w:rPr>
          <w:rFonts w:asciiTheme="majorBidi" w:hAnsiTheme="majorBidi" w:cstheme="majorBidi"/>
        </w:rPr>
      </w:pPr>
    </w:p>
    <w:p w:rsidR="00697CC0" w:rsidRPr="004B7E4D" w:rsidRDefault="00A66C4F" w:rsidP="004B7E4D">
      <w:pPr>
        <w:spacing w:line="360" w:lineRule="auto"/>
        <w:ind w:left="720"/>
        <w:jc w:val="both"/>
        <w:rPr>
          <w:rFonts w:asciiTheme="majorBidi" w:hAnsiTheme="majorBidi" w:cstheme="majorBidi"/>
          <w:i/>
          <w:iCs/>
        </w:rPr>
      </w:pPr>
      <w:r w:rsidRPr="00710262">
        <w:rPr>
          <w:rFonts w:asciiTheme="majorBidi" w:hAnsiTheme="majorBidi" w:cstheme="majorBidi"/>
        </w:rPr>
        <w:t>There is no bone disease or any sign of it in our family but I said I would take it and see what happened</w:t>
      </w:r>
      <w:r w:rsidR="004B7E4D" w:rsidRPr="00710262">
        <w:rPr>
          <w:rFonts w:asciiTheme="majorBidi" w:hAnsiTheme="majorBidi" w:cstheme="majorBidi"/>
        </w:rPr>
        <w:t>.  It didn’t suit me and I said I’m not taking them anymore and he (doctor) agreed.  He said ‘it’s no good taking them if they upset you because your diabetes is more important’</w:t>
      </w:r>
      <w:r w:rsidR="004B7E4D" w:rsidRPr="004B7E4D">
        <w:rPr>
          <w:rFonts w:asciiTheme="majorBidi" w:hAnsiTheme="majorBidi" w:cstheme="majorBidi"/>
        </w:rPr>
        <w:t xml:space="preserve">. (Participant 09, age 85 – </w:t>
      </w:r>
      <w:r w:rsidR="007A21C9">
        <w:rPr>
          <w:rFonts w:asciiTheme="majorBidi" w:hAnsiTheme="majorBidi" w:cstheme="majorBidi"/>
        </w:rPr>
        <w:t>became n</w:t>
      </w:r>
      <w:r w:rsidR="004B7E4D" w:rsidRPr="004B7E4D">
        <w:rPr>
          <w:rFonts w:asciiTheme="majorBidi" w:hAnsiTheme="majorBidi" w:cstheme="majorBidi"/>
        </w:rPr>
        <w:t>on</w:t>
      </w:r>
      <w:r w:rsidR="004B7E4D">
        <w:rPr>
          <w:rFonts w:asciiTheme="majorBidi" w:hAnsiTheme="majorBidi" w:cstheme="majorBidi"/>
        </w:rPr>
        <w:t xml:space="preserve"> a</w:t>
      </w:r>
      <w:r w:rsidR="004B7E4D" w:rsidRPr="004B7E4D">
        <w:rPr>
          <w:rFonts w:asciiTheme="majorBidi" w:hAnsiTheme="majorBidi" w:cstheme="majorBidi"/>
        </w:rPr>
        <w:t>dheren</w:t>
      </w:r>
      <w:r w:rsidR="007A21C9">
        <w:rPr>
          <w:rFonts w:asciiTheme="majorBidi" w:hAnsiTheme="majorBidi" w:cstheme="majorBidi"/>
        </w:rPr>
        <w:t>t by Phase 2 to</w:t>
      </w:r>
      <w:r w:rsidR="004B7E4D" w:rsidRPr="004B7E4D">
        <w:rPr>
          <w:rFonts w:asciiTheme="majorBidi" w:hAnsiTheme="majorBidi" w:cstheme="majorBidi"/>
        </w:rPr>
        <w:t xml:space="preserve"> Bisphosphonates and Calcium)</w:t>
      </w:r>
      <w:r w:rsidR="004B7E4D" w:rsidRPr="004B7E4D">
        <w:rPr>
          <w:rFonts w:asciiTheme="majorBidi" w:hAnsiTheme="majorBidi" w:cstheme="majorBidi"/>
          <w:i/>
        </w:rPr>
        <w:t xml:space="preserve">  </w:t>
      </w:r>
    </w:p>
    <w:p w:rsidR="00697CC0" w:rsidRPr="00B9614C" w:rsidRDefault="00697CC0" w:rsidP="0047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asciiTheme="majorBidi" w:hAnsiTheme="majorBidi" w:cstheme="majorBidi"/>
          <w:noProof/>
        </w:rPr>
      </w:pPr>
    </w:p>
    <w:p w:rsidR="000C4DA6" w:rsidRDefault="00697CC0">
      <w:pPr>
        <w:spacing w:line="360" w:lineRule="auto"/>
        <w:jc w:val="both"/>
        <w:rPr>
          <w:rFonts w:asciiTheme="majorBidi" w:hAnsiTheme="majorBidi" w:cstheme="majorBidi"/>
          <w:noProof/>
        </w:rPr>
      </w:pPr>
      <w:r w:rsidRPr="00B9614C">
        <w:rPr>
          <w:rFonts w:asciiTheme="majorBidi" w:hAnsiTheme="majorBidi" w:cstheme="majorBidi"/>
          <w:noProof/>
        </w:rPr>
        <w:t xml:space="preserve">Many of those non-adherent to bisphosphonate medication at Phase 2 had not asked for, or been offered, </w:t>
      </w:r>
      <w:r w:rsidR="00462534" w:rsidRPr="00B9614C">
        <w:rPr>
          <w:rFonts w:asciiTheme="majorBidi" w:hAnsiTheme="majorBidi" w:cstheme="majorBidi"/>
          <w:noProof/>
        </w:rPr>
        <w:t xml:space="preserve">a change of medication (n=10). </w:t>
      </w:r>
      <w:r w:rsidRPr="00B9614C">
        <w:rPr>
          <w:rFonts w:asciiTheme="majorBidi" w:hAnsiTheme="majorBidi" w:cstheme="majorBidi"/>
          <w:noProof/>
        </w:rPr>
        <w:t>However, five women still adherent to their medications and experiencing side effects had been back to their doctor at least once for an alternative presc</w:t>
      </w:r>
      <w:r w:rsidR="007A21C9">
        <w:rPr>
          <w:rFonts w:asciiTheme="majorBidi" w:hAnsiTheme="majorBidi" w:cstheme="majorBidi"/>
          <w:noProof/>
        </w:rPr>
        <w:t>r</w:t>
      </w:r>
      <w:r w:rsidRPr="00B9614C">
        <w:rPr>
          <w:rFonts w:asciiTheme="majorBidi" w:hAnsiTheme="majorBidi" w:cstheme="majorBidi"/>
          <w:noProof/>
        </w:rPr>
        <w:t>iption by Phase 2  (Table 3</w:t>
      </w:r>
      <w:r w:rsidR="00462534" w:rsidRPr="00B9614C">
        <w:rPr>
          <w:rFonts w:asciiTheme="majorBidi" w:hAnsiTheme="majorBidi" w:cstheme="majorBidi"/>
          <w:noProof/>
        </w:rPr>
        <w:t xml:space="preserve">). </w:t>
      </w:r>
    </w:p>
    <w:p w:rsidR="006C2335" w:rsidRPr="00B9614C" w:rsidRDefault="006C2335" w:rsidP="00473D55">
      <w:pPr>
        <w:spacing w:line="360" w:lineRule="auto"/>
        <w:jc w:val="both"/>
        <w:rPr>
          <w:rFonts w:asciiTheme="majorBidi" w:hAnsiTheme="majorBidi" w:cstheme="majorBidi"/>
          <w:noProof/>
        </w:rPr>
      </w:pPr>
    </w:p>
    <w:p w:rsidR="006C2335" w:rsidRPr="00B9614C" w:rsidRDefault="00FA5316" w:rsidP="00473D55">
      <w:pPr>
        <w:spacing w:line="360" w:lineRule="auto"/>
        <w:jc w:val="both"/>
        <w:rPr>
          <w:rFonts w:asciiTheme="majorBidi" w:hAnsiTheme="majorBidi" w:cstheme="majorBidi"/>
        </w:rPr>
      </w:pPr>
      <w:r w:rsidRPr="00B9614C">
        <w:rPr>
          <w:rFonts w:asciiTheme="majorBidi" w:hAnsiTheme="majorBidi" w:cstheme="majorBidi"/>
        </w:rPr>
        <w:t>Although most participants cited encouragement by doctors, pharmacists, family, friends and the media, only three participants specifically mentioned any sort of formal follow-up (one at a diabetic review, one with a pha</w:t>
      </w:r>
      <w:r w:rsidR="00462534" w:rsidRPr="00B9614C">
        <w:rPr>
          <w:rFonts w:asciiTheme="majorBidi" w:hAnsiTheme="majorBidi" w:cstheme="majorBidi"/>
        </w:rPr>
        <w:t xml:space="preserve">rmacist and one with a nurse). </w:t>
      </w:r>
      <w:r w:rsidRPr="00B9614C">
        <w:rPr>
          <w:rFonts w:asciiTheme="majorBidi" w:hAnsiTheme="majorBidi" w:cstheme="majorBidi"/>
        </w:rPr>
        <w:t>Many felt specific follow-up would have given the</w:t>
      </w:r>
      <w:r w:rsidR="009875D0">
        <w:rPr>
          <w:rFonts w:asciiTheme="majorBidi" w:hAnsiTheme="majorBidi" w:cstheme="majorBidi"/>
        </w:rPr>
        <w:t>m</w:t>
      </w:r>
      <w:r w:rsidRPr="00B9614C">
        <w:rPr>
          <w:rFonts w:asciiTheme="majorBidi" w:hAnsiTheme="majorBidi" w:cstheme="majorBidi"/>
        </w:rPr>
        <w:t xml:space="preserve"> more confidence:</w:t>
      </w:r>
    </w:p>
    <w:p w:rsidR="006C2335" w:rsidRPr="00B9614C" w:rsidRDefault="006C2335" w:rsidP="00473D55">
      <w:pPr>
        <w:spacing w:line="360" w:lineRule="auto"/>
        <w:jc w:val="both"/>
        <w:rPr>
          <w:rFonts w:asciiTheme="majorBidi" w:hAnsiTheme="majorBidi" w:cstheme="majorBidi"/>
        </w:rPr>
      </w:pPr>
    </w:p>
    <w:p w:rsidR="00697CC0" w:rsidRPr="00B9614C" w:rsidRDefault="00FA5316" w:rsidP="00B76C79">
      <w:pPr>
        <w:spacing w:line="360" w:lineRule="auto"/>
        <w:ind w:left="720"/>
        <w:jc w:val="both"/>
        <w:rPr>
          <w:rFonts w:asciiTheme="majorBidi" w:hAnsiTheme="majorBidi" w:cstheme="majorBidi"/>
          <w:noProof/>
        </w:rPr>
      </w:pPr>
      <w:r w:rsidRPr="00B9614C" w:rsidDel="00FA5316">
        <w:rPr>
          <w:rFonts w:asciiTheme="majorBidi" w:hAnsiTheme="majorBidi" w:cstheme="majorBidi"/>
        </w:rPr>
        <w:t xml:space="preserve"> </w:t>
      </w:r>
      <w:r w:rsidR="00697CC0" w:rsidRPr="00B9614C">
        <w:rPr>
          <w:rFonts w:asciiTheme="majorBidi" w:hAnsiTheme="majorBidi" w:cstheme="majorBidi"/>
          <w:noProof/>
        </w:rPr>
        <w:t>I mean I’m all for taking it if I know what it’s doing and if it’s doing you good, but there’s no follow up on these things.  I have to go and get my blood pr</w:t>
      </w:r>
      <w:r w:rsidR="006C2335" w:rsidRPr="00B9614C">
        <w:rPr>
          <w:rFonts w:asciiTheme="majorBidi" w:hAnsiTheme="majorBidi" w:cstheme="majorBidi"/>
          <w:noProof/>
        </w:rPr>
        <w:t xml:space="preserve">essure taken every six months. </w:t>
      </w:r>
      <w:r w:rsidR="00697CC0" w:rsidRPr="00B9614C">
        <w:rPr>
          <w:rFonts w:asciiTheme="majorBidi" w:hAnsiTheme="majorBidi" w:cstheme="majorBidi"/>
          <w:noProof/>
        </w:rPr>
        <w:t>I feel like they know what’s going on cos they have changed the different strengths at different times you know depending on how my blood pressure is</w:t>
      </w:r>
      <w:r w:rsidR="00B76C79" w:rsidRPr="00B9614C">
        <w:rPr>
          <w:rFonts w:asciiTheme="majorBidi" w:hAnsiTheme="majorBidi" w:cstheme="majorBidi"/>
          <w:noProof/>
        </w:rPr>
        <w:t>. B</w:t>
      </w:r>
      <w:r w:rsidR="00697CC0" w:rsidRPr="00B9614C">
        <w:rPr>
          <w:rFonts w:asciiTheme="majorBidi" w:hAnsiTheme="majorBidi" w:cstheme="majorBidi"/>
          <w:noProof/>
        </w:rPr>
        <w:t>ut you do</w:t>
      </w:r>
      <w:r w:rsidR="00B76C79" w:rsidRPr="00B9614C">
        <w:rPr>
          <w:rFonts w:asciiTheme="majorBidi" w:hAnsiTheme="majorBidi" w:cstheme="majorBidi"/>
          <w:noProof/>
        </w:rPr>
        <w:t>n’t get any follow up with this</w:t>
      </w:r>
      <w:r w:rsidR="00697CC0" w:rsidRPr="00B9614C">
        <w:rPr>
          <w:rFonts w:asciiTheme="majorBidi" w:hAnsiTheme="majorBidi" w:cstheme="majorBidi"/>
          <w:noProof/>
        </w:rPr>
        <w:t>…. I think they need t</w:t>
      </w:r>
      <w:r w:rsidR="00B76C79" w:rsidRPr="00B9614C">
        <w:rPr>
          <w:rFonts w:asciiTheme="majorBidi" w:hAnsiTheme="majorBidi" w:cstheme="majorBidi"/>
          <w:noProof/>
        </w:rPr>
        <w:t xml:space="preserve">o have more follow up on this. </w:t>
      </w:r>
      <w:r w:rsidR="00697CC0" w:rsidRPr="00B9614C">
        <w:rPr>
          <w:rFonts w:asciiTheme="majorBidi" w:hAnsiTheme="majorBidi" w:cstheme="majorBidi"/>
          <w:noProof/>
        </w:rPr>
        <w:t>I’m taking it because it’s doing me what it’s supposed to be doing, but it’s the not knowing and it’s the not having the follow up to see whether you need to be taking it or not.</w:t>
      </w:r>
      <w:r w:rsidR="00697CC0" w:rsidRPr="00B9614C">
        <w:rPr>
          <w:rFonts w:asciiTheme="majorBidi" w:hAnsiTheme="majorBidi" w:cstheme="majorBidi"/>
          <w:i/>
          <w:iCs/>
          <w:noProof/>
        </w:rPr>
        <w:t xml:space="preserve"> </w:t>
      </w:r>
      <w:r w:rsidR="00697CC0" w:rsidRPr="00B9614C">
        <w:rPr>
          <w:rFonts w:asciiTheme="majorBidi" w:hAnsiTheme="majorBidi" w:cstheme="majorBidi"/>
          <w:noProof/>
        </w:rPr>
        <w:t>(Participant 11</w:t>
      </w:r>
      <w:r w:rsidR="006C2335" w:rsidRPr="00B9614C">
        <w:rPr>
          <w:rFonts w:asciiTheme="majorBidi" w:hAnsiTheme="majorBidi" w:cstheme="majorBidi"/>
          <w:noProof/>
        </w:rPr>
        <w:t>,</w:t>
      </w:r>
      <w:r w:rsidR="00697CC0" w:rsidRPr="00B9614C">
        <w:rPr>
          <w:rFonts w:asciiTheme="majorBidi" w:hAnsiTheme="majorBidi" w:cstheme="majorBidi"/>
          <w:noProof/>
        </w:rPr>
        <w:t xml:space="preserve"> age</w:t>
      </w:r>
      <w:r w:rsidR="006C2335" w:rsidRPr="00B9614C">
        <w:rPr>
          <w:rFonts w:asciiTheme="majorBidi" w:hAnsiTheme="majorBidi" w:cstheme="majorBidi"/>
          <w:noProof/>
        </w:rPr>
        <w:t xml:space="preserve"> </w:t>
      </w:r>
      <w:r w:rsidR="00697CC0" w:rsidRPr="00B9614C">
        <w:rPr>
          <w:rFonts w:asciiTheme="majorBidi" w:hAnsiTheme="majorBidi" w:cstheme="majorBidi"/>
          <w:noProof/>
        </w:rPr>
        <w:t xml:space="preserve">77 – Continually Adherent Bisphosphonates. Calcium not prescribed) </w:t>
      </w:r>
    </w:p>
    <w:p w:rsidR="00697CC0" w:rsidRPr="00B9614C" w:rsidRDefault="00697CC0" w:rsidP="00473D55">
      <w:pPr>
        <w:spacing w:line="360" w:lineRule="auto"/>
        <w:jc w:val="both"/>
        <w:rPr>
          <w:rFonts w:asciiTheme="majorBidi" w:hAnsiTheme="majorBidi" w:cstheme="majorBidi"/>
        </w:rPr>
      </w:pPr>
    </w:p>
    <w:p w:rsidR="00697CC0" w:rsidRPr="00B9614C" w:rsidRDefault="00697CC0" w:rsidP="00473D55">
      <w:pPr>
        <w:spacing w:line="360" w:lineRule="auto"/>
        <w:jc w:val="both"/>
        <w:rPr>
          <w:rFonts w:asciiTheme="majorBidi" w:hAnsiTheme="majorBidi" w:cstheme="majorBidi"/>
        </w:rPr>
      </w:pPr>
      <w:r w:rsidRPr="00B9614C">
        <w:rPr>
          <w:rFonts w:asciiTheme="majorBidi" w:hAnsiTheme="majorBidi" w:cstheme="majorBidi"/>
        </w:rPr>
        <w:t xml:space="preserve">One participant explicitly changed her mind and became adherent by Phase 2 having previously rejected the medication because of her doctor’s insistence:  </w:t>
      </w:r>
    </w:p>
    <w:p w:rsidR="006C2335" w:rsidRPr="00B9614C" w:rsidRDefault="006C2335" w:rsidP="00473D55">
      <w:pPr>
        <w:spacing w:line="360" w:lineRule="auto"/>
        <w:jc w:val="both"/>
        <w:rPr>
          <w:rFonts w:asciiTheme="majorBidi" w:hAnsiTheme="majorBidi" w:cstheme="majorBidi"/>
        </w:rPr>
      </w:pPr>
    </w:p>
    <w:p w:rsidR="00697CC0" w:rsidRPr="00B9614C" w:rsidRDefault="00697CC0" w:rsidP="00473D55">
      <w:pPr>
        <w:spacing w:line="360" w:lineRule="auto"/>
        <w:ind w:left="720"/>
        <w:jc w:val="both"/>
        <w:rPr>
          <w:rFonts w:asciiTheme="majorBidi" w:hAnsiTheme="majorBidi" w:cstheme="majorBidi"/>
          <w:noProof/>
        </w:rPr>
      </w:pPr>
      <w:r w:rsidRPr="00B9614C">
        <w:rPr>
          <w:rFonts w:asciiTheme="majorBidi" w:hAnsiTheme="majorBidi" w:cstheme="majorBidi"/>
        </w:rPr>
        <w:t xml:space="preserve">I didn’t used to take that but then once I had this polymyalgia and I had to take the steroids. As I walked out of the doctors’ room she said ‘now look you must take that acid tablet because if not </w:t>
      </w:r>
      <w:r w:rsidR="00B76C79" w:rsidRPr="00B9614C">
        <w:rPr>
          <w:rFonts w:asciiTheme="majorBidi" w:hAnsiTheme="majorBidi" w:cstheme="majorBidi"/>
        </w:rPr>
        <w:t xml:space="preserve">your bones will just crumble’. </w:t>
      </w:r>
      <w:r w:rsidRPr="00B9614C">
        <w:rPr>
          <w:rFonts w:asciiTheme="majorBidi" w:hAnsiTheme="majorBidi" w:cstheme="majorBidi"/>
        </w:rPr>
        <w:t xml:space="preserve">So whether </w:t>
      </w:r>
      <w:r w:rsidR="007A21C9">
        <w:rPr>
          <w:rFonts w:asciiTheme="majorBidi" w:hAnsiTheme="majorBidi" w:cstheme="majorBidi"/>
        </w:rPr>
        <w:t>I like it or not I’m taking it.</w:t>
      </w:r>
      <w:r w:rsidRPr="00B9614C">
        <w:rPr>
          <w:rFonts w:asciiTheme="majorBidi" w:hAnsiTheme="majorBidi" w:cstheme="majorBidi"/>
        </w:rPr>
        <w:t xml:space="preserve"> </w:t>
      </w:r>
      <w:r w:rsidRPr="00B9614C">
        <w:rPr>
          <w:rFonts w:asciiTheme="majorBidi" w:hAnsiTheme="majorBidi" w:cstheme="majorBidi"/>
          <w:noProof/>
        </w:rPr>
        <w:t>(Participant 13, age 75 –</w:t>
      </w:r>
      <w:r w:rsidR="006C2335" w:rsidRPr="00B9614C">
        <w:rPr>
          <w:rFonts w:asciiTheme="majorBidi" w:hAnsiTheme="majorBidi" w:cstheme="majorBidi"/>
          <w:noProof/>
        </w:rPr>
        <w:t xml:space="preserve"> </w:t>
      </w:r>
      <w:r w:rsidRPr="00B9614C">
        <w:rPr>
          <w:rFonts w:asciiTheme="majorBidi" w:hAnsiTheme="majorBidi" w:cstheme="majorBidi"/>
          <w:noProof/>
        </w:rPr>
        <w:t>became adherent by Phase 2. Adherent to Calcium)</w:t>
      </w:r>
    </w:p>
    <w:p w:rsidR="00697CC0" w:rsidRPr="00B9614C" w:rsidRDefault="00697CC0" w:rsidP="00473D55">
      <w:pPr>
        <w:spacing w:line="360" w:lineRule="auto"/>
        <w:ind w:left="360"/>
        <w:jc w:val="both"/>
        <w:rPr>
          <w:rFonts w:asciiTheme="majorBidi" w:hAnsiTheme="majorBidi" w:cstheme="majorBidi"/>
        </w:rPr>
      </w:pPr>
    </w:p>
    <w:p w:rsidR="00697CC0" w:rsidRPr="00B9614C" w:rsidRDefault="00697CC0" w:rsidP="008E601C">
      <w:pPr>
        <w:spacing w:line="360" w:lineRule="auto"/>
        <w:jc w:val="both"/>
        <w:rPr>
          <w:rFonts w:asciiTheme="majorBidi" w:hAnsiTheme="majorBidi" w:cstheme="majorBidi"/>
        </w:rPr>
      </w:pPr>
      <w:r w:rsidRPr="00B9614C">
        <w:rPr>
          <w:rFonts w:asciiTheme="majorBidi" w:hAnsiTheme="majorBidi" w:cstheme="majorBidi"/>
        </w:rPr>
        <w:t xml:space="preserve">In summary, </w:t>
      </w:r>
      <w:r w:rsidR="00FA5316" w:rsidRPr="00B9614C">
        <w:rPr>
          <w:rFonts w:asciiTheme="majorBidi" w:hAnsiTheme="majorBidi" w:cstheme="majorBidi"/>
        </w:rPr>
        <w:t xml:space="preserve">many </w:t>
      </w:r>
      <w:r w:rsidRPr="00B9614C">
        <w:rPr>
          <w:rFonts w:asciiTheme="majorBidi" w:hAnsiTheme="majorBidi" w:cstheme="majorBidi"/>
        </w:rPr>
        <w:t>participants saw the medication as an adjunct to their own efforts to remain healthy and ward off the impacts of ageing</w:t>
      </w:r>
      <w:r w:rsidR="00462534" w:rsidRPr="00B9614C">
        <w:rPr>
          <w:rFonts w:asciiTheme="majorBidi" w:hAnsiTheme="majorBidi" w:cstheme="majorBidi"/>
        </w:rPr>
        <w:t xml:space="preserve">. </w:t>
      </w:r>
      <w:r w:rsidRPr="00B9614C">
        <w:rPr>
          <w:rFonts w:asciiTheme="majorBidi" w:hAnsiTheme="majorBidi" w:cstheme="majorBidi"/>
        </w:rPr>
        <w:t xml:space="preserve">Additional convenience of medication dosing, a less off-putting name, and ways to reduce side effects </w:t>
      </w:r>
      <w:r w:rsidR="009D511A">
        <w:rPr>
          <w:rFonts w:asciiTheme="majorBidi" w:hAnsiTheme="majorBidi" w:cstheme="majorBidi"/>
        </w:rPr>
        <w:t xml:space="preserve">would be likely to positively </w:t>
      </w:r>
      <w:r w:rsidRPr="00B9614C">
        <w:rPr>
          <w:rFonts w:asciiTheme="majorBidi" w:hAnsiTheme="majorBidi" w:cstheme="majorBidi"/>
        </w:rPr>
        <w:t>influence people’s decisions</w:t>
      </w:r>
      <w:r w:rsidR="009D511A">
        <w:rPr>
          <w:rFonts w:asciiTheme="majorBidi" w:hAnsiTheme="majorBidi" w:cstheme="majorBidi"/>
        </w:rPr>
        <w:t xml:space="preserve"> to remain adherent to these medications</w:t>
      </w:r>
      <w:r w:rsidRPr="00B9614C">
        <w:rPr>
          <w:rFonts w:asciiTheme="majorBidi" w:hAnsiTheme="majorBidi" w:cstheme="majorBidi"/>
        </w:rPr>
        <w:t xml:space="preserve">. </w:t>
      </w:r>
    </w:p>
    <w:p w:rsidR="00697CC0" w:rsidRPr="00B9614C" w:rsidRDefault="00697CC0" w:rsidP="00473D55">
      <w:pPr>
        <w:spacing w:line="360" w:lineRule="auto"/>
        <w:jc w:val="both"/>
        <w:rPr>
          <w:rFonts w:asciiTheme="majorBidi" w:hAnsiTheme="majorBidi" w:cstheme="majorBidi"/>
        </w:rPr>
      </w:pPr>
    </w:p>
    <w:p w:rsidR="00D72D32" w:rsidRPr="00B9614C" w:rsidRDefault="00D72D32" w:rsidP="00D72D32">
      <w:pPr>
        <w:spacing w:line="360" w:lineRule="auto"/>
        <w:jc w:val="both"/>
        <w:rPr>
          <w:b/>
          <w:bCs/>
        </w:rPr>
      </w:pPr>
      <w:r w:rsidRPr="00B9614C">
        <w:rPr>
          <w:rFonts w:asciiTheme="majorBidi" w:hAnsiTheme="majorBidi" w:cstheme="majorBidi"/>
          <w:b/>
          <w:bCs/>
        </w:rPr>
        <w:t xml:space="preserve">Discussion </w:t>
      </w:r>
    </w:p>
    <w:p w:rsidR="00D72D32" w:rsidRPr="00B9614C" w:rsidRDefault="00D72D32" w:rsidP="007349A4">
      <w:pPr>
        <w:spacing w:line="360" w:lineRule="auto"/>
        <w:jc w:val="both"/>
      </w:pPr>
      <w:r w:rsidRPr="00B9614C">
        <w:rPr>
          <w:iCs/>
        </w:rPr>
        <w:t>The data overall show a group of resilient older women doing their best to make sense of a particular set of health opportunities in their lives, and keen to manage the impacts of ageing and minimise increasing frailty and dependence. There was evidence that those who had engaged with professionals to establish and maintain regimens could tolerate and overcome barriers to adherence which had defeated others. The variation of adherence over time suggests that health professionals should not assume adherence in any older women who has relevant medication on their repeat medication list, and that the uncertainty of risk and desire not to worry participants must not confuse messages that these drugs can have a real positive health gain.</w:t>
      </w:r>
      <w:r w:rsidRPr="00B9614C">
        <w:t xml:space="preserve">   </w:t>
      </w:r>
    </w:p>
    <w:p w:rsidR="00D72D32" w:rsidRPr="00B9614C" w:rsidRDefault="00D72D32" w:rsidP="00D72D32">
      <w:pPr>
        <w:spacing w:line="360" w:lineRule="auto"/>
        <w:jc w:val="both"/>
      </w:pPr>
    </w:p>
    <w:p w:rsidR="00D72D32" w:rsidRPr="00B9614C" w:rsidRDefault="00D72D32" w:rsidP="00D72D32">
      <w:pPr>
        <w:spacing w:line="360" w:lineRule="auto"/>
        <w:jc w:val="both"/>
      </w:pPr>
      <w:r w:rsidRPr="00B9614C">
        <w:t xml:space="preserve">To our knowledge, no previous studies have undertaken </w:t>
      </w:r>
      <w:r w:rsidR="000D49A3">
        <w:t xml:space="preserve">longitudinal </w:t>
      </w:r>
      <w:r w:rsidRPr="00B9614C">
        <w:t>in depth interviews to identify factors which influence adherence to osteoporosis regimens in women who have been identified at high risk of fracture. Thus</w:t>
      </w:r>
      <w:r w:rsidR="00DA0F7C" w:rsidRPr="00B9614C">
        <w:t>,</w:t>
      </w:r>
      <w:r w:rsidRPr="00B9614C">
        <w:t xml:space="preserve"> the strength of this study is the repeat in depth interviews with older women that enabled follow up and discussion of change overtime. The limitations include potential sample bias: women who are keen to help research are potentially more motivated to self-care and take an active part in their own health. </w:t>
      </w:r>
    </w:p>
    <w:p w:rsidR="00D72D32" w:rsidRPr="00B9614C" w:rsidRDefault="00D72D32" w:rsidP="00D72D32">
      <w:pPr>
        <w:spacing w:line="360" w:lineRule="auto"/>
        <w:jc w:val="both"/>
        <w:rPr>
          <w:bCs/>
        </w:rPr>
      </w:pPr>
    </w:p>
    <w:p w:rsidR="00D72D32" w:rsidRPr="00B9614C" w:rsidRDefault="00D72D32" w:rsidP="00A6020C">
      <w:pPr>
        <w:spacing w:line="360" w:lineRule="auto"/>
        <w:jc w:val="both"/>
      </w:pPr>
      <w:r w:rsidRPr="00B9614C">
        <w:rPr>
          <w:bCs/>
        </w:rPr>
        <w:t xml:space="preserve">However the context of this work is multifaceted and reflects the issues that arise following screening </w:t>
      </w:r>
      <w:r w:rsidR="00A6020C">
        <w:rPr>
          <w:bCs/>
        </w:rPr>
        <w:t xml:space="preserve">in </w:t>
      </w:r>
      <w:r w:rsidRPr="00B9614C">
        <w:rPr>
          <w:bCs/>
        </w:rPr>
        <w:t xml:space="preserve">a cohort of women who have not previously sought advice about their bone health. </w:t>
      </w:r>
      <w:r w:rsidRPr="00B9614C">
        <w:t xml:space="preserve">Overtime many medications that are routinely prescribed become objects </w:t>
      </w:r>
      <w:r w:rsidR="00E255EC" w:rsidRPr="00B9614C">
        <w:t xml:space="preserve">embedded </w:t>
      </w:r>
      <w:r w:rsidRPr="00B9614C">
        <w:t>with</w:t>
      </w:r>
      <w:r w:rsidR="00E255EC">
        <w:t>in</w:t>
      </w:r>
      <w:r w:rsidRPr="00B9614C">
        <w:t xml:space="preserve"> everyday </w:t>
      </w:r>
      <w:r w:rsidR="00E255EC">
        <w:t xml:space="preserve">life and invested with particular </w:t>
      </w:r>
      <w:r w:rsidRPr="00B9614C">
        <w:t>meaning</w:t>
      </w:r>
      <w:r w:rsidR="00E255EC">
        <w:t>s, values</w:t>
      </w:r>
      <w:r w:rsidRPr="00B9614C">
        <w:t xml:space="preserve"> and identities </w:t>
      </w:r>
      <w:r w:rsidR="00686834" w:rsidRPr="00B9614C">
        <w:fldChar w:fldCharType="begin"/>
      </w:r>
      <w:r w:rsidR="00A6020C">
        <w:instrText xml:space="preserve"> ADDIN EN.CITE &lt;EndNote&gt;&lt;Cite&gt;&lt;Author&gt;Hodgetts&lt;/Author&gt;&lt;Year&gt;2011&lt;/Year&gt;&lt;RecNum&gt;157&lt;/RecNum&gt;&lt;DisplayText&gt;[19]&lt;/DisplayText&gt;&lt;record&gt;&lt;rec-number&gt;157&lt;/rec-number&gt;&lt;foreign-keys&gt;&lt;key app="EN" db-id="frw0wf09qsav0qer2zlx2v2ff9srazx5x2ae"&gt;157&lt;/key&gt;&lt;/foreign-keys&gt;&lt;ref-type name="Journal Article"&gt;17&lt;/ref-type&gt;&lt;contributors&gt;&lt;authors&gt;&lt;author&gt;Hodgetts, Darrin&lt;/author&gt;&lt;author&gt;Chamberlain, Kerry&lt;/author&gt;&lt;author&gt;Gabe, Jon&lt;/author&gt;&lt;author&gt;Dew, Kevin&lt;/author&gt;&lt;author&gt;Radley, Alan&lt;/author&gt;&lt;author&gt;Madden, Helen&lt;/author&gt;&lt;author&gt;Norris, Pauline&lt;/author&gt;&lt;author&gt;Waimarie Nikora, Linda&lt;/author&gt;&lt;/authors&gt;&lt;/contributors&gt;&lt;titles&gt;&lt;title&gt;Emplacement and everyday use of medications in domestic dwellings&lt;/title&gt;&lt;secondary-title&gt;Health &amp;amp; Place&lt;/secondary-title&gt;&lt;/titles&gt;&lt;periodical&gt;&lt;full-title&gt;Health &amp;amp; Place&lt;/full-title&gt;&lt;/periodical&gt;&lt;pages&gt;353-360&lt;/pages&gt;&lt;volume&gt;17&lt;/volume&gt;&lt;number&gt;1&lt;/number&gt;&lt;dates&gt;&lt;year&gt;2011&lt;/year&gt;&lt;/dates&gt;&lt;isbn&gt;1353-8292&lt;/isbn&gt;&lt;urls&gt;&lt;/urls&gt;&lt;/record&gt;&lt;/Cite&gt;&lt;/EndNote&gt;</w:instrText>
      </w:r>
      <w:r w:rsidR="00686834" w:rsidRPr="00B9614C">
        <w:fldChar w:fldCharType="separate"/>
      </w:r>
      <w:r w:rsidR="00A6020C">
        <w:rPr>
          <w:noProof/>
        </w:rPr>
        <w:t>[</w:t>
      </w:r>
      <w:hyperlink w:anchor="_ENREF_19" w:tooltip="Hodgetts, 2011 #157" w:history="1">
        <w:r w:rsidR="00A6020C">
          <w:rPr>
            <w:noProof/>
          </w:rPr>
          <w:t>19</w:t>
        </w:r>
      </w:hyperlink>
      <w:r w:rsidR="00A6020C">
        <w:rPr>
          <w:noProof/>
        </w:rPr>
        <w:t>]</w:t>
      </w:r>
      <w:r w:rsidR="00686834" w:rsidRPr="00B9614C">
        <w:fldChar w:fldCharType="end"/>
      </w:r>
      <w:r w:rsidR="009805D5" w:rsidRPr="00B9614C">
        <w:t xml:space="preserve">. </w:t>
      </w:r>
      <w:r w:rsidRPr="00B9614C">
        <w:t>However, our findings underline the fact that medications are complex social phenomena that may take time to embed and become routinized and acceptable to patients and healthcare professionals alike</w:t>
      </w:r>
      <w:r w:rsidR="00CC7815" w:rsidRPr="00B9614C">
        <w:t xml:space="preserve"> </w:t>
      </w:r>
      <w:r w:rsidR="00686834" w:rsidRPr="00B9614C">
        <w:fldChar w:fldCharType="begin"/>
      </w:r>
      <w:r w:rsidR="00A6020C">
        <w:instrText xml:space="preserve"> ADDIN EN.CITE &lt;EndNote&gt;&lt;Cite&gt;&lt;Author&gt;Cohen&lt;/Author&gt;&lt;Year&gt;2001&lt;/Year&gt;&lt;RecNum&gt;159&lt;/RecNum&gt;&lt;DisplayText&gt;[20]&lt;/DisplayText&gt;&lt;record&gt;&lt;rec-number&gt;159&lt;/rec-number&gt;&lt;foreign-keys&gt;&lt;key app="EN" db-id="frw0wf09qsav0qer2zlx2v2ff9srazx5x2ae"&gt;159&lt;/key&gt;&lt;/foreign-keys&gt;&lt;ref-type name="Journal Article"&gt;17&lt;/ref-type&gt;&lt;contributors&gt;&lt;authors&gt;&lt;author&gt;Cohen, David&lt;/author&gt;&lt;author&gt;McCubbin, Michael&lt;/author&gt;&lt;author&gt;Collin, Johanne&lt;/author&gt;&lt;author&gt;Pérodeau, Guilhème&lt;/author&gt;&lt;/authors&gt;&lt;/contributors&gt;&lt;titles&gt;&lt;title&gt;Medications as social phenomena&lt;/title&gt;&lt;secondary-title&gt;Health:&lt;/secondary-title&gt;&lt;/titles&gt;&lt;periodical&gt;&lt;full-title&gt;Health:&lt;/full-title&gt;&lt;/periodical&gt;&lt;pages&gt;441-469&lt;/pages&gt;&lt;volume&gt;5&lt;/volume&gt;&lt;number&gt;4&lt;/number&gt;&lt;dates&gt;&lt;year&gt;2001&lt;/year&gt;&lt;/dates&gt;&lt;isbn&gt;1363-4593&lt;/isbn&gt;&lt;urls&gt;&lt;/urls&gt;&lt;/record&gt;&lt;/Cite&gt;&lt;/EndNote&gt;</w:instrText>
      </w:r>
      <w:r w:rsidR="00686834" w:rsidRPr="00B9614C">
        <w:fldChar w:fldCharType="separate"/>
      </w:r>
      <w:r w:rsidR="00A6020C">
        <w:rPr>
          <w:noProof/>
        </w:rPr>
        <w:t>[</w:t>
      </w:r>
      <w:hyperlink w:anchor="_ENREF_20" w:tooltip="Cohen, 2001 #159" w:history="1">
        <w:r w:rsidR="00A6020C">
          <w:rPr>
            <w:noProof/>
          </w:rPr>
          <w:t>20</w:t>
        </w:r>
      </w:hyperlink>
      <w:r w:rsidR="00A6020C">
        <w:rPr>
          <w:noProof/>
        </w:rPr>
        <w:t>]</w:t>
      </w:r>
      <w:r w:rsidR="00686834" w:rsidRPr="00B9614C">
        <w:fldChar w:fldCharType="end"/>
      </w:r>
      <w:r w:rsidR="00CC7815" w:rsidRPr="00B9614C">
        <w:t xml:space="preserve">. </w:t>
      </w:r>
      <w:r w:rsidRPr="00B9614C">
        <w:rPr>
          <w:bCs/>
        </w:rPr>
        <w:t>Medications, particularly medication prescribed prophylactically, have</w:t>
      </w:r>
      <w:r w:rsidR="008F2D66" w:rsidRPr="00B9614C">
        <w:rPr>
          <w:bCs/>
        </w:rPr>
        <w:t xml:space="preserve"> many levels of meaning </w:t>
      </w:r>
      <w:r w:rsidR="00686834" w:rsidRPr="00B9614C">
        <w:rPr>
          <w:bCs/>
        </w:rPr>
        <w:fldChar w:fldCharType="begin"/>
      </w:r>
      <w:r w:rsidR="00A6020C">
        <w:rPr>
          <w:bCs/>
        </w:rPr>
        <w:instrText xml:space="preserve"> ADDIN EN.CITE &lt;EndNote&gt;&lt;Cite&gt;&lt;Author&gt;Shoemaker&lt;/Author&gt;&lt;Year&gt;2011&lt;/Year&gt;&lt;RecNum&gt;161&lt;/RecNum&gt;&lt;DisplayText&gt;[21]&lt;/DisplayText&gt;&lt;record&gt;&lt;rec-number&gt;161&lt;/rec-number&gt;&lt;foreign-keys&gt;&lt;key app="EN" db-id="frw0wf09qsav0qer2zlx2v2ff9srazx5x2ae"&gt;161&lt;/key&gt;&lt;/foreign-keys&gt;&lt;ref-type name="Journal Article"&gt;17&lt;/ref-type&gt;&lt;contributors&gt;&lt;authors&gt;&lt;author&gt;Shoemaker, Sarah J&lt;/author&gt;&lt;author&gt;Ramalho de Oliveira, Djenane&lt;/author&gt;&lt;author&gt;Alves, Mateus&lt;/author&gt;&lt;author&gt;Ekstrand, Molly&lt;/author&gt;&lt;/authors&gt;&lt;/contributors&gt;&lt;titles&gt;&lt;title&gt;The medication experience: Preliminary evidence of its value for patient education and counseling on chronic medications&lt;/title&gt;&lt;secondary-title&gt;Patient education and counseling&lt;/secondary-title&gt;&lt;/titles&gt;&lt;periodical&gt;&lt;full-title&gt;Patient Education and Counseling&lt;/full-title&gt;&lt;/periodical&gt;&lt;pages&gt;443-450&lt;/pages&gt;&lt;volume&gt;83&lt;/volume&gt;&lt;number&gt;3&lt;/number&gt;&lt;dates&gt;&lt;year&gt;2011&lt;/year&gt;&lt;/dates&gt;&lt;isbn&gt;0738-3991&lt;/isbn&gt;&lt;urls&gt;&lt;/urls&gt;&lt;/record&gt;&lt;/Cite&gt;&lt;/EndNote&gt;</w:instrText>
      </w:r>
      <w:r w:rsidR="00686834" w:rsidRPr="00B9614C">
        <w:rPr>
          <w:bCs/>
        </w:rPr>
        <w:fldChar w:fldCharType="separate"/>
      </w:r>
      <w:r w:rsidR="00A6020C">
        <w:rPr>
          <w:bCs/>
          <w:noProof/>
        </w:rPr>
        <w:t>[</w:t>
      </w:r>
      <w:hyperlink w:anchor="_ENREF_21" w:tooltip="Shoemaker, 2011 #161" w:history="1">
        <w:r w:rsidR="00A6020C">
          <w:rPr>
            <w:bCs/>
            <w:noProof/>
          </w:rPr>
          <w:t>21</w:t>
        </w:r>
      </w:hyperlink>
      <w:r w:rsidR="00A6020C">
        <w:rPr>
          <w:bCs/>
          <w:noProof/>
        </w:rPr>
        <w:t>]</w:t>
      </w:r>
      <w:r w:rsidR="00686834" w:rsidRPr="00B9614C">
        <w:rPr>
          <w:bCs/>
        </w:rPr>
        <w:fldChar w:fldCharType="end"/>
      </w:r>
      <w:r w:rsidRPr="00B9614C">
        <w:rPr>
          <w:bCs/>
        </w:rPr>
        <w:t xml:space="preserve">. </w:t>
      </w:r>
      <w:r w:rsidRPr="00B9614C">
        <w:t xml:space="preserve">Bisphosphonate medication for the prevention of osteoporosis and fracture is currently framed by a more complex social context where understanding, choice, risk and perceived need all interact to produce unpredictable patterns of usage </w:t>
      </w:r>
      <w:r w:rsidR="008F2D66" w:rsidRPr="00B9614C">
        <w:t xml:space="preserve">and acceptability </w:t>
      </w:r>
      <w:r w:rsidR="00686834" w:rsidRPr="00B9614C">
        <w:fldChar w:fldCharType="begin"/>
      </w:r>
      <w:r w:rsidR="00A6020C">
        <w:instrText xml:space="preserve"> ADDIN EN.CITE &lt;EndNote&gt;&lt;Cite&gt;&lt;Author&gt;Brown&lt;/Author&gt;&lt;Year&gt;2012&lt;/Year&gt;&lt;RecNum&gt;162&lt;/RecNum&gt;&lt;DisplayText&gt;[22]&lt;/DisplayText&gt;&lt;record&gt;&lt;rec-number&gt;162&lt;/rec-number&gt;&lt;foreign-keys&gt;&lt;key app="EN" db-id="frw0wf09qsav0qer2zlx2v2ff9srazx5x2ae"&gt;162&lt;/key&gt;&lt;/foreign-keys&gt;&lt;ref-type name="Journal Article"&gt;17&lt;/ref-type&gt;&lt;contributors&gt;&lt;authors&gt;&lt;author&gt;Brown, Patrick&lt;/author&gt;&lt;author&gt;Calnan, Michael&lt;/author&gt;&lt;/authors&gt;&lt;/contributors&gt;&lt;titles&gt;&lt;title&gt;Braving a faceless new world? Conceptualizing trust in the pharmaceutical industry and its products&lt;/title&gt;&lt;secondary-title&gt;Health:&lt;/secondary-title&gt;&lt;/titles&gt;&lt;periodical&gt;&lt;full-title&gt;Health:&lt;/full-title&gt;&lt;/periodical&gt;&lt;pages&gt;57-75&lt;/pages&gt;&lt;volume&gt;16&lt;/volume&gt;&lt;number&gt;1&lt;/number&gt;&lt;dates&gt;&lt;year&gt;2012&lt;/year&gt;&lt;/dates&gt;&lt;isbn&gt;1363-4593&lt;/isbn&gt;&lt;urls&gt;&lt;/urls&gt;&lt;/record&gt;&lt;/Cite&gt;&lt;/EndNote&gt;</w:instrText>
      </w:r>
      <w:r w:rsidR="00686834" w:rsidRPr="00B9614C">
        <w:fldChar w:fldCharType="separate"/>
      </w:r>
      <w:r w:rsidR="00A6020C">
        <w:rPr>
          <w:noProof/>
        </w:rPr>
        <w:t>[</w:t>
      </w:r>
      <w:hyperlink w:anchor="_ENREF_22" w:tooltip="Brown, 2012 #162" w:history="1">
        <w:r w:rsidR="00A6020C">
          <w:rPr>
            <w:noProof/>
          </w:rPr>
          <w:t>22</w:t>
        </w:r>
      </w:hyperlink>
      <w:r w:rsidR="00A6020C">
        <w:rPr>
          <w:noProof/>
        </w:rPr>
        <w:t>]</w:t>
      </w:r>
      <w:r w:rsidR="00686834" w:rsidRPr="00B9614C">
        <w:fldChar w:fldCharType="end"/>
      </w:r>
      <w:r w:rsidR="008F2D66" w:rsidRPr="00B9614C">
        <w:t>.</w:t>
      </w:r>
      <w:r w:rsidRPr="00B9614C">
        <w:t xml:space="preserve"> </w:t>
      </w:r>
    </w:p>
    <w:p w:rsidR="00E255EC" w:rsidRDefault="00E255EC" w:rsidP="006A7731">
      <w:pPr>
        <w:spacing w:line="360" w:lineRule="auto"/>
        <w:jc w:val="both"/>
        <w:rPr>
          <w:iCs/>
        </w:rPr>
      </w:pPr>
    </w:p>
    <w:p w:rsidR="00D72D32" w:rsidRPr="00B9614C" w:rsidRDefault="00D72D32" w:rsidP="00A6020C">
      <w:pPr>
        <w:spacing w:line="360" w:lineRule="auto"/>
        <w:jc w:val="both"/>
      </w:pPr>
      <w:r w:rsidRPr="00B9614C">
        <w:rPr>
          <w:iCs/>
        </w:rPr>
        <w:t>This study did not record consultation data or the perspective of general practitioners on their interactions around decision making on bisphosphonates</w:t>
      </w:r>
      <w:r w:rsidRPr="00B9614C">
        <w:t xml:space="preserve">. In depth sociolinguistic research has highlighted that patients talk and deploy different discourses and narratives depending on both the context and on the interactional resources available to them </w:t>
      </w:r>
      <w:r w:rsidR="00686834" w:rsidRPr="00B9614C">
        <w:fldChar w:fldCharType="begin"/>
      </w:r>
      <w:r w:rsidR="00A6020C">
        <w:instrText xml:space="preserve"> ADDIN EN.CITE &lt;EndNote&gt;&lt;Cite&gt;&lt;Author&gt;Murdoch&lt;/Author&gt;&lt;Year&gt;2013&lt;/Year&gt;&lt;RecNum&gt;160&lt;/RecNum&gt;&lt;DisplayText&gt;[23]&lt;/DisplayText&gt;&lt;record&gt;&lt;rec-number&gt;160&lt;/rec-number&gt;&lt;foreign-keys&gt;&lt;key app="EN" db-id="frw0wf09qsav0qer2zlx2v2ff9srazx5x2ae"&gt;160&lt;/key&gt;&lt;/foreign-keys&gt;&lt;ref-type name="Journal Article"&gt;17&lt;/ref-type&gt;&lt;contributors&gt;&lt;authors&gt;&lt;author&gt;Murdoch, Jamie&lt;/author&gt;&lt;author&gt;Salter, Charlotte&lt;/author&gt;&lt;author&gt;Cross, Jane&lt;/author&gt;&lt;author&gt;Smith, Jane&lt;/author&gt;&lt;author&gt;Poland, Fiona&lt;/author&gt;&lt;/authors&gt;&lt;/contributors&gt;&lt;titles&gt;&lt;title&gt;Resisting medications: moral discourses and performances in illness narratives&lt;/title&gt;&lt;secondary-title&gt;Sociology of Health &amp;amp; Illness&lt;/secondary-title&gt;&lt;/titles&gt;&lt;periodical&gt;&lt;full-title&gt;Sociology of Health &amp;amp; Illness&lt;/full-title&gt;&lt;/periodical&gt;&lt;pages&gt;449-464&lt;/pages&gt;&lt;volume&gt;35&lt;/volume&gt;&lt;number&gt;3&lt;/number&gt;&lt;keywords&gt;&lt;keyword&gt;communication&lt;/keyword&gt;&lt;keyword&gt;medications&lt;/keyword&gt;&lt;keyword&gt;narrative&lt;/keyword&gt;&lt;keyword&gt;performance&lt;/keyword&gt;&lt;keyword&gt;discourse&lt;/keyword&gt;&lt;/keywords&gt;&lt;dates&gt;&lt;year&gt;2013&lt;/year&gt;&lt;/dates&gt;&lt;publisher&gt;Blackwell Publishing Ltd&lt;/publisher&gt;&lt;isbn&gt;1467-9566&lt;/isbn&gt;&lt;urls&gt;&lt;related-urls&gt;&lt;url&gt;http://dx.doi.org/10.1111/j.1467-9566.2012.01499.x&lt;/url&gt;&lt;/related-urls&gt;&lt;/urls&gt;&lt;electronic-resource-num&gt;10.1111/j.1467-9566.2012.01499.x&lt;/electronic-resource-num&gt;&lt;/record&gt;&lt;/Cite&gt;&lt;/EndNote&gt;</w:instrText>
      </w:r>
      <w:r w:rsidR="00686834" w:rsidRPr="00B9614C">
        <w:fldChar w:fldCharType="separate"/>
      </w:r>
      <w:r w:rsidR="00A6020C">
        <w:rPr>
          <w:noProof/>
        </w:rPr>
        <w:t>[</w:t>
      </w:r>
      <w:hyperlink w:anchor="_ENREF_23" w:tooltip="Murdoch, 2013 #160" w:history="1">
        <w:r w:rsidR="00A6020C">
          <w:rPr>
            <w:noProof/>
          </w:rPr>
          <w:t>23</w:t>
        </w:r>
      </w:hyperlink>
      <w:r w:rsidR="00A6020C">
        <w:rPr>
          <w:noProof/>
        </w:rPr>
        <w:t>]</w:t>
      </w:r>
      <w:r w:rsidR="00686834" w:rsidRPr="00B9614C">
        <w:fldChar w:fldCharType="end"/>
      </w:r>
      <w:r w:rsidR="00CC7815" w:rsidRPr="00B9614C">
        <w:t>,</w:t>
      </w:r>
      <w:r w:rsidR="00131D45" w:rsidRPr="00B9614C">
        <w:t xml:space="preserve"> </w:t>
      </w:r>
      <w:r w:rsidR="00686834" w:rsidRPr="00B9614C">
        <w:fldChar w:fldCharType="begin"/>
      </w:r>
      <w:r w:rsidR="00A6020C">
        <w:instrText xml:space="preserve"> ADDIN EN.CITE &lt;EndNote&gt;&lt;Cite&gt;&lt;Author&gt;Salter&lt;/Author&gt;&lt;Year&gt;2007&lt;/Year&gt;&lt;RecNum&gt;165&lt;/RecNum&gt;&lt;DisplayText&gt;[24]&lt;/DisplayText&gt;&lt;record&gt;&lt;rec-number&gt;165&lt;/rec-number&gt;&lt;foreign-keys&gt;&lt;key app="EN" db-id="frw0wf09qsav0qer2zlx2v2ff9srazx5x2ae"&gt;165&lt;/key&gt;&lt;/foreign-keys&gt;&lt;ref-type name="Journal Article"&gt;17&lt;/ref-type&gt;&lt;contributors&gt;&lt;authors&gt;&lt;author&gt;Salter, Charlotte&lt;/author&gt;&lt;author&gt;Holland, Richard&lt;/author&gt;&lt;author&gt;Harvey, Ian&lt;/author&gt;&lt;author&gt;Henwood, Karen&lt;/author&gt;&lt;/authors&gt;&lt;/contributors&gt;&lt;titles&gt;&lt;title&gt;“I haven&amp;apos;t even phoned my doctor yet.” The advice giving role of the pharmacist during consultations for medication review with patients aged 80 or more: qualitative discourse analysis&lt;/title&gt;&lt;secondary-title&gt;BMJ&lt;/secondary-title&gt;&lt;/titles&gt;&lt;periodical&gt;&lt;full-title&gt;Bmj&lt;/full-title&gt;&lt;/periodical&gt;&lt;pages&gt;1101&lt;/pages&gt;&lt;volume&gt;334&lt;/volume&gt;&lt;number&gt;7603&lt;/number&gt;&lt;dates&gt;&lt;year&gt;2007&lt;/year&gt;&lt;/dates&gt;&lt;isbn&gt;0959-8138&lt;/isbn&gt;&lt;urls&gt;&lt;/urls&gt;&lt;/record&gt;&lt;/Cite&gt;&lt;/EndNote&gt;</w:instrText>
      </w:r>
      <w:r w:rsidR="00686834" w:rsidRPr="00B9614C">
        <w:fldChar w:fldCharType="separate"/>
      </w:r>
      <w:r w:rsidR="00A6020C">
        <w:rPr>
          <w:noProof/>
        </w:rPr>
        <w:t>[</w:t>
      </w:r>
      <w:hyperlink w:anchor="_ENREF_24" w:tooltip="Salter, 2007 #165" w:history="1">
        <w:r w:rsidR="00A6020C">
          <w:rPr>
            <w:noProof/>
          </w:rPr>
          <w:t>24</w:t>
        </w:r>
      </w:hyperlink>
      <w:r w:rsidR="00A6020C">
        <w:rPr>
          <w:noProof/>
        </w:rPr>
        <w:t>]</w:t>
      </w:r>
      <w:r w:rsidR="00686834" w:rsidRPr="00B9614C">
        <w:fldChar w:fldCharType="end"/>
      </w:r>
      <w:r w:rsidR="00131D45" w:rsidRPr="00B9614C">
        <w:t>,</w:t>
      </w:r>
      <w:r w:rsidR="008F2D66" w:rsidRPr="00B9614C">
        <w:t xml:space="preserve"> </w:t>
      </w:r>
      <w:r w:rsidR="00686834" w:rsidRPr="00B9614C">
        <w:fldChar w:fldCharType="begin"/>
      </w:r>
      <w:r w:rsidR="00A6020C">
        <w:instrText xml:space="preserve"> ADDIN EN.CITE &lt;EndNote&gt;&lt;Cite&gt;&lt;Author&gt;Britten&lt;/Author&gt;&lt;Year&gt;2004&lt;/Year&gt;&lt;RecNum&gt;163&lt;/RecNum&gt;&lt;DisplayText&gt;[25]&lt;/DisplayText&gt;&lt;record&gt;&lt;rec-number&gt;163&lt;/rec-number&gt;&lt;foreign-keys&gt;&lt;key app="EN" db-id="frw0wf09qsav0qer2zlx2v2ff9srazx5x2ae"&gt;163&lt;/key&gt;&lt;/foreign-keys&gt;&lt;ref-type name="Journal Article"&gt;17&lt;/ref-type&gt;&lt;contributors&gt;&lt;authors&gt;&lt;author&gt;Britten, Nicky&lt;/author&gt;&lt;author&gt;Stevenson, Fiona&lt;/author&gt;&lt;author&gt;Gafaranga, Joseph&lt;/author&gt;&lt;author&gt;Barry, Christine&lt;/author&gt;&lt;author&gt;Bradley, Colin&lt;/author&gt;&lt;/authors&gt;&lt;/contributors&gt;&lt;titles&gt;&lt;title&gt;The expression of aversion to medicines in general practice consultations&lt;/title&gt;&lt;secondary-title&gt;Social science &amp;amp; medicine&lt;/secondary-title&gt;&lt;/titles&gt;&lt;periodical&gt;&lt;full-title&gt;Social Science &amp;amp; Medicine&lt;/full-title&gt;&lt;/periodical&gt;&lt;pages&gt;1495-1503&lt;/pages&gt;&lt;volume&gt;59&lt;/volume&gt;&lt;number&gt;7&lt;/number&gt;&lt;dates&gt;&lt;year&gt;2004&lt;/year&gt;&lt;/dates&gt;&lt;isbn&gt;0277-9536&lt;/isbn&gt;&lt;urls&gt;&lt;/urls&gt;&lt;/record&gt;&lt;/Cite&gt;&lt;/EndNote&gt;</w:instrText>
      </w:r>
      <w:r w:rsidR="00686834" w:rsidRPr="00B9614C">
        <w:fldChar w:fldCharType="separate"/>
      </w:r>
      <w:r w:rsidR="00A6020C">
        <w:rPr>
          <w:noProof/>
        </w:rPr>
        <w:t>[</w:t>
      </w:r>
      <w:hyperlink w:anchor="_ENREF_25" w:tooltip="Britten, 2004 #163" w:history="1">
        <w:r w:rsidR="00A6020C">
          <w:rPr>
            <w:noProof/>
          </w:rPr>
          <w:t>25</w:t>
        </w:r>
      </w:hyperlink>
      <w:r w:rsidR="00A6020C">
        <w:rPr>
          <w:noProof/>
        </w:rPr>
        <w:t>]</w:t>
      </w:r>
      <w:r w:rsidR="00686834" w:rsidRPr="00B9614C">
        <w:fldChar w:fldCharType="end"/>
      </w:r>
      <w:r w:rsidR="008F2D66" w:rsidRPr="00B9614C">
        <w:t xml:space="preserve">, </w:t>
      </w:r>
      <w:r w:rsidR="00686834" w:rsidRPr="00B9614C">
        <w:fldChar w:fldCharType="begin"/>
      </w:r>
      <w:r w:rsidR="00A6020C">
        <w:instrText xml:space="preserve"> ADDIN EN.CITE &lt;EndNote&gt;&lt;Cite&gt;&lt;Author&gt;Murdoch&lt;/Author&gt;&lt;RecNum&gt;164&lt;/RecNum&gt;&lt;DisplayText&gt;[26]&lt;/DisplayText&gt;&lt;record&gt;&lt;rec-number&gt;164&lt;/rec-number&gt;&lt;foreign-keys&gt;&lt;key app="EN" db-id="frw0wf09qsav0qer2zlx2v2ff9srazx5x2ae"&gt;164&lt;/key&gt;&lt;/foreign-keys&gt;&lt;ref-type name="Journal Article"&gt;17&lt;/ref-type&gt;&lt;contributors&gt;&lt;authors&gt;&lt;author&gt;Murdoch, J., Salter, C., Cross, J., &amp;amp; Poland, F.&lt;/author&gt;&lt;/authors&gt;&lt;/contributors&gt;&lt;titles&gt;&lt;title&gt; Misunderstandings, communicative expectations and resources in illness narratives: Insights from beyond interview transcripts&lt;/title&gt;&lt;/titles&gt;&lt;dates&gt;&lt;pub-dates&gt;&lt;date&gt; (forthcoming)&lt;/date&gt;&lt;/pub-dates&gt;&lt;/dates&gt;&lt;urls&gt;&lt;/urls&gt;&lt;/record&gt;&lt;/Cite&gt;&lt;/EndNote&gt;</w:instrText>
      </w:r>
      <w:r w:rsidR="00686834" w:rsidRPr="00B9614C">
        <w:fldChar w:fldCharType="separate"/>
      </w:r>
      <w:r w:rsidR="00A6020C">
        <w:rPr>
          <w:noProof/>
        </w:rPr>
        <w:t>[</w:t>
      </w:r>
      <w:hyperlink w:anchor="_ENREF_26" w:tooltip="Murdoch,  #164" w:history="1">
        <w:r w:rsidR="00A6020C">
          <w:rPr>
            <w:noProof/>
          </w:rPr>
          <w:t>26</w:t>
        </w:r>
      </w:hyperlink>
      <w:r w:rsidR="00A6020C">
        <w:rPr>
          <w:noProof/>
        </w:rPr>
        <w:t>]</w:t>
      </w:r>
      <w:r w:rsidR="00686834" w:rsidRPr="00B9614C">
        <w:fldChar w:fldCharType="end"/>
      </w:r>
      <w:r w:rsidR="008F2D66" w:rsidRPr="00B9614C">
        <w:t xml:space="preserve">. </w:t>
      </w:r>
      <w:r w:rsidRPr="00B9614C">
        <w:t xml:space="preserve">Although most patients and their health care providers are likely to be keen to ensure that they utilise the outputs of modern medical advances, </w:t>
      </w:r>
      <w:r w:rsidR="00E255EC">
        <w:t>this</w:t>
      </w:r>
      <w:r w:rsidR="00E255EC" w:rsidRPr="00B9614C">
        <w:t xml:space="preserve"> </w:t>
      </w:r>
      <w:r w:rsidRPr="00B9614C">
        <w:t xml:space="preserve">is </w:t>
      </w:r>
      <w:r w:rsidR="00E255EC">
        <w:t xml:space="preserve">in the context of the </w:t>
      </w:r>
      <w:r w:rsidRPr="00B9614C">
        <w:t xml:space="preserve">increasing biomedicalisation of life, especially as people in developed countries are living longer </w:t>
      </w:r>
      <w:r w:rsidR="00686834" w:rsidRPr="00B9614C">
        <w:fldChar w:fldCharType="begin"/>
      </w:r>
      <w:r w:rsidR="00A6020C">
        <w:instrText xml:space="preserve"> ADDIN EN.CITE &lt;EndNote&gt;&lt;Cite&gt;&lt;Author&gt;Salter CI&lt;/Author&gt;&lt;Year&gt;2011&lt;/Year&gt;&lt;RecNum&gt;500&lt;/RecNum&gt;&lt;DisplayText&gt;[27]&lt;/DisplayText&gt;&lt;record&gt;&lt;rec-number&gt;500&lt;/rec-number&gt;&lt;foreign-keys&gt;&lt;key app="EN" db-id="xrv2zpa2u52t2pes5ey5vexo2sar0zs992za"&gt;500&lt;/key&gt;&lt;/foreign-keys&gt;&lt;ref-type name="Journal Article"&gt;17&lt;/ref-type&gt;&lt;contributors&gt;&lt;authors&gt;&lt;author&gt;Salter CI, Howe A, McDaid L, Lenaghan E, Blacklock J, Shepstone L&lt;/author&gt;&lt;/authors&gt;&lt;/contributors&gt;&lt;titles&gt;&lt;title&gt;Risk, significance and biomedicalisation of a new population: Older women’s experience of osteoporosis screening&amp;#xD;&lt;/title&gt;&lt;secondary-title&gt;Social Science &amp;amp; Medicine&lt;/secondary-title&gt;&lt;/titles&gt;&lt;periodical&gt;&lt;full-title&gt;Social Science &amp;amp; Medicine&lt;/full-title&gt;&lt;/periodical&gt;&lt;pages&gt;808-15&lt;/pages&gt;&lt;volume&gt;73&lt;/volume&gt;&lt;number&gt;6&lt;/number&gt;&lt;dates&gt;&lt;year&gt;2011&lt;/year&gt;&lt;/dates&gt;&lt;urls&gt;&lt;/urls&gt;&lt;electronic-resource-num&gt;doi:10.1016/j.socscimed.2011.06.030&lt;/electronic-resource-num&gt;&lt;/record&gt;&lt;/Cite&gt;&lt;/EndNote&gt;</w:instrText>
      </w:r>
      <w:r w:rsidR="00686834" w:rsidRPr="00B9614C">
        <w:fldChar w:fldCharType="separate"/>
      </w:r>
      <w:r w:rsidR="00A6020C">
        <w:rPr>
          <w:noProof/>
        </w:rPr>
        <w:t>[</w:t>
      </w:r>
      <w:hyperlink w:anchor="_ENREF_27" w:tooltip="Salter CI, 2011 #500" w:history="1">
        <w:r w:rsidR="00A6020C">
          <w:rPr>
            <w:noProof/>
          </w:rPr>
          <w:t>27</w:t>
        </w:r>
      </w:hyperlink>
      <w:r w:rsidR="00A6020C">
        <w:rPr>
          <w:noProof/>
        </w:rPr>
        <w:t>]</w:t>
      </w:r>
      <w:r w:rsidR="00686834" w:rsidRPr="00B9614C">
        <w:fldChar w:fldCharType="end"/>
      </w:r>
      <w:r w:rsidRPr="00B9614C">
        <w:t>. Whether this is framed as a sophisticated commercial exploitation of societal fear</w:t>
      </w:r>
      <w:r w:rsidR="00E255EC">
        <w:t>s</w:t>
      </w:r>
      <w:r w:rsidRPr="00B9614C">
        <w:t xml:space="preserve"> of frailty and death, or as an unpredicted consequence of applying multiple disease related guidelines without considering the overall impact, there are consequences</w:t>
      </w:r>
      <w:r w:rsidR="00E255EC">
        <w:t xml:space="preserve"> for individuals in making choices about their health-related practices each day</w:t>
      </w:r>
      <w:r w:rsidRPr="00B9614C">
        <w:t xml:space="preserve">. For example, recent authors have pointed out the likelihood of older people routinely being in receipt of multiple medications, even if they have not yet </w:t>
      </w:r>
      <w:r w:rsidR="0088184C">
        <w:t>developed any specific</w:t>
      </w:r>
      <w:r w:rsidRPr="00B9614C">
        <w:t xml:space="preserve"> disease </w:t>
      </w:r>
      <w:r w:rsidR="00686834" w:rsidRPr="00B9614C">
        <w:fldChar w:fldCharType="begin"/>
      </w:r>
      <w:r w:rsidR="00A6020C">
        <w:instrText xml:space="preserve"> ADDIN EN.CITE &lt;EndNote&gt;&lt;Cite&gt;&lt;Author&gt;Moynihan R&lt;/Author&gt;&lt;Year&gt;2012&lt;/Year&gt;&lt;RecNum&gt;21&lt;/RecNum&gt;&lt;DisplayText&gt;[28]&lt;/DisplayText&gt;&lt;record&gt;&lt;rec-number&gt;21&lt;/rec-number&gt;&lt;foreign-keys&gt;&lt;key app="EN" db-id="frw0wf09qsav0qer2zlx2v2ff9srazx5x2ae"&gt;21&lt;/key&gt;&lt;/foreign-keys&gt;&lt;ref-type name="Journal Article"&gt;17&lt;/ref-type&gt;&lt;contributors&gt;&lt;authors&gt;&lt;author&gt;Moynihan R, Doust J, Henry D&lt;/author&gt;&lt;/authors&gt;&lt;/contributors&gt;&lt;titles&gt;&lt;title&gt;Preventing overdiagnosis: How to stop harming the healthy &lt;/title&gt;&lt;secondary-title&gt;British Medical Journal&lt;/secondary-title&gt;&lt;/titles&gt;&lt;periodical&gt;&lt;full-title&gt;British Medical Journal&lt;/full-title&gt;&lt;/periodical&gt;&lt;volume&gt;244&lt;/volume&gt;&lt;number&gt;e3502&lt;/number&gt;&lt;dates&gt;&lt;year&gt;2012&lt;/year&gt;&lt;/dates&gt;&lt;urls&gt;&lt;/urls&gt;&lt;electronic-resource-num&gt;doi:10.1136/bmj.e3502&lt;/electronic-resource-num&gt;&lt;/record&gt;&lt;/Cite&gt;&lt;/EndNote&gt;</w:instrText>
      </w:r>
      <w:r w:rsidR="00686834" w:rsidRPr="00B9614C">
        <w:fldChar w:fldCharType="separate"/>
      </w:r>
      <w:r w:rsidR="00A6020C">
        <w:rPr>
          <w:noProof/>
        </w:rPr>
        <w:t>[</w:t>
      </w:r>
      <w:hyperlink w:anchor="_ENREF_28" w:tooltip="Moynihan R, 2012 #21" w:history="1">
        <w:r w:rsidR="00A6020C">
          <w:rPr>
            <w:noProof/>
          </w:rPr>
          <w:t>28</w:t>
        </w:r>
      </w:hyperlink>
      <w:r w:rsidR="00A6020C">
        <w:rPr>
          <w:noProof/>
        </w:rPr>
        <w:t>]</w:t>
      </w:r>
      <w:r w:rsidR="00686834" w:rsidRPr="00B9614C">
        <w:fldChar w:fldCharType="end"/>
      </w:r>
      <w:r w:rsidRPr="00B9614C">
        <w:t>,</w:t>
      </w:r>
      <w:r w:rsidR="00131D45" w:rsidRPr="00B9614C">
        <w:t xml:space="preserve"> </w:t>
      </w:r>
      <w:r w:rsidR="00686834" w:rsidRPr="00B9614C">
        <w:fldChar w:fldCharType="begin"/>
      </w:r>
      <w:r w:rsidR="00A6020C">
        <w:instrText xml:space="preserve"> ADDIN EN.CITE &lt;EndNote&gt;&lt;Cite&gt;&lt;Author&gt;Moynihan R&lt;/Author&gt;&lt;Year&gt;2002&lt;/Year&gt;&lt;RecNum&gt;22&lt;/RecNum&gt;&lt;DisplayText&gt;[29]&lt;/DisplayText&gt;&lt;record&gt;&lt;rec-number&gt;22&lt;/rec-number&gt;&lt;foreign-keys&gt;&lt;key app="EN" db-id="frw0wf09qsav0qer2zlx2v2ff9srazx5x2ae"&gt;22&lt;/key&gt;&lt;/foreign-keys&gt;&lt;ref-type name="Journal Article"&gt;17&lt;/ref-type&gt;&lt;contributors&gt;&lt;authors&gt;&lt;author&gt;Moynihan R, Heath I, Henry D&lt;/author&gt;&lt;/authors&gt;&lt;/contributors&gt;&lt;titles&gt;&lt;title&gt;Selling sickness: The pharmaceutical industry and disease mongering&lt;/title&gt;&lt;secondary-title&gt;British Medical Journal&lt;/secondary-title&gt;&lt;/titles&gt;&lt;periodical&gt;&lt;full-title&gt;British Medical Journal&lt;/full-title&gt;&lt;/periodical&gt;&lt;pages&gt;886-91&lt;/pages&gt;&lt;volume&gt;324&lt;/volume&gt;&lt;number&gt;7342&lt;/number&gt;&lt;dates&gt;&lt;year&gt;2002&lt;/year&gt;&lt;/dates&gt;&lt;urls&gt;&lt;/urls&gt;&lt;electronic-resource-num&gt;&amp;#xD;doi: 10.1136/bmj.324.7342.886&amp;#xD;&lt;/electronic-resource-num&gt;&lt;/record&gt;&lt;/Cite&gt;&lt;/EndNote&gt;</w:instrText>
      </w:r>
      <w:r w:rsidR="00686834" w:rsidRPr="00B9614C">
        <w:fldChar w:fldCharType="separate"/>
      </w:r>
      <w:r w:rsidR="00A6020C">
        <w:rPr>
          <w:noProof/>
        </w:rPr>
        <w:t>[</w:t>
      </w:r>
      <w:hyperlink w:anchor="_ENREF_29" w:tooltip="Moynihan R, 2002 #22" w:history="1">
        <w:r w:rsidR="00A6020C">
          <w:rPr>
            <w:noProof/>
          </w:rPr>
          <w:t>29</w:t>
        </w:r>
      </w:hyperlink>
      <w:r w:rsidR="00A6020C">
        <w:rPr>
          <w:noProof/>
        </w:rPr>
        <w:t>]</w:t>
      </w:r>
      <w:r w:rsidR="00686834" w:rsidRPr="00B9614C">
        <w:fldChar w:fldCharType="end"/>
      </w:r>
      <w:r w:rsidRPr="00B9614C">
        <w:t>. The cumulative costs of screening</w:t>
      </w:r>
      <w:r w:rsidR="0088184C">
        <w:t>s</w:t>
      </w:r>
      <w:r w:rsidRPr="00B9614C">
        <w:t>, follow-ups, treatment</w:t>
      </w:r>
      <w:r w:rsidR="0088184C">
        <w:t>s</w:t>
      </w:r>
      <w:r w:rsidRPr="00B9614C">
        <w:t xml:space="preserve"> and personal sequelae in terms of time, side effects, and perceived vulnerability or risk all need to be set against the potential benefits. The impacts of knowing that they are deemed to be at risk can move people from a narrative of their self as a healthy empowered person to one who is frail and in need of help</w:t>
      </w:r>
      <w:r w:rsidR="0088184C">
        <w:t>, which can also have unexpected consequences</w:t>
      </w:r>
      <w:r w:rsidR="007349A4">
        <w:t xml:space="preserve"> </w:t>
      </w:r>
      <w:r w:rsidR="00686834" w:rsidRPr="00B9614C">
        <w:fldChar w:fldCharType="begin"/>
      </w:r>
      <w:r w:rsidR="00A6020C">
        <w:instrText xml:space="preserve"> ADDIN EN.CITE &lt;EndNote&gt;&lt;Cite&gt;&lt;Author&gt;Salter CI&lt;/Author&gt;&lt;Year&gt;2011&lt;/Year&gt;&lt;RecNum&gt;500&lt;/RecNum&gt;&lt;DisplayText&gt;[27]&lt;/DisplayText&gt;&lt;record&gt;&lt;rec-number&gt;500&lt;/rec-number&gt;&lt;foreign-keys&gt;&lt;key app="EN" db-id="xrv2zpa2u52t2pes5ey5vexo2sar0zs992za"&gt;500&lt;/key&gt;&lt;/foreign-keys&gt;&lt;ref-type name="Journal Article"&gt;17&lt;/ref-type&gt;&lt;contributors&gt;&lt;authors&gt;&lt;author&gt;Salter CI, Howe A, McDaid L, Lenaghan E, Blacklock J, Shepstone L&lt;/author&gt;&lt;/authors&gt;&lt;/contributors&gt;&lt;titles&gt;&lt;title&gt;Risk, significance and biomedicalisation of a new population: Older women’s experience of osteoporosis screening&amp;#xD;&lt;/title&gt;&lt;secondary-title&gt;Social Science &amp;amp; Medicine&lt;/secondary-title&gt;&lt;/titles&gt;&lt;periodical&gt;&lt;full-title&gt;Social Science &amp;amp; Medicine&lt;/full-title&gt;&lt;/periodical&gt;&lt;pages&gt;808-15&lt;/pages&gt;&lt;volume&gt;73&lt;/volume&gt;&lt;number&gt;6&lt;/number&gt;&lt;dates&gt;&lt;year&gt;2011&lt;/year&gt;&lt;/dates&gt;&lt;urls&gt;&lt;/urls&gt;&lt;electronic-resource-num&gt;doi:10.1016/j.socscimed.2011.06.030&lt;/electronic-resource-num&gt;&lt;/record&gt;&lt;/Cite&gt;&lt;/EndNote&gt;</w:instrText>
      </w:r>
      <w:r w:rsidR="00686834" w:rsidRPr="00B9614C">
        <w:fldChar w:fldCharType="separate"/>
      </w:r>
      <w:r w:rsidR="00A6020C">
        <w:rPr>
          <w:noProof/>
        </w:rPr>
        <w:t>[</w:t>
      </w:r>
      <w:hyperlink w:anchor="_ENREF_27" w:tooltip="Salter CI, 2011 #500" w:history="1">
        <w:r w:rsidR="00A6020C">
          <w:rPr>
            <w:noProof/>
          </w:rPr>
          <w:t>27</w:t>
        </w:r>
      </w:hyperlink>
      <w:r w:rsidR="00A6020C">
        <w:rPr>
          <w:noProof/>
        </w:rPr>
        <w:t>]</w:t>
      </w:r>
      <w:r w:rsidR="00686834" w:rsidRPr="00B9614C">
        <w:fldChar w:fldCharType="end"/>
      </w:r>
      <w:r w:rsidRPr="00B9614C">
        <w:t>.</w:t>
      </w:r>
    </w:p>
    <w:p w:rsidR="00D72D32" w:rsidRPr="00B9614C" w:rsidRDefault="00D72D32" w:rsidP="00D72D32">
      <w:pPr>
        <w:spacing w:line="360" w:lineRule="auto"/>
        <w:jc w:val="both"/>
      </w:pPr>
    </w:p>
    <w:p w:rsidR="00D72D32" w:rsidRPr="00B9614C" w:rsidRDefault="0088184C" w:rsidP="00A6020C">
      <w:pPr>
        <w:spacing w:line="360" w:lineRule="auto"/>
        <w:jc w:val="both"/>
      </w:pPr>
      <w:r>
        <w:t>W</w:t>
      </w:r>
      <w:r w:rsidR="00D72D32" w:rsidRPr="00B9614C">
        <w:t xml:space="preserve">ithin this complex context, each patient and their doctor or nurse has to make individual decisions as to whether a risk factor should be </w:t>
      </w:r>
      <w:r w:rsidR="000577BA">
        <w:t>prioritised</w:t>
      </w:r>
      <w:r w:rsidR="000577BA" w:rsidRPr="00B9614C">
        <w:t xml:space="preserve"> </w:t>
      </w:r>
      <w:r w:rsidR="00D72D32" w:rsidRPr="00B9614C">
        <w:t xml:space="preserve">or treated once detected. General practitioners are probably the medical professionals who are most aware of the extent to which the uptake of any new test or treatment is dependent on the beliefs, understanding, needs and expectations of the individual in front of them. It is a tenet of their discipline and training that any new health issue needs to be debated in the context of the person’s whole </w:t>
      </w:r>
      <w:r w:rsidR="006D4457">
        <w:t>life context</w:t>
      </w:r>
      <w:r w:rsidR="00D72D32" w:rsidRPr="00B9614C">
        <w:t>, while maximising health gain and minimising adverse consequences</w:t>
      </w:r>
      <w:r w:rsidR="006D4457">
        <w:t xml:space="preserve"> of any intervention</w:t>
      </w:r>
      <w:r w:rsidR="00D72D32" w:rsidRPr="00B9614C">
        <w:t xml:space="preserve">. It is the skill of a general practitioner to enable patients to make considered judgements in </w:t>
      </w:r>
      <w:r w:rsidR="006D4457">
        <w:t>the face of these multiple choices</w:t>
      </w:r>
      <w:r w:rsidR="00D72D32" w:rsidRPr="00B9614C">
        <w:t xml:space="preserve">. However, both the literature and our interviews suggest that preventive health measures often pose a challenge in time limited appointments, which may have influenced </w:t>
      </w:r>
      <w:r w:rsidR="006D4457">
        <w:t xml:space="preserve">the decision made in </w:t>
      </w:r>
      <w:r w:rsidR="00D72D32" w:rsidRPr="00B9614C">
        <w:t xml:space="preserve">some </w:t>
      </w:r>
      <w:r w:rsidR="006D4457">
        <w:t xml:space="preserve">clinical </w:t>
      </w:r>
      <w:r w:rsidR="00D72D32" w:rsidRPr="00B9614C">
        <w:t>encounters</w:t>
      </w:r>
      <w:r w:rsidR="006A7731" w:rsidRPr="00B9614C">
        <w:t xml:space="preserve"> </w:t>
      </w:r>
      <w:r w:rsidR="00686834" w:rsidRPr="00B9614C">
        <w:fldChar w:fldCharType="begin"/>
      </w:r>
      <w:r w:rsidR="00A6020C">
        <w:instrText xml:space="preserve"> ADDIN EN.CITE &lt;EndNote&gt;&lt;Cite&gt;&lt;Author&gt;Mirand AL&lt;/Author&gt;&lt;Year&gt;2003&lt;/Year&gt;&lt;RecNum&gt;2&lt;/RecNum&gt;&lt;DisplayText&gt;[30]&lt;/DisplayText&gt;&lt;record&gt;&lt;rec-number&gt;2&lt;/rec-number&gt;&lt;foreign-keys&gt;&lt;key app="EN" db-id="xr55f550gs59ajev293vsx92w0dpvfz2rxv2"&gt;2&lt;/key&gt;&lt;/foreign-keys&gt;&lt;ref-type name="Journal Article"&gt;17&lt;/ref-type&gt;&lt;contributors&gt;&lt;authors&gt;&lt;author&gt;Mirand AL, Beehler G, Kuo CL, Mahoney MC.&lt;/author&gt;&lt;/authors&gt;&lt;/contributors&gt;&lt;titles&gt;&lt;title&gt;Explaining the de-prioritization of primary prevention: Physicians&amp;apos; perceptions of their role in the delivery of primary care.  &lt;/title&gt;&lt;secondary-title&gt;BMC Public Health&lt;/secondary-title&gt;&lt;/titles&gt;&lt;periodical&gt;&lt;full-title&gt;BMC Public Health&lt;/full-title&gt;&lt;/periodical&gt;&lt;pages&gt;1-15&lt;/pages&gt;&lt;volume&gt;3&lt;/volume&gt;&lt;dates&gt;&lt;year&gt;2003&lt;/year&gt;&lt;/dates&gt;&lt;urls&gt;&lt;/urls&gt;&lt;/record&gt;&lt;/Cite&gt;&lt;/EndNote&gt;</w:instrText>
      </w:r>
      <w:r w:rsidR="00686834" w:rsidRPr="00B9614C">
        <w:fldChar w:fldCharType="separate"/>
      </w:r>
      <w:r w:rsidR="00A6020C">
        <w:rPr>
          <w:noProof/>
        </w:rPr>
        <w:t>[</w:t>
      </w:r>
      <w:hyperlink w:anchor="_ENREF_30" w:tooltip="Mirand AL, 2003 #2" w:history="1">
        <w:r w:rsidR="00A6020C">
          <w:rPr>
            <w:noProof/>
          </w:rPr>
          <w:t>30</w:t>
        </w:r>
      </w:hyperlink>
      <w:r w:rsidR="00A6020C">
        <w:rPr>
          <w:noProof/>
        </w:rPr>
        <w:t>]</w:t>
      </w:r>
      <w:r w:rsidR="00686834" w:rsidRPr="00B9614C">
        <w:fldChar w:fldCharType="end"/>
      </w:r>
      <w:r w:rsidR="006A7731" w:rsidRPr="00B9614C">
        <w:t xml:space="preserve">, </w:t>
      </w:r>
      <w:r w:rsidR="00686834" w:rsidRPr="00B9614C">
        <w:fldChar w:fldCharType="begin"/>
      </w:r>
      <w:r w:rsidR="00A6020C">
        <w:instrText xml:space="preserve"> ADDIN EN.CITE &lt;EndNote&gt;&lt;Cite&gt;&lt;Author&gt;Williams SJ&lt;/Author&gt;&lt;Year&gt;2008&lt;/Year&gt;&lt;RecNum&gt;3&lt;/RecNum&gt;&lt;DisplayText&gt;[31]&lt;/DisplayText&gt;&lt;record&gt;&lt;rec-number&gt;3&lt;/rec-number&gt;&lt;foreign-keys&gt;&lt;key app="EN" db-id="xr55f550gs59ajev293vsx92w0dpvfz2rxv2"&gt;3&lt;/key&gt;&lt;/foreign-keys&gt;&lt;ref-type name="Journal Article"&gt;17&lt;/ref-type&gt;&lt;contributors&gt;&lt;authors&gt;&lt;author&gt;Williams SJ, Calnan M.&lt;/author&gt;&lt;/authors&gt;&lt;/contributors&gt;&lt;titles&gt;&lt;title&gt;Perspectives on prevention: The views of general practitioners.&lt;/title&gt;&lt;secondary-title&gt;Sociol Health Ill&lt;/secondary-title&gt;&lt;/titles&gt;&lt;periodical&gt;&lt;full-title&gt;Sociol Health Ill&lt;/full-title&gt;&lt;/periodical&gt;&lt;pages&gt;372.393&lt;/pages&gt;&lt;volume&gt;16&lt;/volume&gt;&lt;dates&gt;&lt;year&gt;2008&lt;/year&gt;&lt;/dates&gt;&lt;urls&gt;&lt;/urls&gt;&lt;/record&gt;&lt;/Cite&gt;&lt;/EndNote&gt;</w:instrText>
      </w:r>
      <w:r w:rsidR="00686834" w:rsidRPr="00B9614C">
        <w:fldChar w:fldCharType="separate"/>
      </w:r>
      <w:r w:rsidR="00A6020C">
        <w:rPr>
          <w:noProof/>
        </w:rPr>
        <w:t>[</w:t>
      </w:r>
      <w:hyperlink w:anchor="_ENREF_31" w:tooltip="Williams SJ, 2008 #3" w:history="1">
        <w:r w:rsidR="00A6020C">
          <w:rPr>
            <w:noProof/>
          </w:rPr>
          <w:t>31</w:t>
        </w:r>
      </w:hyperlink>
      <w:r w:rsidR="00A6020C">
        <w:rPr>
          <w:noProof/>
        </w:rPr>
        <w:t>]</w:t>
      </w:r>
      <w:r w:rsidR="00686834" w:rsidRPr="00B9614C">
        <w:fldChar w:fldCharType="end"/>
      </w:r>
      <w:r w:rsidR="006A7731" w:rsidRPr="00B9614C">
        <w:t xml:space="preserve">, </w:t>
      </w:r>
      <w:r w:rsidR="00686834" w:rsidRPr="00B9614C">
        <w:fldChar w:fldCharType="begin"/>
      </w:r>
      <w:r w:rsidR="00A6020C">
        <w:instrText xml:space="preserve"> ADDIN EN.CITE &lt;EndNote&gt;&lt;Cite&gt;&lt;Author&gt;Poole KES&lt;/Author&gt;&lt;Year&gt;2006&lt;/Year&gt;&lt;RecNum&gt;4&lt;/RecNum&gt;&lt;DisplayText&gt;[32]&lt;/DisplayText&gt;&lt;record&gt;&lt;rec-number&gt;4&lt;/rec-number&gt;&lt;foreign-keys&gt;&lt;key app="EN" db-id="xr55f550gs59ajev293vsx92w0dpvfz2rxv2"&gt;4&lt;/key&gt;&lt;/foreign-keys&gt;&lt;ref-type name="Journal Article"&gt;17&lt;/ref-type&gt;&lt;contributors&gt;&lt;authors&gt;&lt;author&gt;Poole KES, Compston JE.&lt;/author&gt;&lt;/authors&gt;&lt;/contributors&gt;&lt;titles&gt;&lt;title&gt;Osteoporosis and its management.&lt;/title&gt;&lt;secondary-title&gt;BMJ &lt;/secondary-title&gt;&lt;/titles&gt;&lt;periodical&gt;&lt;full-title&gt;BMJ&lt;/full-title&gt;&lt;/periodical&gt;&lt;volume&gt;333&lt;/volume&gt;&lt;number&gt;1251-1260&lt;/number&gt;&lt;dates&gt;&lt;year&gt;2006&lt;/year&gt;&lt;/dates&gt;&lt;urls&gt;&lt;/urls&gt;&lt;/record&gt;&lt;/Cite&gt;&lt;/EndNote&gt;</w:instrText>
      </w:r>
      <w:r w:rsidR="00686834" w:rsidRPr="00B9614C">
        <w:fldChar w:fldCharType="separate"/>
      </w:r>
      <w:r w:rsidR="00A6020C">
        <w:rPr>
          <w:noProof/>
        </w:rPr>
        <w:t>[</w:t>
      </w:r>
      <w:hyperlink w:anchor="_ENREF_32" w:tooltip="Poole KES, 2006 #4" w:history="1">
        <w:r w:rsidR="00A6020C">
          <w:rPr>
            <w:noProof/>
          </w:rPr>
          <w:t>32</w:t>
        </w:r>
      </w:hyperlink>
      <w:r w:rsidR="00A6020C">
        <w:rPr>
          <w:noProof/>
        </w:rPr>
        <w:t>]</w:t>
      </w:r>
      <w:r w:rsidR="00686834" w:rsidRPr="00B9614C">
        <w:fldChar w:fldCharType="end"/>
      </w:r>
      <w:r w:rsidR="006A7731" w:rsidRPr="00B9614C">
        <w:t xml:space="preserve">. </w:t>
      </w:r>
      <w:r w:rsidR="00D72D32" w:rsidRPr="00B9614C">
        <w:t>Furthermore, the fact that this was a research study may also have influenced overall uptake and follow-up in clinical practice.  More research is needed on the effectiveness and efficacy of secondary prevention and the role of healthcare providers in this field.</w:t>
      </w:r>
    </w:p>
    <w:p w:rsidR="00D72D32" w:rsidRPr="00B9614C" w:rsidRDefault="00D72D32" w:rsidP="00D72D32">
      <w:pPr>
        <w:spacing w:line="360" w:lineRule="auto"/>
        <w:jc w:val="both"/>
      </w:pPr>
    </w:p>
    <w:p w:rsidR="00FE0D96" w:rsidRPr="00B9614C" w:rsidRDefault="00FE0D96" w:rsidP="00D72D32">
      <w:pPr>
        <w:spacing w:line="360" w:lineRule="auto"/>
      </w:pPr>
      <w:r w:rsidRPr="00B9614C">
        <w:rPr>
          <w:rFonts w:asciiTheme="majorBidi" w:eastAsiaTheme="minorEastAsia" w:hAnsiTheme="majorBidi" w:cstheme="majorBidi"/>
          <w:b/>
          <w:lang w:eastAsia="zh-CN"/>
        </w:rPr>
        <w:t>Acknowledgements</w:t>
      </w:r>
    </w:p>
    <w:p w:rsidR="00FE0D96" w:rsidRPr="00B9614C" w:rsidRDefault="00FE0D96" w:rsidP="00473D55">
      <w:pPr>
        <w:spacing w:line="360" w:lineRule="auto"/>
        <w:jc w:val="both"/>
        <w:rPr>
          <w:rFonts w:asciiTheme="majorBidi" w:eastAsiaTheme="minorEastAsia" w:hAnsiTheme="majorBidi" w:cstheme="majorBidi"/>
          <w:lang w:eastAsia="zh-CN"/>
        </w:rPr>
      </w:pPr>
      <w:r w:rsidRPr="00B9614C">
        <w:rPr>
          <w:rFonts w:asciiTheme="majorBidi" w:eastAsiaTheme="minorEastAsia" w:hAnsiTheme="majorBidi" w:cstheme="majorBidi"/>
          <w:lang w:eastAsia="zh-CN"/>
        </w:rPr>
        <w:t xml:space="preserve">We would like to acknowledge the staff and researchers of the </w:t>
      </w:r>
      <w:r w:rsidRPr="00B9614C">
        <w:rPr>
          <w:rFonts w:asciiTheme="majorBidi" w:hAnsiTheme="majorBidi" w:cstheme="majorBidi"/>
        </w:rPr>
        <w:t>Screening for Osteoporosis in Older women for the Prevention of fracture</w:t>
      </w:r>
      <w:r w:rsidR="00DE43A2" w:rsidRPr="00B9614C">
        <w:rPr>
          <w:rFonts w:asciiTheme="majorBidi" w:hAnsiTheme="majorBidi" w:cstheme="majorBidi"/>
        </w:rPr>
        <w:t xml:space="preserve"> Trial </w:t>
      </w:r>
      <w:r w:rsidRPr="00B9614C">
        <w:rPr>
          <w:rFonts w:asciiTheme="majorBidi" w:eastAsiaTheme="minorEastAsia" w:hAnsiTheme="majorBidi" w:cstheme="majorBidi"/>
          <w:lang w:eastAsia="zh-CN"/>
        </w:rPr>
        <w:t>from which this study grew, and the patients who were willing to undertake both studies. We also wish to thank our patient and public involvement leads from the NHS Norfolk ‘PPIRes’ panel, for their excellent guidance and input.</w:t>
      </w:r>
    </w:p>
    <w:p w:rsidR="004C153D" w:rsidRPr="00B9614C" w:rsidRDefault="004C153D" w:rsidP="00473D55">
      <w:pPr>
        <w:spacing w:line="360" w:lineRule="auto"/>
        <w:jc w:val="both"/>
      </w:pPr>
    </w:p>
    <w:p w:rsidR="00470A13" w:rsidRPr="00470A13" w:rsidRDefault="00470A13" w:rsidP="00470A13">
      <w:pPr>
        <w:spacing w:line="360" w:lineRule="auto"/>
        <w:rPr>
          <w:b/>
          <w:bCs/>
        </w:rPr>
      </w:pPr>
      <w:r w:rsidRPr="00470A13">
        <w:rPr>
          <w:b/>
          <w:bCs/>
        </w:rPr>
        <w:t xml:space="preserve">Disclaimer </w:t>
      </w:r>
    </w:p>
    <w:p w:rsidR="00470A13" w:rsidRPr="00BD1C4C" w:rsidRDefault="00470A13" w:rsidP="00470A13">
      <w:pPr>
        <w:spacing w:line="360" w:lineRule="auto"/>
      </w:pPr>
      <w:r w:rsidRPr="00BD1C4C">
        <w:t xml:space="preserve">This paper outlines independent research funded by the National Institute for Health Research (NIHR) under its Research for Patient Benefit Programme (RfPB) </w:t>
      </w:r>
      <w:r>
        <w:rPr>
          <w:lang w:eastAsia="zh-CN"/>
        </w:rPr>
        <w:t>RfPB PB-PG-0807-14068</w:t>
      </w:r>
      <w:r w:rsidRPr="00BD1C4C">
        <w:t>. The views expressed are those of the authors and not necessarily those of the NHS, the NIHR or the Department of Health. The funders had no role in study design, data collection and analysis, decision to publish, or preparation of the manuscript.</w:t>
      </w:r>
    </w:p>
    <w:p w:rsidR="00470A13" w:rsidRDefault="00470A13" w:rsidP="00470A13">
      <w:pPr>
        <w:spacing w:line="360" w:lineRule="auto"/>
      </w:pPr>
    </w:p>
    <w:p w:rsidR="00D72D32" w:rsidRPr="00B9614C" w:rsidRDefault="00D72D32">
      <w:pPr>
        <w:rPr>
          <w:rFonts w:asciiTheme="majorBidi" w:hAnsiTheme="majorBidi" w:cstheme="majorBidi"/>
          <w:b/>
        </w:rPr>
      </w:pPr>
      <w:r w:rsidRPr="00B9614C">
        <w:rPr>
          <w:rFonts w:asciiTheme="majorBidi" w:hAnsiTheme="majorBidi" w:cstheme="majorBidi"/>
          <w:b/>
        </w:rPr>
        <w:br w:type="page"/>
      </w:r>
    </w:p>
    <w:p w:rsidR="0054471F" w:rsidRPr="00B9614C" w:rsidRDefault="00697CC0" w:rsidP="00473D55">
      <w:pPr>
        <w:spacing w:line="360" w:lineRule="auto"/>
        <w:jc w:val="both"/>
        <w:rPr>
          <w:rFonts w:asciiTheme="majorBidi" w:hAnsiTheme="majorBidi" w:cstheme="majorBidi"/>
          <w:b/>
        </w:rPr>
      </w:pPr>
      <w:r w:rsidRPr="00B9614C">
        <w:rPr>
          <w:rFonts w:asciiTheme="majorBidi" w:hAnsiTheme="majorBidi" w:cstheme="majorBidi"/>
          <w:b/>
        </w:rPr>
        <w:t>References</w:t>
      </w:r>
    </w:p>
    <w:p w:rsidR="00DD1A58" w:rsidRPr="00B9614C" w:rsidRDefault="00DD1A58" w:rsidP="00473D55">
      <w:pPr>
        <w:spacing w:line="360" w:lineRule="auto"/>
        <w:jc w:val="both"/>
        <w:rPr>
          <w:rFonts w:asciiTheme="majorBidi" w:hAnsiTheme="majorBidi" w:cstheme="majorBidi"/>
          <w:b/>
        </w:rPr>
      </w:pPr>
    </w:p>
    <w:p w:rsidR="00A6020C" w:rsidRDefault="00686834" w:rsidP="00A6020C">
      <w:pPr>
        <w:ind w:left="720" w:hanging="720"/>
        <w:jc w:val="both"/>
        <w:rPr>
          <w:noProof/>
        </w:rPr>
      </w:pPr>
      <w:r w:rsidRPr="00B9614C">
        <w:fldChar w:fldCharType="begin"/>
      </w:r>
      <w:r w:rsidR="00B94D04" w:rsidRPr="00B9614C">
        <w:instrText xml:space="preserve"> ADDIN EN.REFLIST </w:instrText>
      </w:r>
      <w:r w:rsidRPr="00B9614C">
        <w:fldChar w:fldCharType="separate"/>
      </w:r>
      <w:bookmarkStart w:id="1" w:name="_ENREF_1"/>
      <w:r w:rsidR="00A6020C">
        <w:rPr>
          <w:noProof/>
        </w:rPr>
        <w:t>1. Kanis JA (2002) Diagnosis of osteoporosis and assessment of fracture risk. Lancet 359: 1929-1936.</w:t>
      </w:r>
      <w:bookmarkEnd w:id="1"/>
    </w:p>
    <w:p w:rsidR="00A6020C" w:rsidRDefault="00A6020C" w:rsidP="00A6020C">
      <w:pPr>
        <w:ind w:left="720" w:hanging="720"/>
        <w:jc w:val="both"/>
        <w:rPr>
          <w:noProof/>
        </w:rPr>
      </w:pPr>
      <w:bookmarkStart w:id="2" w:name="_ENREF_2"/>
      <w:r>
        <w:rPr>
          <w:noProof/>
        </w:rPr>
        <w:t>2. WHO (2003) Prevention and Management of osteoporosis. Geneva: WHO.</w:t>
      </w:r>
      <w:bookmarkEnd w:id="2"/>
    </w:p>
    <w:p w:rsidR="00A6020C" w:rsidRDefault="00A6020C" w:rsidP="00A6020C">
      <w:pPr>
        <w:ind w:left="720" w:hanging="720"/>
        <w:jc w:val="both"/>
        <w:rPr>
          <w:noProof/>
        </w:rPr>
      </w:pPr>
      <w:bookmarkStart w:id="3" w:name="_ENREF_3"/>
      <w:r>
        <w:rPr>
          <w:noProof/>
        </w:rPr>
        <w:t>3. Verdijk NA, Romeijnders AC, Ruskus JJ, Van Der Sluijs C, Pop VJ (2009) Validation of the Dutch guidelines for dual X-ray absorptiometry measurement. The British Journal of General Practice 59: 256-260.</w:t>
      </w:r>
      <w:bookmarkEnd w:id="3"/>
    </w:p>
    <w:p w:rsidR="00A6020C" w:rsidRDefault="00A6020C" w:rsidP="00A6020C">
      <w:pPr>
        <w:ind w:left="720" w:hanging="720"/>
        <w:jc w:val="both"/>
        <w:rPr>
          <w:noProof/>
        </w:rPr>
      </w:pPr>
      <w:bookmarkStart w:id="4" w:name="_ENREF_4"/>
      <w:r>
        <w:rPr>
          <w:noProof/>
        </w:rPr>
        <w:t>4. (SIGN) SIGN (2003) Management of osteoporosis risk.</w:t>
      </w:r>
      <w:bookmarkEnd w:id="4"/>
    </w:p>
    <w:p w:rsidR="00A6020C" w:rsidRDefault="00A6020C" w:rsidP="00A6020C">
      <w:pPr>
        <w:ind w:left="720" w:hanging="720"/>
        <w:jc w:val="both"/>
        <w:rPr>
          <w:noProof/>
        </w:rPr>
      </w:pPr>
      <w:bookmarkStart w:id="5" w:name="_ENREF_5"/>
      <w:r>
        <w:rPr>
          <w:noProof/>
        </w:rPr>
        <w:t>5. NICE (2012) Osteoporosis: Assessing the risk of fragility fracture</w:t>
      </w:r>
    </w:p>
    <w:p w:rsidR="00A6020C" w:rsidRDefault="00A6020C" w:rsidP="00A6020C">
      <w:pPr>
        <w:ind w:left="720" w:hanging="720"/>
        <w:jc w:val="both"/>
        <w:rPr>
          <w:noProof/>
        </w:rPr>
      </w:pPr>
      <w:r>
        <w:rPr>
          <w:noProof/>
        </w:rPr>
        <w:t>London: NICE.</w:t>
      </w:r>
      <w:bookmarkEnd w:id="5"/>
    </w:p>
    <w:p w:rsidR="00A6020C" w:rsidRDefault="00A6020C" w:rsidP="00A6020C">
      <w:pPr>
        <w:ind w:left="720" w:hanging="720"/>
        <w:jc w:val="both"/>
        <w:rPr>
          <w:noProof/>
        </w:rPr>
      </w:pPr>
      <w:bookmarkStart w:id="6" w:name="_ENREF_6"/>
      <w:r>
        <w:rPr>
          <w:noProof/>
        </w:rPr>
        <w:t>6. WHO Fracture Risk Assessment Tool.</w:t>
      </w:r>
      <w:bookmarkEnd w:id="6"/>
    </w:p>
    <w:p w:rsidR="00A6020C" w:rsidRDefault="00A6020C" w:rsidP="00A6020C">
      <w:pPr>
        <w:ind w:left="720" w:hanging="720"/>
        <w:jc w:val="both"/>
        <w:rPr>
          <w:noProof/>
        </w:rPr>
      </w:pPr>
      <w:bookmarkStart w:id="7" w:name="_ENREF_7"/>
      <w:r>
        <w:rPr>
          <w:noProof/>
        </w:rPr>
        <w:t>7. Kanis J, Glüer CC (2000) An update on the diagnosis and assessment of osteoporosis with densitometry. Osteoporosis International 11: 192-202.</w:t>
      </w:r>
      <w:bookmarkEnd w:id="7"/>
    </w:p>
    <w:p w:rsidR="00A6020C" w:rsidRDefault="00A6020C" w:rsidP="00A6020C">
      <w:pPr>
        <w:ind w:left="720" w:hanging="720"/>
        <w:jc w:val="both"/>
        <w:rPr>
          <w:noProof/>
        </w:rPr>
      </w:pPr>
      <w:bookmarkStart w:id="8" w:name="_ENREF_8"/>
      <w:r>
        <w:rPr>
          <w:noProof/>
        </w:rPr>
        <w:t>8. Marshall IJ WC, McKevitt C (2012) Lay perspectives on hypertension and drug adherence: systematic review of qualitative research British Medical Journal 345.</w:t>
      </w:r>
      <w:bookmarkEnd w:id="8"/>
    </w:p>
    <w:p w:rsidR="00A6020C" w:rsidRDefault="00A6020C" w:rsidP="00A6020C">
      <w:pPr>
        <w:ind w:left="720" w:hanging="720"/>
        <w:jc w:val="both"/>
        <w:rPr>
          <w:noProof/>
        </w:rPr>
      </w:pPr>
      <w:bookmarkStart w:id="9" w:name="_ENREF_9"/>
      <w:r>
        <w:rPr>
          <w:noProof/>
        </w:rPr>
        <w:t>9. Solomon DH AJ, Katz JN, Finklestein JS, Arnold M, Polinski JM, Brookhart MA. (2005) Compliance with osteoporosis medications Arch Intern Med 165: 2414-2419.</w:t>
      </w:r>
      <w:bookmarkEnd w:id="9"/>
    </w:p>
    <w:p w:rsidR="00A6020C" w:rsidRDefault="00A6020C" w:rsidP="00A6020C">
      <w:pPr>
        <w:ind w:left="720" w:hanging="720"/>
        <w:jc w:val="both"/>
        <w:rPr>
          <w:noProof/>
        </w:rPr>
      </w:pPr>
      <w:bookmarkStart w:id="10" w:name="_ENREF_10"/>
      <w:r>
        <w:rPr>
          <w:noProof/>
        </w:rPr>
        <w:t>10. Recker RR  GR, MacCosbe PE (2005) Effect of dosing frequency on bisphosphonate medication adherence in a large longitudinal cohort of women  Mayo Clin Proc 80: 856-861.</w:t>
      </w:r>
      <w:bookmarkEnd w:id="10"/>
    </w:p>
    <w:p w:rsidR="00A6020C" w:rsidRDefault="00A6020C" w:rsidP="00A6020C">
      <w:pPr>
        <w:ind w:left="720" w:hanging="720"/>
        <w:jc w:val="both"/>
        <w:rPr>
          <w:noProof/>
        </w:rPr>
      </w:pPr>
      <w:bookmarkStart w:id="11" w:name="_ENREF_11"/>
      <w:r>
        <w:rPr>
          <w:noProof/>
        </w:rPr>
        <w:t>11. Rossini M BG, Di Munno O, Giannini S, Minisula S, Sinigaglia L, Adam S. (2006) Determinants of adherence to osteoporosis treatment in clinical practice Osteoporosis International 17: 941-921.</w:t>
      </w:r>
      <w:bookmarkEnd w:id="11"/>
    </w:p>
    <w:p w:rsidR="00A6020C" w:rsidRDefault="00A6020C" w:rsidP="00A6020C">
      <w:pPr>
        <w:ind w:left="720" w:hanging="720"/>
        <w:jc w:val="both"/>
        <w:rPr>
          <w:noProof/>
        </w:rPr>
      </w:pPr>
      <w:bookmarkStart w:id="12" w:name="_ENREF_12"/>
      <w:r>
        <w:rPr>
          <w:noProof/>
        </w:rPr>
        <w:t>12. (IOF) IOF (2005) The adherence gap: Why osteoporosis patients don’t continue with treatment</w:t>
      </w:r>
    </w:p>
    <w:p w:rsidR="00A6020C" w:rsidRDefault="00A6020C" w:rsidP="00A6020C">
      <w:pPr>
        <w:ind w:left="720" w:hanging="720"/>
        <w:jc w:val="both"/>
        <w:rPr>
          <w:noProof/>
        </w:rPr>
      </w:pPr>
      <w:r>
        <w:rPr>
          <w:noProof/>
        </w:rPr>
        <w:t>Nyon: IOF.</w:t>
      </w:r>
      <w:bookmarkEnd w:id="12"/>
    </w:p>
    <w:p w:rsidR="00A6020C" w:rsidRDefault="00A6020C" w:rsidP="00A6020C">
      <w:pPr>
        <w:ind w:left="720" w:hanging="720"/>
        <w:jc w:val="both"/>
        <w:rPr>
          <w:noProof/>
        </w:rPr>
      </w:pPr>
      <w:bookmarkStart w:id="13" w:name="_ENREF_13"/>
      <w:r>
        <w:rPr>
          <w:noProof/>
        </w:rPr>
        <w:t>13. Pound P BN, Morgan M, Yardley L, Pope C, Daker-White G, Campbell R. (2005) Resisting medicines: A synthesis of qualitative studies of medicine taking. Social Science &amp; Medicine 61: 133-155.</w:t>
      </w:r>
      <w:bookmarkEnd w:id="13"/>
    </w:p>
    <w:p w:rsidR="00A6020C" w:rsidRDefault="00A6020C" w:rsidP="00A6020C">
      <w:pPr>
        <w:ind w:left="720" w:hanging="720"/>
        <w:jc w:val="both"/>
        <w:rPr>
          <w:noProof/>
        </w:rPr>
      </w:pPr>
      <w:bookmarkStart w:id="14" w:name="_ENREF_14"/>
      <w:r>
        <w:rPr>
          <w:noProof/>
        </w:rPr>
        <w:t>14. Brookhart MA AJ, Katz JN, Finklestein JS, Arnold M, Polinski JM, Patrick AR, Mogun H, Solomon DH. (2007) Gaps in treatment among users of osteoporosis medications: the dynamics of noncompliance Am J Med 120: 251-260.</w:t>
      </w:r>
      <w:bookmarkEnd w:id="14"/>
    </w:p>
    <w:p w:rsidR="00A6020C" w:rsidRDefault="00A6020C" w:rsidP="00A6020C">
      <w:pPr>
        <w:ind w:left="720" w:hanging="720"/>
        <w:jc w:val="both"/>
        <w:rPr>
          <w:noProof/>
        </w:rPr>
      </w:pPr>
      <w:bookmarkStart w:id="15" w:name="_ENREF_15"/>
      <w:r>
        <w:rPr>
          <w:noProof/>
        </w:rPr>
        <w:t>15. Pickney CS AJ (2005) Correlation between patient recall of bone densitometry results and subsequent treatment adherence Osteoporosis International 16: 1156-1160.</w:t>
      </w:r>
      <w:bookmarkEnd w:id="15"/>
    </w:p>
    <w:p w:rsidR="00A6020C" w:rsidRDefault="00A6020C" w:rsidP="00A6020C">
      <w:pPr>
        <w:ind w:left="720" w:hanging="720"/>
        <w:jc w:val="both"/>
        <w:rPr>
          <w:noProof/>
        </w:rPr>
      </w:pPr>
      <w:bookmarkStart w:id="16" w:name="_ENREF_16"/>
      <w:r>
        <w:rPr>
          <w:noProof/>
        </w:rPr>
        <w:t>16. L. S A Pragmatic Randomised Clinical Trail of the Effectiveness and Cost Effectiveness of Targeted Population Screening for Low Bone Mineral Density in the Prevention of next of Femur Fractures: ISRCTN 11021925.</w:t>
      </w:r>
      <w:bookmarkEnd w:id="16"/>
    </w:p>
    <w:p w:rsidR="00A6020C" w:rsidRDefault="00A6020C" w:rsidP="00A6020C">
      <w:pPr>
        <w:ind w:left="720" w:hanging="720"/>
        <w:jc w:val="both"/>
        <w:rPr>
          <w:noProof/>
        </w:rPr>
      </w:pPr>
      <w:bookmarkStart w:id="17" w:name="_ENREF_17"/>
      <w:r>
        <w:rPr>
          <w:noProof/>
        </w:rPr>
        <w:t>17. Shepstone L FR, Lenaghan E, Harvey I, Cooper C, Gittoes N, Heawood A, Peters T, O'Neill T, Torgerson D, Holland R, Howe A, Marshall T, Kanis J, McCloskey L. (2012) A pragmatic randomised controlled trial of the effectiveness and cost-effectiveness of screening older women for the prevention of fractures: Rationale, design and methods for the SCOOP study Osteoporosis International 23: 2507-2515.</w:t>
      </w:r>
      <w:bookmarkEnd w:id="17"/>
    </w:p>
    <w:p w:rsidR="00A6020C" w:rsidRDefault="00A6020C" w:rsidP="00A6020C">
      <w:pPr>
        <w:ind w:left="720" w:hanging="720"/>
        <w:jc w:val="both"/>
        <w:rPr>
          <w:noProof/>
        </w:rPr>
      </w:pPr>
      <w:bookmarkStart w:id="18" w:name="_ENREF_18"/>
      <w:r>
        <w:rPr>
          <w:noProof/>
        </w:rPr>
        <w:t>18. Ritchie J LJ (2003) Qualitative research practice: A guide for social science students and researchers. London: Sage Publications.</w:t>
      </w:r>
      <w:bookmarkEnd w:id="18"/>
    </w:p>
    <w:p w:rsidR="00A6020C" w:rsidRDefault="00A6020C" w:rsidP="00A6020C">
      <w:pPr>
        <w:ind w:left="720" w:hanging="720"/>
        <w:jc w:val="both"/>
        <w:rPr>
          <w:noProof/>
        </w:rPr>
      </w:pPr>
      <w:bookmarkStart w:id="19" w:name="_ENREF_19"/>
      <w:r>
        <w:rPr>
          <w:noProof/>
        </w:rPr>
        <w:t>19. Hodgetts D, Chamberlain K, Gabe J, Dew K, Radley A, et al. (2011) Emplacement and everyday use of medications in domestic dwellings. Health &amp; Place 17: 353-360.</w:t>
      </w:r>
      <w:bookmarkEnd w:id="19"/>
    </w:p>
    <w:p w:rsidR="00A6020C" w:rsidRDefault="00A6020C" w:rsidP="00A6020C">
      <w:pPr>
        <w:ind w:left="720" w:hanging="720"/>
        <w:jc w:val="both"/>
        <w:rPr>
          <w:noProof/>
        </w:rPr>
      </w:pPr>
      <w:bookmarkStart w:id="20" w:name="_ENREF_20"/>
      <w:r>
        <w:rPr>
          <w:noProof/>
        </w:rPr>
        <w:t>20. Cohen D, McCubbin M, Collin J, Pérodeau G (2001) Medications as social phenomena. Health: 5: 441-469.</w:t>
      </w:r>
      <w:bookmarkEnd w:id="20"/>
    </w:p>
    <w:p w:rsidR="00A6020C" w:rsidRDefault="00A6020C" w:rsidP="00A6020C">
      <w:pPr>
        <w:ind w:left="720" w:hanging="720"/>
        <w:jc w:val="both"/>
        <w:rPr>
          <w:noProof/>
        </w:rPr>
      </w:pPr>
      <w:bookmarkStart w:id="21" w:name="_ENREF_21"/>
      <w:r>
        <w:rPr>
          <w:noProof/>
        </w:rPr>
        <w:t>21. Shoemaker SJ, Ramalho de Oliveira D, Alves M, Ekstrand M (2011) The medication experience: Preliminary evidence of its value for patient education and counseling on chronic medications. Patient education and counseling 83: 443-450.</w:t>
      </w:r>
      <w:bookmarkEnd w:id="21"/>
    </w:p>
    <w:p w:rsidR="00A6020C" w:rsidRDefault="00A6020C" w:rsidP="00A6020C">
      <w:pPr>
        <w:ind w:left="720" w:hanging="720"/>
        <w:jc w:val="both"/>
        <w:rPr>
          <w:noProof/>
        </w:rPr>
      </w:pPr>
      <w:bookmarkStart w:id="22" w:name="_ENREF_22"/>
      <w:r>
        <w:rPr>
          <w:noProof/>
        </w:rPr>
        <w:t>22. Brown P, Calnan M (2012) Braving a faceless new world? Conceptualizing trust in the pharmaceutical industry and its products. Health: 16: 57-75.</w:t>
      </w:r>
      <w:bookmarkEnd w:id="22"/>
    </w:p>
    <w:p w:rsidR="00A6020C" w:rsidRDefault="00A6020C" w:rsidP="00A6020C">
      <w:pPr>
        <w:ind w:left="720" w:hanging="720"/>
        <w:jc w:val="both"/>
        <w:rPr>
          <w:noProof/>
        </w:rPr>
      </w:pPr>
      <w:bookmarkStart w:id="23" w:name="_ENREF_23"/>
      <w:r>
        <w:rPr>
          <w:noProof/>
        </w:rPr>
        <w:t>23. Murdoch J, Salter C, Cross J, Smith J, Poland F (2013) Resisting medications: moral discourses and performances in illness narratives. Sociology of Health &amp; Illness 35: 449-464.</w:t>
      </w:r>
      <w:bookmarkEnd w:id="23"/>
    </w:p>
    <w:p w:rsidR="00A6020C" w:rsidRDefault="00A6020C" w:rsidP="00A6020C">
      <w:pPr>
        <w:ind w:left="720" w:hanging="720"/>
        <w:jc w:val="both"/>
        <w:rPr>
          <w:noProof/>
        </w:rPr>
      </w:pPr>
      <w:bookmarkStart w:id="24" w:name="_ENREF_24"/>
      <w:r>
        <w:rPr>
          <w:noProof/>
        </w:rPr>
        <w:t>24. Salter C, Holland R, Harvey I, Henwood K (2007) “I haven't even phoned my doctor yet.” The advice giving role of the pharmacist during consultations for medication review with patients aged 80 or more: qualitative discourse analysis. BMJ 334: 1101.</w:t>
      </w:r>
      <w:bookmarkEnd w:id="24"/>
    </w:p>
    <w:p w:rsidR="00A6020C" w:rsidRDefault="00A6020C" w:rsidP="00A6020C">
      <w:pPr>
        <w:ind w:left="720" w:hanging="720"/>
        <w:jc w:val="both"/>
        <w:rPr>
          <w:noProof/>
        </w:rPr>
      </w:pPr>
      <w:bookmarkStart w:id="25" w:name="_ENREF_25"/>
      <w:r>
        <w:rPr>
          <w:noProof/>
        </w:rPr>
        <w:t>25. Britten N, Stevenson F, Gafaranga J, Barry C, Bradley C (2004) The expression of aversion to medicines in general practice consultations. Social science &amp; medicine 59: 1495-1503.</w:t>
      </w:r>
      <w:bookmarkEnd w:id="25"/>
    </w:p>
    <w:p w:rsidR="00A6020C" w:rsidRDefault="00A6020C" w:rsidP="00A6020C">
      <w:pPr>
        <w:ind w:left="720" w:hanging="720"/>
        <w:jc w:val="both"/>
        <w:rPr>
          <w:noProof/>
        </w:rPr>
      </w:pPr>
      <w:bookmarkStart w:id="26" w:name="_ENREF_26"/>
      <w:r>
        <w:rPr>
          <w:noProof/>
        </w:rPr>
        <w:t>26. Murdoch J, Salter, C., Cross, J., &amp; Poland, F. Misunderstandings, communicative expectations and resources in illness narratives: Insights from beyond interview transcripts.</w:t>
      </w:r>
      <w:bookmarkEnd w:id="26"/>
    </w:p>
    <w:p w:rsidR="00A6020C" w:rsidRDefault="00A6020C" w:rsidP="00A6020C">
      <w:pPr>
        <w:ind w:left="720" w:hanging="720"/>
        <w:jc w:val="both"/>
        <w:rPr>
          <w:noProof/>
        </w:rPr>
      </w:pPr>
      <w:bookmarkStart w:id="27" w:name="_ENREF_27"/>
      <w:r>
        <w:rPr>
          <w:noProof/>
        </w:rPr>
        <w:t>27. Salter CI HA, McDaid L, Lenaghan E, Blacklock J, Shepstone L (2011) Risk, significance and biomedicalisation of a new population: Older women’s experience of osteoporosis screening</w:t>
      </w:r>
    </w:p>
    <w:p w:rsidR="00A6020C" w:rsidRDefault="00A6020C" w:rsidP="00A6020C">
      <w:pPr>
        <w:ind w:left="720" w:hanging="720"/>
        <w:jc w:val="both"/>
        <w:rPr>
          <w:noProof/>
        </w:rPr>
      </w:pPr>
      <w:r>
        <w:rPr>
          <w:noProof/>
        </w:rPr>
        <w:t>Social Science &amp; Medicine 73: 808-815.</w:t>
      </w:r>
      <w:bookmarkEnd w:id="27"/>
    </w:p>
    <w:p w:rsidR="00A6020C" w:rsidRDefault="00A6020C" w:rsidP="00A6020C">
      <w:pPr>
        <w:ind w:left="720" w:hanging="720"/>
        <w:jc w:val="both"/>
        <w:rPr>
          <w:noProof/>
        </w:rPr>
      </w:pPr>
      <w:bookmarkStart w:id="28" w:name="_ENREF_28"/>
      <w:r>
        <w:rPr>
          <w:noProof/>
        </w:rPr>
        <w:t>28. Moynihan R DJ, Henry D (2012) Preventing overdiagnosis: How to stop harming the healthy British Medical Journal 244.</w:t>
      </w:r>
      <w:bookmarkEnd w:id="28"/>
    </w:p>
    <w:p w:rsidR="00A6020C" w:rsidRDefault="00A6020C" w:rsidP="00A6020C">
      <w:pPr>
        <w:ind w:left="720" w:hanging="720"/>
        <w:jc w:val="both"/>
        <w:rPr>
          <w:noProof/>
        </w:rPr>
      </w:pPr>
      <w:bookmarkStart w:id="29" w:name="_ENREF_29"/>
      <w:r>
        <w:rPr>
          <w:noProof/>
        </w:rPr>
        <w:t>29. Moynihan R HI, Henry D (2002) Selling sickness: The pharmaceutical industry and disease mongering. British Medical Journal 324: 886-891.</w:t>
      </w:r>
      <w:bookmarkEnd w:id="29"/>
    </w:p>
    <w:p w:rsidR="00A6020C" w:rsidRDefault="00A6020C" w:rsidP="00A6020C">
      <w:pPr>
        <w:ind w:left="720" w:hanging="720"/>
        <w:jc w:val="both"/>
        <w:rPr>
          <w:noProof/>
        </w:rPr>
      </w:pPr>
      <w:bookmarkStart w:id="30" w:name="_ENREF_30"/>
      <w:r>
        <w:rPr>
          <w:noProof/>
        </w:rPr>
        <w:t>30. Mirand AL BG, Kuo CL, Mahoney MC. (2003) Explaining the de-prioritization of primary prevention: Physicians' perceptions of their role in the delivery of primary care.  . BMC Public Health 3: 1-15.</w:t>
      </w:r>
      <w:bookmarkEnd w:id="30"/>
    </w:p>
    <w:p w:rsidR="00A6020C" w:rsidRDefault="00A6020C" w:rsidP="00A6020C">
      <w:pPr>
        <w:ind w:left="720" w:hanging="720"/>
        <w:jc w:val="both"/>
        <w:rPr>
          <w:noProof/>
        </w:rPr>
      </w:pPr>
      <w:bookmarkStart w:id="31" w:name="_ENREF_31"/>
      <w:r>
        <w:rPr>
          <w:noProof/>
        </w:rPr>
        <w:t>31. Williams SJ CM (2008) Perspectives on prevention: The views of general practitioners. Sociol Health Ill 16: 372.393.</w:t>
      </w:r>
      <w:bookmarkEnd w:id="31"/>
    </w:p>
    <w:p w:rsidR="00A6020C" w:rsidRDefault="00A6020C" w:rsidP="00A6020C">
      <w:pPr>
        <w:ind w:left="720" w:hanging="720"/>
        <w:jc w:val="both"/>
        <w:rPr>
          <w:noProof/>
        </w:rPr>
      </w:pPr>
      <w:bookmarkStart w:id="32" w:name="_ENREF_32"/>
      <w:r>
        <w:rPr>
          <w:noProof/>
        </w:rPr>
        <w:t>32. Poole KES CJ (2006) Osteoporosis and its management. BMJ 333.</w:t>
      </w:r>
      <w:bookmarkEnd w:id="32"/>
    </w:p>
    <w:p w:rsidR="00A6020C" w:rsidRDefault="00A6020C" w:rsidP="00A6020C">
      <w:pPr>
        <w:jc w:val="both"/>
        <w:rPr>
          <w:noProof/>
        </w:rPr>
      </w:pPr>
    </w:p>
    <w:p w:rsidR="00DD1A58" w:rsidRPr="00B9614C" w:rsidRDefault="00686834" w:rsidP="00EE05AA">
      <w:pPr>
        <w:adjustRightInd w:val="0"/>
        <w:jc w:val="both"/>
      </w:pPr>
      <w:r w:rsidRPr="00B9614C">
        <w:fldChar w:fldCharType="end"/>
      </w:r>
    </w:p>
    <w:p w:rsidR="006E1590" w:rsidRPr="00B9614C" w:rsidRDefault="006E1590" w:rsidP="00473D55">
      <w:pPr>
        <w:jc w:val="both"/>
      </w:pPr>
    </w:p>
    <w:p w:rsidR="006E1590" w:rsidRPr="00B9614C" w:rsidRDefault="006E1590" w:rsidP="00473D55">
      <w:pPr>
        <w:jc w:val="both"/>
      </w:pPr>
      <w:r w:rsidRPr="00B9614C">
        <w:br w:type="page"/>
      </w:r>
    </w:p>
    <w:tbl>
      <w:tblPr>
        <w:tblStyle w:val="TableGrid"/>
        <w:tblW w:w="9600" w:type="dxa"/>
        <w:tblInd w:w="-34" w:type="dxa"/>
        <w:tblLook w:val="00A0" w:firstRow="1" w:lastRow="0" w:firstColumn="1" w:lastColumn="0" w:noHBand="0" w:noVBand="0"/>
      </w:tblPr>
      <w:tblGrid>
        <w:gridCol w:w="5387"/>
        <w:gridCol w:w="2213"/>
        <w:gridCol w:w="2000"/>
      </w:tblGrid>
      <w:tr w:rsidR="00B9614C" w:rsidRPr="00B9614C" w:rsidTr="007F273F">
        <w:trPr>
          <w:trHeight w:val="506"/>
        </w:trPr>
        <w:tc>
          <w:tcPr>
            <w:tcW w:w="9600" w:type="dxa"/>
            <w:gridSpan w:val="3"/>
            <w:tcBorders>
              <w:top w:val="single" w:sz="4" w:space="0" w:color="auto"/>
              <w:left w:val="nil"/>
              <w:bottom w:val="single" w:sz="4" w:space="0" w:color="BFBFBF" w:themeColor="background1" w:themeShade="BF"/>
              <w:right w:val="nil"/>
            </w:tcBorders>
            <w:shd w:val="clear" w:color="auto" w:fill="BFBFBF" w:themeFill="background1" w:themeFillShade="BF"/>
            <w:hideMark/>
          </w:tcPr>
          <w:p w:rsidR="006E1590" w:rsidRPr="00B9614C" w:rsidRDefault="006E1590" w:rsidP="00473D55">
            <w:pPr>
              <w:jc w:val="both"/>
              <w:rPr>
                <w:rFonts w:asciiTheme="majorBidi" w:hAnsiTheme="majorBidi" w:cstheme="majorBidi"/>
                <w:sz w:val="23"/>
                <w:szCs w:val="23"/>
              </w:rPr>
            </w:pPr>
            <w:r w:rsidRPr="00B9614C">
              <w:rPr>
                <w:rFonts w:asciiTheme="majorBidi" w:hAnsiTheme="majorBidi" w:cstheme="majorBidi"/>
                <w:sz w:val="23"/>
                <w:szCs w:val="23"/>
              </w:rPr>
              <w:t>Table 1: Sample characteristics using pre-collected trial data</w:t>
            </w:r>
          </w:p>
          <w:p w:rsidR="006E1590" w:rsidRPr="00B9614C" w:rsidRDefault="006E1590" w:rsidP="00473D55">
            <w:pPr>
              <w:jc w:val="both"/>
              <w:rPr>
                <w:rFonts w:asciiTheme="majorBidi" w:hAnsiTheme="majorBidi" w:cstheme="majorBidi"/>
                <w:sz w:val="23"/>
                <w:szCs w:val="23"/>
              </w:rPr>
            </w:pPr>
          </w:p>
        </w:tc>
      </w:tr>
      <w:tr w:rsidR="00B9614C" w:rsidRPr="00B9614C" w:rsidTr="007F273F">
        <w:trPr>
          <w:trHeight w:val="169"/>
        </w:trPr>
        <w:tc>
          <w:tcPr>
            <w:tcW w:w="5387" w:type="dxa"/>
            <w:tcBorders>
              <w:top w:val="single" w:sz="4" w:space="0" w:color="BFBFBF" w:themeColor="background1" w:themeShade="BF"/>
              <w:left w:val="nil"/>
              <w:bottom w:val="single" w:sz="4" w:space="0" w:color="auto"/>
              <w:right w:val="single" w:sz="4" w:space="0" w:color="BFBFBF" w:themeColor="background1" w:themeShade="BF"/>
            </w:tcBorders>
            <w:shd w:val="clear" w:color="auto" w:fill="BFBFBF" w:themeFill="background1" w:themeFillShade="BF"/>
            <w:hideMark/>
          </w:tcPr>
          <w:p w:rsidR="006E1590" w:rsidRPr="00B9614C" w:rsidRDefault="006E1590" w:rsidP="00473D55">
            <w:pPr>
              <w:jc w:val="both"/>
              <w:rPr>
                <w:rFonts w:asciiTheme="majorBidi" w:hAnsiTheme="majorBidi" w:cstheme="majorBidi"/>
                <w:noProof/>
                <w:sz w:val="23"/>
                <w:szCs w:val="23"/>
              </w:rPr>
            </w:pPr>
            <w:r w:rsidRPr="00B9614C">
              <w:rPr>
                <w:rFonts w:asciiTheme="majorBidi" w:hAnsiTheme="majorBidi" w:cstheme="majorBidi"/>
                <w:sz w:val="23"/>
                <w:szCs w:val="23"/>
              </w:rPr>
              <w:t>Sample Characteristic</w:t>
            </w:r>
          </w:p>
        </w:tc>
        <w:tc>
          <w:tcPr>
            <w:tcW w:w="2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E1590" w:rsidRPr="00B9614C" w:rsidRDefault="006E1590" w:rsidP="00473D55">
            <w:pPr>
              <w:jc w:val="both"/>
              <w:rPr>
                <w:rFonts w:asciiTheme="majorBidi" w:hAnsiTheme="majorBidi" w:cstheme="majorBidi"/>
                <w:sz w:val="23"/>
                <w:szCs w:val="23"/>
              </w:rPr>
            </w:pPr>
            <w:r w:rsidRPr="00B9614C">
              <w:rPr>
                <w:rFonts w:asciiTheme="majorBidi" w:hAnsiTheme="majorBidi" w:cstheme="majorBidi"/>
                <w:sz w:val="23"/>
                <w:szCs w:val="23"/>
              </w:rPr>
              <w:t>Category</w:t>
            </w:r>
          </w:p>
        </w:tc>
        <w:tc>
          <w:tcPr>
            <w:tcW w:w="2000"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BFBFBF" w:themeFill="background1" w:themeFillShade="BF"/>
            <w:hideMark/>
          </w:tcPr>
          <w:p w:rsidR="006E1590" w:rsidRPr="00B9614C" w:rsidRDefault="006E1590" w:rsidP="00473D55">
            <w:pPr>
              <w:jc w:val="both"/>
              <w:rPr>
                <w:rFonts w:asciiTheme="majorBidi" w:hAnsiTheme="majorBidi" w:cstheme="majorBidi"/>
                <w:sz w:val="23"/>
                <w:szCs w:val="23"/>
              </w:rPr>
            </w:pPr>
            <w:r w:rsidRPr="00B9614C">
              <w:rPr>
                <w:rFonts w:asciiTheme="majorBidi" w:hAnsiTheme="majorBidi" w:cstheme="majorBidi"/>
                <w:sz w:val="23"/>
                <w:szCs w:val="23"/>
              </w:rPr>
              <w:t>Number (%)</w:t>
            </w:r>
          </w:p>
        </w:tc>
      </w:tr>
      <w:tr w:rsidR="00B9614C" w:rsidRPr="00B9614C" w:rsidTr="007F273F">
        <w:trPr>
          <w:trHeight w:val="294"/>
        </w:trPr>
        <w:tc>
          <w:tcPr>
            <w:tcW w:w="5387"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Self-reported adherence status given on phone at recruitment</w:t>
            </w:r>
          </w:p>
        </w:tc>
        <w:tc>
          <w:tcPr>
            <w:tcW w:w="2213" w:type="dxa"/>
            <w:tcBorders>
              <w:top w:val="single" w:sz="4" w:space="0" w:color="auto"/>
              <w:left w:val="single" w:sz="4" w:space="0" w:color="auto"/>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Adherent</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Non-adherent</w:t>
            </w:r>
          </w:p>
        </w:tc>
        <w:tc>
          <w:tcPr>
            <w:tcW w:w="2000" w:type="dxa"/>
            <w:tcBorders>
              <w:top w:val="single" w:sz="4" w:space="0" w:color="auto"/>
              <w:left w:val="single" w:sz="4" w:space="0" w:color="auto"/>
              <w:bottom w:val="single" w:sz="4" w:space="0" w:color="auto"/>
              <w:right w:val="nil"/>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19 (63)</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11 (37)</w:t>
            </w:r>
          </w:p>
        </w:tc>
      </w:tr>
      <w:tr w:rsidR="00B9614C" w:rsidRPr="00B9614C" w:rsidTr="007F273F">
        <w:trPr>
          <w:trHeight w:val="387"/>
        </w:trPr>
        <w:tc>
          <w:tcPr>
            <w:tcW w:w="5387"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Age</w:t>
            </w:r>
          </w:p>
        </w:tc>
        <w:tc>
          <w:tcPr>
            <w:tcW w:w="2213" w:type="dxa"/>
            <w:tcBorders>
              <w:top w:val="single" w:sz="4" w:space="0" w:color="auto"/>
              <w:left w:val="single" w:sz="4" w:space="0" w:color="auto"/>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70 – 74</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75 – 79</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80+</w:t>
            </w:r>
          </w:p>
        </w:tc>
        <w:tc>
          <w:tcPr>
            <w:tcW w:w="2000" w:type="dxa"/>
            <w:tcBorders>
              <w:top w:val="single" w:sz="4" w:space="0" w:color="auto"/>
              <w:left w:val="single" w:sz="4" w:space="0" w:color="auto"/>
              <w:bottom w:val="single" w:sz="4" w:space="0" w:color="auto"/>
              <w:right w:val="nil"/>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9 (30)</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10 (33)</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11 (37)</w:t>
            </w:r>
          </w:p>
        </w:tc>
      </w:tr>
      <w:tr w:rsidR="00B9614C" w:rsidRPr="00B9614C" w:rsidTr="007F273F">
        <w:trPr>
          <w:trHeight w:val="180"/>
        </w:trPr>
        <w:tc>
          <w:tcPr>
            <w:tcW w:w="5387"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GP practice</w:t>
            </w:r>
          </w:p>
        </w:tc>
        <w:tc>
          <w:tcPr>
            <w:tcW w:w="2213" w:type="dxa"/>
            <w:tcBorders>
              <w:top w:val="single" w:sz="4" w:space="0" w:color="auto"/>
              <w:left w:val="single" w:sz="4" w:space="0" w:color="auto"/>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Urban</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Rural</w:t>
            </w:r>
          </w:p>
        </w:tc>
        <w:tc>
          <w:tcPr>
            <w:tcW w:w="2000" w:type="dxa"/>
            <w:tcBorders>
              <w:top w:val="single" w:sz="4" w:space="0" w:color="auto"/>
              <w:left w:val="single" w:sz="4" w:space="0" w:color="auto"/>
              <w:bottom w:val="single" w:sz="4" w:space="0" w:color="auto"/>
              <w:right w:val="nil"/>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14 (47)</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16 (53)</w:t>
            </w:r>
          </w:p>
        </w:tc>
      </w:tr>
      <w:tr w:rsidR="00B9614C" w:rsidRPr="00B9614C" w:rsidTr="007F273F">
        <w:trPr>
          <w:trHeight w:val="1812"/>
        </w:trPr>
        <w:tc>
          <w:tcPr>
            <w:tcW w:w="5387"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Social class</w:t>
            </w:r>
          </w:p>
        </w:tc>
        <w:tc>
          <w:tcPr>
            <w:tcW w:w="2213" w:type="dxa"/>
            <w:tcBorders>
              <w:top w:val="single" w:sz="4" w:space="0" w:color="auto"/>
              <w:left w:val="single" w:sz="4" w:space="0" w:color="auto"/>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I</w:t>
            </w:r>
          </w:p>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II</w:t>
            </w:r>
          </w:p>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IIIN</w:t>
            </w:r>
          </w:p>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IIIM</w:t>
            </w:r>
          </w:p>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IV</w:t>
            </w:r>
          </w:p>
          <w:p w:rsidR="006E1590" w:rsidRPr="00B9614C" w:rsidRDefault="006E1590" w:rsidP="00473D55">
            <w:pPr>
              <w:spacing w:before="60" w:after="60"/>
              <w:jc w:val="both"/>
              <w:rPr>
                <w:rFonts w:asciiTheme="majorBidi" w:hAnsiTheme="majorBidi" w:cstheme="majorBidi"/>
                <w:sz w:val="23"/>
                <w:szCs w:val="23"/>
                <w:lang w:val="da-DK"/>
              </w:rPr>
            </w:pPr>
            <w:r w:rsidRPr="00B9614C">
              <w:rPr>
                <w:rFonts w:asciiTheme="majorBidi" w:hAnsiTheme="majorBidi" w:cstheme="majorBidi"/>
                <w:sz w:val="23"/>
                <w:szCs w:val="23"/>
                <w:lang w:val="da-DK"/>
              </w:rPr>
              <w:t>V</w:t>
            </w:r>
          </w:p>
        </w:tc>
        <w:tc>
          <w:tcPr>
            <w:tcW w:w="2000" w:type="dxa"/>
            <w:tcBorders>
              <w:top w:val="single" w:sz="4" w:space="0" w:color="auto"/>
              <w:left w:val="single" w:sz="4" w:space="0" w:color="auto"/>
              <w:bottom w:val="single" w:sz="4" w:space="0" w:color="auto"/>
              <w:right w:val="nil"/>
            </w:tcBorders>
            <w:hideMark/>
          </w:tcPr>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3 (10)</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6 (20)</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6 (20)</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10 (33)</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5 (17)</w:t>
            </w:r>
          </w:p>
          <w:p w:rsidR="006E1590" w:rsidRPr="00B9614C" w:rsidRDefault="006E1590" w:rsidP="00473D55">
            <w:pPr>
              <w:spacing w:before="60" w:after="60"/>
              <w:jc w:val="both"/>
              <w:rPr>
                <w:rFonts w:asciiTheme="majorBidi" w:hAnsiTheme="majorBidi" w:cstheme="majorBidi"/>
                <w:sz w:val="23"/>
                <w:szCs w:val="23"/>
              </w:rPr>
            </w:pPr>
            <w:r w:rsidRPr="00B9614C">
              <w:rPr>
                <w:rFonts w:asciiTheme="majorBidi" w:hAnsiTheme="majorBidi" w:cstheme="majorBidi"/>
                <w:sz w:val="23"/>
                <w:szCs w:val="23"/>
              </w:rPr>
              <w:t xml:space="preserve">  0</w:t>
            </w:r>
          </w:p>
        </w:tc>
      </w:tr>
    </w:tbl>
    <w:p w:rsidR="000F7A32" w:rsidRPr="00B9614C" w:rsidRDefault="000F7A32"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tbl>
      <w:tblPr>
        <w:tblStyle w:val="TableGrid"/>
        <w:tblW w:w="9606" w:type="dxa"/>
        <w:tblLook w:val="04A0" w:firstRow="1" w:lastRow="0" w:firstColumn="1" w:lastColumn="0" w:noHBand="0" w:noVBand="1"/>
      </w:tblPr>
      <w:tblGrid>
        <w:gridCol w:w="1951"/>
        <w:gridCol w:w="2430"/>
        <w:gridCol w:w="121"/>
        <w:gridCol w:w="2309"/>
        <w:gridCol w:w="243"/>
        <w:gridCol w:w="2552"/>
      </w:tblGrid>
      <w:tr w:rsidR="00B9614C" w:rsidRPr="00B9614C" w:rsidTr="007F273F">
        <w:tc>
          <w:tcPr>
            <w:tcW w:w="9606" w:type="dxa"/>
            <w:gridSpan w:val="6"/>
            <w:tcBorders>
              <w:top w:val="single" w:sz="4" w:space="0" w:color="auto"/>
              <w:left w:val="nil"/>
              <w:bottom w:val="nil"/>
              <w:right w:val="nil"/>
            </w:tcBorders>
            <w:shd w:val="clear" w:color="auto" w:fill="BFBFBF" w:themeFill="background1" w:themeFillShade="BF"/>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Table 2: Summary of Patterns of Adherence</w:t>
            </w:r>
          </w:p>
          <w:p w:rsidR="006E1590" w:rsidRPr="00B9614C" w:rsidRDefault="006E1590" w:rsidP="00473D55">
            <w:pPr>
              <w:jc w:val="both"/>
              <w:rPr>
                <w:rFonts w:asciiTheme="majorBidi" w:hAnsiTheme="majorBidi" w:cstheme="majorBidi"/>
              </w:rPr>
            </w:pPr>
          </w:p>
        </w:tc>
      </w:tr>
      <w:tr w:rsidR="00B9614C" w:rsidRPr="00B9614C" w:rsidTr="007F273F">
        <w:trPr>
          <w:trHeight w:val="507"/>
        </w:trPr>
        <w:tc>
          <w:tcPr>
            <w:tcW w:w="1951" w:type="dxa"/>
            <w:tcBorders>
              <w:top w:val="nil"/>
              <w:left w:val="nil"/>
              <w:bottom w:val="single" w:sz="4" w:space="0" w:color="BFBFBF" w:themeColor="background1" w:themeShade="BF"/>
              <w:right w:val="single" w:sz="4" w:space="0" w:color="BFBFBF" w:themeColor="background1" w:themeShade="BF"/>
            </w:tcBorders>
            <w:shd w:val="clear" w:color="auto" w:fill="BFBFBF" w:themeFill="background1" w:themeFillShade="BF"/>
          </w:tcPr>
          <w:p w:rsidR="006E1590" w:rsidRPr="00B9614C" w:rsidRDefault="006E1590" w:rsidP="00473D55">
            <w:pPr>
              <w:jc w:val="both"/>
              <w:rPr>
                <w:rFonts w:asciiTheme="majorBidi" w:hAnsiTheme="majorBidi" w:cstheme="majorBidi"/>
                <w:noProof/>
              </w:rPr>
            </w:pPr>
          </w:p>
        </w:tc>
        <w:tc>
          <w:tcPr>
            <w:tcW w:w="243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Bisphosphonates</w:t>
            </w:r>
          </w:p>
          <w:p w:rsidR="006E1590" w:rsidRPr="00B9614C" w:rsidRDefault="006E1590" w:rsidP="00473D55">
            <w:pPr>
              <w:jc w:val="both"/>
              <w:rPr>
                <w:rFonts w:asciiTheme="majorBidi" w:hAnsiTheme="majorBidi" w:cstheme="majorBidi"/>
                <w:noProof/>
              </w:rPr>
            </w:pPr>
          </w:p>
          <w:p w:rsidR="006E1590" w:rsidRPr="00B9614C" w:rsidRDefault="006E1590" w:rsidP="00473D55">
            <w:pPr>
              <w:spacing w:before="120"/>
              <w:jc w:val="both"/>
              <w:rPr>
                <w:rFonts w:asciiTheme="majorBidi" w:hAnsiTheme="majorBidi" w:cstheme="majorBidi"/>
                <w:noProof/>
              </w:rPr>
            </w:pPr>
            <w:r w:rsidRPr="00B9614C">
              <w:rPr>
                <w:rFonts w:asciiTheme="majorBidi" w:hAnsiTheme="majorBidi" w:cstheme="majorBidi"/>
                <w:noProof/>
              </w:rPr>
              <w:t>N (%)</w:t>
            </w:r>
          </w:p>
        </w:tc>
        <w:tc>
          <w:tcPr>
            <w:tcW w:w="2430"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Calcium Supplements</w:t>
            </w:r>
          </w:p>
          <w:p w:rsidR="006E1590" w:rsidRPr="00B9614C" w:rsidRDefault="006E1590" w:rsidP="00473D55">
            <w:pPr>
              <w:jc w:val="both"/>
              <w:rPr>
                <w:rFonts w:asciiTheme="majorBidi" w:hAnsiTheme="majorBidi" w:cstheme="majorBidi"/>
                <w:noProof/>
              </w:rPr>
            </w:pPr>
          </w:p>
          <w:p w:rsidR="006E1590" w:rsidRPr="00B9614C" w:rsidRDefault="006E1590" w:rsidP="00473D55">
            <w:pPr>
              <w:spacing w:before="120"/>
              <w:jc w:val="both"/>
              <w:rPr>
                <w:rFonts w:asciiTheme="majorBidi" w:hAnsiTheme="majorBidi" w:cstheme="majorBidi"/>
                <w:noProof/>
              </w:rPr>
            </w:pPr>
            <w:r w:rsidRPr="00B9614C">
              <w:rPr>
                <w:rFonts w:asciiTheme="majorBidi" w:hAnsiTheme="majorBidi" w:cstheme="majorBidi"/>
                <w:noProof/>
              </w:rPr>
              <w:t>N (%)</w:t>
            </w:r>
          </w:p>
        </w:tc>
        <w:tc>
          <w:tcPr>
            <w:tcW w:w="2795" w:type="dxa"/>
            <w:gridSpan w:val="2"/>
            <w:tcBorders>
              <w:top w:val="nil"/>
              <w:left w:val="single" w:sz="4" w:space="0" w:color="BFBFBF" w:themeColor="background1" w:themeShade="BF"/>
              <w:bottom w:val="single" w:sz="4" w:space="0" w:color="BFBFBF" w:themeColor="background1" w:themeShade="BF"/>
              <w:right w:val="nil"/>
            </w:tcBorders>
            <w:shd w:val="clear" w:color="auto" w:fill="BFBFBF" w:themeFill="background1" w:themeFillShade="BF"/>
            <w:hideMark/>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Bisphosphonates &amp; Calcium Supplements</w:t>
            </w:r>
          </w:p>
          <w:p w:rsidR="006E1590" w:rsidRPr="00B9614C" w:rsidRDefault="006E1590" w:rsidP="00473D55">
            <w:pPr>
              <w:spacing w:before="120"/>
              <w:jc w:val="both"/>
              <w:rPr>
                <w:rFonts w:asciiTheme="majorBidi" w:hAnsiTheme="majorBidi" w:cstheme="majorBidi"/>
                <w:noProof/>
              </w:rPr>
            </w:pPr>
            <w:r w:rsidRPr="00B9614C">
              <w:rPr>
                <w:rFonts w:asciiTheme="majorBidi" w:hAnsiTheme="majorBidi" w:cstheme="majorBidi"/>
                <w:noProof/>
              </w:rPr>
              <w:t>N (%)</w:t>
            </w:r>
          </w:p>
        </w:tc>
      </w:tr>
      <w:tr w:rsidR="00B9614C" w:rsidRPr="00B9614C" w:rsidTr="007F273F">
        <w:trPr>
          <w:trHeight w:val="1592"/>
        </w:trPr>
        <w:tc>
          <w:tcPr>
            <w:tcW w:w="1951" w:type="dxa"/>
            <w:tcBorders>
              <w:top w:val="single" w:sz="4" w:space="0" w:color="auto"/>
              <w:left w:val="nil"/>
              <w:right w:val="single" w:sz="4" w:space="0" w:color="auto"/>
            </w:tcBorders>
            <w:hideMark/>
          </w:tcPr>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b/>
                <w:noProof/>
              </w:rPr>
              <w:t>Phase 1</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Adherent</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Non-adherent</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Not prescribed</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Total</w:t>
            </w:r>
          </w:p>
        </w:tc>
        <w:tc>
          <w:tcPr>
            <w:tcW w:w="2551" w:type="dxa"/>
            <w:gridSpan w:val="2"/>
            <w:tcBorders>
              <w:top w:val="single" w:sz="4" w:space="0" w:color="auto"/>
              <w:left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20 (67)</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10 (33)</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30 (100)</w:t>
            </w:r>
          </w:p>
        </w:tc>
        <w:tc>
          <w:tcPr>
            <w:tcW w:w="2552" w:type="dxa"/>
            <w:gridSpan w:val="2"/>
            <w:tcBorders>
              <w:top w:val="single" w:sz="4" w:space="0" w:color="auto"/>
              <w:left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15 (50)</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10 (33)</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5 (17)</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30 (100)</w:t>
            </w:r>
          </w:p>
        </w:tc>
        <w:tc>
          <w:tcPr>
            <w:tcW w:w="2552" w:type="dxa"/>
            <w:tcBorders>
              <w:top w:val="single" w:sz="4" w:space="0" w:color="auto"/>
              <w:left w:val="single" w:sz="4" w:space="0" w:color="auto"/>
              <w:right w:val="nil"/>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12 (40)</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13 (43)</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5 (17)</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30 (100)</w:t>
            </w:r>
          </w:p>
        </w:tc>
      </w:tr>
      <w:tr w:rsidR="006E1590" w:rsidRPr="00B9614C" w:rsidTr="007F273F">
        <w:trPr>
          <w:trHeight w:val="1532"/>
        </w:trPr>
        <w:tc>
          <w:tcPr>
            <w:tcW w:w="1951" w:type="dxa"/>
            <w:tcBorders>
              <w:top w:val="single" w:sz="4" w:space="0" w:color="auto"/>
              <w:left w:val="nil"/>
              <w:right w:val="single" w:sz="4" w:space="0" w:color="auto"/>
            </w:tcBorders>
            <w:hideMark/>
          </w:tcPr>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b/>
                <w:noProof/>
              </w:rPr>
              <w:t>Phase 2</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Adherent</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Non-adherent</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Not prescribed</w:t>
            </w:r>
          </w:p>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noProof/>
              </w:rPr>
              <w:t>Total</w:t>
            </w:r>
          </w:p>
        </w:tc>
        <w:tc>
          <w:tcPr>
            <w:tcW w:w="2551" w:type="dxa"/>
            <w:gridSpan w:val="2"/>
            <w:tcBorders>
              <w:top w:val="single" w:sz="4" w:space="0" w:color="auto"/>
              <w:left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14 (56)</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11 (44)</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25 (100)</w:t>
            </w:r>
          </w:p>
        </w:tc>
        <w:tc>
          <w:tcPr>
            <w:tcW w:w="2552" w:type="dxa"/>
            <w:gridSpan w:val="2"/>
            <w:tcBorders>
              <w:top w:val="single" w:sz="4" w:space="0" w:color="auto"/>
              <w:left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12 (48)</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9 (36)</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4 (16)</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25 (100)</w:t>
            </w:r>
          </w:p>
        </w:tc>
        <w:tc>
          <w:tcPr>
            <w:tcW w:w="2552" w:type="dxa"/>
            <w:tcBorders>
              <w:top w:val="single" w:sz="4" w:space="0" w:color="auto"/>
              <w:left w:val="single" w:sz="4" w:space="0" w:color="auto"/>
              <w:right w:val="nil"/>
            </w:tcBorders>
          </w:tcPr>
          <w:p w:rsidR="006E1590" w:rsidRPr="00B9614C" w:rsidRDefault="006E1590" w:rsidP="00473D55">
            <w:pPr>
              <w:spacing w:before="60" w:after="60"/>
              <w:jc w:val="both"/>
              <w:rPr>
                <w:rFonts w:asciiTheme="majorBidi" w:hAnsiTheme="majorBidi" w:cstheme="majorBidi"/>
                <w:noProof/>
              </w:rPr>
            </w:pP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9 (36)</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12 (48)</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 xml:space="preserve"> 4 (16)</w:t>
            </w:r>
          </w:p>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25 (100)</w:t>
            </w:r>
          </w:p>
        </w:tc>
      </w:tr>
    </w:tbl>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p w:rsidR="006E1590" w:rsidRPr="00B9614C" w:rsidRDefault="006E1590" w:rsidP="00473D55">
      <w:pPr>
        <w:jc w:val="both"/>
      </w:pPr>
    </w:p>
    <w:tbl>
      <w:tblPr>
        <w:tblStyle w:val="TableGrid"/>
        <w:tblW w:w="8897" w:type="dxa"/>
        <w:tblLook w:val="04A0" w:firstRow="1" w:lastRow="0" w:firstColumn="1" w:lastColumn="0" w:noHBand="0" w:noVBand="1"/>
      </w:tblPr>
      <w:tblGrid>
        <w:gridCol w:w="1730"/>
        <w:gridCol w:w="3583"/>
        <w:gridCol w:w="3584"/>
      </w:tblGrid>
      <w:tr w:rsidR="00B9614C" w:rsidRPr="00B9614C" w:rsidTr="007F273F">
        <w:tc>
          <w:tcPr>
            <w:tcW w:w="8897" w:type="dxa"/>
            <w:gridSpan w:val="3"/>
            <w:tcBorders>
              <w:top w:val="single" w:sz="4" w:space="0" w:color="auto"/>
              <w:left w:val="nil"/>
              <w:bottom w:val="nil"/>
              <w:right w:val="nil"/>
            </w:tcBorders>
            <w:shd w:val="clear" w:color="auto" w:fill="BFBFBF" w:themeFill="background1" w:themeFillShade="BF"/>
          </w:tcPr>
          <w:p w:rsidR="006E1590" w:rsidRPr="00B9614C" w:rsidRDefault="006E1590" w:rsidP="00473D55">
            <w:pPr>
              <w:jc w:val="both"/>
            </w:pPr>
            <w:r w:rsidRPr="00B9614C">
              <w:rPr>
                <w:noProof/>
              </w:rPr>
              <w:t xml:space="preserve">Table 3: </w:t>
            </w:r>
            <w:r w:rsidRPr="00B9614C">
              <w:t>Summary of Bisphosphonate medication changes and adherence for participants that experienced side effects at Phase 2 (n=18)</w:t>
            </w:r>
          </w:p>
          <w:p w:rsidR="006E1590" w:rsidRPr="00B9614C" w:rsidRDefault="006E1590" w:rsidP="00473D55">
            <w:pPr>
              <w:jc w:val="both"/>
            </w:pPr>
          </w:p>
        </w:tc>
      </w:tr>
      <w:tr w:rsidR="00B9614C" w:rsidRPr="00B9614C" w:rsidTr="007F273F">
        <w:trPr>
          <w:trHeight w:val="434"/>
        </w:trPr>
        <w:tc>
          <w:tcPr>
            <w:tcW w:w="1730" w:type="dxa"/>
            <w:tcBorders>
              <w:top w:val="nil"/>
              <w:left w:val="nil"/>
              <w:bottom w:val="single" w:sz="4" w:space="0" w:color="auto"/>
              <w:right w:val="single" w:sz="4" w:space="0" w:color="BFBFBF" w:themeColor="background1" w:themeShade="BF"/>
            </w:tcBorders>
            <w:shd w:val="clear" w:color="auto" w:fill="BFBFBF" w:themeFill="background1" w:themeFillShade="BF"/>
          </w:tcPr>
          <w:p w:rsidR="006E1590" w:rsidRPr="00B9614C" w:rsidRDefault="006E1590" w:rsidP="00473D55">
            <w:pPr>
              <w:jc w:val="both"/>
              <w:rPr>
                <w:rFonts w:asciiTheme="majorBidi" w:hAnsiTheme="majorBidi" w:cstheme="majorBidi"/>
                <w:noProof/>
              </w:rPr>
            </w:pPr>
          </w:p>
        </w:tc>
        <w:tc>
          <w:tcPr>
            <w:tcW w:w="3583"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 xml:space="preserve">Adherent </w:t>
            </w:r>
          </w:p>
        </w:tc>
        <w:tc>
          <w:tcPr>
            <w:tcW w:w="3584" w:type="dxa"/>
            <w:tcBorders>
              <w:top w:val="nil"/>
              <w:left w:val="single" w:sz="4" w:space="0" w:color="BFBFBF" w:themeColor="background1" w:themeShade="BF"/>
              <w:bottom w:val="single" w:sz="4" w:space="0" w:color="auto"/>
              <w:right w:val="nil"/>
            </w:tcBorders>
            <w:shd w:val="clear" w:color="auto" w:fill="BFBFBF" w:themeFill="background1" w:themeFillShade="BF"/>
            <w:hideMark/>
          </w:tcPr>
          <w:p w:rsidR="006E1590" w:rsidRPr="00B9614C" w:rsidRDefault="006E1590" w:rsidP="00473D55">
            <w:pPr>
              <w:jc w:val="both"/>
              <w:rPr>
                <w:rFonts w:asciiTheme="majorBidi" w:hAnsiTheme="majorBidi" w:cstheme="majorBidi"/>
                <w:noProof/>
              </w:rPr>
            </w:pPr>
            <w:r w:rsidRPr="00B9614C">
              <w:rPr>
                <w:rFonts w:asciiTheme="majorBidi" w:hAnsiTheme="majorBidi" w:cstheme="majorBidi"/>
                <w:noProof/>
              </w:rPr>
              <w:t xml:space="preserve">Non-adherent </w:t>
            </w:r>
          </w:p>
        </w:tc>
      </w:tr>
      <w:tr w:rsidR="00B9614C" w:rsidRPr="00B9614C" w:rsidTr="007F273F">
        <w:trPr>
          <w:trHeight w:val="289"/>
        </w:trPr>
        <w:tc>
          <w:tcPr>
            <w:tcW w:w="1730"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No change</w:t>
            </w:r>
          </w:p>
        </w:tc>
        <w:tc>
          <w:tcPr>
            <w:tcW w:w="3583" w:type="dxa"/>
            <w:tcBorders>
              <w:top w:val="single" w:sz="4" w:space="0" w:color="auto"/>
              <w:left w:val="single" w:sz="4" w:space="0" w:color="auto"/>
              <w:bottom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2 (11)</w:t>
            </w:r>
          </w:p>
        </w:tc>
        <w:tc>
          <w:tcPr>
            <w:tcW w:w="3584" w:type="dxa"/>
            <w:tcBorders>
              <w:top w:val="single" w:sz="4" w:space="0" w:color="auto"/>
              <w:left w:val="single" w:sz="4" w:space="0" w:color="auto"/>
              <w:bottom w:val="single" w:sz="4" w:space="0" w:color="auto"/>
              <w:right w:val="nil"/>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10 (56)</w:t>
            </w:r>
          </w:p>
        </w:tc>
      </w:tr>
      <w:tr w:rsidR="00B9614C" w:rsidRPr="00B9614C" w:rsidTr="007F273F">
        <w:trPr>
          <w:trHeight w:val="289"/>
        </w:trPr>
        <w:tc>
          <w:tcPr>
            <w:tcW w:w="1730"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Changed once</w:t>
            </w:r>
          </w:p>
        </w:tc>
        <w:tc>
          <w:tcPr>
            <w:tcW w:w="3583" w:type="dxa"/>
            <w:tcBorders>
              <w:top w:val="single" w:sz="4" w:space="0" w:color="auto"/>
              <w:left w:val="single" w:sz="4" w:space="0" w:color="auto"/>
              <w:bottom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4 (22)</w:t>
            </w:r>
          </w:p>
        </w:tc>
        <w:tc>
          <w:tcPr>
            <w:tcW w:w="3584" w:type="dxa"/>
            <w:tcBorders>
              <w:top w:val="single" w:sz="4" w:space="0" w:color="auto"/>
              <w:left w:val="single" w:sz="4" w:space="0" w:color="auto"/>
              <w:bottom w:val="single" w:sz="4" w:space="0" w:color="auto"/>
              <w:right w:val="nil"/>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0</w:t>
            </w:r>
          </w:p>
        </w:tc>
      </w:tr>
      <w:tr w:rsidR="00B9614C" w:rsidRPr="00B9614C" w:rsidTr="007F273F">
        <w:trPr>
          <w:trHeight w:val="289"/>
        </w:trPr>
        <w:tc>
          <w:tcPr>
            <w:tcW w:w="1730"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Changed twice</w:t>
            </w:r>
          </w:p>
        </w:tc>
        <w:tc>
          <w:tcPr>
            <w:tcW w:w="3583" w:type="dxa"/>
            <w:tcBorders>
              <w:top w:val="single" w:sz="4" w:space="0" w:color="auto"/>
              <w:left w:val="single" w:sz="4" w:space="0" w:color="auto"/>
              <w:bottom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 (6)</w:t>
            </w:r>
          </w:p>
        </w:tc>
        <w:tc>
          <w:tcPr>
            <w:tcW w:w="3584" w:type="dxa"/>
            <w:tcBorders>
              <w:top w:val="single" w:sz="4" w:space="0" w:color="auto"/>
              <w:left w:val="single" w:sz="4" w:space="0" w:color="auto"/>
              <w:bottom w:val="single" w:sz="4" w:space="0" w:color="auto"/>
              <w:right w:val="nil"/>
            </w:tcBorders>
          </w:tcPr>
          <w:p w:rsidR="006E1590" w:rsidRPr="00B9614C" w:rsidRDefault="006E1590" w:rsidP="00473D55">
            <w:pPr>
              <w:spacing w:before="60" w:after="60"/>
              <w:jc w:val="both"/>
              <w:rPr>
                <w:rFonts w:asciiTheme="majorBidi" w:hAnsiTheme="majorBidi" w:cstheme="majorBidi"/>
                <w:noProof/>
              </w:rPr>
            </w:pPr>
            <w:r w:rsidRPr="00B9614C">
              <w:rPr>
                <w:rFonts w:asciiTheme="majorBidi" w:hAnsiTheme="majorBidi" w:cstheme="majorBidi"/>
                <w:noProof/>
              </w:rPr>
              <w:t>1 (6)</w:t>
            </w:r>
          </w:p>
        </w:tc>
      </w:tr>
      <w:tr w:rsidR="006E1590" w:rsidRPr="00B9614C" w:rsidTr="007F273F">
        <w:trPr>
          <w:trHeight w:val="289"/>
        </w:trPr>
        <w:tc>
          <w:tcPr>
            <w:tcW w:w="1730" w:type="dxa"/>
            <w:tcBorders>
              <w:top w:val="single" w:sz="4" w:space="0" w:color="auto"/>
              <w:left w:val="nil"/>
              <w:bottom w:val="single" w:sz="4" w:space="0" w:color="auto"/>
              <w:right w:val="single" w:sz="4" w:space="0" w:color="auto"/>
            </w:tcBorders>
            <w:hideMark/>
          </w:tcPr>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b/>
                <w:noProof/>
              </w:rPr>
              <w:t>Total</w:t>
            </w:r>
          </w:p>
        </w:tc>
        <w:tc>
          <w:tcPr>
            <w:tcW w:w="3583" w:type="dxa"/>
            <w:tcBorders>
              <w:top w:val="single" w:sz="4" w:space="0" w:color="auto"/>
              <w:left w:val="single" w:sz="4" w:space="0" w:color="auto"/>
              <w:bottom w:val="single" w:sz="4" w:space="0" w:color="auto"/>
              <w:right w:val="single" w:sz="4" w:space="0" w:color="auto"/>
            </w:tcBorders>
          </w:tcPr>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b/>
                <w:noProof/>
              </w:rPr>
              <w:t>7 (39)</w:t>
            </w:r>
          </w:p>
        </w:tc>
        <w:tc>
          <w:tcPr>
            <w:tcW w:w="3584" w:type="dxa"/>
            <w:tcBorders>
              <w:top w:val="single" w:sz="4" w:space="0" w:color="auto"/>
              <w:left w:val="single" w:sz="4" w:space="0" w:color="auto"/>
              <w:bottom w:val="single" w:sz="4" w:space="0" w:color="auto"/>
              <w:right w:val="nil"/>
            </w:tcBorders>
          </w:tcPr>
          <w:p w:rsidR="006E1590" w:rsidRPr="00B9614C" w:rsidRDefault="006E1590" w:rsidP="00473D55">
            <w:pPr>
              <w:spacing w:before="60" w:after="60"/>
              <w:jc w:val="both"/>
              <w:rPr>
                <w:rFonts w:asciiTheme="majorBidi" w:hAnsiTheme="majorBidi" w:cstheme="majorBidi"/>
                <w:b/>
                <w:noProof/>
              </w:rPr>
            </w:pPr>
            <w:r w:rsidRPr="00B9614C">
              <w:rPr>
                <w:rFonts w:asciiTheme="majorBidi" w:hAnsiTheme="majorBidi" w:cstheme="majorBidi"/>
                <w:b/>
                <w:noProof/>
              </w:rPr>
              <w:t>11 (61)</w:t>
            </w:r>
          </w:p>
        </w:tc>
      </w:tr>
    </w:tbl>
    <w:p w:rsidR="006E1590" w:rsidRPr="00B9614C" w:rsidRDefault="006E1590" w:rsidP="00473D55">
      <w:pPr>
        <w:jc w:val="both"/>
      </w:pPr>
    </w:p>
    <w:sectPr w:rsidR="006E1590" w:rsidRPr="00B9614C" w:rsidSect="004D4DD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0C" w:rsidRDefault="00A6020C" w:rsidP="00697CC0">
      <w:r>
        <w:separator/>
      </w:r>
    </w:p>
  </w:endnote>
  <w:endnote w:type="continuationSeparator" w:id="0">
    <w:p w:rsidR="00A6020C" w:rsidRDefault="00A6020C" w:rsidP="00697CC0">
      <w:r>
        <w:continuationSeparator/>
      </w:r>
    </w:p>
  </w:endnote>
  <w:endnote w:id="1">
    <w:p w:rsidR="00A6020C" w:rsidRPr="007048EC" w:rsidRDefault="00A6020C" w:rsidP="007048EC">
      <w:pPr>
        <w:rPr>
          <w:rFonts w:asciiTheme="majorBidi" w:hAnsiTheme="majorBidi" w:cstheme="majorBidi"/>
          <w:sz w:val="22"/>
          <w:szCs w:val="22"/>
        </w:rPr>
      </w:pPr>
      <w:r w:rsidRPr="007048EC">
        <w:rPr>
          <w:rStyle w:val="EndnoteReference"/>
          <w:sz w:val="22"/>
          <w:szCs w:val="22"/>
        </w:rPr>
        <w:endnoteRef/>
      </w:r>
      <w:r w:rsidRPr="007048EC">
        <w:rPr>
          <w:sz w:val="22"/>
          <w:szCs w:val="22"/>
        </w:rPr>
        <w:t xml:space="preserve"> </w:t>
      </w:r>
      <w:r w:rsidRPr="007048EC">
        <w:rPr>
          <w:rFonts w:asciiTheme="majorBidi" w:hAnsiTheme="majorBidi" w:cstheme="majorBidi"/>
          <w:sz w:val="22"/>
          <w:szCs w:val="22"/>
        </w:rPr>
        <w:t xml:space="preserve">A large scale research study called SCOOP [17] assessing the effectiveness of primary prevention is currently underway in the UK. </w:t>
      </w:r>
    </w:p>
    <w:p w:rsidR="00A6020C" w:rsidRDefault="00A602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2114"/>
      <w:docPartObj>
        <w:docPartGallery w:val="Page Numbers (Bottom of Page)"/>
        <w:docPartUnique/>
      </w:docPartObj>
    </w:sdtPr>
    <w:sdtEndPr>
      <w:rPr>
        <w:noProof/>
      </w:rPr>
    </w:sdtEndPr>
    <w:sdtContent>
      <w:p w:rsidR="00A6020C" w:rsidRDefault="00A6020C">
        <w:pPr>
          <w:pStyle w:val="Footer"/>
          <w:jc w:val="center"/>
        </w:pPr>
        <w:r>
          <w:fldChar w:fldCharType="begin"/>
        </w:r>
        <w:r>
          <w:instrText xml:space="preserve"> PAGE   \* MERGEFORMAT </w:instrText>
        </w:r>
        <w:r>
          <w:fldChar w:fldCharType="separate"/>
        </w:r>
        <w:r w:rsidR="00AC5E83">
          <w:rPr>
            <w:noProof/>
          </w:rPr>
          <w:t>3</w:t>
        </w:r>
        <w:r>
          <w:rPr>
            <w:noProof/>
          </w:rPr>
          <w:fldChar w:fldCharType="end"/>
        </w:r>
      </w:p>
    </w:sdtContent>
  </w:sdt>
  <w:p w:rsidR="00A6020C" w:rsidRDefault="00A6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0C" w:rsidRDefault="00A6020C" w:rsidP="00697CC0">
      <w:r>
        <w:separator/>
      </w:r>
    </w:p>
  </w:footnote>
  <w:footnote w:type="continuationSeparator" w:id="0">
    <w:p w:rsidR="00A6020C" w:rsidRDefault="00A6020C" w:rsidP="00697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3255D84"/>
    <w:multiLevelType w:val="hybridMultilevel"/>
    <w:tmpl w:val="929257AC"/>
    <w:lvl w:ilvl="0" w:tplc="CA9A207E">
      <w:start w:val="1"/>
      <w:numFmt w:val="bullet"/>
      <w:lvlText w:val=""/>
      <w:lvlJc w:val="left"/>
      <w:pPr>
        <w:tabs>
          <w:tab w:val="num" w:pos="720"/>
        </w:tabs>
        <w:ind w:left="720" w:hanging="360"/>
      </w:pPr>
      <w:rPr>
        <w:rFonts w:ascii="Wingdings" w:hAnsi="Wingdings" w:hint="default"/>
      </w:rPr>
    </w:lvl>
    <w:lvl w:ilvl="1" w:tplc="D42C3336" w:tentative="1">
      <w:start w:val="1"/>
      <w:numFmt w:val="bullet"/>
      <w:lvlText w:val=""/>
      <w:lvlJc w:val="left"/>
      <w:pPr>
        <w:tabs>
          <w:tab w:val="num" w:pos="1440"/>
        </w:tabs>
        <w:ind w:left="1440" w:hanging="360"/>
      </w:pPr>
      <w:rPr>
        <w:rFonts w:ascii="Wingdings" w:hAnsi="Wingdings" w:hint="default"/>
      </w:rPr>
    </w:lvl>
    <w:lvl w:ilvl="2" w:tplc="0E181E3C" w:tentative="1">
      <w:start w:val="1"/>
      <w:numFmt w:val="bullet"/>
      <w:lvlText w:val=""/>
      <w:lvlJc w:val="left"/>
      <w:pPr>
        <w:tabs>
          <w:tab w:val="num" w:pos="2160"/>
        </w:tabs>
        <w:ind w:left="2160" w:hanging="360"/>
      </w:pPr>
      <w:rPr>
        <w:rFonts w:ascii="Wingdings" w:hAnsi="Wingdings" w:hint="default"/>
      </w:rPr>
    </w:lvl>
    <w:lvl w:ilvl="3" w:tplc="2C0E7A5A" w:tentative="1">
      <w:start w:val="1"/>
      <w:numFmt w:val="bullet"/>
      <w:lvlText w:val=""/>
      <w:lvlJc w:val="left"/>
      <w:pPr>
        <w:tabs>
          <w:tab w:val="num" w:pos="2880"/>
        </w:tabs>
        <w:ind w:left="2880" w:hanging="360"/>
      </w:pPr>
      <w:rPr>
        <w:rFonts w:ascii="Wingdings" w:hAnsi="Wingdings" w:hint="default"/>
      </w:rPr>
    </w:lvl>
    <w:lvl w:ilvl="4" w:tplc="3B8CF050" w:tentative="1">
      <w:start w:val="1"/>
      <w:numFmt w:val="bullet"/>
      <w:lvlText w:val=""/>
      <w:lvlJc w:val="left"/>
      <w:pPr>
        <w:tabs>
          <w:tab w:val="num" w:pos="3600"/>
        </w:tabs>
        <w:ind w:left="3600" w:hanging="360"/>
      </w:pPr>
      <w:rPr>
        <w:rFonts w:ascii="Wingdings" w:hAnsi="Wingdings" w:hint="default"/>
      </w:rPr>
    </w:lvl>
    <w:lvl w:ilvl="5" w:tplc="BBC61E56" w:tentative="1">
      <w:start w:val="1"/>
      <w:numFmt w:val="bullet"/>
      <w:lvlText w:val=""/>
      <w:lvlJc w:val="left"/>
      <w:pPr>
        <w:tabs>
          <w:tab w:val="num" w:pos="4320"/>
        </w:tabs>
        <w:ind w:left="4320" w:hanging="360"/>
      </w:pPr>
      <w:rPr>
        <w:rFonts w:ascii="Wingdings" w:hAnsi="Wingdings" w:hint="default"/>
      </w:rPr>
    </w:lvl>
    <w:lvl w:ilvl="6" w:tplc="26760064" w:tentative="1">
      <w:start w:val="1"/>
      <w:numFmt w:val="bullet"/>
      <w:lvlText w:val=""/>
      <w:lvlJc w:val="left"/>
      <w:pPr>
        <w:tabs>
          <w:tab w:val="num" w:pos="5040"/>
        </w:tabs>
        <w:ind w:left="5040" w:hanging="360"/>
      </w:pPr>
      <w:rPr>
        <w:rFonts w:ascii="Wingdings" w:hAnsi="Wingdings" w:hint="default"/>
      </w:rPr>
    </w:lvl>
    <w:lvl w:ilvl="7" w:tplc="5400065C" w:tentative="1">
      <w:start w:val="1"/>
      <w:numFmt w:val="bullet"/>
      <w:lvlText w:val=""/>
      <w:lvlJc w:val="left"/>
      <w:pPr>
        <w:tabs>
          <w:tab w:val="num" w:pos="5760"/>
        </w:tabs>
        <w:ind w:left="5760" w:hanging="360"/>
      </w:pPr>
      <w:rPr>
        <w:rFonts w:ascii="Wingdings" w:hAnsi="Wingdings" w:hint="default"/>
      </w:rPr>
    </w:lvl>
    <w:lvl w:ilvl="8" w:tplc="60F61F52" w:tentative="1">
      <w:start w:val="1"/>
      <w:numFmt w:val="bullet"/>
      <w:lvlText w:val=""/>
      <w:lvlJc w:val="left"/>
      <w:pPr>
        <w:tabs>
          <w:tab w:val="num" w:pos="6480"/>
        </w:tabs>
        <w:ind w:left="6480" w:hanging="360"/>
      </w:pPr>
      <w:rPr>
        <w:rFonts w:ascii="Wingdings" w:hAnsi="Wingdings" w:hint="default"/>
      </w:rPr>
    </w:lvl>
  </w:abstractNum>
  <w:abstractNum w:abstractNumId="1">
    <w:nsid w:val="03DF40F8"/>
    <w:multiLevelType w:val="hybridMultilevel"/>
    <w:tmpl w:val="1806F8F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458623D"/>
    <w:multiLevelType w:val="hybridMultilevel"/>
    <w:tmpl w:val="150CCF38"/>
    <w:lvl w:ilvl="0" w:tplc="1D1E8C4E">
      <w:start w:val="1"/>
      <w:numFmt w:val="bullet"/>
      <w:lvlText w:val=""/>
      <w:lvlJc w:val="left"/>
      <w:pPr>
        <w:tabs>
          <w:tab w:val="num" w:pos="720"/>
        </w:tabs>
        <w:ind w:left="720" w:hanging="360"/>
      </w:pPr>
      <w:rPr>
        <w:rFonts w:ascii="Wingdings" w:hAnsi="Wingdings" w:hint="default"/>
      </w:rPr>
    </w:lvl>
    <w:lvl w:ilvl="1" w:tplc="24542E12" w:tentative="1">
      <w:start w:val="1"/>
      <w:numFmt w:val="bullet"/>
      <w:lvlText w:val=""/>
      <w:lvlJc w:val="left"/>
      <w:pPr>
        <w:tabs>
          <w:tab w:val="num" w:pos="1440"/>
        </w:tabs>
        <w:ind w:left="1440" w:hanging="360"/>
      </w:pPr>
      <w:rPr>
        <w:rFonts w:ascii="Wingdings" w:hAnsi="Wingdings" w:hint="default"/>
      </w:rPr>
    </w:lvl>
    <w:lvl w:ilvl="2" w:tplc="ED347FDC" w:tentative="1">
      <w:start w:val="1"/>
      <w:numFmt w:val="bullet"/>
      <w:lvlText w:val=""/>
      <w:lvlJc w:val="left"/>
      <w:pPr>
        <w:tabs>
          <w:tab w:val="num" w:pos="2160"/>
        </w:tabs>
        <w:ind w:left="2160" w:hanging="360"/>
      </w:pPr>
      <w:rPr>
        <w:rFonts w:ascii="Wingdings" w:hAnsi="Wingdings" w:hint="default"/>
      </w:rPr>
    </w:lvl>
    <w:lvl w:ilvl="3" w:tplc="B79E9C0C" w:tentative="1">
      <w:start w:val="1"/>
      <w:numFmt w:val="bullet"/>
      <w:lvlText w:val=""/>
      <w:lvlJc w:val="left"/>
      <w:pPr>
        <w:tabs>
          <w:tab w:val="num" w:pos="2880"/>
        </w:tabs>
        <w:ind w:left="2880" w:hanging="360"/>
      </w:pPr>
      <w:rPr>
        <w:rFonts w:ascii="Wingdings" w:hAnsi="Wingdings" w:hint="default"/>
      </w:rPr>
    </w:lvl>
    <w:lvl w:ilvl="4" w:tplc="E4C05FBA" w:tentative="1">
      <w:start w:val="1"/>
      <w:numFmt w:val="bullet"/>
      <w:lvlText w:val=""/>
      <w:lvlJc w:val="left"/>
      <w:pPr>
        <w:tabs>
          <w:tab w:val="num" w:pos="3600"/>
        </w:tabs>
        <w:ind w:left="3600" w:hanging="360"/>
      </w:pPr>
      <w:rPr>
        <w:rFonts w:ascii="Wingdings" w:hAnsi="Wingdings" w:hint="default"/>
      </w:rPr>
    </w:lvl>
    <w:lvl w:ilvl="5" w:tplc="BA0625D6" w:tentative="1">
      <w:start w:val="1"/>
      <w:numFmt w:val="bullet"/>
      <w:lvlText w:val=""/>
      <w:lvlJc w:val="left"/>
      <w:pPr>
        <w:tabs>
          <w:tab w:val="num" w:pos="4320"/>
        </w:tabs>
        <w:ind w:left="4320" w:hanging="360"/>
      </w:pPr>
      <w:rPr>
        <w:rFonts w:ascii="Wingdings" w:hAnsi="Wingdings" w:hint="default"/>
      </w:rPr>
    </w:lvl>
    <w:lvl w:ilvl="6" w:tplc="C44C4672" w:tentative="1">
      <w:start w:val="1"/>
      <w:numFmt w:val="bullet"/>
      <w:lvlText w:val=""/>
      <w:lvlJc w:val="left"/>
      <w:pPr>
        <w:tabs>
          <w:tab w:val="num" w:pos="5040"/>
        </w:tabs>
        <w:ind w:left="5040" w:hanging="360"/>
      </w:pPr>
      <w:rPr>
        <w:rFonts w:ascii="Wingdings" w:hAnsi="Wingdings" w:hint="default"/>
      </w:rPr>
    </w:lvl>
    <w:lvl w:ilvl="7" w:tplc="F9C6CAEA" w:tentative="1">
      <w:start w:val="1"/>
      <w:numFmt w:val="bullet"/>
      <w:lvlText w:val=""/>
      <w:lvlJc w:val="left"/>
      <w:pPr>
        <w:tabs>
          <w:tab w:val="num" w:pos="5760"/>
        </w:tabs>
        <w:ind w:left="5760" w:hanging="360"/>
      </w:pPr>
      <w:rPr>
        <w:rFonts w:ascii="Wingdings" w:hAnsi="Wingdings" w:hint="default"/>
      </w:rPr>
    </w:lvl>
    <w:lvl w:ilvl="8" w:tplc="2B1AEA8A" w:tentative="1">
      <w:start w:val="1"/>
      <w:numFmt w:val="bullet"/>
      <w:lvlText w:val=""/>
      <w:lvlJc w:val="left"/>
      <w:pPr>
        <w:tabs>
          <w:tab w:val="num" w:pos="6480"/>
        </w:tabs>
        <w:ind w:left="6480" w:hanging="360"/>
      </w:pPr>
      <w:rPr>
        <w:rFonts w:ascii="Wingdings" w:hAnsi="Wingdings" w:hint="default"/>
      </w:rPr>
    </w:lvl>
  </w:abstractNum>
  <w:abstractNum w:abstractNumId="3">
    <w:nsid w:val="0AEA5C4B"/>
    <w:multiLevelType w:val="multilevel"/>
    <w:tmpl w:val="C964B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97C63"/>
    <w:multiLevelType w:val="multilevel"/>
    <w:tmpl w:val="4DEE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34150"/>
    <w:multiLevelType w:val="hybridMultilevel"/>
    <w:tmpl w:val="314EC45A"/>
    <w:lvl w:ilvl="0" w:tplc="61A2F88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12423"/>
    <w:multiLevelType w:val="hybridMultilevel"/>
    <w:tmpl w:val="1806F8F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F7F15E0"/>
    <w:multiLevelType w:val="hybridMultilevel"/>
    <w:tmpl w:val="0CCC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0F6736"/>
    <w:multiLevelType w:val="hybridMultilevel"/>
    <w:tmpl w:val="F294D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5F4701"/>
    <w:multiLevelType w:val="hybridMultilevel"/>
    <w:tmpl w:val="5980E772"/>
    <w:lvl w:ilvl="0" w:tplc="B66AB0FA">
      <w:start w:val="1"/>
      <w:numFmt w:val="bullet"/>
      <w:lvlText w:val=""/>
      <w:lvlJc w:val="left"/>
      <w:pPr>
        <w:tabs>
          <w:tab w:val="num" w:pos="720"/>
        </w:tabs>
        <w:ind w:left="720" w:hanging="360"/>
      </w:pPr>
      <w:rPr>
        <w:rFonts w:ascii="Wingdings" w:hAnsi="Wingdings" w:hint="default"/>
      </w:rPr>
    </w:lvl>
    <w:lvl w:ilvl="1" w:tplc="FA3A3F5C" w:tentative="1">
      <w:start w:val="1"/>
      <w:numFmt w:val="bullet"/>
      <w:lvlText w:val=""/>
      <w:lvlJc w:val="left"/>
      <w:pPr>
        <w:tabs>
          <w:tab w:val="num" w:pos="1440"/>
        </w:tabs>
        <w:ind w:left="1440" w:hanging="360"/>
      </w:pPr>
      <w:rPr>
        <w:rFonts w:ascii="Wingdings" w:hAnsi="Wingdings" w:hint="default"/>
      </w:rPr>
    </w:lvl>
    <w:lvl w:ilvl="2" w:tplc="3B4A15CC" w:tentative="1">
      <w:start w:val="1"/>
      <w:numFmt w:val="bullet"/>
      <w:lvlText w:val=""/>
      <w:lvlJc w:val="left"/>
      <w:pPr>
        <w:tabs>
          <w:tab w:val="num" w:pos="2160"/>
        </w:tabs>
        <w:ind w:left="2160" w:hanging="360"/>
      </w:pPr>
      <w:rPr>
        <w:rFonts w:ascii="Wingdings" w:hAnsi="Wingdings" w:hint="default"/>
      </w:rPr>
    </w:lvl>
    <w:lvl w:ilvl="3" w:tplc="95FC62A4" w:tentative="1">
      <w:start w:val="1"/>
      <w:numFmt w:val="bullet"/>
      <w:lvlText w:val=""/>
      <w:lvlJc w:val="left"/>
      <w:pPr>
        <w:tabs>
          <w:tab w:val="num" w:pos="2880"/>
        </w:tabs>
        <w:ind w:left="2880" w:hanging="360"/>
      </w:pPr>
      <w:rPr>
        <w:rFonts w:ascii="Wingdings" w:hAnsi="Wingdings" w:hint="default"/>
      </w:rPr>
    </w:lvl>
    <w:lvl w:ilvl="4" w:tplc="A2228B1C" w:tentative="1">
      <w:start w:val="1"/>
      <w:numFmt w:val="bullet"/>
      <w:lvlText w:val=""/>
      <w:lvlJc w:val="left"/>
      <w:pPr>
        <w:tabs>
          <w:tab w:val="num" w:pos="3600"/>
        </w:tabs>
        <w:ind w:left="3600" w:hanging="360"/>
      </w:pPr>
      <w:rPr>
        <w:rFonts w:ascii="Wingdings" w:hAnsi="Wingdings" w:hint="default"/>
      </w:rPr>
    </w:lvl>
    <w:lvl w:ilvl="5" w:tplc="36D28C06" w:tentative="1">
      <w:start w:val="1"/>
      <w:numFmt w:val="bullet"/>
      <w:lvlText w:val=""/>
      <w:lvlJc w:val="left"/>
      <w:pPr>
        <w:tabs>
          <w:tab w:val="num" w:pos="4320"/>
        </w:tabs>
        <w:ind w:left="4320" w:hanging="360"/>
      </w:pPr>
      <w:rPr>
        <w:rFonts w:ascii="Wingdings" w:hAnsi="Wingdings" w:hint="default"/>
      </w:rPr>
    </w:lvl>
    <w:lvl w:ilvl="6" w:tplc="4C70F028" w:tentative="1">
      <w:start w:val="1"/>
      <w:numFmt w:val="bullet"/>
      <w:lvlText w:val=""/>
      <w:lvlJc w:val="left"/>
      <w:pPr>
        <w:tabs>
          <w:tab w:val="num" w:pos="5040"/>
        </w:tabs>
        <w:ind w:left="5040" w:hanging="360"/>
      </w:pPr>
      <w:rPr>
        <w:rFonts w:ascii="Wingdings" w:hAnsi="Wingdings" w:hint="default"/>
      </w:rPr>
    </w:lvl>
    <w:lvl w:ilvl="7" w:tplc="B2F285DA" w:tentative="1">
      <w:start w:val="1"/>
      <w:numFmt w:val="bullet"/>
      <w:lvlText w:val=""/>
      <w:lvlJc w:val="left"/>
      <w:pPr>
        <w:tabs>
          <w:tab w:val="num" w:pos="5760"/>
        </w:tabs>
        <w:ind w:left="5760" w:hanging="360"/>
      </w:pPr>
      <w:rPr>
        <w:rFonts w:ascii="Wingdings" w:hAnsi="Wingdings" w:hint="default"/>
      </w:rPr>
    </w:lvl>
    <w:lvl w:ilvl="8" w:tplc="5B5A1258" w:tentative="1">
      <w:start w:val="1"/>
      <w:numFmt w:val="bullet"/>
      <w:lvlText w:val=""/>
      <w:lvlJc w:val="left"/>
      <w:pPr>
        <w:tabs>
          <w:tab w:val="num" w:pos="6480"/>
        </w:tabs>
        <w:ind w:left="6480" w:hanging="360"/>
      </w:pPr>
      <w:rPr>
        <w:rFonts w:ascii="Wingdings" w:hAnsi="Wingdings" w:hint="default"/>
      </w:rPr>
    </w:lvl>
  </w:abstractNum>
  <w:abstractNum w:abstractNumId="10">
    <w:nsid w:val="481A54A5"/>
    <w:multiLevelType w:val="hybridMultilevel"/>
    <w:tmpl w:val="EF7E52D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3BA564D"/>
    <w:multiLevelType w:val="hybridMultilevel"/>
    <w:tmpl w:val="3F064B80"/>
    <w:lvl w:ilvl="0" w:tplc="E5A2F638">
      <w:start w:val="1"/>
      <w:numFmt w:val="bullet"/>
      <w:lvlText w:val=""/>
      <w:lvlJc w:val="left"/>
      <w:pPr>
        <w:tabs>
          <w:tab w:val="num" w:pos="720"/>
        </w:tabs>
        <w:ind w:left="720" w:hanging="360"/>
      </w:pPr>
      <w:rPr>
        <w:rFonts w:ascii="Wingdings" w:hAnsi="Wingdings" w:hint="default"/>
      </w:rPr>
    </w:lvl>
    <w:lvl w:ilvl="1" w:tplc="75163AE4" w:tentative="1">
      <w:start w:val="1"/>
      <w:numFmt w:val="bullet"/>
      <w:lvlText w:val=""/>
      <w:lvlJc w:val="left"/>
      <w:pPr>
        <w:tabs>
          <w:tab w:val="num" w:pos="1440"/>
        </w:tabs>
        <w:ind w:left="1440" w:hanging="360"/>
      </w:pPr>
      <w:rPr>
        <w:rFonts w:ascii="Wingdings" w:hAnsi="Wingdings" w:hint="default"/>
      </w:rPr>
    </w:lvl>
    <w:lvl w:ilvl="2" w:tplc="8C24C2E6" w:tentative="1">
      <w:start w:val="1"/>
      <w:numFmt w:val="bullet"/>
      <w:lvlText w:val=""/>
      <w:lvlJc w:val="left"/>
      <w:pPr>
        <w:tabs>
          <w:tab w:val="num" w:pos="2160"/>
        </w:tabs>
        <w:ind w:left="2160" w:hanging="360"/>
      </w:pPr>
      <w:rPr>
        <w:rFonts w:ascii="Wingdings" w:hAnsi="Wingdings" w:hint="default"/>
      </w:rPr>
    </w:lvl>
    <w:lvl w:ilvl="3" w:tplc="ADB8EEB0" w:tentative="1">
      <w:start w:val="1"/>
      <w:numFmt w:val="bullet"/>
      <w:lvlText w:val=""/>
      <w:lvlJc w:val="left"/>
      <w:pPr>
        <w:tabs>
          <w:tab w:val="num" w:pos="2880"/>
        </w:tabs>
        <w:ind w:left="2880" w:hanging="360"/>
      </w:pPr>
      <w:rPr>
        <w:rFonts w:ascii="Wingdings" w:hAnsi="Wingdings" w:hint="default"/>
      </w:rPr>
    </w:lvl>
    <w:lvl w:ilvl="4" w:tplc="66B46D28" w:tentative="1">
      <w:start w:val="1"/>
      <w:numFmt w:val="bullet"/>
      <w:lvlText w:val=""/>
      <w:lvlJc w:val="left"/>
      <w:pPr>
        <w:tabs>
          <w:tab w:val="num" w:pos="3600"/>
        </w:tabs>
        <w:ind w:left="3600" w:hanging="360"/>
      </w:pPr>
      <w:rPr>
        <w:rFonts w:ascii="Wingdings" w:hAnsi="Wingdings" w:hint="default"/>
      </w:rPr>
    </w:lvl>
    <w:lvl w:ilvl="5" w:tplc="F342D1C4" w:tentative="1">
      <w:start w:val="1"/>
      <w:numFmt w:val="bullet"/>
      <w:lvlText w:val=""/>
      <w:lvlJc w:val="left"/>
      <w:pPr>
        <w:tabs>
          <w:tab w:val="num" w:pos="4320"/>
        </w:tabs>
        <w:ind w:left="4320" w:hanging="360"/>
      </w:pPr>
      <w:rPr>
        <w:rFonts w:ascii="Wingdings" w:hAnsi="Wingdings" w:hint="default"/>
      </w:rPr>
    </w:lvl>
    <w:lvl w:ilvl="6" w:tplc="E6C0F130" w:tentative="1">
      <w:start w:val="1"/>
      <w:numFmt w:val="bullet"/>
      <w:lvlText w:val=""/>
      <w:lvlJc w:val="left"/>
      <w:pPr>
        <w:tabs>
          <w:tab w:val="num" w:pos="5040"/>
        </w:tabs>
        <w:ind w:left="5040" w:hanging="360"/>
      </w:pPr>
      <w:rPr>
        <w:rFonts w:ascii="Wingdings" w:hAnsi="Wingdings" w:hint="default"/>
      </w:rPr>
    </w:lvl>
    <w:lvl w:ilvl="7" w:tplc="61325542" w:tentative="1">
      <w:start w:val="1"/>
      <w:numFmt w:val="bullet"/>
      <w:lvlText w:val=""/>
      <w:lvlJc w:val="left"/>
      <w:pPr>
        <w:tabs>
          <w:tab w:val="num" w:pos="5760"/>
        </w:tabs>
        <w:ind w:left="5760" w:hanging="360"/>
      </w:pPr>
      <w:rPr>
        <w:rFonts w:ascii="Wingdings" w:hAnsi="Wingdings" w:hint="default"/>
      </w:rPr>
    </w:lvl>
    <w:lvl w:ilvl="8" w:tplc="58BCA67E" w:tentative="1">
      <w:start w:val="1"/>
      <w:numFmt w:val="bullet"/>
      <w:lvlText w:val=""/>
      <w:lvlJc w:val="left"/>
      <w:pPr>
        <w:tabs>
          <w:tab w:val="num" w:pos="6480"/>
        </w:tabs>
        <w:ind w:left="6480" w:hanging="360"/>
      </w:pPr>
      <w:rPr>
        <w:rFonts w:ascii="Wingdings" w:hAnsi="Wingdings" w:hint="default"/>
      </w:rPr>
    </w:lvl>
  </w:abstractNum>
  <w:abstractNum w:abstractNumId="12">
    <w:nsid w:val="548E1234"/>
    <w:multiLevelType w:val="hybridMultilevel"/>
    <w:tmpl w:val="0CFC718A"/>
    <w:lvl w:ilvl="0" w:tplc="778461D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455AA"/>
    <w:multiLevelType w:val="hybridMultilevel"/>
    <w:tmpl w:val="5CFA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7940F7"/>
    <w:multiLevelType w:val="multilevel"/>
    <w:tmpl w:val="EBB8A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237292"/>
    <w:multiLevelType w:val="hybridMultilevel"/>
    <w:tmpl w:val="B2AABD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5"/>
  </w:num>
  <w:num w:numId="5">
    <w:abstractNumId w:val="15"/>
  </w:num>
  <w:num w:numId="6">
    <w:abstractNumId w:val="6"/>
  </w:num>
  <w:num w:numId="7">
    <w:abstractNumId w:val="13"/>
  </w:num>
  <w:num w:numId="8">
    <w:abstractNumId w:val="9"/>
  </w:num>
  <w:num w:numId="9">
    <w:abstractNumId w:val="2"/>
  </w:num>
  <w:num w:numId="10">
    <w:abstractNumId w:val="11"/>
  </w:num>
  <w:num w:numId="11">
    <w:abstractNumId w:val="0"/>
  </w:num>
  <w:num w:numId="12">
    <w:abstractNumId w:val="1"/>
  </w:num>
  <w:num w:numId="13">
    <w:abstractNumId w:val="10"/>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w0wf09qsav0qer2zlx2v2ff9srazx5x2ae&quot;&gt;ATOMMasterFile&lt;record-ids&gt;&lt;item&gt;1&lt;/item&gt;&lt;item&gt;2&lt;/item&gt;&lt;item&gt;4&lt;/item&gt;&lt;item&gt;5&lt;/item&gt;&lt;item&gt;6&lt;/item&gt;&lt;item&gt;8&lt;/item&gt;&lt;item&gt;9&lt;/item&gt;&lt;item&gt;10&lt;/item&gt;&lt;item&gt;11&lt;/item&gt;&lt;item&gt;13&lt;/item&gt;&lt;item&gt;14&lt;/item&gt;&lt;item&gt;15&lt;/item&gt;&lt;item&gt;16&lt;/item&gt;&lt;item&gt;17&lt;/item&gt;&lt;item&gt;18&lt;/item&gt;&lt;item&gt;21&lt;/item&gt;&lt;item&gt;22&lt;/item&gt;&lt;item&gt;32&lt;/item&gt;&lt;item&gt;49&lt;/item&gt;&lt;item&gt;157&lt;/item&gt;&lt;item&gt;159&lt;/item&gt;&lt;item&gt;160&lt;/item&gt;&lt;item&gt;161&lt;/item&gt;&lt;item&gt;162&lt;/item&gt;&lt;item&gt;163&lt;/item&gt;&lt;item&gt;164&lt;/item&gt;&lt;item&gt;165&lt;/item&gt;&lt;/record-ids&gt;&lt;/item&gt;&lt;/Libraries&gt;"/>
  </w:docVars>
  <w:rsids>
    <w:rsidRoot w:val="00697CC0"/>
    <w:rsid w:val="00023239"/>
    <w:rsid w:val="0004749A"/>
    <w:rsid w:val="000544D0"/>
    <w:rsid w:val="00055B1E"/>
    <w:rsid w:val="000577BA"/>
    <w:rsid w:val="000B515D"/>
    <w:rsid w:val="000B7262"/>
    <w:rsid w:val="000C3670"/>
    <w:rsid w:val="000C4DA6"/>
    <w:rsid w:val="000D49A3"/>
    <w:rsid w:val="000F7A32"/>
    <w:rsid w:val="001004F9"/>
    <w:rsid w:val="00126D56"/>
    <w:rsid w:val="00131D45"/>
    <w:rsid w:val="00134F62"/>
    <w:rsid w:val="00146BB6"/>
    <w:rsid w:val="001538B4"/>
    <w:rsid w:val="00170D18"/>
    <w:rsid w:val="001812A5"/>
    <w:rsid w:val="001B3DC4"/>
    <w:rsid w:val="001C1BB0"/>
    <w:rsid w:val="001C3A06"/>
    <w:rsid w:val="001D3B46"/>
    <w:rsid w:val="001E5968"/>
    <w:rsid w:val="001F4321"/>
    <w:rsid w:val="0026206C"/>
    <w:rsid w:val="00270473"/>
    <w:rsid w:val="00273393"/>
    <w:rsid w:val="00281359"/>
    <w:rsid w:val="002B7EC2"/>
    <w:rsid w:val="002D15EE"/>
    <w:rsid w:val="002E23D9"/>
    <w:rsid w:val="002E5C63"/>
    <w:rsid w:val="00305133"/>
    <w:rsid w:val="00323462"/>
    <w:rsid w:val="00345FCC"/>
    <w:rsid w:val="00351086"/>
    <w:rsid w:val="00361461"/>
    <w:rsid w:val="00365452"/>
    <w:rsid w:val="0039429E"/>
    <w:rsid w:val="003A3A70"/>
    <w:rsid w:val="003A4AE7"/>
    <w:rsid w:val="003B36AB"/>
    <w:rsid w:val="003C5F8E"/>
    <w:rsid w:val="003C6F52"/>
    <w:rsid w:val="003D63FC"/>
    <w:rsid w:val="003E3B79"/>
    <w:rsid w:val="003E58F0"/>
    <w:rsid w:val="00402579"/>
    <w:rsid w:val="004105CC"/>
    <w:rsid w:val="0041420D"/>
    <w:rsid w:val="00455807"/>
    <w:rsid w:val="00462534"/>
    <w:rsid w:val="00470A13"/>
    <w:rsid w:val="00471A25"/>
    <w:rsid w:val="00473D55"/>
    <w:rsid w:val="00476543"/>
    <w:rsid w:val="00483A81"/>
    <w:rsid w:val="004B7E4D"/>
    <w:rsid w:val="004C153D"/>
    <w:rsid w:val="004D4DD7"/>
    <w:rsid w:val="005019F9"/>
    <w:rsid w:val="00501C6D"/>
    <w:rsid w:val="005222B5"/>
    <w:rsid w:val="00523BF5"/>
    <w:rsid w:val="005248EE"/>
    <w:rsid w:val="005307FB"/>
    <w:rsid w:val="00534855"/>
    <w:rsid w:val="00542A60"/>
    <w:rsid w:val="0054471F"/>
    <w:rsid w:val="0055124A"/>
    <w:rsid w:val="00592348"/>
    <w:rsid w:val="005A31FE"/>
    <w:rsid w:val="005A4065"/>
    <w:rsid w:val="005A4C0A"/>
    <w:rsid w:val="005B6D3C"/>
    <w:rsid w:val="005C510B"/>
    <w:rsid w:val="005E5E03"/>
    <w:rsid w:val="005E6D4F"/>
    <w:rsid w:val="005E71F8"/>
    <w:rsid w:val="005F3F5A"/>
    <w:rsid w:val="005F47D9"/>
    <w:rsid w:val="005F7E03"/>
    <w:rsid w:val="00610A55"/>
    <w:rsid w:val="00622851"/>
    <w:rsid w:val="00622B6C"/>
    <w:rsid w:val="00627673"/>
    <w:rsid w:val="00633FEF"/>
    <w:rsid w:val="00637976"/>
    <w:rsid w:val="00672A29"/>
    <w:rsid w:val="00676A40"/>
    <w:rsid w:val="00686834"/>
    <w:rsid w:val="00693B18"/>
    <w:rsid w:val="006949E5"/>
    <w:rsid w:val="00697CC0"/>
    <w:rsid w:val="006A7731"/>
    <w:rsid w:val="006B235B"/>
    <w:rsid w:val="006C2335"/>
    <w:rsid w:val="006D4457"/>
    <w:rsid w:val="006D5704"/>
    <w:rsid w:val="006E1590"/>
    <w:rsid w:val="006E5D52"/>
    <w:rsid w:val="007048EC"/>
    <w:rsid w:val="00704B3C"/>
    <w:rsid w:val="00707E92"/>
    <w:rsid w:val="00710262"/>
    <w:rsid w:val="00716B5F"/>
    <w:rsid w:val="007349A4"/>
    <w:rsid w:val="00744ECD"/>
    <w:rsid w:val="007469B9"/>
    <w:rsid w:val="00746EA9"/>
    <w:rsid w:val="0076531C"/>
    <w:rsid w:val="00773E5C"/>
    <w:rsid w:val="007823BA"/>
    <w:rsid w:val="00786049"/>
    <w:rsid w:val="00791099"/>
    <w:rsid w:val="007A21C9"/>
    <w:rsid w:val="007B12A7"/>
    <w:rsid w:val="007B7EA5"/>
    <w:rsid w:val="007F273F"/>
    <w:rsid w:val="00810E69"/>
    <w:rsid w:val="00843E21"/>
    <w:rsid w:val="0084679F"/>
    <w:rsid w:val="00850070"/>
    <w:rsid w:val="008759A6"/>
    <w:rsid w:val="0088184C"/>
    <w:rsid w:val="008A12A0"/>
    <w:rsid w:val="008A7DBE"/>
    <w:rsid w:val="008C36C1"/>
    <w:rsid w:val="008E601C"/>
    <w:rsid w:val="008F2D66"/>
    <w:rsid w:val="008F3692"/>
    <w:rsid w:val="0090446A"/>
    <w:rsid w:val="009062BB"/>
    <w:rsid w:val="009160B6"/>
    <w:rsid w:val="0091706D"/>
    <w:rsid w:val="00920552"/>
    <w:rsid w:val="00944948"/>
    <w:rsid w:val="00953889"/>
    <w:rsid w:val="0095406A"/>
    <w:rsid w:val="009617A1"/>
    <w:rsid w:val="0096229C"/>
    <w:rsid w:val="009751ED"/>
    <w:rsid w:val="009805D5"/>
    <w:rsid w:val="009875D0"/>
    <w:rsid w:val="009A5957"/>
    <w:rsid w:val="009D511A"/>
    <w:rsid w:val="009E77E0"/>
    <w:rsid w:val="009F167D"/>
    <w:rsid w:val="00A24D7F"/>
    <w:rsid w:val="00A3434C"/>
    <w:rsid w:val="00A4644E"/>
    <w:rsid w:val="00A6020C"/>
    <w:rsid w:val="00A621C2"/>
    <w:rsid w:val="00A66C4F"/>
    <w:rsid w:val="00A763B0"/>
    <w:rsid w:val="00A84027"/>
    <w:rsid w:val="00A94253"/>
    <w:rsid w:val="00A9694D"/>
    <w:rsid w:val="00AA293A"/>
    <w:rsid w:val="00AA4185"/>
    <w:rsid w:val="00AA4867"/>
    <w:rsid w:val="00AA4C65"/>
    <w:rsid w:val="00AC2654"/>
    <w:rsid w:val="00AC5E83"/>
    <w:rsid w:val="00AD0264"/>
    <w:rsid w:val="00AD429D"/>
    <w:rsid w:val="00B011FD"/>
    <w:rsid w:val="00B233A2"/>
    <w:rsid w:val="00B2473E"/>
    <w:rsid w:val="00B64DD6"/>
    <w:rsid w:val="00B76C79"/>
    <w:rsid w:val="00B85DDA"/>
    <w:rsid w:val="00B93C89"/>
    <w:rsid w:val="00B94D04"/>
    <w:rsid w:val="00B9614C"/>
    <w:rsid w:val="00BC0AC7"/>
    <w:rsid w:val="00BC2E1D"/>
    <w:rsid w:val="00BE1DB9"/>
    <w:rsid w:val="00BE3929"/>
    <w:rsid w:val="00BE3F70"/>
    <w:rsid w:val="00BF38A7"/>
    <w:rsid w:val="00BF778D"/>
    <w:rsid w:val="00C06702"/>
    <w:rsid w:val="00C26E8B"/>
    <w:rsid w:val="00C43128"/>
    <w:rsid w:val="00C626CD"/>
    <w:rsid w:val="00C67044"/>
    <w:rsid w:val="00C856B3"/>
    <w:rsid w:val="00C87C34"/>
    <w:rsid w:val="00CB295F"/>
    <w:rsid w:val="00CC2F09"/>
    <w:rsid w:val="00CC7815"/>
    <w:rsid w:val="00CE09C1"/>
    <w:rsid w:val="00CF7A29"/>
    <w:rsid w:val="00D44252"/>
    <w:rsid w:val="00D46B58"/>
    <w:rsid w:val="00D47AF1"/>
    <w:rsid w:val="00D72D32"/>
    <w:rsid w:val="00D74666"/>
    <w:rsid w:val="00D81DC9"/>
    <w:rsid w:val="00D848DC"/>
    <w:rsid w:val="00DA0869"/>
    <w:rsid w:val="00DA0F7C"/>
    <w:rsid w:val="00DA7488"/>
    <w:rsid w:val="00DB5D1B"/>
    <w:rsid w:val="00DD16D0"/>
    <w:rsid w:val="00DD1A58"/>
    <w:rsid w:val="00DE43A2"/>
    <w:rsid w:val="00E12D3B"/>
    <w:rsid w:val="00E132A8"/>
    <w:rsid w:val="00E13B29"/>
    <w:rsid w:val="00E255EC"/>
    <w:rsid w:val="00E31C50"/>
    <w:rsid w:val="00E31E86"/>
    <w:rsid w:val="00E34383"/>
    <w:rsid w:val="00E523CF"/>
    <w:rsid w:val="00E5651E"/>
    <w:rsid w:val="00E70D5C"/>
    <w:rsid w:val="00E972EB"/>
    <w:rsid w:val="00EA2AB6"/>
    <w:rsid w:val="00EC6B43"/>
    <w:rsid w:val="00EE05AA"/>
    <w:rsid w:val="00EE6293"/>
    <w:rsid w:val="00EF2172"/>
    <w:rsid w:val="00F04F47"/>
    <w:rsid w:val="00F3100A"/>
    <w:rsid w:val="00F31B6E"/>
    <w:rsid w:val="00F421A7"/>
    <w:rsid w:val="00F65AD9"/>
    <w:rsid w:val="00FA25DB"/>
    <w:rsid w:val="00FA5316"/>
    <w:rsid w:val="00FD1D41"/>
    <w:rsid w:val="00FD56CB"/>
    <w:rsid w:val="00FE0831"/>
    <w:rsid w:val="00FE0D96"/>
    <w:rsid w:val="00FE1711"/>
    <w:rsid w:val="00FF47D5"/>
    <w:rsid w:val="00FF69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C0"/>
    <w:rPr>
      <w:rFonts w:eastAsia="Times New Roman"/>
      <w:sz w:val="24"/>
      <w:szCs w:val="24"/>
      <w:lang w:eastAsia="en-GB"/>
    </w:rPr>
  </w:style>
  <w:style w:type="paragraph" w:styleId="Heading1">
    <w:name w:val="heading 1"/>
    <w:basedOn w:val="Normal"/>
    <w:next w:val="Normal"/>
    <w:link w:val="Heading1Char"/>
    <w:qFormat/>
    <w:rsid w:val="00697CC0"/>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697CC0"/>
    <w:pPr>
      <w:spacing w:before="100" w:beforeAutospacing="1" w:after="100" w:afterAutospacing="1" w:line="300" w:lineRule="atLeast"/>
      <w:outlineLvl w:val="2"/>
    </w:pPr>
    <w:rPr>
      <w:rFonts w:ascii="Arial" w:hAnsi="Arial"/>
      <w:b/>
      <w:bCs/>
      <w:color w:val="333333"/>
      <w:sz w:val="30"/>
      <w:szCs w:val="30"/>
    </w:rPr>
  </w:style>
  <w:style w:type="paragraph" w:styleId="Heading4">
    <w:name w:val="heading 4"/>
    <w:basedOn w:val="Normal"/>
    <w:next w:val="Normal"/>
    <w:link w:val="Heading4Char"/>
    <w:semiHidden/>
    <w:unhideWhenUsed/>
    <w:qFormat/>
    <w:rsid w:val="00697C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CC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
    <w:rsid w:val="00697CC0"/>
    <w:rPr>
      <w:rFonts w:ascii="Arial" w:eastAsia="Times New Roman" w:hAnsi="Arial"/>
      <w:b/>
      <w:bCs/>
      <w:color w:val="333333"/>
      <w:sz w:val="30"/>
      <w:szCs w:val="30"/>
      <w:lang w:eastAsia="en-GB"/>
    </w:rPr>
  </w:style>
  <w:style w:type="character" w:customStyle="1" w:styleId="Heading4Char">
    <w:name w:val="Heading 4 Char"/>
    <w:basedOn w:val="DefaultParagraphFont"/>
    <w:link w:val="Heading4"/>
    <w:semiHidden/>
    <w:rsid w:val="00697CC0"/>
    <w:rPr>
      <w:rFonts w:asciiTheme="majorHAnsi" w:eastAsiaTheme="majorEastAsia" w:hAnsiTheme="majorHAnsi" w:cstheme="majorBidi"/>
      <w:b/>
      <w:bCs/>
      <w:i/>
      <w:iCs/>
      <w:color w:val="4F81BD" w:themeColor="accent1"/>
      <w:sz w:val="24"/>
      <w:szCs w:val="24"/>
      <w:lang w:eastAsia="en-GB"/>
    </w:rPr>
  </w:style>
  <w:style w:type="character" w:styleId="Hyperlink">
    <w:name w:val="Hyperlink"/>
    <w:uiPriority w:val="99"/>
    <w:unhideWhenUsed/>
    <w:rsid w:val="00697CC0"/>
    <w:rPr>
      <w:strike w:val="0"/>
      <w:dstrike w:val="0"/>
      <w:color w:val="0000FF"/>
      <w:u w:val="none"/>
      <w:effect w:val="none"/>
    </w:rPr>
  </w:style>
  <w:style w:type="paragraph" w:styleId="NormalWeb">
    <w:name w:val="Normal (Web)"/>
    <w:basedOn w:val="Normal"/>
    <w:uiPriority w:val="99"/>
    <w:unhideWhenUsed/>
    <w:rsid w:val="00697CC0"/>
    <w:pPr>
      <w:spacing w:before="100" w:beforeAutospacing="1" w:after="100" w:afterAutospacing="1"/>
    </w:pPr>
    <w:rPr>
      <w:sz w:val="21"/>
      <w:szCs w:val="21"/>
    </w:rPr>
  </w:style>
  <w:style w:type="character" w:styleId="Emphasis">
    <w:name w:val="Emphasis"/>
    <w:uiPriority w:val="20"/>
    <w:qFormat/>
    <w:rsid w:val="00697CC0"/>
    <w:rPr>
      <w:i/>
      <w:iCs/>
    </w:rPr>
  </w:style>
  <w:style w:type="character" w:styleId="Strong">
    <w:name w:val="Strong"/>
    <w:uiPriority w:val="22"/>
    <w:qFormat/>
    <w:rsid w:val="00697CC0"/>
    <w:rPr>
      <w:b/>
      <w:bCs/>
    </w:rPr>
  </w:style>
  <w:style w:type="paragraph" w:styleId="FootnoteText">
    <w:name w:val="footnote text"/>
    <w:basedOn w:val="Normal"/>
    <w:link w:val="FootnoteTextChar"/>
    <w:uiPriority w:val="99"/>
    <w:rsid w:val="00697CC0"/>
    <w:rPr>
      <w:sz w:val="20"/>
      <w:szCs w:val="20"/>
    </w:rPr>
  </w:style>
  <w:style w:type="character" w:customStyle="1" w:styleId="FootnoteTextChar">
    <w:name w:val="Footnote Text Char"/>
    <w:basedOn w:val="DefaultParagraphFont"/>
    <w:link w:val="FootnoteText"/>
    <w:uiPriority w:val="99"/>
    <w:rsid w:val="00697CC0"/>
    <w:rPr>
      <w:rFonts w:eastAsia="Times New Roman"/>
      <w:lang w:eastAsia="en-GB"/>
    </w:rPr>
  </w:style>
  <w:style w:type="character" w:styleId="FootnoteReference">
    <w:name w:val="footnote reference"/>
    <w:uiPriority w:val="99"/>
    <w:rsid w:val="00697CC0"/>
    <w:rPr>
      <w:vertAlign w:val="superscript"/>
    </w:rPr>
  </w:style>
  <w:style w:type="paragraph" w:styleId="EndnoteText">
    <w:name w:val="endnote text"/>
    <w:basedOn w:val="Normal"/>
    <w:link w:val="EndnoteTextChar"/>
    <w:uiPriority w:val="99"/>
    <w:rsid w:val="00697CC0"/>
    <w:rPr>
      <w:sz w:val="20"/>
      <w:szCs w:val="20"/>
    </w:rPr>
  </w:style>
  <w:style w:type="character" w:customStyle="1" w:styleId="EndnoteTextChar">
    <w:name w:val="Endnote Text Char"/>
    <w:basedOn w:val="DefaultParagraphFont"/>
    <w:link w:val="EndnoteText"/>
    <w:uiPriority w:val="99"/>
    <w:rsid w:val="00697CC0"/>
    <w:rPr>
      <w:rFonts w:eastAsia="Times New Roman"/>
      <w:lang w:eastAsia="en-GB"/>
    </w:rPr>
  </w:style>
  <w:style w:type="character" w:styleId="EndnoteReference">
    <w:name w:val="endnote reference"/>
    <w:rsid w:val="00697CC0"/>
    <w:rPr>
      <w:vertAlign w:val="superscript"/>
    </w:rPr>
  </w:style>
  <w:style w:type="character" w:styleId="HTMLCite">
    <w:name w:val="HTML Cite"/>
    <w:uiPriority w:val="99"/>
    <w:rsid w:val="00697CC0"/>
    <w:rPr>
      <w:i/>
      <w:iCs/>
    </w:rPr>
  </w:style>
  <w:style w:type="character" w:customStyle="1" w:styleId="slug-pub-date-pop">
    <w:name w:val="slug-pub-date-pop"/>
    <w:basedOn w:val="DefaultParagraphFont"/>
    <w:rsid w:val="00697CC0"/>
  </w:style>
  <w:style w:type="character" w:customStyle="1" w:styleId="pop-slug-vol">
    <w:name w:val="pop-slug-vol"/>
    <w:basedOn w:val="DefaultParagraphFont"/>
    <w:rsid w:val="00697CC0"/>
  </w:style>
  <w:style w:type="character" w:customStyle="1" w:styleId="slug-doi">
    <w:name w:val="slug-doi"/>
    <w:basedOn w:val="DefaultParagraphFont"/>
    <w:rsid w:val="00697CC0"/>
  </w:style>
  <w:style w:type="character" w:customStyle="1" w:styleId="slug-ahead-of-print-date">
    <w:name w:val="slug-ahead-of-print-date"/>
    <w:basedOn w:val="DefaultParagraphFont"/>
    <w:rsid w:val="00697CC0"/>
  </w:style>
  <w:style w:type="character" w:customStyle="1" w:styleId="pop-cite">
    <w:name w:val="pop-cite"/>
    <w:basedOn w:val="DefaultParagraphFont"/>
    <w:rsid w:val="00697CC0"/>
  </w:style>
  <w:style w:type="character" w:customStyle="1" w:styleId="slug-pop-date">
    <w:name w:val="slug-pop-date"/>
    <w:basedOn w:val="DefaultParagraphFont"/>
    <w:rsid w:val="00697CC0"/>
  </w:style>
  <w:style w:type="character" w:customStyle="1" w:styleId="pop-slug">
    <w:name w:val="pop-slug"/>
    <w:basedOn w:val="DefaultParagraphFont"/>
    <w:rsid w:val="00697CC0"/>
  </w:style>
  <w:style w:type="character" w:styleId="CommentReference">
    <w:name w:val="annotation reference"/>
    <w:rsid w:val="00697CC0"/>
    <w:rPr>
      <w:rFonts w:cs="Times New Roman"/>
      <w:sz w:val="16"/>
      <w:szCs w:val="16"/>
    </w:rPr>
  </w:style>
  <w:style w:type="paragraph" w:styleId="CommentText">
    <w:name w:val="annotation text"/>
    <w:basedOn w:val="Normal"/>
    <w:link w:val="CommentTextChar"/>
    <w:rsid w:val="00697CC0"/>
    <w:pPr>
      <w:spacing w:after="200" w:line="276" w:lineRule="auto"/>
    </w:pPr>
    <w:rPr>
      <w:rFonts w:ascii="Calibri" w:hAnsi="Calibri" w:cs="Calibri"/>
      <w:sz w:val="20"/>
      <w:szCs w:val="20"/>
    </w:rPr>
  </w:style>
  <w:style w:type="character" w:customStyle="1" w:styleId="CommentTextChar">
    <w:name w:val="Comment Text Char"/>
    <w:basedOn w:val="DefaultParagraphFont"/>
    <w:link w:val="CommentText"/>
    <w:rsid w:val="00697CC0"/>
    <w:rPr>
      <w:rFonts w:ascii="Calibri" w:eastAsia="Times New Roman" w:hAnsi="Calibri" w:cs="Calibri"/>
      <w:lang w:eastAsia="en-GB"/>
    </w:rPr>
  </w:style>
  <w:style w:type="paragraph" w:styleId="BalloonText">
    <w:name w:val="Balloon Text"/>
    <w:basedOn w:val="Normal"/>
    <w:link w:val="BalloonTextChar"/>
    <w:rsid w:val="00697CC0"/>
    <w:rPr>
      <w:rFonts w:ascii="Tahoma" w:hAnsi="Tahoma" w:cs="Tahoma"/>
      <w:sz w:val="16"/>
      <w:szCs w:val="16"/>
    </w:rPr>
  </w:style>
  <w:style w:type="character" w:customStyle="1" w:styleId="BalloonTextChar">
    <w:name w:val="Balloon Text Char"/>
    <w:basedOn w:val="DefaultParagraphFont"/>
    <w:link w:val="BalloonText"/>
    <w:rsid w:val="00697CC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sid w:val="00697CC0"/>
    <w:pPr>
      <w:spacing w:after="0" w:line="240" w:lineRule="auto"/>
    </w:pPr>
    <w:rPr>
      <w:rFonts w:ascii="Times New Roman" w:hAnsi="Times New Roman" w:cs="Times New Roman"/>
      <w:b/>
      <w:bCs/>
    </w:rPr>
  </w:style>
  <w:style w:type="character" w:customStyle="1" w:styleId="CommentSubjectChar">
    <w:name w:val="Comment Subject Char"/>
    <w:basedOn w:val="CommentTextChar"/>
    <w:link w:val="CommentSubject"/>
    <w:rsid w:val="00697CC0"/>
    <w:rPr>
      <w:rFonts w:ascii="Calibri" w:eastAsia="Times New Roman" w:hAnsi="Calibri" w:cs="Calibri"/>
      <w:b/>
      <w:bCs/>
      <w:lang w:eastAsia="en-GB"/>
    </w:rPr>
  </w:style>
  <w:style w:type="paragraph" w:styleId="ListParagraph">
    <w:name w:val="List Paragraph"/>
    <w:basedOn w:val="Normal"/>
    <w:uiPriority w:val="99"/>
    <w:qFormat/>
    <w:rsid w:val="00697CC0"/>
    <w:pPr>
      <w:spacing w:after="200" w:line="276" w:lineRule="auto"/>
      <w:ind w:left="720"/>
    </w:pPr>
    <w:rPr>
      <w:rFonts w:ascii="Calibri" w:hAnsi="Calibri" w:cs="Calibri"/>
      <w:sz w:val="22"/>
      <w:szCs w:val="22"/>
    </w:rPr>
  </w:style>
  <w:style w:type="character" w:customStyle="1" w:styleId="doi">
    <w:name w:val="doi"/>
    <w:rsid w:val="00697CC0"/>
  </w:style>
  <w:style w:type="character" w:customStyle="1" w:styleId="value">
    <w:name w:val="value"/>
    <w:rsid w:val="00697CC0"/>
  </w:style>
  <w:style w:type="character" w:customStyle="1" w:styleId="label1">
    <w:name w:val="label1"/>
    <w:rsid w:val="00697CC0"/>
  </w:style>
  <w:style w:type="paragraph" w:styleId="Header">
    <w:name w:val="header"/>
    <w:basedOn w:val="Normal"/>
    <w:link w:val="HeaderChar"/>
    <w:rsid w:val="00697CC0"/>
    <w:pPr>
      <w:tabs>
        <w:tab w:val="center" w:pos="4513"/>
        <w:tab w:val="right" w:pos="9026"/>
      </w:tabs>
    </w:pPr>
  </w:style>
  <w:style w:type="character" w:customStyle="1" w:styleId="HeaderChar">
    <w:name w:val="Header Char"/>
    <w:basedOn w:val="DefaultParagraphFont"/>
    <w:link w:val="Header"/>
    <w:rsid w:val="00697CC0"/>
    <w:rPr>
      <w:rFonts w:eastAsia="Times New Roman"/>
      <w:sz w:val="24"/>
      <w:szCs w:val="24"/>
      <w:lang w:eastAsia="en-GB"/>
    </w:rPr>
  </w:style>
  <w:style w:type="paragraph" w:styleId="Footer">
    <w:name w:val="footer"/>
    <w:basedOn w:val="Normal"/>
    <w:link w:val="FooterChar"/>
    <w:uiPriority w:val="99"/>
    <w:rsid w:val="00697CC0"/>
    <w:pPr>
      <w:tabs>
        <w:tab w:val="center" w:pos="4513"/>
        <w:tab w:val="right" w:pos="9026"/>
      </w:tabs>
    </w:pPr>
  </w:style>
  <w:style w:type="character" w:customStyle="1" w:styleId="FooterChar">
    <w:name w:val="Footer Char"/>
    <w:basedOn w:val="DefaultParagraphFont"/>
    <w:link w:val="Footer"/>
    <w:uiPriority w:val="99"/>
    <w:rsid w:val="00697CC0"/>
    <w:rPr>
      <w:rFonts w:eastAsia="Times New Roman"/>
      <w:sz w:val="24"/>
      <w:szCs w:val="24"/>
      <w:lang w:eastAsia="en-GB"/>
    </w:rPr>
  </w:style>
  <w:style w:type="table" w:styleId="TableGrid">
    <w:name w:val="Table Grid"/>
    <w:basedOn w:val="TableNormal"/>
    <w:uiPriority w:val="59"/>
    <w:rsid w:val="00697CC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7CC0"/>
  </w:style>
  <w:style w:type="character" w:customStyle="1" w:styleId="name">
    <w:name w:val="name"/>
    <w:basedOn w:val="DefaultParagraphFont"/>
    <w:rsid w:val="00697CC0"/>
  </w:style>
  <w:style w:type="character" w:customStyle="1" w:styleId="contrib-role">
    <w:name w:val="contrib-role"/>
    <w:basedOn w:val="DefaultParagraphFont"/>
    <w:rsid w:val="00697CC0"/>
  </w:style>
  <w:style w:type="paragraph" w:styleId="PlainText">
    <w:name w:val="Plain Text"/>
    <w:basedOn w:val="Normal"/>
    <w:link w:val="PlainTextChar"/>
    <w:uiPriority w:val="99"/>
    <w:unhideWhenUsed/>
    <w:rsid w:val="00697CC0"/>
    <w:rPr>
      <w:rFonts w:ascii="Consolas" w:eastAsiaTheme="minorHAnsi" w:hAnsi="Consolas"/>
      <w:sz w:val="21"/>
      <w:szCs w:val="21"/>
    </w:rPr>
  </w:style>
  <w:style w:type="character" w:customStyle="1" w:styleId="PlainTextChar">
    <w:name w:val="Plain Text Char"/>
    <w:basedOn w:val="DefaultParagraphFont"/>
    <w:link w:val="PlainText"/>
    <w:uiPriority w:val="99"/>
    <w:rsid w:val="00697CC0"/>
    <w:rPr>
      <w:rFonts w:ascii="Consolas" w:eastAsiaTheme="minorHAnsi" w:hAnsi="Consolas"/>
      <w:sz w:val="21"/>
      <w:szCs w:val="21"/>
      <w:lang w:eastAsia="en-GB"/>
    </w:rPr>
  </w:style>
  <w:style w:type="character" w:customStyle="1" w:styleId="ref-journal">
    <w:name w:val="ref-journal"/>
    <w:basedOn w:val="DefaultParagraphFont"/>
    <w:rsid w:val="001E5968"/>
  </w:style>
  <w:style w:type="character" w:customStyle="1" w:styleId="ref-vol">
    <w:name w:val="ref-vol"/>
    <w:basedOn w:val="DefaultParagraphFont"/>
    <w:rsid w:val="001E5968"/>
  </w:style>
  <w:style w:type="character" w:customStyle="1" w:styleId="st1">
    <w:name w:val="st1"/>
    <w:basedOn w:val="DefaultParagraphFont"/>
    <w:rsid w:val="008A12A0"/>
  </w:style>
  <w:style w:type="character" w:customStyle="1" w:styleId="ft">
    <w:name w:val="ft"/>
    <w:basedOn w:val="DefaultParagraphFont"/>
    <w:rsid w:val="008A12A0"/>
  </w:style>
  <w:style w:type="character" w:customStyle="1" w:styleId="googqs-tidbit">
    <w:name w:val="goog_qs-tidbit"/>
    <w:basedOn w:val="DefaultParagraphFont"/>
    <w:rsid w:val="00410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C0"/>
    <w:rPr>
      <w:rFonts w:eastAsia="Times New Roman"/>
      <w:sz w:val="24"/>
      <w:szCs w:val="24"/>
      <w:lang w:eastAsia="en-GB"/>
    </w:rPr>
  </w:style>
  <w:style w:type="paragraph" w:styleId="Heading1">
    <w:name w:val="heading 1"/>
    <w:basedOn w:val="Normal"/>
    <w:next w:val="Normal"/>
    <w:link w:val="Heading1Char"/>
    <w:qFormat/>
    <w:rsid w:val="00697CC0"/>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697CC0"/>
    <w:pPr>
      <w:spacing w:before="100" w:beforeAutospacing="1" w:after="100" w:afterAutospacing="1" w:line="300" w:lineRule="atLeast"/>
      <w:outlineLvl w:val="2"/>
    </w:pPr>
    <w:rPr>
      <w:rFonts w:ascii="Arial" w:hAnsi="Arial"/>
      <w:b/>
      <w:bCs/>
      <w:color w:val="333333"/>
      <w:sz w:val="30"/>
      <w:szCs w:val="30"/>
    </w:rPr>
  </w:style>
  <w:style w:type="paragraph" w:styleId="Heading4">
    <w:name w:val="heading 4"/>
    <w:basedOn w:val="Normal"/>
    <w:next w:val="Normal"/>
    <w:link w:val="Heading4Char"/>
    <w:semiHidden/>
    <w:unhideWhenUsed/>
    <w:qFormat/>
    <w:rsid w:val="00697C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CC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
    <w:rsid w:val="00697CC0"/>
    <w:rPr>
      <w:rFonts w:ascii="Arial" w:eastAsia="Times New Roman" w:hAnsi="Arial"/>
      <w:b/>
      <w:bCs/>
      <w:color w:val="333333"/>
      <w:sz w:val="30"/>
      <w:szCs w:val="30"/>
      <w:lang w:eastAsia="en-GB"/>
    </w:rPr>
  </w:style>
  <w:style w:type="character" w:customStyle="1" w:styleId="Heading4Char">
    <w:name w:val="Heading 4 Char"/>
    <w:basedOn w:val="DefaultParagraphFont"/>
    <w:link w:val="Heading4"/>
    <w:semiHidden/>
    <w:rsid w:val="00697CC0"/>
    <w:rPr>
      <w:rFonts w:asciiTheme="majorHAnsi" w:eastAsiaTheme="majorEastAsia" w:hAnsiTheme="majorHAnsi" w:cstheme="majorBidi"/>
      <w:b/>
      <w:bCs/>
      <w:i/>
      <w:iCs/>
      <w:color w:val="4F81BD" w:themeColor="accent1"/>
      <w:sz w:val="24"/>
      <w:szCs w:val="24"/>
      <w:lang w:eastAsia="en-GB"/>
    </w:rPr>
  </w:style>
  <w:style w:type="character" w:styleId="Hyperlink">
    <w:name w:val="Hyperlink"/>
    <w:uiPriority w:val="99"/>
    <w:unhideWhenUsed/>
    <w:rsid w:val="00697CC0"/>
    <w:rPr>
      <w:strike w:val="0"/>
      <w:dstrike w:val="0"/>
      <w:color w:val="0000FF"/>
      <w:u w:val="none"/>
      <w:effect w:val="none"/>
    </w:rPr>
  </w:style>
  <w:style w:type="paragraph" w:styleId="NormalWeb">
    <w:name w:val="Normal (Web)"/>
    <w:basedOn w:val="Normal"/>
    <w:uiPriority w:val="99"/>
    <w:unhideWhenUsed/>
    <w:rsid w:val="00697CC0"/>
    <w:pPr>
      <w:spacing w:before="100" w:beforeAutospacing="1" w:after="100" w:afterAutospacing="1"/>
    </w:pPr>
    <w:rPr>
      <w:sz w:val="21"/>
      <w:szCs w:val="21"/>
    </w:rPr>
  </w:style>
  <w:style w:type="character" w:styleId="Emphasis">
    <w:name w:val="Emphasis"/>
    <w:uiPriority w:val="20"/>
    <w:qFormat/>
    <w:rsid w:val="00697CC0"/>
    <w:rPr>
      <w:i/>
      <w:iCs/>
    </w:rPr>
  </w:style>
  <w:style w:type="character" w:styleId="Strong">
    <w:name w:val="Strong"/>
    <w:uiPriority w:val="22"/>
    <w:qFormat/>
    <w:rsid w:val="00697CC0"/>
    <w:rPr>
      <w:b/>
      <w:bCs/>
    </w:rPr>
  </w:style>
  <w:style w:type="paragraph" w:styleId="FootnoteText">
    <w:name w:val="footnote text"/>
    <w:basedOn w:val="Normal"/>
    <w:link w:val="FootnoteTextChar"/>
    <w:uiPriority w:val="99"/>
    <w:rsid w:val="00697CC0"/>
    <w:rPr>
      <w:sz w:val="20"/>
      <w:szCs w:val="20"/>
    </w:rPr>
  </w:style>
  <w:style w:type="character" w:customStyle="1" w:styleId="FootnoteTextChar">
    <w:name w:val="Footnote Text Char"/>
    <w:basedOn w:val="DefaultParagraphFont"/>
    <w:link w:val="FootnoteText"/>
    <w:uiPriority w:val="99"/>
    <w:rsid w:val="00697CC0"/>
    <w:rPr>
      <w:rFonts w:eastAsia="Times New Roman"/>
      <w:lang w:eastAsia="en-GB"/>
    </w:rPr>
  </w:style>
  <w:style w:type="character" w:styleId="FootnoteReference">
    <w:name w:val="footnote reference"/>
    <w:uiPriority w:val="99"/>
    <w:rsid w:val="00697CC0"/>
    <w:rPr>
      <w:vertAlign w:val="superscript"/>
    </w:rPr>
  </w:style>
  <w:style w:type="paragraph" w:styleId="EndnoteText">
    <w:name w:val="endnote text"/>
    <w:basedOn w:val="Normal"/>
    <w:link w:val="EndnoteTextChar"/>
    <w:uiPriority w:val="99"/>
    <w:rsid w:val="00697CC0"/>
    <w:rPr>
      <w:sz w:val="20"/>
      <w:szCs w:val="20"/>
    </w:rPr>
  </w:style>
  <w:style w:type="character" w:customStyle="1" w:styleId="EndnoteTextChar">
    <w:name w:val="Endnote Text Char"/>
    <w:basedOn w:val="DefaultParagraphFont"/>
    <w:link w:val="EndnoteText"/>
    <w:uiPriority w:val="99"/>
    <w:rsid w:val="00697CC0"/>
    <w:rPr>
      <w:rFonts w:eastAsia="Times New Roman"/>
      <w:lang w:eastAsia="en-GB"/>
    </w:rPr>
  </w:style>
  <w:style w:type="character" w:styleId="EndnoteReference">
    <w:name w:val="endnote reference"/>
    <w:rsid w:val="00697CC0"/>
    <w:rPr>
      <w:vertAlign w:val="superscript"/>
    </w:rPr>
  </w:style>
  <w:style w:type="character" w:styleId="HTMLCite">
    <w:name w:val="HTML Cite"/>
    <w:uiPriority w:val="99"/>
    <w:rsid w:val="00697CC0"/>
    <w:rPr>
      <w:i/>
      <w:iCs/>
    </w:rPr>
  </w:style>
  <w:style w:type="character" w:customStyle="1" w:styleId="slug-pub-date-pop">
    <w:name w:val="slug-pub-date-pop"/>
    <w:basedOn w:val="DefaultParagraphFont"/>
    <w:rsid w:val="00697CC0"/>
  </w:style>
  <w:style w:type="character" w:customStyle="1" w:styleId="pop-slug-vol">
    <w:name w:val="pop-slug-vol"/>
    <w:basedOn w:val="DefaultParagraphFont"/>
    <w:rsid w:val="00697CC0"/>
  </w:style>
  <w:style w:type="character" w:customStyle="1" w:styleId="slug-doi">
    <w:name w:val="slug-doi"/>
    <w:basedOn w:val="DefaultParagraphFont"/>
    <w:rsid w:val="00697CC0"/>
  </w:style>
  <w:style w:type="character" w:customStyle="1" w:styleId="slug-ahead-of-print-date">
    <w:name w:val="slug-ahead-of-print-date"/>
    <w:basedOn w:val="DefaultParagraphFont"/>
    <w:rsid w:val="00697CC0"/>
  </w:style>
  <w:style w:type="character" w:customStyle="1" w:styleId="pop-cite">
    <w:name w:val="pop-cite"/>
    <w:basedOn w:val="DefaultParagraphFont"/>
    <w:rsid w:val="00697CC0"/>
  </w:style>
  <w:style w:type="character" w:customStyle="1" w:styleId="slug-pop-date">
    <w:name w:val="slug-pop-date"/>
    <w:basedOn w:val="DefaultParagraphFont"/>
    <w:rsid w:val="00697CC0"/>
  </w:style>
  <w:style w:type="character" w:customStyle="1" w:styleId="pop-slug">
    <w:name w:val="pop-slug"/>
    <w:basedOn w:val="DefaultParagraphFont"/>
    <w:rsid w:val="00697CC0"/>
  </w:style>
  <w:style w:type="character" w:styleId="CommentReference">
    <w:name w:val="annotation reference"/>
    <w:rsid w:val="00697CC0"/>
    <w:rPr>
      <w:rFonts w:cs="Times New Roman"/>
      <w:sz w:val="16"/>
      <w:szCs w:val="16"/>
    </w:rPr>
  </w:style>
  <w:style w:type="paragraph" w:styleId="CommentText">
    <w:name w:val="annotation text"/>
    <w:basedOn w:val="Normal"/>
    <w:link w:val="CommentTextChar"/>
    <w:rsid w:val="00697CC0"/>
    <w:pPr>
      <w:spacing w:after="200" w:line="276" w:lineRule="auto"/>
    </w:pPr>
    <w:rPr>
      <w:rFonts w:ascii="Calibri" w:hAnsi="Calibri" w:cs="Calibri"/>
      <w:sz w:val="20"/>
      <w:szCs w:val="20"/>
    </w:rPr>
  </w:style>
  <w:style w:type="character" w:customStyle="1" w:styleId="CommentTextChar">
    <w:name w:val="Comment Text Char"/>
    <w:basedOn w:val="DefaultParagraphFont"/>
    <w:link w:val="CommentText"/>
    <w:rsid w:val="00697CC0"/>
    <w:rPr>
      <w:rFonts w:ascii="Calibri" w:eastAsia="Times New Roman" w:hAnsi="Calibri" w:cs="Calibri"/>
      <w:lang w:eastAsia="en-GB"/>
    </w:rPr>
  </w:style>
  <w:style w:type="paragraph" w:styleId="BalloonText">
    <w:name w:val="Balloon Text"/>
    <w:basedOn w:val="Normal"/>
    <w:link w:val="BalloonTextChar"/>
    <w:rsid w:val="00697CC0"/>
    <w:rPr>
      <w:rFonts w:ascii="Tahoma" w:hAnsi="Tahoma" w:cs="Tahoma"/>
      <w:sz w:val="16"/>
      <w:szCs w:val="16"/>
    </w:rPr>
  </w:style>
  <w:style w:type="character" w:customStyle="1" w:styleId="BalloonTextChar">
    <w:name w:val="Balloon Text Char"/>
    <w:basedOn w:val="DefaultParagraphFont"/>
    <w:link w:val="BalloonText"/>
    <w:rsid w:val="00697CC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sid w:val="00697CC0"/>
    <w:pPr>
      <w:spacing w:after="0" w:line="240" w:lineRule="auto"/>
    </w:pPr>
    <w:rPr>
      <w:rFonts w:ascii="Times New Roman" w:hAnsi="Times New Roman" w:cs="Times New Roman"/>
      <w:b/>
      <w:bCs/>
    </w:rPr>
  </w:style>
  <w:style w:type="character" w:customStyle="1" w:styleId="CommentSubjectChar">
    <w:name w:val="Comment Subject Char"/>
    <w:basedOn w:val="CommentTextChar"/>
    <w:link w:val="CommentSubject"/>
    <w:rsid w:val="00697CC0"/>
    <w:rPr>
      <w:rFonts w:ascii="Calibri" w:eastAsia="Times New Roman" w:hAnsi="Calibri" w:cs="Calibri"/>
      <w:b/>
      <w:bCs/>
      <w:lang w:eastAsia="en-GB"/>
    </w:rPr>
  </w:style>
  <w:style w:type="paragraph" w:styleId="ListParagraph">
    <w:name w:val="List Paragraph"/>
    <w:basedOn w:val="Normal"/>
    <w:uiPriority w:val="99"/>
    <w:qFormat/>
    <w:rsid w:val="00697CC0"/>
    <w:pPr>
      <w:spacing w:after="200" w:line="276" w:lineRule="auto"/>
      <w:ind w:left="720"/>
    </w:pPr>
    <w:rPr>
      <w:rFonts w:ascii="Calibri" w:hAnsi="Calibri" w:cs="Calibri"/>
      <w:sz w:val="22"/>
      <w:szCs w:val="22"/>
    </w:rPr>
  </w:style>
  <w:style w:type="character" w:customStyle="1" w:styleId="doi">
    <w:name w:val="doi"/>
    <w:rsid w:val="00697CC0"/>
  </w:style>
  <w:style w:type="character" w:customStyle="1" w:styleId="value">
    <w:name w:val="value"/>
    <w:rsid w:val="00697CC0"/>
  </w:style>
  <w:style w:type="character" w:customStyle="1" w:styleId="label1">
    <w:name w:val="label1"/>
    <w:rsid w:val="00697CC0"/>
  </w:style>
  <w:style w:type="paragraph" w:styleId="Header">
    <w:name w:val="header"/>
    <w:basedOn w:val="Normal"/>
    <w:link w:val="HeaderChar"/>
    <w:rsid w:val="00697CC0"/>
    <w:pPr>
      <w:tabs>
        <w:tab w:val="center" w:pos="4513"/>
        <w:tab w:val="right" w:pos="9026"/>
      </w:tabs>
    </w:pPr>
  </w:style>
  <w:style w:type="character" w:customStyle="1" w:styleId="HeaderChar">
    <w:name w:val="Header Char"/>
    <w:basedOn w:val="DefaultParagraphFont"/>
    <w:link w:val="Header"/>
    <w:rsid w:val="00697CC0"/>
    <w:rPr>
      <w:rFonts w:eastAsia="Times New Roman"/>
      <w:sz w:val="24"/>
      <w:szCs w:val="24"/>
      <w:lang w:eastAsia="en-GB"/>
    </w:rPr>
  </w:style>
  <w:style w:type="paragraph" w:styleId="Footer">
    <w:name w:val="footer"/>
    <w:basedOn w:val="Normal"/>
    <w:link w:val="FooterChar"/>
    <w:uiPriority w:val="99"/>
    <w:rsid w:val="00697CC0"/>
    <w:pPr>
      <w:tabs>
        <w:tab w:val="center" w:pos="4513"/>
        <w:tab w:val="right" w:pos="9026"/>
      </w:tabs>
    </w:pPr>
  </w:style>
  <w:style w:type="character" w:customStyle="1" w:styleId="FooterChar">
    <w:name w:val="Footer Char"/>
    <w:basedOn w:val="DefaultParagraphFont"/>
    <w:link w:val="Footer"/>
    <w:uiPriority w:val="99"/>
    <w:rsid w:val="00697CC0"/>
    <w:rPr>
      <w:rFonts w:eastAsia="Times New Roman"/>
      <w:sz w:val="24"/>
      <w:szCs w:val="24"/>
      <w:lang w:eastAsia="en-GB"/>
    </w:rPr>
  </w:style>
  <w:style w:type="table" w:styleId="TableGrid">
    <w:name w:val="Table Grid"/>
    <w:basedOn w:val="TableNormal"/>
    <w:uiPriority w:val="59"/>
    <w:rsid w:val="00697CC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7CC0"/>
  </w:style>
  <w:style w:type="character" w:customStyle="1" w:styleId="name">
    <w:name w:val="name"/>
    <w:basedOn w:val="DefaultParagraphFont"/>
    <w:rsid w:val="00697CC0"/>
  </w:style>
  <w:style w:type="character" w:customStyle="1" w:styleId="contrib-role">
    <w:name w:val="contrib-role"/>
    <w:basedOn w:val="DefaultParagraphFont"/>
    <w:rsid w:val="00697CC0"/>
  </w:style>
  <w:style w:type="paragraph" w:styleId="PlainText">
    <w:name w:val="Plain Text"/>
    <w:basedOn w:val="Normal"/>
    <w:link w:val="PlainTextChar"/>
    <w:uiPriority w:val="99"/>
    <w:unhideWhenUsed/>
    <w:rsid w:val="00697CC0"/>
    <w:rPr>
      <w:rFonts w:ascii="Consolas" w:eastAsiaTheme="minorHAnsi" w:hAnsi="Consolas"/>
      <w:sz w:val="21"/>
      <w:szCs w:val="21"/>
    </w:rPr>
  </w:style>
  <w:style w:type="character" w:customStyle="1" w:styleId="PlainTextChar">
    <w:name w:val="Plain Text Char"/>
    <w:basedOn w:val="DefaultParagraphFont"/>
    <w:link w:val="PlainText"/>
    <w:uiPriority w:val="99"/>
    <w:rsid w:val="00697CC0"/>
    <w:rPr>
      <w:rFonts w:ascii="Consolas" w:eastAsiaTheme="minorHAnsi" w:hAnsi="Consolas"/>
      <w:sz w:val="21"/>
      <w:szCs w:val="21"/>
      <w:lang w:eastAsia="en-GB"/>
    </w:rPr>
  </w:style>
  <w:style w:type="character" w:customStyle="1" w:styleId="ref-journal">
    <w:name w:val="ref-journal"/>
    <w:basedOn w:val="DefaultParagraphFont"/>
    <w:rsid w:val="001E5968"/>
  </w:style>
  <w:style w:type="character" w:customStyle="1" w:styleId="ref-vol">
    <w:name w:val="ref-vol"/>
    <w:basedOn w:val="DefaultParagraphFont"/>
    <w:rsid w:val="001E5968"/>
  </w:style>
  <w:style w:type="character" w:customStyle="1" w:styleId="st1">
    <w:name w:val="st1"/>
    <w:basedOn w:val="DefaultParagraphFont"/>
    <w:rsid w:val="008A12A0"/>
  </w:style>
  <w:style w:type="character" w:customStyle="1" w:styleId="ft">
    <w:name w:val="ft"/>
    <w:basedOn w:val="DefaultParagraphFont"/>
    <w:rsid w:val="008A12A0"/>
  </w:style>
  <w:style w:type="character" w:customStyle="1" w:styleId="googqs-tidbit">
    <w:name w:val="goog_qs-tidbit"/>
    <w:basedOn w:val="DefaultParagraphFont"/>
    <w:rsid w:val="0041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114">
      <w:bodyDiv w:val="1"/>
      <w:marLeft w:val="0"/>
      <w:marRight w:val="0"/>
      <w:marTop w:val="0"/>
      <w:marBottom w:val="0"/>
      <w:divBdr>
        <w:top w:val="none" w:sz="0" w:space="0" w:color="auto"/>
        <w:left w:val="none" w:sz="0" w:space="0" w:color="auto"/>
        <w:bottom w:val="none" w:sz="0" w:space="0" w:color="auto"/>
        <w:right w:val="none" w:sz="0" w:space="0" w:color="auto"/>
      </w:divBdr>
    </w:div>
    <w:div w:id="338193684">
      <w:bodyDiv w:val="1"/>
      <w:marLeft w:val="0"/>
      <w:marRight w:val="0"/>
      <w:marTop w:val="0"/>
      <w:marBottom w:val="0"/>
      <w:divBdr>
        <w:top w:val="none" w:sz="0" w:space="0" w:color="auto"/>
        <w:left w:val="none" w:sz="0" w:space="0" w:color="auto"/>
        <w:bottom w:val="none" w:sz="0" w:space="0" w:color="auto"/>
        <w:right w:val="none" w:sz="0" w:space="0" w:color="auto"/>
      </w:divBdr>
    </w:div>
    <w:div w:id="593979057">
      <w:bodyDiv w:val="1"/>
      <w:marLeft w:val="0"/>
      <w:marRight w:val="0"/>
      <w:marTop w:val="0"/>
      <w:marBottom w:val="0"/>
      <w:divBdr>
        <w:top w:val="none" w:sz="0" w:space="0" w:color="auto"/>
        <w:left w:val="none" w:sz="0" w:space="0" w:color="auto"/>
        <w:bottom w:val="none" w:sz="0" w:space="0" w:color="auto"/>
        <w:right w:val="none" w:sz="0" w:space="0" w:color="auto"/>
      </w:divBdr>
    </w:div>
    <w:div w:id="14552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910A-75EF-4B64-ACDB-A465A0BD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E9231792</Template>
  <TotalTime>0</TotalTime>
  <Pages>22</Pages>
  <Words>10508</Words>
  <Characters>59900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wk016</dc:creator>
  <cp:lastModifiedBy>wk016</cp:lastModifiedBy>
  <cp:revision>2</cp:revision>
  <dcterms:created xsi:type="dcterms:W3CDTF">2013-11-05T16:02:00Z</dcterms:created>
  <dcterms:modified xsi:type="dcterms:W3CDTF">2013-11-05T16:02:00Z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-1040381428</vt:i4>
  </property>
  <property fmtid="{D5CDD505-2E9C-101B-9397-08002B2CF9AE}" pid="3" name="_NewReviewCycle">
    <vt:lpwstr/>
  </property>
  <property fmtid="{D5CDD505-2E9C-101B-9397-08002B2CF9AE}" pid="4" name="_EmailSubject">
    <vt:lpwstr>PLOS ONE Decision: Revise [PONE-D-13-30915R1]</vt:lpwstr>
  </property>
  <property fmtid="{D5CDD505-2E9C-101B-9397-08002B2CF9AE}" pid="5" name="_AuthorEmail">
    <vt:lpwstr>C.Salter@uea.ac.uk</vt:lpwstr>
  </property>
  <property fmtid="{D5CDD505-2E9C-101B-9397-08002B2CF9AE}" pid="6" name="_AuthorEmailDisplayName">
    <vt:lpwstr>Charlotte Salter (MED)</vt:lpwstr>
  </property>
  <property fmtid="{D5CDD505-2E9C-101B-9397-08002B2CF9AE}" pid="7" name="_PreviousAdHocReviewCycleID">
    <vt:i4>-1975677745</vt:i4>
  </property>
  <property fmtid="{D5CDD505-2E9C-101B-9397-08002B2CF9AE}" pid="8" name="_ReviewingToolsShownOnce">
    <vt:lpwstr/>
  </property>
</Properties>
</file>