
<file path=[Content_Types].xml><?xml version="1.0" encoding="utf-8"?>
<Types xmlns="http://schemas.openxmlformats.org/package/2006/content-types">
  <Default Extension="xlsm" ContentType="application/vnd.ms-excel.sheet.macroEnabled.12"/>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9CE" w:rsidRPr="00D575CB" w:rsidRDefault="006E6B8D">
      <w:pPr>
        <w:spacing w:after="0"/>
        <w:rPr>
          <w:rFonts w:asciiTheme="minorHAnsi" w:hAnsiTheme="minorHAnsi"/>
          <w:b/>
          <w:sz w:val="28"/>
          <w:szCs w:val="28"/>
        </w:rPr>
      </w:pPr>
      <w:r w:rsidRPr="00D575CB">
        <w:rPr>
          <w:rFonts w:asciiTheme="minorHAnsi" w:hAnsiTheme="minorHAnsi"/>
          <w:b/>
          <w:sz w:val="28"/>
          <w:szCs w:val="28"/>
        </w:rPr>
        <w:t>Paper Title:  A Survey of General Practitioners: Understanding the Dementia Diagnosis Gap in Norfolk and Suffolk</w:t>
      </w:r>
    </w:p>
    <w:p w:rsidR="006B49CE" w:rsidRPr="00D575CB" w:rsidRDefault="006E6B8D">
      <w:pPr>
        <w:spacing w:before="120" w:after="120"/>
        <w:rPr>
          <w:rFonts w:asciiTheme="minorHAnsi" w:hAnsiTheme="minorHAnsi"/>
          <w:b/>
          <w:sz w:val="28"/>
          <w:szCs w:val="28"/>
        </w:rPr>
      </w:pPr>
      <w:r w:rsidRPr="00D575CB">
        <w:rPr>
          <w:rFonts w:asciiTheme="minorHAnsi" w:hAnsiTheme="minorHAnsi"/>
          <w:b/>
          <w:sz w:val="28"/>
          <w:szCs w:val="28"/>
        </w:rPr>
        <w:t>Authors:</w:t>
      </w:r>
      <w:r w:rsidRPr="00D575CB">
        <w:rPr>
          <w:rFonts w:asciiTheme="minorHAnsi" w:hAnsiTheme="minorHAnsi"/>
          <w:b/>
          <w:sz w:val="28"/>
          <w:szCs w:val="28"/>
        </w:rPr>
        <w:tab/>
      </w:r>
    </w:p>
    <w:p w:rsidR="006B49CE" w:rsidRPr="00D575CB" w:rsidRDefault="006E6B8D">
      <w:pPr>
        <w:spacing w:before="120" w:after="120"/>
        <w:rPr>
          <w:rFonts w:asciiTheme="minorHAnsi" w:hAnsiTheme="minorHAnsi"/>
          <w:bCs/>
          <w:sz w:val="28"/>
          <w:szCs w:val="28"/>
        </w:rPr>
      </w:pPr>
      <w:r w:rsidRPr="00D575CB">
        <w:rPr>
          <w:rFonts w:asciiTheme="minorHAnsi" w:hAnsiTheme="minorHAnsi"/>
          <w:bCs/>
          <w:sz w:val="28"/>
          <w:szCs w:val="28"/>
        </w:rPr>
        <w:t xml:space="preserve">Margaret Fox, Sociologist, Research Fellow in Dementia Care, MA, </w:t>
      </w:r>
      <w:proofErr w:type="gramStart"/>
      <w:r w:rsidRPr="00D575CB">
        <w:rPr>
          <w:rFonts w:asciiTheme="minorHAnsi" w:hAnsiTheme="minorHAnsi"/>
          <w:bCs/>
          <w:sz w:val="28"/>
          <w:szCs w:val="28"/>
        </w:rPr>
        <w:t>BA</w:t>
      </w:r>
      <w:proofErr w:type="gramEnd"/>
      <w:r w:rsidRPr="00D575CB">
        <w:rPr>
          <w:rFonts w:asciiTheme="minorHAnsi" w:hAnsiTheme="minorHAnsi"/>
          <w:bCs/>
          <w:sz w:val="28"/>
          <w:szCs w:val="28"/>
        </w:rPr>
        <w:t xml:space="preserve"> (honours)</w:t>
      </w:r>
    </w:p>
    <w:p w:rsidR="006B49CE" w:rsidRPr="00D575CB" w:rsidRDefault="006E6B8D">
      <w:pPr>
        <w:spacing w:before="120" w:after="120"/>
        <w:rPr>
          <w:rFonts w:asciiTheme="minorHAnsi" w:hAnsiTheme="minorHAnsi"/>
          <w:bCs/>
          <w:sz w:val="28"/>
          <w:szCs w:val="28"/>
        </w:rPr>
      </w:pPr>
      <w:r w:rsidRPr="00D575CB">
        <w:rPr>
          <w:rFonts w:asciiTheme="minorHAnsi" w:hAnsiTheme="minorHAnsi"/>
          <w:bCs/>
          <w:sz w:val="28"/>
          <w:szCs w:val="28"/>
        </w:rPr>
        <w:t xml:space="preserve">Chris Fox, Consultant Psychiatrist, Clinical Senior Lecturer in Old Age Psychiatry, MBBS, BSc </w:t>
      </w:r>
      <w:proofErr w:type="spellStart"/>
      <w:r w:rsidRPr="00D575CB">
        <w:rPr>
          <w:rFonts w:asciiTheme="minorHAnsi" w:hAnsiTheme="minorHAnsi"/>
          <w:bCs/>
          <w:sz w:val="28"/>
          <w:szCs w:val="28"/>
        </w:rPr>
        <w:t>Mmmedsci</w:t>
      </w:r>
      <w:proofErr w:type="spellEnd"/>
      <w:r w:rsidRPr="00D575CB">
        <w:rPr>
          <w:rFonts w:asciiTheme="minorHAnsi" w:hAnsiTheme="minorHAnsi"/>
          <w:bCs/>
          <w:sz w:val="28"/>
          <w:szCs w:val="28"/>
        </w:rPr>
        <w:t xml:space="preserve">, </w:t>
      </w:r>
      <w:proofErr w:type="spellStart"/>
      <w:r w:rsidRPr="00D575CB">
        <w:rPr>
          <w:rFonts w:asciiTheme="minorHAnsi" w:hAnsiTheme="minorHAnsi"/>
          <w:bCs/>
          <w:sz w:val="28"/>
          <w:szCs w:val="28"/>
        </w:rPr>
        <w:t>MRCPsych</w:t>
      </w:r>
      <w:proofErr w:type="spellEnd"/>
      <w:r w:rsidRPr="00D575CB">
        <w:rPr>
          <w:rFonts w:asciiTheme="minorHAnsi" w:hAnsiTheme="minorHAnsi"/>
          <w:bCs/>
          <w:sz w:val="28"/>
          <w:szCs w:val="28"/>
        </w:rPr>
        <w:t>, MD</w:t>
      </w:r>
    </w:p>
    <w:p w:rsidR="006B49CE" w:rsidRPr="00D575CB" w:rsidRDefault="006E6B8D">
      <w:pPr>
        <w:spacing w:before="120" w:after="120"/>
        <w:rPr>
          <w:rFonts w:asciiTheme="minorHAnsi" w:hAnsiTheme="minorHAnsi"/>
          <w:bCs/>
          <w:color w:val="535455"/>
          <w:sz w:val="28"/>
          <w:szCs w:val="28"/>
        </w:rPr>
      </w:pPr>
      <w:r w:rsidRPr="00D575CB">
        <w:rPr>
          <w:rFonts w:asciiTheme="minorHAnsi" w:hAnsiTheme="minorHAnsi"/>
          <w:bCs/>
          <w:sz w:val="28"/>
          <w:szCs w:val="28"/>
        </w:rPr>
        <w:t>Willie Cruickshank, Director, Norfolk and Suffolk Dementia Alliance</w:t>
      </w:r>
      <w:r w:rsidRPr="00D575CB">
        <w:rPr>
          <w:rFonts w:asciiTheme="minorHAnsi" w:hAnsiTheme="minorHAnsi"/>
          <w:bCs/>
          <w:vanish/>
          <w:color w:val="535455"/>
          <w:sz w:val="28"/>
          <w:szCs w:val="28"/>
        </w:rPr>
        <w:t>Clinical Senior Lecturer</w:t>
      </w:r>
    </w:p>
    <w:p w:rsidR="006B49CE" w:rsidRPr="00D575CB" w:rsidRDefault="006E6B8D">
      <w:pPr>
        <w:spacing w:before="120" w:after="120"/>
        <w:rPr>
          <w:rFonts w:asciiTheme="minorHAnsi" w:hAnsiTheme="minorHAnsi"/>
          <w:bCs/>
          <w:color w:val="535455"/>
          <w:sz w:val="28"/>
          <w:szCs w:val="28"/>
        </w:rPr>
      </w:pPr>
      <w:r w:rsidRPr="00D575CB">
        <w:rPr>
          <w:rFonts w:asciiTheme="minorHAnsi" w:hAnsiTheme="minorHAnsi"/>
          <w:bCs/>
          <w:sz w:val="28"/>
          <w:szCs w:val="28"/>
        </w:rPr>
        <w:t xml:space="preserve">Bridget </w:t>
      </w:r>
      <w:proofErr w:type="spellStart"/>
      <w:r w:rsidRPr="00D575CB">
        <w:rPr>
          <w:rFonts w:asciiTheme="minorHAnsi" w:hAnsiTheme="minorHAnsi"/>
          <w:bCs/>
          <w:sz w:val="28"/>
          <w:szCs w:val="28"/>
        </w:rPr>
        <w:t>Penhale</w:t>
      </w:r>
      <w:proofErr w:type="spellEnd"/>
      <w:r w:rsidRPr="00D575CB">
        <w:rPr>
          <w:rFonts w:asciiTheme="minorHAnsi" w:hAnsiTheme="minorHAnsi"/>
          <w:bCs/>
          <w:sz w:val="28"/>
          <w:szCs w:val="28"/>
        </w:rPr>
        <w:t xml:space="preserve">, Social Worker, Reader in Mental Health of Older People, BA Psychology, MSc Social Work Studies/Certificate of Qualification in Social Work </w:t>
      </w:r>
      <w:r w:rsidRPr="00D575CB">
        <w:rPr>
          <w:rFonts w:asciiTheme="minorHAnsi" w:hAnsiTheme="minorHAnsi"/>
          <w:bCs/>
          <w:vanish/>
          <w:color w:val="535455"/>
          <w:sz w:val="28"/>
          <w:szCs w:val="28"/>
        </w:rPr>
        <w:t>Clinical Senior Lecturer</w:t>
      </w:r>
    </w:p>
    <w:p w:rsidR="006B49CE" w:rsidRPr="00D575CB" w:rsidRDefault="006E6B8D">
      <w:pPr>
        <w:spacing w:before="120" w:after="120"/>
        <w:rPr>
          <w:rFonts w:asciiTheme="minorHAnsi" w:hAnsiTheme="minorHAnsi"/>
          <w:bCs/>
          <w:color w:val="535455"/>
          <w:sz w:val="28"/>
          <w:szCs w:val="28"/>
        </w:rPr>
      </w:pPr>
      <w:r w:rsidRPr="00D575CB">
        <w:rPr>
          <w:rFonts w:asciiTheme="minorHAnsi" w:hAnsiTheme="minorHAnsi"/>
          <w:bCs/>
          <w:sz w:val="28"/>
          <w:szCs w:val="28"/>
        </w:rPr>
        <w:t xml:space="preserve">Fiona Poland, Sociologist, </w:t>
      </w:r>
      <w:r w:rsidRPr="00D575CB">
        <w:rPr>
          <w:rFonts w:asciiTheme="minorHAnsi" w:hAnsiTheme="minorHAnsi"/>
          <w:color w:val="333333"/>
          <w:sz w:val="28"/>
          <w:szCs w:val="28"/>
        </w:rPr>
        <w:t>Professor of Social Research Methodology, PhD</w:t>
      </w:r>
      <w:r w:rsidRPr="00D575CB">
        <w:rPr>
          <w:rFonts w:asciiTheme="minorHAnsi" w:hAnsiTheme="minorHAnsi"/>
          <w:bCs/>
          <w:vanish/>
          <w:color w:val="535455"/>
          <w:sz w:val="28"/>
          <w:szCs w:val="28"/>
        </w:rPr>
        <w:t>Clinical Senior Lecturer</w:t>
      </w:r>
    </w:p>
    <w:p w:rsidR="006B49CE" w:rsidRPr="00D575CB" w:rsidRDefault="006E6B8D" w:rsidP="00D575CB">
      <w:pPr>
        <w:spacing w:before="120" w:after="120"/>
        <w:rPr>
          <w:rFonts w:asciiTheme="minorHAnsi" w:hAnsiTheme="minorHAnsi"/>
          <w:sz w:val="28"/>
          <w:szCs w:val="28"/>
        </w:rPr>
      </w:pPr>
      <w:r w:rsidRPr="00D575CB">
        <w:rPr>
          <w:rFonts w:asciiTheme="minorHAnsi" w:hAnsiTheme="minorHAnsi"/>
          <w:bCs/>
          <w:sz w:val="28"/>
          <w:szCs w:val="28"/>
        </w:rPr>
        <w:t xml:space="preserve">Nicholas Steel, Health Service Research, </w:t>
      </w:r>
      <w:r w:rsidRPr="00D575CB">
        <w:rPr>
          <w:rFonts w:asciiTheme="minorHAnsi" w:hAnsiTheme="minorHAnsi"/>
          <w:color w:val="333333"/>
          <w:sz w:val="28"/>
          <w:szCs w:val="28"/>
        </w:rPr>
        <w:t>Clinical Senior Lecturer</w:t>
      </w:r>
      <w:r w:rsidRPr="00D575CB">
        <w:rPr>
          <w:rFonts w:asciiTheme="minorHAnsi" w:hAnsiTheme="minorHAnsi"/>
          <w:bCs/>
          <w:sz w:val="28"/>
          <w:szCs w:val="28"/>
        </w:rPr>
        <w:t xml:space="preserve">, PhD </w:t>
      </w:r>
      <w:r w:rsidRPr="00D575CB">
        <w:rPr>
          <w:rFonts w:asciiTheme="minorHAnsi" w:hAnsiTheme="minorHAnsi"/>
          <w:bCs/>
          <w:vanish/>
          <w:color w:val="535455"/>
          <w:sz w:val="28"/>
          <w:szCs w:val="28"/>
        </w:rPr>
        <w:t>Clinical Senior Lecturer</w:t>
      </w:r>
    </w:p>
    <w:p w:rsidR="006B49CE" w:rsidRPr="00D575CB" w:rsidRDefault="006E6B8D">
      <w:pPr>
        <w:spacing w:after="0"/>
        <w:rPr>
          <w:rFonts w:asciiTheme="minorHAnsi" w:hAnsiTheme="minorHAnsi"/>
          <w:sz w:val="28"/>
          <w:szCs w:val="28"/>
        </w:rPr>
      </w:pPr>
      <w:r w:rsidRPr="00D575CB">
        <w:rPr>
          <w:rFonts w:asciiTheme="minorHAnsi" w:hAnsiTheme="minorHAnsi"/>
          <w:sz w:val="28"/>
          <w:szCs w:val="28"/>
        </w:rPr>
        <w:t>Corresponding author: Margaret Fox, School of Rehabilitation Sciences, The Queen’s Building, University of East Anglia, Norwich Research Park, Norwich, NR4 7TJ</w:t>
      </w:r>
    </w:p>
    <w:p w:rsidR="006B49CE" w:rsidRPr="00D575CB" w:rsidRDefault="006E6B8D">
      <w:pPr>
        <w:spacing w:after="0"/>
        <w:rPr>
          <w:rFonts w:asciiTheme="minorHAnsi" w:hAnsiTheme="minorHAnsi"/>
          <w:sz w:val="28"/>
          <w:szCs w:val="28"/>
          <w:lang w:val="fr-FR"/>
        </w:rPr>
      </w:pPr>
      <w:r w:rsidRPr="00D575CB">
        <w:rPr>
          <w:rFonts w:asciiTheme="minorHAnsi" w:hAnsiTheme="minorHAnsi"/>
          <w:sz w:val="28"/>
          <w:szCs w:val="28"/>
          <w:lang w:val="fr-FR"/>
        </w:rPr>
        <w:t>Tel: 01603 591070</w:t>
      </w:r>
    </w:p>
    <w:p w:rsidR="006B49CE" w:rsidRPr="00D575CB" w:rsidRDefault="006E6B8D">
      <w:pPr>
        <w:spacing w:after="0"/>
        <w:rPr>
          <w:rFonts w:asciiTheme="minorHAnsi" w:hAnsiTheme="minorHAnsi"/>
          <w:sz w:val="28"/>
          <w:szCs w:val="28"/>
          <w:lang w:val="fr-FR"/>
        </w:rPr>
      </w:pPr>
      <w:r w:rsidRPr="00D575CB">
        <w:rPr>
          <w:rFonts w:asciiTheme="minorHAnsi" w:hAnsiTheme="minorHAnsi"/>
          <w:sz w:val="28"/>
          <w:szCs w:val="28"/>
          <w:lang w:val="fr-FR"/>
        </w:rPr>
        <w:t>Mobile: 07976 828366</w:t>
      </w:r>
    </w:p>
    <w:p w:rsidR="006B49CE" w:rsidRPr="00D575CB" w:rsidRDefault="006E6B8D">
      <w:pPr>
        <w:spacing w:after="0"/>
        <w:rPr>
          <w:rFonts w:asciiTheme="minorHAnsi" w:hAnsiTheme="minorHAnsi"/>
          <w:sz w:val="28"/>
          <w:szCs w:val="28"/>
          <w:lang w:val="fr-FR"/>
        </w:rPr>
      </w:pPr>
      <w:r w:rsidRPr="00D575CB">
        <w:rPr>
          <w:rFonts w:asciiTheme="minorHAnsi" w:hAnsiTheme="minorHAnsi"/>
          <w:sz w:val="28"/>
          <w:szCs w:val="28"/>
          <w:lang w:val="fr-FR"/>
        </w:rPr>
        <w:t>Email: m.fox@uea.ac.uk</w:t>
      </w:r>
    </w:p>
    <w:p w:rsidR="006B49CE" w:rsidRDefault="006B49CE">
      <w:pPr>
        <w:rPr>
          <w:lang w:val="fr-FR"/>
        </w:rPr>
      </w:pPr>
    </w:p>
    <w:p w:rsidR="006B49CE" w:rsidRDefault="006E6B8D" w:rsidP="000470F2">
      <w:pPr>
        <w:rPr>
          <w:lang w:val="fr-FR"/>
        </w:rPr>
      </w:pPr>
      <w:r>
        <w:rPr>
          <w:lang w:val="fr-FR"/>
        </w:rPr>
        <w:t xml:space="preserve"> </w:t>
      </w:r>
    </w:p>
    <w:p w:rsidR="006B49CE" w:rsidRDefault="006E6B8D">
      <w:pPr>
        <w:rPr>
          <w:lang w:val="fr-FR"/>
        </w:rPr>
      </w:pPr>
      <w:r>
        <w:rPr>
          <w:lang w:val="fr-FR"/>
        </w:rPr>
        <w:t xml:space="preserve"> </w:t>
      </w:r>
    </w:p>
    <w:p w:rsidR="005014AC" w:rsidRPr="00A03C86" w:rsidRDefault="006E6B8D" w:rsidP="005014AC">
      <w:pPr>
        <w:rPr>
          <w:rFonts w:asciiTheme="minorHAnsi" w:hAnsiTheme="minorHAnsi"/>
          <w:sz w:val="28"/>
          <w:szCs w:val="28"/>
        </w:rPr>
      </w:pPr>
      <w:r>
        <w:br w:type="page"/>
      </w:r>
    </w:p>
    <w:p w:rsidR="005014AC" w:rsidRPr="00A03C86" w:rsidRDefault="005014AC" w:rsidP="005014AC">
      <w:pPr>
        <w:rPr>
          <w:rFonts w:asciiTheme="minorHAnsi" w:hAnsiTheme="minorHAnsi"/>
          <w:sz w:val="28"/>
          <w:szCs w:val="28"/>
        </w:rPr>
      </w:pPr>
      <w:r w:rsidRPr="00A03C86">
        <w:rPr>
          <w:rFonts w:asciiTheme="minorHAnsi" w:hAnsiTheme="minorHAnsi"/>
          <w:sz w:val="28"/>
          <w:szCs w:val="28"/>
        </w:rPr>
        <w:lastRenderedPageBreak/>
        <w:t>Abstract</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 xml:space="preserve">Background </w:t>
      </w:r>
    </w:p>
    <w:p w:rsidR="005014AC" w:rsidRPr="00D575CB"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 xml:space="preserve">The NHS has announced </w:t>
      </w:r>
      <w:proofErr w:type="gramStart"/>
      <w:r w:rsidRPr="00A03C86">
        <w:rPr>
          <w:rFonts w:asciiTheme="minorHAnsi" w:hAnsiTheme="minorHAnsi"/>
          <w:sz w:val="28"/>
          <w:szCs w:val="28"/>
          <w:lang w:eastAsia="en-GB"/>
        </w:rPr>
        <w:t>its  new</w:t>
      </w:r>
      <w:proofErr w:type="gramEnd"/>
      <w:r w:rsidRPr="00A03C86">
        <w:rPr>
          <w:rFonts w:asciiTheme="minorHAnsi" w:hAnsiTheme="minorHAnsi"/>
          <w:sz w:val="28"/>
          <w:szCs w:val="28"/>
          <w:lang w:eastAsia="en-GB"/>
        </w:rPr>
        <w:t xml:space="preserve"> target to increase the ‘shockingly low dementia diagnosis rate’ in England from the current level of 45% to 66% by end of March 2015.  Clinical Commissioning Groups (CCGs) in England have committed to meeting this target.  The Norfolk and Suffolk dementia diagnosis rate (DDR) is below the rate for England in some areas</w:t>
      </w:r>
      <w:r>
        <w:rPr>
          <w:rFonts w:asciiTheme="minorHAnsi" w:hAnsiTheme="minorHAnsi"/>
          <w:sz w:val="28"/>
          <w:szCs w:val="28"/>
          <w:lang w:eastAsia="en-GB"/>
        </w:rPr>
        <w:t>; across the CCGs included in this study the average DDR was 39.9% with a standard deviation of 5.3</w:t>
      </w:r>
      <w:r w:rsidRPr="00D575CB">
        <w:rPr>
          <w:rFonts w:asciiTheme="minorHAnsi" w:hAnsiTheme="minorHAnsi"/>
          <w:sz w:val="28"/>
          <w:szCs w:val="28"/>
          <w:lang w:eastAsia="en-GB"/>
        </w:rPr>
        <w:t>.</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Aims</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This study aimed to explore and understand the low DDR in Norfolk and Suffolk and to learn what might be needed to support General Practitioners (GPs) to meet the targets set by the UK Department of Health.</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Methods</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 xml:space="preserve">An online survey was developed including questions from the </w:t>
      </w:r>
      <w:proofErr w:type="gramStart"/>
      <w:r w:rsidRPr="00A03C86">
        <w:rPr>
          <w:rFonts w:asciiTheme="minorHAnsi" w:hAnsiTheme="minorHAnsi"/>
          <w:sz w:val="28"/>
          <w:szCs w:val="28"/>
          <w:lang w:eastAsia="en-GB"/>
        </w:rPr>
        <w:t>National  GP</w:t>
      </w:r>
      <w:proofErr w:type="gramEnd"/>
      <w:r w:rsidRPr="00A03C86">
        <w:rPr>
          <w:rFonts w:asciiTheme="minorHAnsi" w:hAnsiTheme="minorHAnsi"/>
          <w:sz w:val="28"/>
          <w:szCs w:val="28"/>
          <w:lang w:eastAsia="en-GB"/>
        </w:rPr>
        <w:t xml:space="preserve"> Audit 2009. The link to the online survey was sent via email to all GPs in four participating CCGs in Norfolk and Suffolk.  SPSS was used for descriptive analysis. </w:t>
      </w:r>
      <w:r w:rsidRPr="00A03C86">
        <w:rPr>
          <w:rFonts w:asciiTheme="minorHAnsi" w:hAnsiTheme="minorHAnsi"/>
          <w:sz w:val="28"/>
          <w:szCs w:val="28"/>
        </w:rPr>
        <w:t>Chi-Squared tests were conducted to identify significant differences in response rates between groups of GPs.</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Results</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 xml:space="preserve">The survey was completed by 28% (N=113) of </w:t>
      </w:r>
      <w:r>
        <w:rPr>
          <w:rFonts w:asciiTheme="minorHAnsi" w:hAnsiTheme="minorHAnsi"/>
          <w:sz w:val="28"/>
          <w:szCs w:val="28"/>
          <w:lang w:eastAsia="en-GB"/>
        </w:rPr>
        <w:t>400 GPs in 108 Practices across 3 CCGs receiving the survey link</w:t>
      </w:r>
      <w:r w:rsidRPr="00A03C86">
        <w:rPr>
          <w:rFonts w:asciiTheme="minorHAnsi" w:hAnsiTheme="minorHAnsi"/>
          <w:sz w:val="28"/>
          <w:szCs w:val="28"/>
          <w:lang w:eastAsia="en-GB"/>
        </w:rPr>
        <w:t xml:space="preserve">. There was a significant difference in response rates from GPs in each CCG, but there were no significant differences in terms of </w:t>
      </w:r>
      <w:r w:rsidRPr="00A03C86">
        <w:rPr>
          <w:rFonts w:asciiTheme="minorHAnsi" w:hAnsiTheme="minorHAnsi"/>
          <w:sz w:val="28"/>
          <w:szCs w:val="28"/>
        </w:rPr>
        <w:t xml:space="preserve">their </w:t>
      </w:r>
      <w:r w:rsidRPr="00A03C86">
        <w:rPr>
          <w:rFonts w:asciiTheme="minorHAnsi" w:hAnsiTheme="minorHAnsi"/>
          <w:sz w:val="28"/>
          <w:szCs w:val="28"/>
          <w:lang w:eastAsia="en-GB"/>
        </w:rPr>
        <w:t xml:space="preserve">answers to the questions in the survey. GP respondents </w:t>
      </w:r>
      <w:r w:rsidRPr="00A03C86">
        <w:rPr>
          <w:rFonts w:asciiTheme="minorHAnsi" w:hAnsiTheme="minorHAnsi"/>
          <w:sz w:val="28"/>
          <w:szCs w:val="28"/>
        </w:rPr>
        <w:t xml:space="preserve">expressed </w:t>
      </w:r>
      <w:r w:rsidRPr="00A03C86">
        <w:rPr>
          <w:rFonts w:asciiTheme="minorHAnsi" w:hAnsiTheme="minorHAnsi"/>
          <w:sz w:val="28"/>
          <w:szCs w:val="28"/>
          <w:lang w:eastAsia="en-GB"/>
        </w:rPr>
        <w:t>confiden</w:t>
      </w:r>
      <w:r w:rsidRPr="00A03C86">
        <w:rPr>
          <w:rFonts w:asciiTheme="minorHAnsi" w:hAnsiTheme="minorHAnsi"/>
          <w:sz w:val="28"/>
          <w:szCs w:val="28"/>
        </w:rPr>
        <w:t>ce</w:t>
      </w:r>
      <w:r w:rsidRPr="00A03C86">
        <w:rPr>
          <w:rFonts w:asciiTheme="minorHAnsi" w:hAnsiTheme="minorHAnsi"/>
          <w:sz w:val="28"/>
          <w:szCs w:val="28"/>
          <w:lang w:eastAsia="en-GB"/>
        </w:rPr>
        <w:t xml:space="preserve"> in their ability to identify cases of dementia for onward referral to memory services.  Participating GPs </w:t>
      </w:r>
      <w:r w:rsidRPr="00A03C86">
        <w:rPr>
          <w:rFonts w:asciiTheme="minorHAnsi" w:hAnsiTheme="minorHAnsi"/>
          <w:sz w:val="28"/>
          <w:szCs w:val="28"/>
        </w:rPr>
        <w:t xml:space="preserve">also </w:t>
      </w:r>
      <w:r w:rsidRPr="00A03C86">
        <w:rPr>
          <w:rFonts w:asciiTheme="minorHAnsi" w:hAnsiTheme="minorHAnsi"/>
          <w:sz w:val="28"/>
          <w:szCs w:val="28"/>
          <w:lang w:eastAsia="en-GB"/>
        </w:rPr>
        <w:t xml:space="preserve">acknowledged the benefits to patients and their carers of a timely </w:t>
      </w:r>
      <w:r w:rsidRPr="00A03C86">
        <w:rPr>
          <w:rFonts w:asciiTheme="minorHAnsi" w:hAnsiTheme="minorHAnsi"/>
          <w:sz w:val="28"/>
          <w:szCs w:val="28"/>
          <w:lang w:eastAsia="en-GB"/>
        </w:rPr>
        <w:lastRenderedPageBreak/>
        <w:t xml:space="preserve">dementia diagnosis at an early stage of the disease.  However, they </w:t>
      </w:r>
      <w:r w:rsidRPr="00A03C86">
        <w:rPr>
          <w:rFonts w:asciiTheme="minorHAnsi" w:hAnsiTheme="minorHAnsi"/>
          <w:sz w:val="28"/>
          <w:szCs w:val="28"/>
        </w:rPr>
        <w:t xml:space="preserve">reported </w:t>
      </w:r>
      <w:r w:rsidRPr="00A03C86">
        <w:rPr>
          <w:rFonts w:asciiTheme="minorHAnsi" w:hAnsiTheme="minorHAnsi"/>
          <w:sz w:val="28"/>
          <w:szCs w:val="28"/>
          <w:lang w:eastAsia="en-GB"/>
        </w:rPr>
        <w:t>concern</w:t>
      </w:r>
      <w:r w:rsidRPr="00A03C86">
        <w:rPr>
          <w:rFonts w:asciiTheme="minorHAnsi" w:hAnsiTheme="minorHAnsi"/>
          <w:sz w:val="28"/>
          <w:szCs w:val="28"/>
        </w:rPr>
        <w:t>s</w:t>
      </w:r>
      <w:r w:rsidRPr="00A03C86">
        <w:rPr>
          <w:rFonts w:asciiTheme="minorHAnsi" w:hAnsiTheme="minorHAnsi"/>
          <w:sz w:val="28"/>
          <w:szCs w:val="28"/>
          <w:lang w:eastAsia="en-GB"/>
        </w:rPr>
        <w:t xml:space="preserve"> about the quality and availability of post</w:t>
      </w:r>
      <w:r w:rsidRPr="00A03C86">
        <w:rPr>
          <w:rFonts w:asciiTheme="minorHAnsi" w:hAnsiTheme="minorHAnsi"/>
          <w:sz w:val="28"/>
          <w:szCs w:val="28"/>
        </w:rPr>
        <w:t>-</w:t>
      </w:r>
      <w:r w:rsidRPr="00A03C86">
        <w:rPr>
          <w:rFonts w:asciiTheme="minorHAnsi" w:hAnsiTheme="minorHAnsi"/>
          <w:sz w:val="28"/>
          <w:szCs w:val="28"/>
          <w:lang w:eastAsia="en-GB"/>
        </w:rPr>
        <w:t>diagnostic support services for people with dementia and their carers. In this survey, GPs’ attitudes were more positive</w:t>
      </w:r>
      <w:r w:rsidRPr="00A03C86">
        <w:rPr>
          <w:rFonts w:asciiTheme="minorHAnsi" w:hAnsiTheme="minorHAnsi"/>
          <w:sz w:val="28"/>
          <w:szCs w:val="28"/>
        </w:rPr>
        <w:t xml:space="preserve"> about </w:t>
      </w:r>
      <w:r w:rsidRPr="007912B5">
        <w:rPr>
          <w:rFonts w:asciiTheme="minorHAnsi" w:hAnsiTheme="minorHAnsi"/>
          <w:sz w:val="28"/>
          <w:szCs w:val="28"/>
        </w:rPr>
        <w:t>diagnosing dementia</w:t>
      </w:r>
      <w:r w:rsidRPr="00A03C86">
        <w:rPr>
          <w:rFonts w:asciiTheme="minorHAnsi" w:hAnsiTheme="minorHAnsi"/>
          <w:sz w:val="28"/>
          <w:szCs w:val="28"/>
        </w:rPr>
        <w:t xml:space="preserve"> </w:t>
      </w:r>
      <w:r w:rsidRPr="00A03C86">
        <w:rPr>
          <w:rFonts w:asciiTheme="minorHAnsi" w:hAnsiTheme="minorHAnsi"/>
          <w:sz w:val="28"/>
          <w:szCs w:val="28"/>
          <w:lang w:eastAsia="en-GB"/>
        </w:rPr>
        <w:t xml:space="preserve">than those </w:t>
      </w:r>
      <w:r w:rsidRPr="007912B5">
        <w:rPr>
          <w:rFonts w:asciiTheme="minorHAnsi" w:hAnsiTheme="minorHAnsi"/>
          <w:sz w:val="28"/>
          <w:szCs w:val="28"/>
          <w:lang w:eastAsia="en-GB"/>
        </w:rPr>
        <w:t>responding to</w:t>
      </w:r>
      <w:r w:rsidRPr="00A03C86">
        <w:rPr>
          <w:rFonts w:asciiTheme="minorHAnsi" w:hAnsiTheme="minorHAnsi"/>
          <w:sz w:val="28"/>
          <w:szCs w:val="28"/>
          <w:lang w:eastAsia="en-GB"/>
        </w:rPr>
        <w:t xml:space="preserve"> National Audit 2009.</w:t>
      </w:r>
    </w:p>
    <w:p w:rsidR="005014AC" w:rsidRPr="00A03C86"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Conclusions</w:t>
      </w:r>
    </w:p>
    <w:p w:rsidR="005014AC" w:rsidRPr="00D575CB" w:rsidRDefault="005014AC" w:rsidP="005014AC">
      <w:pPr>
        <w:rPr>
          <w:rFonts w:asciiTheme="minorHAnsi" w:hAnsiTheme="minorHAnsi"/>
          <w:sz w:val="28"/>
          <w:szCs w:val="28"/>
          <w:lang w:eastAsia="en-GB"/>
        </w:rPr>
      </w:pPr>
      <w:r w:rsidRPr="00A03C86">
        <w:rPr>
          <w:rFonts w:asciiTheme="minorHAnsi" w:hAnsiTheme="minorHAnsi"/>
          <w:sz w:val="28"/>
          <w:szCs w:val="28"/>
          <w:lang w:eastAsia="en-GB"/>
        </w:rPr>
        <w:t>Despite GPs’ attitudes</w:t>
      </w:r>
      <w:r w:rsidRPr="00A03C86">
        <w:rPr>
          <w:rFonts w:asciiTheme="minorHAnsi" w:hAnsiTheme="minorHAnsi"/>
          <w:sz w:val="28"/>
          <w:szCs w:val="28"/>
        </w:rPr>
        <w:t xml:space="preserve"> being more positive than in 2009 about </w:t>
      </w:r>
      <w:r w:rsidRPr="007912B5">
        <w:rPr>
          <w:rFonts w:asciiTheme="minorHAnsi" w:hAnsiTheme="minorHAnsi"/>
          <w:sz w:val="28"/>
          <w:szCs w:val="28"/>
        </w:rPr>
        <w:t>diagnosing dementia</w:t>
      </w:r>
      <w:r w:rsidRPr="00A03C86">
        <w:rPr>
          <w:rFonts w:asciiTheme="minorHAnsi" w:hAnsiTheme="minorHAnsi"/>
          <w:sz w:val="28"/>
          <w:szCs w:val="28"/>
          <w:lang w:eastAsia="en-GB"/>
        </w:rPr>
        <w:t>, the Norfolk and Suffolk DDR remains low. This may reflect lack of GP confidence in the quality and availability of pos</w:t>
      </w:r>
      <w:r w:rsidRPr="00A03C86">
        <w:rPr>
          <w:rFonts w:asciiTheme="minorHAnsi" w:hAnsiTheme="minorHAnsi"/>
          <w:sz w:val="28"/>
          <w:szCs w:val="28"/>
        </w:rPr>
        <w:t>t-</w:t>
      </w:r>
      <w:r w:rsidRPr="00A03C86">
        <w:rPr>
          <w:rFonts w:asciiTheme="minorHAnsi" w:hAnsiTheme="minorHAnsi"/>
          <w:sz w:val="28"/>
          <w:szCs w:val="28"/>
          <w:lang w:eastAsia="en-GB"/>
        </w:rPr>
        <w:t>diagnostic support services.  This study has identified a need to map the existing pos</w:t>
      </w:r>
      <w:r>
        <w:rPr>
          <w:rFonts w:asciiTheme="minorHAnsi" w:hAnsiTheme="minorHAnsi"/>
          <w:sz w:val="28"/>
          <w:szCs w:val="28"/>
          <w:lang w:eastAsia="en-GB"/>
        </w:rPr>
        <w:t>t</w:t>
      </w:r>
      <w:r w:rsidRPr="00A03C86">
        <w:rPr>
          <w:rFonts w:asciiTheme="minorHAnsi" w:hAnsiTheme="minorHAnsi"/>
          <w:sz w:val="28"/>
          <w:szCs w:val="28"/>
        </w:rPr>
        <w:t>-</w:t>
      </w:r>
      <w:r w:rsidRPr="00A03C86">
        <w:rPr>
          <w:rFonts w:asciiTheme="minorHAnsi" w:hAnsiTheme="minorHAnsi"/>
          <w:sz w:val="28"/>
          <w:szCs w:val="28"/>
          <w:lang w:eastAsia="en-GB"/>
        </w:rPr>
        <w:t xml:space="preserve">diagnostic support services for people with dementia and to identify gaps in services. </w:t>
      </w:r>
      <w:r w:rsidRPr="00D575CB">
        <w:rPr>
          <w:rFonts w:asciiTheme="minorHAnsi" w:hAnsiTheme="minorHAnsi"/>
          <w:sz w:val="28"/>
          <w:szCs w:val="28"/>
          <w:lang w:eastAsia="en-GB"/>
        </w:rPr>
        <w:t xml:space="preserve">This </w:t>
      </w:r>
      <w:r>
        <w:rPr>
          <w:rFonts w:asciiTheme="minorHAnsi" w:hAnsiTheme="minorHAnsi"/>
          <w:sz w:val="28"/>
          <w:szCs w:val="28"/>
          <w:lang w:eastAsia="en-GB"/>
        </w:rPr>
        <w:t xml:space="preserve">could lead to the development of a </w:t>
      </w:r>
      <w:r w:rsidRPr="00D575CB">
        <w:rPr>
          <w:rFonts w:asciiTheme="minorHAnsi" w:hAnsiTheme="minorHAnsi"/>
          <w:sz w:val="28"/>
          <w:szCs w:val="28"/>
          <w:lang w:eastAsia="en-GB"/>
        </w:rPr>
        <w:t xml:space="preserve">resource </w:t>
      </w:r>
      <w:r>
        <w:rPr>
          <w:rFonts w:asciiTheme="minorHAnsi" w:hAnsiTheme="minorHAnsi"/>
          <w:sz w:val="28"/>
          <w:szCs w:val="28"/>
          <w:lang w:eastAsia="en-GB"/>
        </w:rPr>
        <w:t xml:space="preserve">which </w:t>
      </w:r>
      <w:r w:rsidRPr="00D575CB">
        <w:rPr>
          <w:rFonts w:asciiTheme="minorHAnsi" w:hAnsiTheme="minorHAnsi"/>
          <w:sz w:val="28"/>
          <w:szCs w:val="28"/>
          <w:lang w:eastAsia="en-GB"/>
        </w:rPr>
        <w:t>might enable GPs to provide relevant advice to newly diagnosed patients and their carers</w:t>
      </w:r>
      <w:r>
        <w:rPr>
          <w:rFonts w:asciiTheme="minorHAnsi" w:hAnsiTheme="minorHAnsi"/>
          <w:sz w:val="28"/>
          <w:szCs w:val="28"/>
          <w:lang w:eastAsia="en-GB"/>
        </w:rPr>
        <w:t xml:space="preserve">, facilitate signposting </w:t>
      </w:r>
      <w:r w:rsidRPr="00D575CB">
        <w:rPr>
          <w:rFonts w:asciiTheme="minorHAnsi" w:hAnsiTheme="minorHAnsi"/>
          <w:sz w:val="28"/>
          <w:szCs w:val="28"/>
          <w:lang w:eastAsia="en-GB"/>
        </w:rPr>
        <w:t>to support services</w:t>
      </w:r>
      <w:r>
        <w:rPr>
          <w:rFonts w:asciiTheme="minorHAnsi" w:hAnsiTheme="minorHAnsi"/>
          <w:sz w:val="28"/>
          <w:szCs w:val="28"/>
          <w:lang w:eastAsia="en-GB"/>
        </w:rPr>
        <w:t xml:space="preserve">, and give GPs confidence to increase the DDR in their area. </w:t>
      </w:r>
      <w:bookmarkStart w:id="0" w:name="_GoBack"/>
      <w:bookmarkEnd w:id="0"/>
    </w:p>
    <w:p w:rsidR="006B49CE" w:rsidRPr="00D575CB" w:rsidRDefault="006E6B8D">
      <w:pPr>
        <w:rPr>
          <w:rFonts w:asciiTheme="minorHAnsi" w:hAnsiTheme="minorHAnsi"/>
          <w:sz w:val="28"/>
          <w:szCs w:val="28"/>
          <w:lang w:eastAsia="en-GB"/>
        </w:rPr>
      </w:pPr>
      <w:r w:rsidRPr="00D575CB">
        <w:rPr>
          <w:rFonts w:asciiTheme="minorHAnsi" w:hAnsiTheme="minorHAnsi"/>
          <w:sz w:val="28"/>
          <w:szCs w:val="28"/>
          <w:lang w:eastAsia="en-GB"/>
        </w:rPr>
        <w:t>Keywords: Primary Care, General Practitioners, Dementia Diagnosis</w:t>
      </w:r>
    </w:p>
    <w:tbl>
      <w:tblPr>
        <w:tblStyle w:val="TableGrid"/>
        <w:tblW w:w="0" w:type="auto"/>
        <w:shd w:val="clear" w:color="auto" w:fill="D9D9D9"/>
        <w:tblLook w:val="04A0" w:firstRow="1" w:lastRow="0" w:firstColumn="1" w:lastColumn="0" w:noHBand="0" w:noVBand="1"/>
      </w:tblPr>
      <w:tblGrid>
        <w:gridCol w:w="8720"/>
      </w:tblGrid>
      <w:tr w:rsidR="006B49CE">
        <w:tc>
          <w:tcPr>
            <w:tcW w:w="8720" w:type="dxa"/>
            <w:shd w:val="clear" w:color="auto" w:fill="D9D9D9"/>
          </w:tcPr>
          <w:p w:rsidR="006B49CE" w:rsidRDefault="006E6B8D">
            <w:pPr>
              <w:pStyle w:val="Subtitle"/>
              <w:rPr>
                <w:b/>
                <w:bCs/>
                <w:lang w:eastAsia="en-GB"/>
              </w:rPr>
            </w:pPr>
            <w:r>
              <w:rPr>
                <w:b/>
                <w:bCs/>
              </w:rPr>
              <w:t>How</w:t>
            </w:r>
            <w:r>
              <w:rPr>
                <w:b/>
                <w:bCs/>
                <w:lang w:eastAsia="en-GB"/>
              </w:rPr>
              <w:t xml:space="preserve"> this fits in with quality in primary care</w:t>
            </w:r>
          </w:p>
          <w:p w:rsidR="006B49CE" w:rsidRDefault="006E6B8D">
            <w:pPr>
              <w:pStyle w:val="Heading4"/>
              <w:rPr>
                <w:lang w:eastAsia="en-GB"/>
              </w:rPr>
            </w:pPr>
            <w:r>
              <w:rPr>
                <w:lang w:eastAsia="en-GB"/>
              </w:rPr>
              <w:t>What do we know?</w:t>
            </w:r>
          </w:p>
          <w:p w:rsidR="006B49CE" w:rsidRDefault="006E6B8D">
            <w:pPr>
              <w:rPr>
                <w:lang w:eastAsia="en-GB"/>
              </w:rPr>
            </w:pPr>
            <w:r>
              <w:rPr>
                <w:lang w:eastAsia="en-GB"/>
              </w:rPr>
              <w:t>The UK NHS has set a target for Clinical Commissioning Groups to increase local dementia diagnosis rates from the UK average of 45% to 66% by 2015.  The dementia diagnosis rate in many regions, including Norfolk and Suffolk, currently falls below the UK level. Little is known about the reasons for the low dementia diagnosis rate, reducing the likelihood of GPs being able to meet the NHS target.</w:t>
            </w:r>
          </w:p>
          <w:p w:rsidR="006B49CE" w:rsidRDefault="006E6B8D">
            <w:pPr>
              <w:pStyle w:val="Heading4"/>
              <w:rPr>
                <w:lang w:eastAsia="en-GB"/>
              </w:rPr>
            </w:pPr>
            <w:r>
              <w:rPr>
                <w:lang w:eastAsia="en-GB"/>
              </w:rPr>
              <w:t>What does this paper add?</w:t>
            </w:r>
          </w:p>
          <w:p w:rsidR="006B49CE" w:rsidRDefault="006E6B8D">
            <w:pPr>
              <w:rPr>
                <w:lang w:eastAsia="en-GB"/>
              </w:rPr>
            </w:pPr>
            <w:r>
              <w:rPr>
                <w:lang w:eastAsia="en-GB"/>
              </w:rPr>
              <w:t xml:space="preserve">This paper reports the findings of a survey of GPs which aimed to understand the reasons for the low dementia diagnosis rate in Norfolk and Suffolk to inform a strategy to meet the target to increase the dementia diagnosis rate of 66% by 2015. Participating GPs reported a lack of confidence in their knowledge about the availability of post-diagnostic support services for people with dementia and their carers and dissatisfaction with local Memory Services. This survey identified a need to map local post-diagnostic support services and use the results to develop a database to enable GP to provide relevant advice and signposting current services for patients and carers following a diagnosis of dementia.  A mapping exercise could also identify gaps in post-diagnostic services to inform a strategy for improving services to increase GPs confidence in managing and advising patients with dementia and their </w:t>
            </w:r>
            <w:proofErr w:type="spellStart"/>
            <w:r>
              <w:rPr>
                <w:lang w:eastAsia="en-GB"/>
              </w:rPr>
              <w:t>carers</w:t>
            </w:r>
            <w:proofErr w:type="spellEnd"/>
            <w:r>
              <w:rPr>
                <w:lang w:eastAsia="en-GB"/>
              </w:rPr>
              <w:t xml:space="preserve"> in the </w:t>
            </w:r>
            <w:r>
              <w:rPr>
                <w:lang w:eastAsia="en-GB"/>
              </w:rPr>
              <w:lastRenderedPageBreak/>
              <w:t xml:space="preserve">early phases after a confirmed diagnosis.  </w:t>
            </w:r>
          </w:p>
        </w:tc>
      </w:tr>
    </w:tbl>
    <w:p w:rsidR="006B49CE" w:rsidRDefault="006B49CE">
      <w:pPr>
        <w:rPr>
          <w:lang w:eastAsia="en-GB"/>
        </w:rPr>
      </w:pPr>
    </w:p>
    <w:p w:rsidR="00D1191B" w:rsidRDefault="00D1191B">
      <w:pPr>
        <w:pStyle w:val="Heading1"/>
      </w:pPr>
    </w:p>
    <w:p w:rsidR="006B49CE" w:rsidRDefault="006E6B8D">
      <w:pPr>
        <w:pStyle w:val="Heading1"/>
      </w:pPr>
      <w:r>
        <w:t>Introduction and Background</w:t>
      </w:r>
    </w:p>
    <w:p w:rsidR="006B49CE" w:rsidRPr="00D575CB" w:rsidRDefault="006B49CE">
      <w:pPr>
        <w:rPr>
          <w:rFonts w:asciiTheme="minorHAnsi" w:hAnsiTheme="minorHAnsi"/>
        </w:rPr>
      </w:pPr>
    </w:p>
    <w:p w:rsidR="006B49CE" w:rsidRDefault="006E6B8D" w:rsidP="004A5B21">
      <w:pPr>
        <w:rPr>
          <w:rFonts w:ascii="Calibri" w:hAnsi="Calibri"/>
          <w:sz w:val="28"/>
          <w:lang w:eastAsia="en-GB"/>
        </w:rPr>
      </w:pPr>
      <w:r w:rsidRPr="00D575CB">
        <w:rPr>
          <w:rFonts w:asciiTheme="minorHAnsi" w:hAnsiTheme="minorHAnsi"/>
          <w:sz w:val="28"/>
          <w:lang w:eastAsia="en-GB"/>
        </w:rPr>
        <w:t>The NHS has announced its ambition to tackle the ‘shockingly low dementia diagnosis rate’ in England with the aim of increasing the rate from 45% to 66% by the end of March 2015</w:t>
      </w:r>
      <w:r w:rsidRPr="00D575CB">
        <w:rPr>
          <w:rFonts w:asciiTheme="minorHAnsi" w:hAnsiTheme="minorHAnsi"/>
          <w:sz w:val="28"/>
          <w:vertAlign w:val="superscript"/>
          <w:lang w:eastAsia="en-GB"/>
        </w:rPr>
        <w:t>1,</w:t>
      </w:r>
      <w:r w:rsidRPr="00D575CB">
        <w:rPr>
          <w:rFonts w:asciiTheme="minorHAnsi" w:hAnsiTheme="minorHAnsi"/>
          <w:sz w:val="28"/>
          <w:lang w:eastAsia="en-GB"/>
        </w:rPr>
        <w:t xml:space="preserve"> a target set by the UK Prime Minister.  The dementia diagnosis rate is calculated nationally and locally using the NHS Dementia Prevalence Calculator Tool.  It is contains algorithms for each area based on local factors, such as population size, gender and age profile, to give an estimate of the expected prevalence of dementia.  The actual number of dementia diagnoses recorded on GP list is then used to calculate the dementia diagnosis rate for each area</w:t>
      </w:r>
      <w:r w:rsidRPr="00D575CB">
        <w:rPr>
          <w:rFonts w:asciiTheme="minorHAnsi" w:hAnsiTheme="minorHAnsi"/>
          <w:sz w:val="28"/>
          <w:vertAlign w:val="superscript"/>
          <w:lang w:eastAsia="en-GB"/>
        </w:rPr>
        <w:t>2</w:t>
      </w:r>
      <w:r w:rsidRPr="00D575CB">
        <w:rPr>
          <w:rFonts w:asciiTheme="minorHAnsi" w:hAnsiTheme="minorHAnsi"/>
          <w:sz w:val="28"/>
          <w:lang w:eastAsia="en-GB"/>
        </w:rPr>
        <w:t>.  Clinical Commissioning Groups (CCGs) around England have committed to increasing the dementia diagnosis rate.  The dementia diagnosis rate (DDR) in Norfolk and Suffolk is consistently below the rate for England (see Table 1)</w:t>
      </w:r>
      <w:r w:rsidRPr="00D575CB">
        <w:rPr>
          <w:rStyle w:val="FootnoteReference"/>
          <w:rFonts w:asciiTheme="minorHAnsi" w:hAnsiTheme="minorHAnsi"/>
          <w:sz w:val="28"/>
          <w:lang w:eastAsia="en-GB"/>
        </w:rPr>
        <w:t>2</w:t>
      </w:r>
      <w:r w:rsidR="002E46A5">
        <w:rPr>
          <w:rFonts w:asciiTheme="minorHAnsi" w:hAnsiTheme="minorHAnsi"/>
          <w:sz w:val="28"/>
          <w:lang w:eastAsia="en-GB"/>
        </w:rPr>
        <w:t>;</w:t>
      </w:r>
      <w:r w:rsidR="002E46A5">
        <w:rPr>
          <w:rFonts w:asciiTheme="minorHAnsi" w:hAnsiTheme="minorHAnsi"/>
          <w:sz w:val="28"/>
          <w:szCs w:val="28"/>
          <w:lang w:eastAsia="en-GB"/>
        </w:rPr>
        <w:t xml:space="preserve"> across the CCGs participating in this study the average DDR was 39.9% with a standard deviation of 5.3</w:t>
      </w:r>
      <w:r w:rsidR="004A5B21">
        <w:rPr>
          <w:rFonts w:asciiTheme="minorHAnsi" w:hAnsiTheme="minorHAnsi"/>
          <w:sz w:val="28"/>
          <w:szCs w:val="28"/>
          <w:lang w:eastAsia="en-GB"/>
        </w:rPr>
        <w:t>2</w:t>
      </w:r>
      <w:r w:rsidR="002E46A5" w:rsidRPr="00D575CB">
        <w:rPr>
          <w:rFonts w:asciiTheme="minorHAnsi" w:hAnsiTheme="minorHAnsi"/>
          <w:sz w:val="28"/>
          <w:szCs w:val="28"/>
          <w:lang w:eastAsia="en-GB"/>
        </w:rPr>
        <w:t>.</w:t>
      </w:r>
      <w:r w:rsidR="002E46A5">
        <w:rPr>
          <w:rFonts w:asciiTheme="minorHAnsi" w:hAnsiTheme="minorHAnsi"/>
          <w:sz w:val="28"/>
          <w:szCs w:val="28"/>
          <w:lang w:eastAsia="en-GB"/>
        </w:rPr>
        <w:t xml:space="preserve"> </w:t>
      </w:r>
      <w:r w:rsidRPr="00D575CB">
        <w:rPr>
          <w:rFonts w:asciiTheme="minorHAnsi" w:hAnsiTheme="minorHAnsi"/>
          <w:sz w:val="28"/>
          <w:lang w:eastAsia="en-GB"/>
        </w:rPr>
        <w:t xml:space="preserve">   Clinical Commissioning Groups (CCGs) in Norfolk and Suffolk aim to increase the dementia diagnosis rates to meet the UK Prime Minister’s target.   However, there is no clear understanding of reasons for the dementia diagnosis rate in under-diagnosing areas being below the UK average.  This is potentially problematic as it might have a negative impact on efforts to achieve this target.</w:t>
      </w:r>
      <w:r>
        <w:rPr>
          <w:rFonts w:ascii="Calibri" w:hAnsi="Calibri"/>
          <w:sz w:val="28"/>
          <w:lang w:eastAsia="en-GB"/>
        </w:rPr>
        <w:t xml:space="preserve"> </w:t>
      </w:r>
    </w:p>
    <w:p w:rsidR="006B49CE" w:rsidRDefault="006E6B8D">
      <w:pPr>
        <w:pStyle w:val="Heading1"/>
      </w:pPr>
      <w:r>
        <w:t xml:space="preserve">Aims of the Research </w:t>
      </w:r>
    </w:p>
    <w:p w:rsidR="006B49CE" w:rsidRDefault="006B49CE">
      <w:pPr>
        <w:spacing w:after="0"/>
        <w:rPr>
          <w:rFonts w:ascii="Times New Roman" w:hAnsi="Times New Roman"/>
          <w:sz w:val="24"/>
          <w:lang w:eastAsia="en-GB"/>
        </w:rPr>
      </w:pPr>
    </w:p>
    <w:p w:rsidR="006B49CE" w:rsidRDefault="006E6B8D">
      <w:pPr>
        <w:spacing w:after="0"/>
        <w:rPr>
          <w:rFonts w:ascii="Calibri" w:hAnsi="Calibri"/>
          <w:sz w:val="28"/>
          <w:lang w:eastAsia="en-GB"/>
        </w:rPr>
      </w:pPr>
      <w:r>
        <w:rPr>
          <w:rFonts w:ascii="Calibri" w:hAnsi="Calibri"/>
          <w:sz w:val="28"/>
          <w:lang w:eastAsia="en-GB"/>
        </w:rPr>
        <w:t xml:space="preserve">This research aimed to carry out a survey of GPs in Norfolk and Suffolk to: 1) explore why the DDR in Norfolk and Suffolk is lower than the UK </w:t>
      </w:r>
      <w:r>
        <w:rPr>
          <w:rFonts w:ascii="Calibri" w:hAnsi="Calibri"/>
          <w:sz w:val="28"/>
          <w:lang w:eastAsia="en-GB"/>
        </w:rPr>
        <w:lastRenderedPageBreak/>
        <w:t>average DDR and 2) to gather data to inform a strategy for increasing local DDRs.</w:t>
      </w:r>
    </w:p>
    <w:p w:rsidR="006B49CE" w:rsidRDefault="006E6B8D">
      <w:pPr>
        <w:spacing w:after="0"/>
        <w:rPr>
          <w:rFonts w:ascii="Calibri" w:hAnsi="Calibri"/>
          <w:sz w:val="28"/>
          <w:lang w:eastAsia="en-GB"/>
        </w:rPr>
      </w:pPr>
      <w:r>
        <w:rPr>
          <w:rFonts w:ascii="Calibri" w:hAnsi="Calibri"/>
          <w:sz w:val="28"/>
          <w:lang w:eastAsia="en-GB"/>
        </w:rPr>
        <w:t> </w:t>
      </w:r>
    </w:p>
    <w:p w:rsidR="00D1191B" w:rsidRDefault="00D1191B">
      <w:pPr>
        <w:pStyle w:val="Heading1"/>
      </w:pPr>
    </w:p>
    <w:p w:rsidR="006B49CE" w:rsidRDefault="006E6B8D">
      <w:pPr>
        <w:pStyle w:val="Heading1"/>
      </w:pPr>
      <w:r>
        <w:t>Methods</w:t>
      </w:r>
    </w:p>
    <w:p w:rsidR="006B49CE" w:rsidRDefault="006B49CE">
      <w:pPr>
        <w:spacing w:after="0"/>
        <w:rPr>
          <w:rFonts w:ascii="Calibri" w:hAnsi="Calibri"/>
          <w:sz w:val="28"/>
          <w:lang w:eastAsia="en-GB"/>
        </w:rPr>
      </w:pPr>
    </w:p>
    <w:p w:rsidR="006B49CE" w:rsidRDefault="006E6B8D">
      <w:pPr>
        <w:spacing w:after="0"/>
        <w:rPr>
          <w:rFonts w:ascii="Calibri" w:hAnsi="Calibri"/>
          <w:sz w:val="28"/>
          <w:lang w:eastAsia="en-GB"/>
        </w:rPr>
      </w:pPr>
      <w:r>
        <w:rPr>
          <w:rFonts w:ascii="Calibri" w:hAnsi="Calibri"/>
          <w:sz w:val="28"/>
          <w:lang w:eastAsia="en-GB"/>
        </w:rPr>
        <w:t>A questionnaire was developed in consultation with N</w:t>
      </w:r>
      <w:r w:rsidR="00EB5C48">
        <w:rPr>
          <w:rFonts w:ascii="Calibri" w:hAnsi="Calibri"/>
          <w:sz w:val="28"/>
          <w:lang w:eastAsia="en-GB"/>
        </w:rPr>
        <w:t xml:space="preserve">orfolk and </w:t>
      </w:r>
      <w:r>
        <w:rPr>
          <w:rFonts w:ascii="Calibri" w:hAnsi="Calibri"/>
          <w:sz w:val="28"/>
          <w:lang w:eastAsia="en-GB"/>
        </w:rPr>
        <w:t>S</w:t>
      </w:r>
      <w:r w:rsidR="00EB5C48">
        <w:rPr>
          <w:rFonts w:ascii="Calibri" w:hAnsi="Calibri"/>
          <w:sz w:val="28"/>
          <w:lang w:eastAsia="en-GB"/>
        </w:rPr>
        <w:t xml:space="preserve">uffolk </w:t>
      </w:r>
      <w:r>
        <w:rPr>
          <w:rFonts w:ascii="Calibri" w:hAnsi="Calibri"/>
          <w:sz w:val="28"/>
          <w:lang w:eastAsia="en-GB"/>
        </w:rPr>
        <w:t>D</w:t>
      </w:r>
      <w:r w:rsidR="00EB5C48">
        <w:rPr>
          <w:rFonts w:ascii="Calibri" w:hAnsi="Calibri"/>
          <w:sz w:val="28"/>
          <w:lang w:eastAsia="en-GB"/>
        </w:rPr>
        <w:t xml:space="preserve">ementia </w:t>
      </w:r>
      <w:r>
        <w:rPr>
          <w:rFonts w:ascii="Calibri" w:hAnsi="Calibri"/>
          <w:sz w:val="28"/>
          <w:lang w:eastAsia="en-GB"/>
        </w:rPr>
        <w:t>A</w:t>
      </w:r>
      <w:r w:rsidR="00EB5C48">
        <w:rPr>
          <w:rFonts w:ascii="Calibri" w:hAnsi="Calibri"/>
          <w:sz w:val="28"/>
          <w:lang w:eastAsia="en-GB"/>
        </w:rPr>
        <w:t>lliance</w:t>
      </w:r>
      <w:r>
        <w:rPr>
          <w:rFonts w:ascii="Calibri" w:hAnsi="Calibri"/>
          <w:sz w:val="28"/>
          <w:lang w:eastAsia="en-GB"/>
        </w:rPr>
        <w:t xml:space="preserve"> and the UEA </w:t>
      </w:r>
      <w:proofErr w:type="spellStart"/>
      <w:r>
        <w:rPr>
          <w:rFonts w:ascii="Calibri" w:hAnsi="Calibri"/>
          <w:sz w:val="28"/>
          <w:lang w:eastAsia="en-GB"/>
        </w:rPr>
        <w:t>DEM</w:t>
      </w:r>
      <w:r w:rsidR="00EB5C48">
        <w:rPr>
          <w:rFonts w:ascii="Calibri" w:hAnsi="Calibri"/>
          <w:sz w:val="28"/>
          <w:lang w:eastAsia="en-GB"/>
        </w:rPr>
        <w:t>entia</w:t>
      </w:r>
      <w:proofErr w:type="spellEnd"/>
      <w:r w:rsidR="00EB5C48">
        <w:rPr>
          <w:rFonts w:ascii="Calibri" w:hAnsi="Calibri"/>
          <w:sz w:val="28"/>
          <w:lang w:eastAsia="en-GB"/>
        </w:rPr>
        <w:t xml:space="preserve"> skills </w:t>
      </w:r>
      <w:proofErr w:type="spellStart"/>
      <w:r>
        <w:rPr>
          <w:rFonts w:ascii="Calibri" w:hAnsi="Calibri"/>
          <w:sz w:val="28"/>
          <w:lang w:eastAsia="en-GB"/>
        </w:rPr>
        <w:t>S</w:t>
      </w:r>
      <w:r w:rsidR="00EB5C48">
        <w:rPr>
          <w:rFonts w:ascii="Calibri" w:hAnsi="Calibri"/>
          <w:sz w:val="28"/>
          <w:lang w:eastAsia="en-GB"/>
        </w:rPr>
        <w:t>Taff</w:t>
      </w:r>
      <w:proofErr w:type="spellEnd"/>
      <w:r w:rsidR="00EB5C48">
        <w:rPr>
          <w:rFonts w:ascii="Calibri" w:hAnsi="Calibri"/>
          <w:sz w:val="28"/>
          <w:lang w:eastAsia="en-GB"/>
        </w:rPr>
        <w:t xml:space="preserve"> </w:t>
      </w:r>
      <w:r>
        <w:rPr>
          <w:rFonts w:ascii="Calibri" w:hAnsi="Calibri"/>
          <w:sz w:val="28"/>
          <w:lang w:eastAsia="en-GB"/>
        </w:rPr>
        <w:t>A</w:t>
      </w:r>
      <w:r w:rsidR="00EB5C48">
        <w:rPr>
          <w:rFonts w:ascii="Calibri" w:hAnsi="Calibri"/>
          <w:sz w:val="28"/>
          <w:lang w:eastAsia="en-GB"/>
        </w:rPr>
        <w:t xml:space="preserve">udit </w:t>
      </w:r>
      <w:proofErr w:type="spellStart"/>
      <w:r w:rsidR="00EB5C48">
        <w:rPr>
          <w:rFonts w:ascii="Calibri" w:hAnsi="Calibri"/>
          <w:sz w:val="28"/>
          <w:lang w:eastAsia="en-GB"/>
        </w:rPr>
        <w:t>fo</w:t>
      </w:r>
      <w:r>
        <w:rPr>
          <w:rFonts w:ascii="Calibri" w:hAnsi="Calibri"/>
          <w:sz w:val="28"/>
          <w:lang w:eastAsia="en-GB"/>
        </w:rPr>
        <w:t>R</w:t>
      </w:r>
      <w:proofErr w:type="spellEnd"/>
      <w:r w:rsidR="00EB5C48">
        <w:rPr>
          <w:rFonts w:ascii="Calibri" w:hAnsi="Calibri"/>
          <w:sz w:val="28"/>
          <w:lang w:eastAsia="en-GB"/>
        </w:rPr>
        <w:t xml:space="preserve"> </w:t>
      </w:r>
      <w:r>
        <w:rPr>
          <w:rFonts w:ascii="Calibri" w:hAnsi="Calibri"/>
          <w:sz w:val="28"/>
          <w:lang w:eastAsia="en-GB"/>
        </w:rPr>
        <w:t>T</w:t>
      </w:r>
      <w:r w:rsidR="00EB5C48">
        <w:rPr>
          <w:rFonts w:ascii="Calibri" w:hAnsi="Calibri"/>
          <w:sz w:val="28"/>
          <w:lang w:eastAsia="en-GB"/>
        </w:rPr>
        <w:t>raining needs (DEMSTART)</w:t>
      </w:r>
      <w:r>
        <w:rPr>
          <w:rFonts w:ascii="Calibri" w:hAnsi="Calibri"/>
          <w:sz w:val="28"/>
          <w:lang w:eastAsia="en-GB"/>
        </w:rPr>
        <w:t xml:space="preserve"> Advisory Group, to collect data on key indicators of GPs’ attitudes towards diagnosing dementia. The survey contained some of the key questions from the National Audit of GPs 2009 in order to assess any changes in GPs attitudes towards diagnosing and managing dementia since the launch of the National Dementia Strategy in 2009</w:t>
      </w:r>
      <w:r>
        <w:rPr>
          <w:rFonts w:ascii="Calibri" w:hAnsi="Calibri"/>
          <w:sz w:val="28"/>
          <w:vertAlign w:val="superscript"/>
          <w:lang w:eastAsia="en-GB"/>
        </w:rPr>
        <w:t>3</w:t>
      </w:r>
      <w:r>
        <w:rPr>
          <w:rFonts w:ascii="Calibri" w:hAnsi="Calibri"/>
          <w:sz w:val="28"/>
          <w:lang w:eastAsia="en-GB"/>
        </w:rPr>
        <w:t xml:space="preserve">.  </w:t>
      </w:r>
    </w:p>
    <w:p w:rsidR="006B49CE" w:rsidRDefault="006B49CE">
      <w:pPr>
        <w:spacing w:after="0"/>
        <w:rPr>
          <w:rFonts w:ascii="Calibri" w:hAnsi="Calibri"/>
          <w:sz w:val="28"/>
          <w:lang w:eastAsia="en-GB"/>
        </w:rPr>
      </w:pPr>
    </w:p>
    <w:p w:rsidR="006B49CE" w:rsidRDefault="006E6B8D">
      <w:pPr>
        <w:rPr>
          <w:sz w:val="28"/>
          <w:lang w:eastAsia="en-GB"/>
        </w:rPr>
      </w:pPr>
      <w:r>
        <w:rPr>
          <w:rFonts w:ascii="Calibri" w:hAnsi="Calibri"/>
          <w:sz w:val="28"/>
          <w:lang w:eastAsia="en-GB"/>
        </w:rPr>
        <w:t xml:space="preserve">A web based survey design was used as this provided a low cost survey, which would reach more respondents more quickly.  Using web-based surveys also reduces the </w:t>
      </w:r>
      <w:r>
        <w:rPr>
          <w:rFonts w:ascii="Calibri" w:hAnsi="Calibri"/>
          <w:sz w:val="28"/>
        </w:rPr>
        <w:t xml:space="preserve">amount </w:t>
      </w:r>
      <w:r>
        <w:rPr>
          <w:rFonts w:ascii="Calibri" w:hAnsi="Calibri"/>
          <w:sz w:val="28"/>
          <w:lang w:eastAsia="en-GB"/>
        </w:rPr>
        <w:t xml:space="preserve">of missing data often </w:t>
      </w:r>
      <w:r w:rsidR="00DD6685">
        <w:rPr>
          <w:rFonts w:ascii="Calibri" w:hAnsi="Calibri"/>
          <w:sz w:val="28"/>
          <w:lang w:eastAsia="en-GB"/>
        </w:rPr>
        <w:t xml:space="preserve">found </w:t>
      </w:r>
      <w:r>
        <w:rPr>
          <w:rFonts w:ascii="Calibri" w:hAnsi="Calibri"/>
          <w:sz w:val="28"/>
          <w:lang w:eastAsia="en-GB"/>
        </w:rPr>
        <w:t>in postal self-completion surveys as this method can</w:t>
      </w:r>
      <w:r>
        <w:rPr>
          <w:rFonts w:ascii="Calibri" w:hAnsi="Calibri"/>
          <w:sz w:val="28"/>
        </w:rPr>
        <w:t xml:space="preserve"> includ</w:t>
      </w:r>
      <w:r>
        <w:rPr>
          <w:rFonts w:ascii="Calibri" w:hAnsi="Calibri"/>
          <w:sz w:val="28"/>
          <w:lang w:eastAsia="en-GB"/>
        </w:rPr>
        <w:t>e filter</w:t>
      </w:r>
      <w:r>
        <w:rPr>
          <w:rFonts w:ascii="Calibri" w:hAnsi="Calibri"/>
          <w:sz w:val="28"/>
        </w:rPr>
        <w:t xml:space="preserve"> questions</w:t>
      </w:r>
      <w:r>
        <w:rPr>
          <w:rFonts w:ascii="Calibri" w:hAnsi="Calibri"/>
          <w:sz w:val="28"/>
          <w:lang w:eastAsia="en-GB"/>
        </w:rPr>
        <w:t xml:space="preserve"> to ensure respondents are only asked questions relevant to them and can automatically guide them through the survey so reducing completion time; an important factor for improving responses rates, particularly in GP surveys</w:t>
      </w:r>
      <w:r>
        <w:rPr>
          <w:rFonts w:ascii="Calibri" w:hAnsi="Calibri"/>
          <w:sz w:val="28"/>
          <w:vertAlign w:val="superscript"/>
          <w:lang w:eastAsia="en-GB"/>
        </w:rPr>
        <w:t>4</w:t>
      </w:r>
      <w:r>
        <w:rPr>
          <w:rFonts w:ascii="Calibri" w:hAnsi="Calibri"/>
          <w:sz w:val="28"/>
          <w:lang w:eastAsia="en-GB"/>
        </w:rPr>
        <w:t xml:space="preserve">.  However, using online surveys </w:t>
      </w:r>
      <w:r>
        <w:rPr>
          <w:rFonts w:ascii="Calibri" w:hAnsi="Calibri"/>
          <w:sz w:val="28"/>
        </w:rPr>
        <w:t xml:space="preserve">can lead to </w:t>
      </w:r>
      <w:r>
        <w:rPr>
          <w:rFonts w:ascii="Calibri" w:hAnsi="Calibri"/>
          <w:sz w:val="28"/>
          <w:lang w:eastAsia="en-GB"/>
        </w:rPr>
        <w:t>a lower response rate</w:t>
      </w:r>
      <w:r>
        <w:rPr>
          <w:rFonts w:ascii="Calibri" w:hAnsi="Calibri"/>
          <w:sz w:val="28"/>
          <w:vertAlign w:val="superscript"/>
          <w:lang w:eastAsia="en-GB"/>
        </w:rPr>
        <w:t>5</w:t>
      </w:r>
      <w:r>
        <w:rPr>
          <w:sz w:val="28"/>
          <w:lang w:eastAsia="en-GB"/>
        </w:rPr>
        <w:t>.</w:t>
      </w:r>
    </w:p>
    <w:p w:rsidR="006B49CE" w:rsidRDefault="006E6B8D">
      <w:pPr>
        <w:rPr>
          <w:rFonts w:ascii="Calibri" w:hAnsi="Calibri"/>
          <w:sz w:val="28"/>
          <w:lang w:eastAsia="en-GB"/>
        </w:rPr>
      </w:pPr>
      <w:r>
        <w:rPr>
          <w:rFonts w:ascii="Calibri" w:hAnsi="Calibri"/>
          <w:sz w:val="28"/>
          <w:lang w:eastAsia="en-GB"/>
        </w:rPr>
        <w:t xml:space="preserve">The GP survey questionnaire was uploaded onto Survey Monkey© (please see Annex 1 for the paper version of the GP Survey Questionnaire).  </w:t>
      </w:r>
      <w:r>
        <w:rPr>
          <w:rFonts w:ascii="Calibri" w:hAnsi="Calibri"/>
          <w:sz w:val="28"/>
        </w:rPr>
        <w:t>A communication strategy was developed which aimed to ensure the survey was available to all GPs in each of the four participating CCGs within Norfolk and Suffolk. A</w:t>
      </w:r>
      <w:r>
        <w:rPr>
          <w:rFonts w:ascii="Calibri" w:hAnsi="Calibri"/>
          <w:sz w:val="28"/>
          <w:lang w:eastAsia="en-GB"/>
        </w:rPr>
        <w:t xml:space="preserve"> lead person in each CCG was identified to take responsibility for implementing the survey in their area. </w:t>
      </w:r>
      <w:r>
        <w:rPr>
          <w:rFonts w:ascii="Calibri" w:hAnsi="Calibri"/>
          <w:sz w:val="28"/>
        </w:rPr>
        <w:t xml:space="preserve"> The survey began in late July 2013, with a planned close date at the end of August 2013.  However, as this period coincided with the local school vacation period it </w:t>
      </w:r>
      <w:r>
        <w:rPr>
          <w:rFonts w:ascii="Calibri" w:hAnsi="Calibri"/>
          <w:sz w:val="28"/>
        </w:rPr>
        <w:lastRenderedPageBreak/>
        <w:t xml:space="preserve">was decided to extend the deadline to the second week of September 2013. </w:t>
      </w:r>
      <w:r>
        <w:rPr>
          <w:rFonts w:ascii="Calibri" w:hAnsi="Calibri"/>
          <w:sz w:val="28"/>
          <w:lang w:eastAsia="en-GB"/>
        </w:rPr>
        <w:t xml:space="preserve">Each lead person within the participating CCGs ensured that the link to the survey was emailed to all GPs in their area and sent out two reminders to encourage GPs to participate in the survey. </w:t>
      </w:r>
    </w:p>
    <w:p w:rsidR="006B49CE" w:rsidRDefault="006E6B8D">
      <w:pPr>
        <w:rPr>
          <w:rFonts w:ascii="Times New Roman" w:hAnsi="Times New Roman"/>
          <w:sz w:val="24"/>
          <w:lang w:eastAsia="en-GB"/>
        </w:rPr>
      </w:pPr>
      <w:r>
        <w:rPr>
          <w:rFonts w:ascii="Calibri" w:hAnsi="Calibri"/>
          <w:sz w:val="28"/>
          <w:lang w:eastAsia="en-GB"/>
        </w:rPr>
        <w:t xml:space="preserve">The questionnaire was sent as a link embedded in an email to all GPs practicing within 3 CCGs in Norfolk and Suffolk (which will be referred to as CCG 1, 2 and 3 in the remainder of this paper). In the fourth participating CCG (CCG4), the survey link was embedded in a Newsletter attached to an email which was sent to all GPs in this area.  </w:t>
      </w:r>
    </w:p>
    <w:p w:rsidR="006B49CE" w:rsidRDefault="006B49CE">
      <w:pPr>
        <w:pStyle w:val="Heading2"/>
      </w:pPr>
    </w:p>
    <w:p w:rsidR="006B49CE" w:rsidRDefault="006E6B8D">
      <w:pPr>
        <w:pStyle w:val="Heading1"/>
        <w:rPr>
          <w:lang w:eastAsia="en-GB"/>
        </w:rPr>
      </w:pPr>
      <w:r>
        <w:br w:type="page"/>
      </w:r>
      <w:r>
        <w:lastRenderedPageBreak/>
        <w:t>Results</w:t>
      </w:r>
    </w:p>
    <w:p w:rsidR="006B49CE" w:rsidRDefault="006E6B8D">
      <w:pPr>
        <w:pStyle w:val="Subtitle"/>
        <w:jc w:val="left"/>
        <w:rPr>
          <w:rFonts w:ascii="Calibri" w:hAnsi="Calibri"/>
          <w:sz w:val="28"/>
          <w:lang w:eastAsia="en-GB"/>
        </w:rPr>
      </w:pPr>
      <w:r>
        <w:rPr>
          <w:lang w:eastAsia="en-GB"/>
        </w:rPr>
        <w:t>Responses to the Survey</w:t>
      </w:r>
      <w:r>
        <w:rPr>
          <w:rFonts w:ascii="Calibri" w:hAnsi="Calibri"/>
          <w:sz w:val="28"/>
          <w:lang w:eastAsia="en-GB"/>
        </w:rPr>
        <w:t xml:space="preserve"> </w:t>
      </w:r>
    </w:p>
    <w:p w:rsidR="006B49CE" w:rsidRDefault="006B49CE">
      <w:pPr>
        <w:spacing w:after="150"/>
        <w:rPr>
          <w:rFonts w:ascii="Calibri" w:hAnsi="Calibri"/>
          <w:sz w:val="28"/>
          <w:lang w:eastAsia="en-GB"/>
        </w:rPr>
      </w:pPr>
    </w:p>
    <w:p w:rsidR="006B49CE" w:rsidRDefault="006E6B8D">
      <w:pPr>
        <w:spacing w:after="150"/>
        <w:rPr>
          <w:rFonts w:ascii="Calibri" w:hAnsi="Calibri"/>
          <w:sz w:val="28"/>
          <w:lang w:eastAsia="en-GB"/>
        </w:rPr>
      </w:pPr>
      <w:r>
        <w:rPr>
          <w:rFonts w:ascii="Calibri" w:hAnsi="Calibri"/>
          <w:sz w:val="28"/>
        </w:rPr>
        <w:t>T</w:t>
      </w:r>
      <w:r>
        <w:rPr>
          <w:rFonts w:ascii="Calibri" w:hAnsi="Calibri"/>
          <w:sz w:val="28"/>
          <w:lang w:eastAsia="en-GB"/>
        </w:rPr>
        <w:t xml:space="preserve">he questionnaire link was sent to </w:t>
      </w:r>
      <w:r>
        <w:rPr>
          <w:rFonts w:ascii="Calibri" w:hAnsi="Calibri"/>
          <w:sz w:val="28"/>
        </w:rPr>
        <w:t xml:space="preserve">a total of </w:t>
      </w:r>
      <w:r>
        <w:rPr>
          <w:rFonts w:ascii="Calibri" w:hAnsi="Calibri"/>
          <w:sz w:val="28"/>
          <w:lang w:eastAsia="en-GB"/>
        </w:rPr>
        <w:t xml:space="preserve">567 GPs across Norfolk and Suffolk in 108 Practices. Table 1 shows the number of GP Practices within each CCG invited to take part in the survey and the distribution of Practices across the invited sample of CCGs. It also shows the number of </w:t>
      </w:r>
      <w:r>
        <w:rPr>
          <w:rFonts w:ascii="Calibri" w:hAnsi="Calibri"/>
          <w:sz w:val="28"/>
        </w:rPr>
        <w:t>P</w:t>
      </w:r>
      <w:r>
        <w:rPr>
          <w:rFonts w:ascii="Calibri" w:hAnsi="Calibri"/>
          <w:sz w:val="28"/>
          <w:lang w:eastAsia="en-GB"/>
        </w:rPr>
        <w:t xml:space="preserve">ractices responding to the survey and the distribution of Practices in the achieved sample.  The final column of Table 1 shows the DDR in each CCG at the time of the survey.  </w:t>
      </w:r>
    </w:p>
    <w:p w:rsidR="006B49CE" w:rsidRDefault="006E6B8D">
      <w:pPr>
        <w:spacing w:after="150"/>
        <w:rPr>
          <w:rFonts w:ascii="Calibri" w:hAnsi="Calibri"/>
          <w:sz w:val="28"/>
          <w:lang w:eastAsia="en-GB"/>
        </w:rPr>
      </w:pPr>
      <w:r>
        <w:rPr>
          <w:rFonts w:ascii="Calibri" w:hAnsi="Calibri"/>
          <w:sz w:val="28"/>
          <w:lang w:eastAsia="en-GB"/>
        </w:rPr>
        <w:t>Table 1 – Practices within CCGs Responding to the GP Survey</w:t>
      </w:r>
    </w:p>
    <w:tbl>
      <w:tblPr>
        <w:tblW w:w="8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4"/>
        <w:gridCol w:w="2524"/>
        <w:gridCol w:w="2941"/>
        <w:gridCol w:w="1648"/>
      </w:tblGrid>
      <w:tr w:rsidR="006B49CE">
        <w:tc>
          <w:tcPr>
            <w:tcW w:w="1514" w:type="dxa"/>
            <w:shd w:val="clear" w:color="auto" w:fill="auto"/>
          </w:tcPr>
          <w:p w:rsidR="006B49CE" w:rsidRDefault="006B49CE"/>
        </w:tc>
        <w:tc>
          <w:tcPr>
            <w:tcW w:w="2524" w:type="dxa"/>
          </w:tcPr>
          <w:p w:rsidR="006B49CE" w:rsidRDefault="006E6B8D">
            <w:r>
              <w:t>Number of Practices within CCGs and distribution CCGs invited to participate in the survey</w:t>
            </w:r>
          </w:p>
          <w:p w:rsidR="006B49CE" w:rsidRDefault="006E6B8D">
            <w:r>
              <w:t>N (distribution %)</w:t>
            </w:r>
          </w:p>
        </w:tc>
        <w:tc>
          <w:tcPr>
            <w:tcW w:w="2941" w:type="dxa"/>
          </w:tcPr>
          <w:p w:rsidR="006B49CE" w:rsidRDefault="006E6B8D">
            <w:r>
              <w:t>Number of Practices within CCGs taking part in the survey and distribution of Practices within the achieved sample</w:t>
            </w:r>
          </w:p>
          <w:p w:rsidR="006B49CE" w:rsidRDefault="006E6B8D">
            <w:r>
              <w:t>N (distribution %)</w:t>
            </w:r>
          </w:p>
        </w:tc>
        <w:tc>
          <w:tcPr>
            <w:tcW w:w="1648" w:type="dxa"/>
          </w:tcPr>
          <w:p w:rsidR="006B49CE" w:rsidRDefault="006E6B8D">
            <w:r>
              <w:t>DDR at the time of the survey</w:t>
            </w:r>
          </w:p>
          <w:p w:rsidR="006B49CE" w:rsidRDefault="006E6B8D">
            <w:r>
              <w:t>%</w:t>
            </w:r>
          </w:p>
        </w:tc>
      </w:tr>
      <w:tr w:rsidR="006B49CE">
        <w:tc>
          <w:tcPr>
            <w:tcW w:w="1514" w:type="dxa"/>
            <w:shd w:val="clear" w:color="auto" w:fill="auto"/>
          </w:tcPr>
          <w:p w:rsidR="006B49CE" w:rsidRDefault="006E6B8D">
            <w:r>
              <w:t>Total</w:t>
            </w:r>
          </w:p>
        </w:tc>
        <w:tc>
          <w:tcPr>
            <w:tcW w:w="2524" w:type="dxa"/>
          </w:tcPr>
          <w:p w:rsidR="006B49CE" w:rsidRDefault="006E6B8D">
            <w:r>
              <w:t>108</w:t>
            </w:r>
          </w:p>
        </w:tc>
        <w:tc>
          <w:tcPr>
            <w:tcW w:w="2941" w:type="dxa"/>
          </w:tcPr>
          <w:p w:rsidR="006B49CE" w:rsidRDefault="006E6B8D">
            <w:r>
              <w:t>57 (52%)</w:t>
            </w:r>
          </w:p>
        </w:tc>
        <w:tc>
          <w:tcPr>
            <w:tcW w:w="1648" w:type="dxa"/>
          </w:tcPr>
          <w:p w:rsidR="006B49CE" w:rsidRPr="004A5B21" w:rsidRDefault="004A5B21">
            <w:pPr>
              <w:rPr>
                <w:vertAlign w:val="superscript"/>
              </w:rPr>
            </w:pPr>
            <w:r>
              <w:t>39.9%</w:t>
            </w:r>
            <w:r>
              <w:rPr>
                <w:vertAlign w:val="superscript"/>
              </w:rPr>
              <w:t>a</w:t>
            </w:r>
          </w:p>
        </w:tc>
      </w:tr>
      <w:tr w:rsidR="006B49CE">
        <w:tc>
          <w:tcPr>
            <w:tcW w:w="1514" w:type="dxa"/>
            <w:shd w:val="clear" w:color="auto" w:fill="auto"/>
          </w:tcPr>
          <w:p w:rsidR="006B49CE" w:rsidRDefault="00EB5C48">
            <w:r>
              <w:t>CCG</w:t>
            </w:r>
            <w:r w:rsidR="006E6B8D">
              <w:t xml:space="preserve"> 1</w:t>
            </w:r>
          </w:p>
        </w:tc>
        <w:tc>
          <w:tcPr>
            <w:tcW w:w="2524" w:type="dxa"/>
          </w:tcPr>
          <w:p w:rsidR="006B49CE" w:rsidRDefault="006E6B8D">
            <w:r>
              <w:t>41 (38%)</w:t>
            </w:r>
          </w:p>
        </w:tc>
        <w:tc>
          <w:tcPr>
            <w:tcW w:w="2941" w:type="dxa"/>
          </w:tcPr>
          <w:p w:rsidR="006B49CE" w:rsidRDefault="006E6B8D">
            <w:r>
              <w:t>21 (37%)</w:t>
            </w:r>
          </w:p>
        </w:tc>
        <w:tc>
          <w:tcPr>
            <w:tcW w:w="1648" w:type="dxa"/>
          </w:tcPr>
          <w:p w:rsidR="006B49CE" w:rsidRDefault="006E6B8D">
            <w:r>
              <w:t>42.3%</w:t>
            </w:r>
          </w:p>
        </w:tc>
      </w:tr>
      <w:tr w:rsidR="006B49CE">
        <w:tc>
          <w:tcPr>
            <w:tcW w:w="1514" w:type="dxa"/>
            <w:shd w:val="clear" w:color="auto" w:fill="auto"/>
          </w:tcPr>
          <w:p w:rsidR="006B49CE" w:rsidRDefault="00EB5C48">
            <w:r>
              <w:t>CCC</w:t>
            </w:r>
            <w:r w:rsidR="006E6B8D">
              <w:t xml:space="preserve"> 2</w:t>
            </w:r>
          </w:p>
        </w:tc>
        <w:tc>
          <w:tcPr>
            <w:tcW w:w="2524" w:type="dxa"/>
          </w:tcPr>
          <w:p w:rsidR="006B49CE" w:rsidRDefault="006E6B8D">
            <w:r>
              <w:t>19 (18%)</w:t>
            </w:r>
          </w:p>
        </w:tc>
        <w:tc>
          <w:tcPr>
            <w:tcW w:w="2941" w:type="dxa"/>
          </w:tcPr>
          <w:p w:rsidR="006B49CE" w:rsidRDefault="006E6B8D">
            <w:r>
              <w:t>14 (24%)</w:t>
            </w:r>
          </w:p>
        </w:tc>
        <w:tc>
          <w:tcPr>
            <w:tcW w:w="1648" w:type="dxa"/>
          </w:tcPr>
          <w:p w:rsidR="006B49CE" w:rsidRDefault="006E6B8D">
            <w:r>
              <w:t>40.8%</w:t>
            </w:r>
          </w:p>
        </w:tc>
      </w:tr>
      <w:tr w:rsidR="006B49CE">
        <w:tc>
          <w:tcPr>
            <w:tcW w:w="1514" w:type="dxa"/>
            <w:shd w:val="clear" w:color="auto" w:fill="auto"/>
          </w:tcPr>
          <w:p w:rsidR="006B49CE" w:rsidRDefault="00EB5C48">
            <w:r>
              <w:t xml:space="preserve">CCG </w:t>
            </w:r>
            <w:r w:rsidR="006E6B8D">
              <w:t>3</w:t>
            </w:r>
          </w:p>
        </w:tc>
        <w:tc>
          <w:tcPr>
            <w:tcW w:w="2524" w:type="dxa"/>
          </w:tcPr>
          <w:p w:rsidR="006B49CE" w:rsidRDefault="006E6B8D">
            <w:r>
              <w:t>23 (21%)</w:t>
            </w:r>
          </w:p>
        </w:tc>
        <w:tc>
          <w:tcPr>
            <w:tcW w:w="2941" w:type="dxa"/>
          </w:tcPr>
          <w:p w:rsidR="006B49CE" w:rsidRDefault="006E6B8D">
            <w:r>
              <w:t>18 (31%)</w:t>
            </w:r>
          </w:p>
        </w:tc>
        <w:tc>
          <w:tcPr>
            <w:tcW w:w="1648" w:type="dxa"/>
          </w:tcPr>
          <w:p w:rsidR="006B49CE" w:rsidRDefault="006E6B8D">
            <w:r>
              <w:t>33.5%</w:t>
            </w:r>
          </w:p>
        </w:tc>
      </w:tr>
      <w:tr w:rsidR="006B49CE">
        <w:tc>
          <w:tcPr>
            <w:tcW w:w="1514" w:type="dxa"/>
            <w:shd w:val="clear" w:color="auto" w:fill="auto"/>
          </w:tcPr>
          <w:p w:rsidR="006B49CE" w:rsidRDefault="00EB5C48">
            <w:r>
              <w:t xml:space="preserve">CCG </w:t>
            </w:r>
            <w:r w:rsidR="006E6B8D">
              <w:t>4</w:t>
            </w:r>
          </w:p>
        </w:tc>
        <w:tc>
          <w:tcPr>
            <w:tcW w:w="2524" w:type="dxa"/>
          </w:tcPr>
          <w:p w:rsidR="006B49CE" w:rsidRDefault="006E6B8D">
            <w:r>
              <w:t>25 (23%)</w:t>
            </w:r>
          </w:p>
        </w:tc>
        <w:tc>
          <w:tcPr>
            <w:tcW w:w="2941" w:type="dxa"/>
          </w:tcPr>
          <w:p w:rsidR="006B49CE" w:rsidRDefault="006E6B8D">
            <w:r>
              <w:t>4 (7%)</w:t>
            </w:r>
          </w:p>
        </w:tc>
        <w:tc>
          <w:tcPr>
            <w:tcW w:w="1648" w:type="dxa"/>
          </w:tcPr>
          <w:p w:rsidR="006B49CE" w:rsidRDefault="006E6B8D">
            <w:r>
              <w:t>42.9</w:t>
            </w:r>
          </w:p>
        </w:tc>
      </w:tr>
    </w:tbl>
    <w:p w:rsidR="006B49CE" w:rsidRDefault="006E6B8D">
      <w:pPr>
        <w:rPr>
          <w:rFonts w:ascii="Calibri" w:hAnsi="Calibri"/>
          <w:sz w:val="24"/>
          <w:szCs w:val="24"/>
          <w:lang w:eastAsia="en-GB"/>
        </w:rPr>
      </w:pPr>
      <w:r w:rsidRPr="00D575CB">
        <w:rPr>
          <w:rFonts w:ascii="Calibri" w:hAnsi="Calibri"/>
          <w:sz w:val="24"/>
          <w:szCs w:val="24"/>
          <w:lang w:eastAsia="en-GB"/>
        </w:rPr>
        <w:t>Chi square 18.99893, with 3 degrees of freedom p=</w:t>
      </w:r>
      <w:r w:rsidR="00E0327E" w:rsidRPr="00D575CB">
        <w:rPr>
          <w:rFonts w:ascii="Calibri" w:hAnsi="Calibri"/>
          <w:sz w:val="24"/>
          <w:szCs w:val="24"/>
          <w:lang w:eastAsia="en-GB"/>
        </w:rPr>
        <w:t>.</w:t>
      </w:r>
      <w:r w:rsidRPr="00D575CB">
        <w:rPr>
          <w:rFonts w:ascii="Calibri" w:hAnsi="Calibri"/>
          <w:sz w:val="24"/>
          <w:szCs w:val="24"/>
          <w:lang w:eastAsia="en-GB"/>
        </w:rPr>
        <w:t>0001</w:t>
      </w:r>
    </w:p>
    <w:p w:rsidR="004A5B21" w:rsidRPr="00A03C86" w:rsidRDefault="004A5B21" w:rsidP="004A5B21">
      <w:pPr>
        <w:rPr>
          <w:rFonts w:ascii="Calibri" w:hAnsi="Calibri"/>
          <w:sz w:val="24"/>
          <w:szCs w:val="24"/>
          <w:lang w:eastAsia="en-GB"/>
        </w:rPr>
      </w:pPr>
      <w:r>
        <w:rPr>
          <w:rFonts w:ascii="Calibri" w:hAnsi="Calibri"/>
          <w:sz w:val="24"/>
          <w:szCs w:val="24"/>
          <w:lang w:eastAsia="en-GB"/>
        </w:rPr>
        <w:t>a) Standard deviation 5.32</w:t>
      </w:r>
    </w:p>
    <w:p w:rsidR="004A5B21" w:rsidRPr="00D575CB" w:rsidRDefault="004A5B21">
      <w:pPr>
        <w:rPr>
          <w:rFonts w:ascii="Calibri" w:hAnsi="Calibri"/>
          <w:sz w:val="24"/>
          <w:szCs w:val="24"/>
          <w:lang w:eastAsia="en-GB"/>
        </w:rPr>
      </w:pPr>
    </w:p>
    <w:p w:rsidR="006B49CE" w:rsidRPr="00D575CB" w:rsidRDefault="006E6B8D">
      <w:pPr>
        <w:rPr>
          <w:rFonts w:ascii="Calibri" w:hAnsi="Calibri"/>
          <w:sz w:val="28"/>
          <w:szCs w:val="28"/>
          <w:lang w:eastAsia="en-GB"/>
        </w:rPr>
      </w:pPr>
      <w:r w:rsidRPr="00D575CB">
        <w:rPr>
          <w:rFonts w:ascii="Calibri" w:hAnsi="Calibri"/>
          <w:sz w:val="28"/>
          <w:szCs w:val="28"/>
          <w:lang w:eastAsia="en-GB"/>
        </w:rPr>
        <w:t xml:space="preserve">Table 1 shows that GP responses came from just over half of the practices invited to take part in the survey.  It also shows that there was a significant difference in the proportion of </w:t>
      </w:r>
      <w:r w:rsidR="000D2BDC" w:rsidRPr="00D575CB">
        <w:rPr>
          <w:rFonts w:ascii="Calibri" w:hAnsi="Calibri"/>
          <w:sz w:val="28"/>
          <w:szCs w:val="28"/>
          <w:lang w:eastAsia="en-GB"/>
        </w:rPr>
        <w:t>P</w:t>
      </w:r>
      <w:r w:rsidRPr="00D575CB">
        <w:rPr>
          <w:rFonts w:ascii="Calibri" w:hAnsi="Calibri"/>
          <w:sz w:val="28"/>
          <w:szCs w:val="28"/>
          <w:lang w:eastAsia="en-GB"/>
        </w:rPr>
        <w:t>ractices with</w:t>
      </w:r>
      <w:r w:rsidR="000D2BDC" w:rsidRPr="00D575CB">
        <w:rPr>
          <w:rFonts w:ascii="Calibri" w:hAnsi="Calibri"/>
          <w:sz w:val="28"/>
          <w:szCs w:val="28"/>
          <w:lang w:eastAsia="en-GB"/>
        </w:rPr>
        <w:t>in</w:t>
      </w:r>
      <w:r w:rsidRPr="00D575CB">
        <w:rPr>
          <w:rFonts w:ascii="Calibri" w:hAnsi="Calibri"/>
          <w:sz w:val="28"/>
          <w:szCs w:val="28"/>
          <w:lang w:eastAsia="en-GB"/>
        </w:rPr>
        <w:t xml:space="preserve"> CCGs</w:t>
      </w:r>
      <w:r w:rsidR="000D2BDC" w:rsidRPr="00D575CB">
        <w:rPr>
          <w:rFonts w:ascii="Calibri" w:hAnsi="Calibri"/>
          <w:sz w:val="28"/>
          <w:szCs w:val="28"/>
          <w:lang w:eastAsia="en-GB"/>
        </w:rPr>
        <w:t xml:space="preserve"> with GPs</w:t>
      </w:r>
      <w:r w:rsidRPr="00D575CB">
        <w:rPr>
          <w:rFonts w:ascii="Calibri" w:hAnsi="Calibri"/>
          <w:sz w:val="28"/>
          <w:szCs w:val="28"/>
          <w:lang w:eastAsia="en-GB"/>
        </w:rPr>
        <w:t xml:space="preserve"> responding to the survey, with a significantly </w:t>
      </w:r>
      <w:r w:rsidRPr="00D575CB">
        <w:rPr>
          <w:rFonts w:ascii="Calibri" w:hAnsi="Calibri"/>
          <w:sz w:val="28"/>
          <w:szCs w:val="28"/>
        </w:rPr>
        <w:t xml:space="preserve">higher </w:t>
      </w:r>
      <w:r w:rsidRPr="00D575CB">
        <w:rPr>
          <w:rFonts w:ascii="Calibri" w:hAnsi="Calibri"/>
          <w:sz w:val="28"/>
          <w:szCs w:val="28"/>
          <w:lang w:eastAsia="en-GB"/>
        </w:rPr>
        <w:t xml:space="preserve">proportion of </w:t>
      </w:r>
      <w:r w:rsidRPr="00D575CB">
        <w:rPr>
          <w:rFonts w:ascii="Calibri" w:hAnsi="Calibri"/>
          <w:sz w:val="28"/>
          <w:szCs w:val="28"/>
          <w:lang w:eastAsia="en-GB"/>
        </w:rPr>
        <w:lastRenderedPageBreak/>
        <w:t>Practices responding in CCGs 2 and 3 than might be expected, and a significantly lower proportion of practices</w:t>
      </w:r>
      <w:r w:rsidR="000D2BDC" w:rsidRPr="00D575CB">
        <w:rPr>
          <w:rFonts w:ascii="Calibri" w:hAnsi="Calibri"/>
          <w:sz w:val="28"/>
          <w:szCs w:val="28"/>
          <w:lang w:eastAsia="en-GB"/>
        </w:rPr>
        <w:t xml:space="preserve"> with GPs</w:t>
      </w:r>
      <w:r w:rsidRPr="00D575CB">
        <w:rPr>
          <w:rFonts w:ascii="Calibri" w:hAnsi="Calibri"/>
          <w:sz w:val="28"/>
          <w:szCs w:val="28"/>
          <w:lang w:eastAsia="en-GB"/>
        </w:rPr>
        <w:t xml:space="preserve"> responding in CCG4 than might be expected. The third column of results shows a variation in the level of diagnosis rates between the CCGs, but interestingly there is no significant difference in DDRs between the highest responding </w:t>
      </w:r>
      <w:r w:rsidR="00E0327E" w:rsidRPr="00D575CB">
        <w:rPr>
          <w:rFonts w:ascii="Calibri" w:hAnsi="Calibri"/>
          <w:sz w:val="28"/>
          <w:szCs w:val="28"/>
          <w:lang w:eastAsia="en-GB"/>
        </w:rPr>
        <w:t>CC</w:t>
      </w:r>
      <w:r w:rsidRPr="00D575CB">
        <w:rPr>
          <w:rFonts w:ascii="Calibri" w:hAnsi="Calibri"/>
          <w:sz w:val="28"/>
          <w:szCs w:val="28"/>
          <w:lang w:eastAsia="en-GB"/>
        </w:rPr>
        <w:t>G (1) and the lowest responding DDG (4).  It is possible that GP</w:t>
      </w:r>
      <w:r w:rsidRPr="00D575CB">
        <w:rPr>
          <w:rFonts w:ascii="Calibri" w:hAnsi="Calibri"/>
          <w:sz w:val="28"/>
          <w:szCs w:val="28"/>
        </w:rPr>
        <w:t>s</w:t>
      </w:r>
      <w:r w:rsidRPr="00D575CB">
        <w:rPr>
          <w:rFonts w:ascii="Calibri" w:hAnsi="Calibri"/>
          <w:sz w:val="28"/>
          <w:szCs w:val="28"/>
          <w:lang w:eastAsia="en-GB"/>
        </w:rPr>
        <w:t xml:space="preserve"> in CCG4 did not see the invitation to the survey </w:t>
      </w:r>
      <w:r w:rsidRPr="00D575CB">
        <w:rPr>
          <w:rFonts w:ascii="Calibri" w:hAnsi="Calibri"/>
          <w:sz w:val="28"/>
          <w:szCs w:val="28"/>
        </w:rPr>
        <w:t>since</w:t>
      </w:r>
      <w:r w:rsidRPr="00D575CB">
        <w:rPr>
          <w:rFonts w:ascii="Calibri" w:hAnsi="Calibri"/>
          <w:sz w:val="28"/>
          <w:szCs w:val="28"/>
          <w:lang w:eastAsia="en-GB"/>
        </w:rPr>
        <w:t xml:space="preserve"> the link (as mentioned above) was embedded in a Newsletter attached to an email rather than </w:t>
      </w:r>
      <w:r w:rsidRPr="00D575CB">
        <w:rPr>
          <w:rFonts w:ascii="Calibri" w:hAnsi="Calibri"/>
          <w:sz w:val="28"/>
          <w:szCs w:val="28"/>
        </w:rPr>
        <w:t>with</w:t>
      </w:r>
      <w:r w:rsidRPr="00D575CB">
        <w:rPr>
          <w:rFonts w:ascii="Calibri" w:hAnsi="Calibri"/>
          <w:sz w:val="28"/>
          <w:szCs w:val="28"/>
          <w:lang w:eastAsia="en-GB"/>
        </w:rPr>
        <w:t xml:space="preserve">in an email </w:t>
      </w:r>
      <w:r w:rsidRPr="00D575CB">
        <w:rPr>
          <w:rFonts w:ascii="Calibri" w:hAnsi="Calibri"/>
          <w:sz w:val="28"/>
          <w:szCs w:val="28"/>
        </w:rPr>
        <w:t xml:space="preserve">message </w:t>
      </w:r>
      <w:r w:rsidRPr="00D575CB">
        <w:rPr>
          <w:rFonts w:ascii="Calibri" w:hAnsi="Calibri"/>
          <w:sz w:val="28"/>
          <w:szCs w:val="28"/>
          <w:lang w:eastAsia="en-GB"/>
        </w:rPr>
        <w:t>specifically inviting GPs to participate in the survey.  Therefore, the calculation of the GP response rate exclude</w:t>
      </w:r>
      <w:r w:rsidR="00E0327E" w:rsidRPr="00D575CB">
        <w:rPr>
          <w:rFonts w:ascii="Calibri" w:hAnsi="Calibri"/>
          <w:sz w:val="28"/>
          <w:szCs w:val="28"/>
          <w:lang w:eastAsia="en-GB"/>
        </w:rPr>
        <w:t>s</w:t>
      </w:r>
      <w:r w:rsidRPr="00D575CB">
        <w:rPr>
          <w:rFonts w:ascii="Calibri" w:hAnsi="Calibri"/>
          <w:sz w:val="28"/>
          <w:szCs w:val="28"/>
          <w:lang w:eastAsia="en-GB"/>
        </w:rPr>
        <w:t xml:space="preserve"> </w:t>
      </w:r>
      <w:r w:rsidRPr="00D575CB">
        <w:rPr>
          <w:rFonts w:ascii="Calibri" w:hAnsi="Calibri"/>
          <w:sz w:val="28"/>
          <w:szCs w:val="28"/>
        </w:rPr>
        <w:t xml:space="preserve">the GP responses from </w:t>
      </w:r>
      <w:r w:rsidRPr="00D575CB">
        <w:rPr>
          <w:rFonts w:ascii="Calibri" w:hAnsi="Calibri"/>
          <w:sz w:val="28"/>
          <w:szCs w:val="28"/>
          <w:lang w:eastAsia="en-GB"/>
        </w:rPr>
        <w:t xml:space="preserve">CCG4. </w:t>
      </w:r>
    </w:p>
    <w:p w:rsidR="006B49CE" w:rsidRDefault="006B49CE">
      <w:pPr>
        <w:spacing w:after="150"/>
        <w:rPr>
          <w:rFonts w:ascii="Calibri" w:hAnsi="Calibri"/>
          <w:sz w:val="28"/>
          <w:lang w:eastAsia="en-GB"/>
        </w:rPr>
      </w:pPr>
    </w:p>
    <w:p w:rsidR="006B49CE" w:rsidRDefault="006B49CE">
      <w:pPr>
        <w:spacing w:after="150"/>
        <w:rPr>
          <w:rFonts w:ascii="Calibri" w:hAnsi="Calibri"/>
          <w:sz w:val="28"/>
          <w:lang w:eastAsia="en-GB"/>
        </w:rPr>
      </w:pPr>
    </w:p>
    <w:p w:rsidR="006B49CE" w:rsidRDefault="006E6B8D">
      <w:pPr>
        <w:spacing w:after="150"/>
        <w:rPr>
          <w:rFonts w:ascii="Calibri" w:hAnsi="Calibri"/>
          <w:sz w:val="28"/>
          <w:lang w:eastAsia="en-GB"/>
        </w:rPr>
      </w:pPr>
      <w:r>
        <w:rPr>
          <w:rFonts w:ascii="Calibri" w:hAnsi="Calibri"/>
          <w:sz w:val="28"/>
          <w:lang w:eastAsia="en-GB"/>
        </w:rPr>
        <w:t xml:space="preserve">Four hundred GPs were invited to take part in the GP Survey (excluding 157 in CCG4). Overall, 113 (28%) GPs completed the online survey.  Table 2 shows </w:t>
      </w:r>
      <w:r w:rsidR="00E0327E">
        <w:rPr>
          <w:rFonts w:ascii="Calibri" w:hAnsi="Calibri"/>
          <w:sz w:val="28"/>
          <w:lang w:eastAsia="en-GB"/>
        </w:rPr>
        <w:t>a</w:t>
      </w:r>
      <w:r>
        <w:rPr>
          <w:rFonts w:ascii="Calibri" w:hAnsi="Calibri"/>
          <w:sz w:val="28"/>
          <w:lang w:eastAsia="en-GB"/>
        </w:rPr>
        <w:t xml:space="preserve">) the number of GPs in each CCG and the proportion of GPs across the CCGs invited to the take part in the survey and </w:t>
      </w:r>
      <w:r w:rsidR="00E0327E">
        <w:rPr>
          <w:rFonts w:ascii="Calibri" w:hAnsi="Calibri"/>
          <w:sz w:val="28"/>
          <w:lang w:eastAsia="en-GB"/>
        </w:rPr>
        <w:t>b</w:t>
      </w:r>
      <w:r>
        <w:rPr>
          <w:rFonts w:ascii="Calibri" w:hAnsi="Calibri"/>
          <w:sz w:val="28"/>
          <w:lang w:eastAsia="en-GB"/>
        </w:rPr>
        <w:t>) the number of GPs within CCGs and the proportion of GPs across CCGs invited to take part in the survey responding to the survey.  A chi</w:t>
      </w:r>
      <w:r>
        <w:rPr>
          <w:rFonts w:ascii="Calibri" w:hAnsi="Calibri"/>
          <w:sz w:val="28"/>
        </w:rPr>
        <w:t>-</w:t>
      </w:r>
      <w:r>
        <w:rPr>
          <w:rFonts w:ascii="Calibri" w:hAnsi="Calibri"/>
          <w:sz w:val="28"/>
          <w:lang w:eastAsia="en-GB"/>
        </w:rPr>
        <w:t xml:space="preserve">square test was carried out to assess if any of the observed proportions of GPs’ responding to the survey were significantly different from the expected proportions of GPs responding to the survey across the distribution of GPs in CCGs invited to take part in the survey. </w:t>
      </w:r>
    </w:p>
    <w:p w:rsidR="006B49CE" w:rsidRDefault="006E6B8D">
      <w:pPr>
        <w:spacing w:after="150"/>
        <w:rPr>
          <w:rFonts w:ascii="Calibri" w:hAnsi="Calibri"/>
          <w:sz w:val="28"/>
          <w:lang w:eastAsia="en-GB"/>
        </w:rPr>
      </w:pPr>
      <w:r>
        <w:rPr>
          <w:rFonts w:ascii="Calibri" w:hAnsi="Calibri"/>
          <w:sz w:val="28"/>
          <w:lang w:eastAsia="en-GB"/>
        </w:rPr>
        <w:t>Table 2: Expected and observed responses to the GP Survey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0"/>
        <w:gridCol w:w="1493"/>
        <w:gridCol w:w="1776"/>
        <w:gridCol w:w="1776"/>
        <w:gridCol w:w="1845"/>
      </w:tblGrid>
      <w:tr w:rsidR="006B49CE">
        <w:tc>
          <w:tcPr>
            <w:tcW w:w="1320" w:type="dxa"/>
            <w:shd w:val="clear" w:color="auto" w:fill="auto"/>
          </w:tcPr>
          <w:p w:rsidR="006B49CE" w:rsidRDefault="006B49CE"/>
        </w:tc>
        <w:tc>
          <w:tcPr>
            <w:tcW w:w="1493" w:type="dxa"/>
            <w:shd w:val="clear" w:color="auto" w:fill="auto"/>
          </w:tcPr>
          <w:p w:rsidR="006B49CE" w:rsidRDefault="006E6B8D">
            <w:r>
              <w:t>Number of GPs surveyed</w:t>
            </w:r>
          </w:p>
        </w:tc>
        <w:tc>
          <w:tcPr>
            <w:tcW w:w="1776" w:type="dxa"/>
          </w:tcPr>
          <w:p w:rsidR="006B49CE" w:rsidRDefault="006E6B8D">
            <w:r>
              <w:t>Percentage of GPs across CCGs invited to take part in the survey</w:t>
            </w:r>
          </w:p>
        </w:tc>
        <w:tc>
          <w:tcPr>
            <w:tcW w:w="1776" w:type="dxa"/>
            <w:shd w:val="clear" w:color="auto" w:fill="auto"/>
          </w:tcPr>
          <w:p w:rsidR="006B49CE" w:rsidRDefault="006E6B8D">
            <w:r>
              <w:t xml:space="preserve">Number  of respondents  </w:t>
            </w:r>
          </w:p>
        </w:tc>
        <w:tc>
          <w:tcPr>
            <w:tcW w:w="1845" w:type="dxa"/>
            <w:shd w:val="clear" w:color="auto" w:fill="auto"/>
          </w:tcPr>
          <w:p w:rsidR="006B49CE" w:rsidRDefault="006E6B8D">
            <w:r>
              <w:t>Response rate from GPs across CCG (%)</w:t>
            </w:r>
          </w:p>
        </w:tc>
      </w:tr>
      <w:tr w:rsidR="00E0327E">
        <w:tc>
          <w:tcPr>
            <w:tcW w:w="1320" w:type="dxa"/>
            <w:shd w:val="clear" w:color="auto" w:fill="auto"/>
          </w:tcPr>
          <w:p w:rsidR="00E0327E" w:rsidRDefault="00E0327E">
            <w:r>
              <w:t>CCG 1</w:t>
            </w:r>
          </w:p>
        </w:tc>
        <w:tc>
          <w:tcPr>
            <w:tcW w:w="1493" w:type="dxa"/>
            <w:shd w:val="clear" w:color="auto" w:fill="auto"/>
          </w:tcPr>
          <w:p w:rsidR="00E0327E" w:rsidRDefault="00E0327E">
            <w:r>
              <w:t>180</w:t>
            </w:r>
          </w:p>
        </w:tc>
        <w:tc>
          <w:tcPr>
            <w:tcW w:w="1776" w:type="dxa"/>
          </w:tcPr>
          <w:p w:rsidR="00E0327E" w:rsidRDefault="00E0327E">
            <w:r>
              <w:t>45%</w:t>
            </w:r>
          </w:p>
        </w:tc>
        <w:tc>
          <w:tcPr>
            <w:tcW w:w="1776" w:type="dxa"/>
            <w:shd w:val="clear" w:color="auto" w:fill="auto"/>
          </w:tcPr>
          <w:p w:rsidR="00E0327E" w:rsidRDefault="00E0327E">
            <w:r>
              <w:t>34</w:t>
            </w:r>
          </w:p>
        </w:tc>
        <w:tc>
          <w:tcPr>
            <w:tcW w:w="1845" w:type="dxa"/>
            <w:shd w:val="clear" w:color="auto" w:fill="auto"/>
          </w:tcPr>
          <w:p w:rsidR="00E0327E" w:rsidRDefault="00E0327E">
            <w:r>
              <w:t xml:space="preserve"> 29%</w:t>
            </w:r>
          </w:p>
        </w:tc>
      </w:tr>
      <w:tr w:rsidR="00E0327E">
        <w:tc>
          <w:tcPr>
            <w:tcW w:w="1320" w:type="dxa"/>
            <w:shd w:val="clear" w:color="auto" w:fill="auto"/>
          </w:tcPr>
          <w:p w:rsidR="00E0327E" w:rsidRDefault="00E0327E">
            <w:r>
              <w:t>CCC 2</w:t>
            </w:r>
          </w:p>
        </w:tc>
        <w:tc>
          <w:tcPr>
            <w:tcW w:w="1493" w:type="dxa"/>
            <w:shd w:val="clear" w:color="auto" w:fill="auto"/>
          </w:tcPr>
          <w:p w:rsidR="00E0327E" w:rsidRDefault="00E0327E">
            <w:r>
              <w:t>100</w:t>
            </w:r>
          </w:p>
        </w:tc>
        <w:tc>
          <w:tcPr>
            <w:tcW w:w="1776" w:type="dxa"/>
          </w:tcPr>
          <w:p w:rsidR="00E0327E" w:rsidRDefault="00E0327E">
            <w:r>
              <w:t>25%</w:t>
            </w:r>
          </w:p>
        </w:tc>
        <w:tc>
          <w:tcPr>
            <w:tcW w:w="1776" w:type="dxa"/>
            <w:shd w:val="clear" w:color="auto" w:fill="auto"/>
          </w:tcPr>
          <w:p w:rsidR="00E0327E" w:rsidRDefault="00E0327E">
            <w:r>
              <w:t>39</w:t>
            </w:r>
          </w:p>
        </w:tc>
        <w:tc>
          <w:tcPr>
            <w:tcW w:w="1845" w:type="dxa"/>
            <w:shd w:val="clear" w:color="auto" w:fill="auto"/>
          </w:tcPr>
          <w:p w:rsidR="00E0327E" w:rsidRDefault="00E0327E">
            <w:r>
              <w:t>34%</w:t>
            </w:r>
          </w:p>
        </w:tc>
      </w:tr>
      <w:tr w:rsidR="00E0327E">
        <w:tc>
          <w:tcPr>
            <w:tcW w:w="1320" w:type="dxa"/>
            <w:shd w:val="clear" w:color="auto" w:fill="auto"/>
          </w:tcPr>
          <w:p w:rsidR="00E0327E" w:rsidRDefault="00E0327E">
            <w:r>
              <w:lastRenderedPageBreak/>
              <w:t>CCG 3</w:t>
            </w:r>
          </w:p>
        </w:tc>
        <w:tc>
          <w:tcPr>
            <w:tcW w:w="1493" w:type="dxa"/>
            <w:shd w:val="clear" w:color="auto" w:fill="auto"/>
          </w:tcPr>
          <w:p w:rsidR="00E0327E" w:rsidRDefault="00E0327E">
            <w:r>
              <w:t>120</w:t>
            </w:r>
          </w:p>
        </w:tc>
        <w:tc>
          <w:tcPr>
            <w:tcW w:w="1776" w:type="dxa"/>
          </w:tcPr>
          <w:p w:rsidR="00E0327E" w:rsidRDefault="00E0327E">
            <w:r>
              <w:t>30%</w:t>
            </w:r>
          </w:p>
        </w:tc>
        <w:tc>
          <w:tcPr>
            <w:tcW w:w="1776" w:type="dxa"/>
            <w:shd w:val="clear" w:color="auto" w:fill="auto"/>
          </w:tcPr>
          <w:p w:rsidR="00E0327E" w:rsidRDefault="00E0327E">
            <w:r>
              <w:t>43</w:t>
            </w:r>
          </w:p>
        </w:tc>
        <w:tc>
          <w:tcPr>
            <w:tcW w:w="1845" w:type="dxa"/>
            <w:shd w:val="clear" w:color="auto" w:fill="auto"/>
          </w:tcPr>
          <w:p w:rsidR="00E0327E" w:rsidRDefault="00E0327E">
            <w:r>
              <w:t>37%</w:t>
            </w:r>
          </w:p>
        </w:tc>
      </w:tr>
    </w:tbl>
    <w:p w:rsidR="006B49CE" w:rsidRDefault="006E6B8D">
      <w:pPr>
        <w:spacing w:after="0"/>
        <w:rPr>
          <w:rFonts w:ascii="Calibri" w:hAnsi="Calibri"/>
          <w:lang w:eastAsia="en-GB"/>
        </w:rPr>
      </w:pPr>
      <w:r>
        <w:rPr>
          <w:rFonts w:ascii="Calibri" w:hAnsi="Calibri"/>
          <w:lang w:eastAsia="en-GB"/>
        </w:rPr>
        <w:t>Chi square 16.16222, 2 degrees freedom p=0.01</w:t>
      </w:r>
    </w:p>
    <w:p w:rsidR="000D2BDC" w:rsidRDefault="000D2BDC">
      <w:pPr>
        <w:spacing w:after="0"/>
        <w:rPr>
          <w:rFonts w:ascii="Calibri" w:hAnsi="Calibri"/>
          <w:sz w:val="28"/>
          <w:lang w:eastAsia="en-GB"/>
        </w:rPr>
      </w:pPr>
    </w:p>
    <w:p w:rsidR="006B49CE" w:rsidRPr="00D575CB" w:rsidRDefault="006E6B8D">
      <w:pPr>
        <w:spacing w:after="0"/>
        <w:rPr>
          <w:rFonts w:ascii="Calibri" w:hAnsi="Calibri"/>
          <w:sz w:val="28"/>
          <w:szCs w:val="28"/>
          <w:lang w:eastAsia="en-GB"/>
        </w:rPr>
      </w:pPr>
      <w:r>
        <w:rPr>
          <w:rFonts w:ascii="Calibri" w:hAnsi="Calibri"/>
          <w:sz w:val="28"/>
          <w:lang w:eastAsia="en-GB"/>
        </w:rPr>
        <w:t xml:space="preserve">If GPs within </w:t>
      </w:r>
      <w:r>
        <w:rPr>
          <w:rFonts w:ascii="Calibri" w:hAnsi="Calibri"/>
          <w:sz w:val="28"/>
        </w:rPr>
        <w:t xml:space="preserve">each </w:t>
      </w:r>
      <w:r>
        <w:rPr>
          <w:rFonts w:ascii="Calibri" w:hAnsi="Calibri"/>
          <w:sz w:val="28"/>
          <w:lang w:eastAsia="en-GB"/>
        </w:rPr>
        <w:t xml:space="preserve">CCGs had all responded in </w:t>
      </w:r>
      <w:r>
        <w:rPr>
          <w:rFonts w:ascii="Calibri" w:hAnsi="Calibri"/>
          <w:sz w:val="28"/>
        </w:rPr>
        <w:t>the same</w:t>
      </w:r>
      <w:r>
        <w:rPr>
          <w:rFonts w:ascii="Calibri" w:hAnsi="Calibri"/>
          <w:sz w:val="28"/>
          <w:lang w:eastAsia="en-GB"/>
        </w:rPr>
        <w:t xml:space="preserve"> proportion</w:t>
      </w:r>
      <w:r>
        <w:rPr>
          <w:rFonts w:ascii="Calibri" w:hAnsi="Calibri"/>
          <w:sz w:val="28"/>
        </w:rPr>
        <w:t>s</w:t>
      </w:r>
      <w:r>
        <w:rPr>
          <w:rFonts w:ascii="Calibri" w:hAnsi="Calibri"/>
          <w:sz w:val="28"/>
          <w:lang w:eastAsia="en-GB"/>
        </w:rPr>
        <w:t xml:space="preserve"> </w:t>
      </w:r>
      <w:r>
        <w:rPr>
          <w:rFonts w:ascii="Calibri" w:hAnsi="Calibri"/>
          <w:sz w:val="28"/>
        </w:rPr>
        <w:t>as</w:t>
      </w:r>
      <w:r>
        <w:rPr>
          <w:rFonts w:ascii="Calibri" w:hAnsi="Calibri"/>
          <w:sz w:val="28"/>
          <w:lang w:eastAsia="en-GB"/>
        </w:rPr>
        <w:t xml:space="preserve"> the distribution of GPs across the CCGs</w:t>
      </w:r>
      <w:r>
        <w:rPr>
          <w:rFonts w:ascii="Calibri" w:hAnsi="Calibri"/>
          <w:sz w:val="28"/>
        </w:rPr>
        <w:t>,</w:t>
      </w:r>
      <w:r>
        <w:rPr>
          <w:rFonts w:ascii="Calibri" w:hAnsi="Calibri"/>
          <w:sz w:val="28"/>
          <w:lang w:eastAsia="en-GB"/>
        </w:rPr>
        <w:t xml:space="preserve"> we would have expect</w:t>
      </w:r>
      <w:r>
        <w:rPr>
          <w:rFonts w:ascii="Calibri" w:hAnsi="Calibri"/>
          <w:sz w:val="28"/>
        </w:rPr>
        <w:t>ed</w:t>
      </w:r>
      <w:r>
        <w:rPr>
          <w:rFonts w:ascii="Calibri" w:hAnsi="Calibri"/>
          <w:sz w:val="28"/>
          <w:lang w:eastAsia="en-GB"/>
        </w:rPr>
        <w:t xml:space="preserve"> the sample </w:t>
      </w:r>
      <w:r>
        <w:rPr>
          <w:rFonts w:ascii="Calibri" w:hAnsi="Calibri"/>
          <w:sz w:val="28"/>
        </w:rPr>
        <w:t xml:space="preserve">return </w:t>
      </w:r>
      <w:r>
        <w:rPr>
          <w:rFonts w:ascii="Calibri" w:hAnsi="Calibri"/>
          <w:sz w:val="28"/>
          <w:lang w:eastAsia="en-GB"/>
        </w:rPr>
        <w:t xml:space="preserve">to </w:t>
      </w:r>
      <w:r>
        <w:rPr>
          <w:rFonts w:ascii="Calibri" w:hAnsi="Calibri"/>
          <w:sz w:val="28"/>
        </w:rPr>
        <w:t xml:space="preserve">show </w:t>
      </w:r>
      <w:r>
        <w:rPr>
          <w:rFonts w:ascii="Calibri" w:hAnsi="Calibri"/>
          <w:sz w:val="28"/>
          <w:lang w:eastAsia="en-GB"/>
        </w:rPr>
        <w:t>45% of GPs from CCG1, 25</w:t>
      </w:r>
      <w:proofErr w:type="gramStart"/>
      <w:r>
        <w:rPr>
          <w:rFonts w:ascii="Calibri" w:hAnsi="Calibri"/>
          <w:sz w:val="28"/>
          <w:lang w:eastAsia="en-GB"/>
        </w:rPr>
        <w:t>%</w:t>
      </w:r>
      <w:r w:rsidR="000D2BDC">
        <w:rPr>
          <w:rFonts w:ascii="Calibri" w:hAnsi="Calibri"/>
          <w:sz w:val="28"/>
          <w:lang w:eastAsia="en-GB"/>
        </w:rPr>
        <w:t xml:space="preserve"> </w:t>
      </w:r>
      <w:r>
        <w:rPr>
          <w:rFonts w:ascii="Calibri" w:hAnsi="Calibri"/>
          <w:sz w:val="28"/>
          <w:lang w:eastAsia="en-GB"/>
        </w:rPr>
        <w:t xml:space="preserve"> from</w:t>
      </w:r>
      <w:proofErr w:type="gramEnd"/>
      <w:r>
        <w:rPr>
          <w:rFonts w:ascii="Calibri" w:hAnsi="Calibri"/>
          <w:sz w:val="28"/>
          <w:lang w:eastAsia="en-GB"/>
        </w:rPr>
        <w:t xml:space="preserve"> CCG2 and 30% from CCG3.  However, only 29% of responding GPs came from CCG1, 34% from CCG2 and 37% from CCG3.  The observed </w:t>
      </w:r>
      <w:r w:rsidRPr="007912B5">
        <w:rPr>
          <w:rFonts w:ascii="Calibri" w:hAnsi="Calibri"/>
          <w:sz w:val="28"/>
          <w:szCs w:val="28"/>
          <w:lang w:eastAsia="en-GB"/>
        </w:rPr>
        <w:t>difference</w:t>
      </w:r>
      <w:r w:rsidRPr="007912B5">
        <w:rPr>
          <w:rFonts w:ascii="Calibri" w:hAnsi="Calibri"/>
          <w:sz w:val="28"/>
          <w:szCs w:val="28"/>
        </w:rPr>
        <w:t>s</w:t>
      </w:r>
      <w:r w:rsidRPr="007912B5">
        <w:rPr>
          <w:rFonts w:ascii="Calibri" w:hAnsi="Calibri"/>
          <w:sz w:val="28"/>
          <w:szCs w:val="28"/>
          <w:lang w:eastAsia="en-GB"/>
        </w:rPr>
        <w:t xml:space="preserve"> were statistically significant</w:t>
      </w:r>
      <w:r w:rsidRPr="008F5D3A">
        <w:rPr>
          <w:rFonts w:ascii="Calibri" w:hAnsi="Calibri"/>
          <w:sz w:val="28"/>
          <w:szCs w:val="28"/>
          <w:lang w:eastAsia="en-GB"/>
        </w:rPr>
        <w:t xml:space="preserve"> (with a </w:t>
      </w:r>
      <w:r w:rsidRPr="00D575CB">
        <w:rPr>
          <w:rFonts w:ascii="Calibri" w:hAnsi="Calibri"/>
          <w:sz w:val="28"/>
          <w:szCs w:val="28"/>
          <w:lang w:eastAsia="en-GB"/>
        </w:rPr>
        <w:t>Chi square</w:t>
      </w:r>
      <w:r w:rsidR="00C80BFB" w:rsidRPr="00D575CB">
        <w:rPr>
          <w:rFonts w:ascii="Calibri" w:hAnsi="Calibri"/>
          <w:sz w:val="28"/>
          <w:szCs w:val="28"/>
          <w:lang w:eastAsia="en-GB"/>
        </w:rPr>
        <w:t xml:space="preserve"> of</w:t>
      </w:r>
      <w:r w:rsidRPr="00D575CB">
        <w:rPr>
          <w:rFonts w:ascii="Calibri" w:hAnsi="Calibri"/>
          <w:sz w:val="28"/>
          <w:szCs w:val="28"/>
          <w:lang w:eastAsia="en-GB"/>
        </w:rPr>
        <w:t xml:space="preserve"> 16.16222, 2 degrees freedom</w:t>
      </w:r>
      <w:r w:rsidR="00C80BFB" w:rsidRPr="00D575CB">
        <w:rPr>
          <w:rFonts w:ascii="Calibri" w:hAnsi="Calibri"/>
          <w:sz w:val="28"/>
          <w:szCs w:val="28"/>
          <w:lang w:eastAsia="en-GB"/>
        </w:rPr>
        <w:t xml:space="preserve"> and a p-value of </w:t>
      </w:r>
      <w:r w:rsidRPr="00D575CB">
        <w:rPr>
          <w:rFonts w:ascii="Calibri" w:hAnsi="Calibri"/>
          <w:sz w:val="28"/>
          <w:szCs w:val="28"/>
          <w:lang w:eastAsia="en-GB"/>
        </w:rPr>
        <w:t xml:space="preserve">0.01) with CCG1 having a statistically significant lower proportion of responses than might be expected and CCG2 and 3 having a significantly higher proportion of responses than might </w:t>
      </w:r>
      <w:r w:rsidRPr="00D575CB">
        <w:rPr>
          <w:rFonts w:ascii="Calibri" w:hAnsi="Calibri"/>
          <w:sz w:val="28"/>
          <w:szCs w:val="28"/>
        </w:rPr>
        <w:t xml:space="preserve">be </w:t>
      </w:r>
      <w:r w:rsidRPr="00D575CB">
        <w:rPr>
          <w:rFonts w:ascii="Calibri" w:hAnsi="Calibri"/>
          <w:sz w:val="28"/>
          <w:szCs w:val="28"/>
          <w:lang w:eastAsia="en-GB"/>
        </w:rPr>
        <w:t>expected.</w:t>
      </w:r>
    </w:p>
    <w:p w:rsidR="006B49CE" w:rsidRDefault="006E6B8D">
      <w:pPr>
        <w:spacing w:after="150"/>
        <w:rPr>
          <w:rFonts w:ascii="Calibri" w:hAnsi="Calibri"/>
          <w:sz w:val="28"/>
        </w:rPr>
      </w:pPr>
      <w:r>
        <w:rPr>
          <w:rFonts w:ascii="Calibri" w:hAnsi="Calibri"/>
          <w:sz w:val="28"/>
        </w:rPr>
        <w:t xml:space="preserve"> </w:t>
      </w:r>
    </w:p>
    <w:p w:rsidR="006B49CE" w:rsidRDefault="006E6B8D">
      <w:pPr>
        <w:spacing w:after="0"/>
        <w:rPr>
          <w:rFonts w:ascii="Calibri" w:hAnsi="Calibri"/>
          <w:sz w:val="28"/>
        </w:rPr>
      </w:pPr>
      <w:r>
        <w:rPr>
          <w:rFonts w:ascii="Calibri" w:hAnsi="Calibri"/>
          <w:sz w:val="28"/>
        </w:rPr>
        <w:br w:type="page"/>
      </w:r>
    </w:p>
    <w:p w:rsidR="006B49CE" w:rsidRDefault="006B49CE">
      <w:pPr>
        <w:spacing w:after="150"/>
        <w:rPr>
          <w:rFonts w:ascii="Calibri" w:hAnsi="Calibri"/>
          <w:sz w:val="28"/>
        </w:rPr>
      </w:pPr>
    </w:p>
    <w:p w:rsidR="006B49CE" w:rsidRDefault="006E6B8D">
      <w:pPr>
        <w:spacing w:after="0"/>
        <w:rPr>
          <w:rFonts w:ascii="Calibri" w:hAnsi="Calibri"/>
          <w:sz w:val="28"/>
        </w:rPr>
      </w:pPr>
      <w:r>
        <w:rPr>
          <w:rFonts w:ascii="Calibri" w:hAnsi="Calibri"/>
          <w:sz w:val="28"/>
        </w:rPr>
        <w:br w:type="page"/>
      </w:r>
    </w:p>
    <w:p w:rsidR="006B49CE" w:rsidRDefault="006B49CE">
      <w:pPr>
        <w:pStyle w:val="Heading2"/>
      </w:pPr>
    </w:p>
    <w:p w:rsidR="006B49CE" w:rsidRDefault="006E6B8D">
      <w:pPr>
        <w:pStyle w:val="Heading2"/>
      </w:pPr>
      <w:r>
        <w:t>GPs’ Attitudes to diagnosing dementia</w:t>
      </w:r>
    </w:p>
    <w:p w:rsidR="006B49CE" w:rsidRDefault="006B49CE"/>
    <w:p w:rsidR="006B49CE" w:rsidRDefault="006E6B8D" w:rsidP="00D575CB">
      <w:pPr>
        <w:rPr>
          <w:rFonts w:ascii="Calibri" w:hAnsi="Calibri"/>
          <w:sz w:val="28"/>
        </w:rPr>
      </w:pPr>
      <w:r>
        <w:rPr>
          <w:rFonts w:ascii="Calibri" w:hAnsi="Calibri"/>
          <w:sz w:val="28"/>
        </w:rPr>
        <w:t xml:space="preserve"> GPs were asked to what extent they agreed or disagreed with seven statements about diagnosing dementia.  They were also asked questions to assess their confidence in each of the following: 1) identifying cases of dementia for forward referral to </w:t>
      </w:r>
      <w:r w:rsidR="00E0327E">
        <w:rPr>
          <w:rFonts w:ascii="Calibri" w:hAnsi="Calibri"/>
          <w:sz w:val="28"/>
        </w:rPr>
        <w:t>a</w:t>
      </w:r>
      <w:r>
        <w:rPr>
          <w:rFonts w:ascii="Calibri" w:hAnsi="Calibri"/>
          <w:sz w:val="28"/>
        </w:rPr>
        <w:t xml:space="preserve"> local Memory Service, 2) advising on the management of symptoms of dementia and 3) advising carers and people with dementia about the availability of local support services.  .  Chi square tests were carried out to assess differences in responses to questions by GPs in each CCG.  No statistically significant differences were found. Therefore, the findings are </w:t>
      </w:r>
      <w:proofErr w:type="gramStart"/>
      <w:r>
        <w:rPr>
          <w:rFonts w:ascii="Calibri" w:hAnsi="Calibri"/>
          <w:sz w:val="28"/>
        </w:rPr>
        <w:t>based  on</w:t>
      </w:r>
      <w:proofErr w:type="gramEnd"/>
      <w:r>
        <w:rPr>
          <w:rFonts w:ascii="Calibri" w:hAnsi="Calibri"/>
          <w:sz w:val="28"/>
        </w:rPr>
        <w:t xml:space="preserve"> a descriptive analysis of the aggregated data using SPSS.</w:t>
      </w:r>
    </w:p>
    <w:p w:rsidR="006B49CE" w:rsidRDefault="006E6B8D">
      <w:pPr>
        <w:ind w:firstLine="720"/>
        <w:rPr>
          <w:rFonts w:ascii="Calibri" w:hAnsi="Calibri"/>
          <w:sz w:val="28"/>
        </w:rPr>
      </w:pPr>
      <w:r>
        <w:rPr>
          <w:rFonts w:ascii="Calibri" w:hAnsi="Calibri"/>
          <w:sz w:val="28"/>
        </w:rPr>
        <w:t xml:space="preserve"> Chart 1 </w:t>
      </w:r>
      <w:proofErr w:type="gramStart"/>
      <w:r>
        <w:rPr>
          <w:rFonts w:ascii="Calibri" w:hAnsi="Calibri"/>
          <w:sz w:val="28"/>
        </w:rPr>
        <w:t>sets</w:t>
      </w:r>
      <w:proofErr w:type="gramEnd"/>
      <w:r>
        <w:rPr>
          <w:rFonts w:ascii="Calibri" w:hAnsi="Calibri"/>
          <w:sz w:val="28"/>
        </w:rPr>
        <w:t xml:space="preserve"> out the responses from all GPs to the first seven attitudinal questions and Chart 2 sets out the answers to the three questions designed to assess levels of confidence in diagnosing and managing dementia.  These are presented in descending order of agreement as measured by percentages of the total sample</w:t>
      </w:r>
      <w:r>
        <w:rPr>
          <w:rFonts w:ascii="Calibri" w:hAnsi="Calibri"/>
          <w:sz w:val="32"/>
        </w:rPr>
        <w:t xml:space="preserve"> </w:t>
      </w:r>
      <w:r>
        <w:rPr>
          <w:rFonts w:ascii="Calibri" w:hAnsi="Calibri"/>
          <w:sz w:val="28"/>
        </w:rPr>
        <w:t xml:space="preserve">As Chart 1 shows, the large majority of GPs agreed that it is beneficial to patients and their families to have a timely diagnosis of dementia (85% (N=96)).  The large majority (81% (N=92)) also agreed they had sufficient basic and post-qualifying training to identify possible cases of dementia for onward referral to </w:t>
      </w:r>
      <w:r w:rsidR="00E0327E">
        <w:rPr>
          <w:rFonts w:ascii="Calibri" w:hAnsi="Calibri"/>
          <w:sz w:val="28"/>
        </w:rPr>
        <w:t xml:space="preserve">a </w:t>
      </w:r>
      <w:r>
        <w:rPr>
          <w:rFonts w:ascii="Calibri" w:hAnsi="Calibri"/>
          <w:sz w:val="28"/>
        </w:rPr>
        <w:t>local Memory Service.  A smaller majority agreed that families prefer to be told about their relative’s dementia as early as possible (72% (N=81)) and that providing a patient with a diagnosis of dementia is usually more helpful than harmful (70% (N=79)).  A small minority of GPs disagreed (3% (N=3) and 6% (N = 7) respectively) with both of these statements, with the remaining GPs neither agreeing nor disagreeing (26% (N=29) and 24% (N=27) respectively).</w:t>
      </w:r>
    </w:p>
    <w:p w:rsidR="006B49CE" w:rsidRDefault="006B49CE">
      <w:pPr>
        <w:ind w:firstLine="720"/>
        <w:rPr>
          <w:rFonts w:ascii="Calibri" w:hAnsi="Calibri"/>
          <w:sz w:val="28"/>
        </w:rPr>
      </w:pPr>
    </w:p>
    <w:p w:rsidR="006B49CE" w:rsidRDefault="006E6B8D">
      <w:pPr>
        <w:spacing w:after="0"/>
        <w:rPr>
          <w:b/>
          <w:bCs/>
          <w:color w:val="4F81BD"/>
          <w:sz w:val="26"/>
        </w:rPr>
      </w:pPr>
      <w:r>
        <w:br w:type="page"/>
      </w:r>
    </w:p>
    <w:p w:rsidR="006B49CE" w:rsidRDefault="006E6B8D">
      <w:pPr>
        <w:pStyle w:val="Heading2"/>
      </w:pPr>
      <w:r>
        <w:lastRenderedPageBreak/>
        <w:t>Chart 1 – The extent to which GPs agreed or disagreed with each statement (%)</w:t>
      </w:r>
    </w:p>
    <w:p w:rsidR="006B49CE" w:rsidRDefault="006B49CE"/>
    <w:p w:rsidR="006B49CE" w:rsidRDefault="006E6B8D">
      <w:r>
        <w:rPr>
          <w:noProof/>
          <w:lang w:eastAsia="en-GB"/>
        </w:rPr>
        <w:drawing>
          <wp:inline distT="0" distB="0" distL="0" distR="0" wp14:anchorId="1F3CE0A6" wp14:editId="7D82FB0C">
            <wp:extent cx="6570921" cy="3544186"/>
            <wp:effectExtent l="0" t="0" r="20955" b="18415"/>
            <wp:docPr id="6" name="Objec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B49CE" w:rsidRDefault="006B49CE">
      <w:pPr>
        <w:ind w:firstLine="720"/>
      </w:pPr>
    </w:p>
    <w:p w:rsidR="006B49CE" w:rsidRDefault="006E6B8D">
      <w:pPr>
        <w:ind w:firstLine="720"/>
        <w:rPr>
          <w:rFonts w:ascii="Calibri" w:hAnsi="Calibri"/>
          <w:sz w:val="28"/>
        </w:rPr>
      </w:pPr>
      <w:r>
        <w:rPr>
          <w:rFonts w:ascii="Calibri" w:hAnsi="Calibri"/>
          <w:sz w:val="28"/>
        </w:rPr>
        <w:t xml:space="preserve">Just over half of all participating GPs (N=61) agreed there was a satisfactory Memory Service in their area to which they could refer  people with possible or potential dementia, with 28% (N=32) disagreeing and the remainder (18% (N=20)) stating they neither agreed nor disagreed, probably reflecting a mixed level of satisfaction with local Memory Services. </w:t>
      </w:r>
    </w:p>
    <w:p w:rsidR="006B49CE" w:rsidRDefault="006E6B8D" w:rsidP="00D575CB">
      <w:pPr>
        <w:rPr>
          <w:rFonts w:ascii="Calibri" w:hAnsi="Calibri"/>
          <w:sz w:val="28"/>
        </w:rPr>
      </w:pPr>
      <w:r>
        <w:rPr>
          <w:rFonts w:ascii="Calibri" w:hAnsi="Calibri"/>
          <w:sz w:val="28"/>
        </w:rPr>
        <w:t xml:space="preserve">A large minority of participating GPs agreed that there was little point in diagnosing dementia </w:t>
      </w:r>
      <w:r w:rsidR="000F4A07">
        <w:rPr>
          <w:lang w:eastAsia="en-GB"/>
        </w:rPr>
        <w:t>because the required level of</w:t>
      </w:r>
      <w:r w:rsidR="000D427A">
        <w:rPr>
          <w:lang w:eastAsia="en-GB"/>
        </w:rPr>
        <w:t xml:space="preserve"> support for people with dementia and their carers wa</w:t>
      </w:r>
      <w:r w:rsidR="000F4A07">
        <w:rPr>
          <w:lang w:eastAsia="en-GB"/>
        </w:rPr>
        <w:t xml:space="preserve">s not available in </w:t>
      </w:r>
      <w:r w:rsidR="000D427A">
        <w:rPr>
          <w:lang w:eastAsia="en-GB"/>
        </w:rPr>
        <w:t>their</w:t>
      </w:r>
      <w:r w:rsidR="000F4A07">
        <w:rPr>
          <w:lang w:eastAsia="en-GB"/>
        </w:rPr>
        <w:t xml:space="preserve"> area following diagnosis</w:t>
      </w:r>
      <w:r>
        <w:rPr>
          <w:rFonts w:ascii="Calibri" w:hAnsi="Calibri"/>
          <w:sz w:val="28"/>
        </w:rPr>
        <w:t>.  A small minority of participating GPs (5% (N=6)) agreed that there was little point in diagnosing dementia because there was no clinical cure.</w:t>
      </w:r>
    </w:p>
    <w:p w:rsidR="006B49CE" w:rsidRDefault="006B49CE">
      <w:pPr>
        <w:ind w:firstLine="720"/>
        <w:jc w:val="both"/>
      </w:pPr>
    </w:p>
    <w:p w:rsidR="006B49CE" w:rsidRDefault="006E6B8D">
      <w:pPr>
        <w:pStyle w:val="Heading2"/>
        <w:rPr>
          <w:lang w:eastAsia="en-GB"/>
        </w:rPr>
      </w:pPr>
      <w:r>
        <w:rPr>
          <w:lang w:eastAsia="en-GB"/>
        </w:rPr>
        <w:lastRenderedPageBreak/>
        <w:t>Chart 2 – GPs’ level of confidence in identifying and managing cases of dementia</w:t>
      </w:r>
    </w:p>
    <w:p w:rsidR="006B49CE" w:rsidRDefault="006E6B8D">
      <w:r>
        <w:rPr>
          <w:noProof/>
          <w:lang w:eastAsia="en-GB"/>
        </w:rPr>
        <w:drawing>
          <wp:inline distT="0" distB="0" distL="0" distR="0" wp14:anchorId="70BE445E" wp14:editId="4E51BF43">
            <wp:extent cx="5643880" cy="2572385"/>
            <wp:effectExtent l="0" t="0" r="0" b="0"/>
            <wp:docPr id="7" name="Object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B49CE" w:rsidRPr="00D1191B" w:rsidRDefault="006E6B8D">
      <w:pPr>
        <w:tabs>
          <w:tab w:val="left" w:pos="1173"/>
        </w:tabs>
        <w:rPr>
          <w:rFonts w:asciiTheme="minorHAnsi" w:hAnsiTheme="minorHAnsi"/>
          <w:sz w:val="28"/>
          <w:lang w:eastAsia="en-GB"/>
        </w:rPr>
      </w:pPr>
      <w:r w:rsidRPr="00D1191B">
        <w:rPr>
          <w:rFonts w:asciiTheme="minorHAnsi" w:hAnsiTheme="minorHAnsi"/>
          <w:sz w:val="28"/>
          <w:lang w:eastAsia="en-GB"/>
        </w:rPr>
        <w:t>Chart 2 shows that while 90% (N=101</w:t>
      </w:r>
      <w:proofErr w:type="gramStart"/>
      <w:r w:rsidRPr="00D1191B">
        <w:rPr>
          <w:rFonts w:asciiTheme="minorHAnsi" w:hAnsiTheme="minorHAnsi"/>
          <w:sz w:val="28"/>
          <w:lang w:eastAsia="en-GB"/>
        </w:rPr>
        <w:t>)of</w:t>
      </w:r>
      <w:proofErr w:type="gramEnd"/>
      <w:r w:rsidRPr="00D1191B">
        <w:rPr>
          <w:rFonts w:asciiTheme="minorHAnsi" w:hAnsiTheme="minorHAnsi"/>
          <w:sz w:val="28"/>
          <w:lang w:eastAsia="en-GB"/>
        </w:rPr>
        <w:t xml:space="preserve">  participating GPs  were confident in their ability to identify cases of possible dementia for onward referral to</w:t>
      </w:r>
      <w:r w:rsidR="00547145" w:rsidRPr="00D1191B">
        <w:rPr>
          <w:rFonts w:asciiTheme="minorHAnsi" w:hAnsiTheme="minorHAnsi"/>
          <w:sz w:val="28"/>
          <w:lang w:eastAsia="en-GB"/>
        </w:rPr>
        <w:t xml:space="preserve"> a</w:t>
      </w:r>
      <w:r w:rsidRPr="00D1191B">
        <w:rPr>
          <w:rFonts w:asciiTheme="minorHAnsi" w:hAnsiTheme="minorHAnsi"/>
          <w:sz w:val="28"/>
          <w:lang w:eastAsia="en-GB"/>
        </w:rPr>
        <w:t xml:space="preserve"> local Memory Services for a formal diagnosis, only  19% (N=21) were confident of their ability to advise carers and people with dementia about other services available to them in their area and in managing the symptoms of dementia (43% (N=49)).</w:t>
      </w:r>
    </w:p>
    <w:p w:rsidR="006B49CE" w:rsidRPr="00D575CB" w:rsidRDefault="006B49CE">
      <w:pPr>
        <w:rPr>
          <w:sz w:val="28"/>
          <w:lang w:eastAsia="en-GB"/>
        </w:rPr>
      </w:pPr>
    </w:p>
    <w:p w:rsidR="006B49CE" w:rsidRPr="00D575CB" w:rsidRDefault="006E6B8D">
      <w:pPr>
        <w:pStyle w:val="Heading2"/>
        <w:rPr>
          <w:sz w:val="28"/>
          <w:lang w:eastAsia="en-GB"/>
        </w:rPr>
      </w:pPr>
      <w:r w:rsidRPr="00D575CB">
        <w:rPr>
          <w:sz w:val="28"/>
          <w:lang w:eastAsia="en-GB"/>
        </w:rPr>
        <w:t>Limitations of the survey</w:t>
      </w:r>
    </w:p>
    <w:p w:rsidR="006B49CE" w:rsidRPr="00D1191B" w:rsidRDefault="006E6B8D">
      <w:pPr>
        <w:spacing w:after="0"/>
        <w:rPr>
          <w:rFonts w:asciiTheme="minorHAnsi" w:hAnsiTheme="minorHAnsi"/>
          <w:sz w:val="28"/>
          <w:lang w:eastAsia="en-GB"/>
        </w:rPr>
      </w:pPr>
      <w:r w:rsidRPr="00D1191B">
        <w:rPr>
          <w:rFonts w:asciiTheme="minorHAnsi" w:hAnsiTheme="minorHAnsi"/>
          <w:sz w:val="28"/>
          <w:lang w:eastAsia="en-GB"/>
        </w:rPr>
        <w:t>Twenty eight per cent of the GPs invited to take part in the GP survey completed a questionnaire.    As mentioned above, online surveys tend to achieve a lower response rate than postal self-completion surveys or telephone surveys, with responses being as low as 13% for primary care doctors participating in online surveys</w:t>
      </w:r>
      <w:r w:rsidRPr="00D1191B">
        <w:rPr>
          <w:rFonts w:asciiTheme="minorHAnsi" w:hAnsiTheme="minorHAnsi"/>
          <w:sz w:val="28"/>
          <w:vertAlign w:val="superscript"/>
          <w:lang w:eastAsia="en-GB"/>
        </w:rPr>
        <w:t>4</w:t>
      </w:r>
      <w:proofErr w:type="gramStart"/>
      <w:r w:rsidRPr="00D1191B">
        <w:rPr>
          <w:rFonts w:asciiTheme="minorHAnsi" w:hAnsiTheme="minorHAnsi"/>
          <w:sz w:val="28"/>
          <w:vertAlign w:val="superscript"/>
          <w:lang w:eastAsia="en-GB"/>
        </w:rPr>
        <w:t>,5</w:t>
      </w:r>
      <w:proofErr w:type="gramEnd"/>
      <w:r w:rsidRPr="00D1191B">
        <w:rPr>
          <w:rFonts w:asciiTheme="minorHAnsi" w:hAnsiTheme="minorHAnsi"/>
          <w:sz w:val="28"/>
          <w:lang w:eastAsia="en-GB"/>
        </w:rPr>
        <w:t xml:space="preserve">.  However, a benefit of web-based surveys is that data quality tends to be better than postal self-completion questionnaires as the questions are answered more fully, reducing the level of missing data </w:t>
      </w:r>
      <w:r w:rsidRPr="00D1191B">
        <w:rPr>
          <w:rFonts w:asciiTheme="minorHAnsi" w:hAnsiTheme="minorHAnsi"/>
          <w:sz w:val="28"/>
          <w:vertAlign w:val="superscript"/>
          <w:lang w:eastAsia="en-GB"/>
        </w:rPr>
        <w:t>6.</w:t>
      </w:r>
      <w:r w:rsidRPr="00D1191B">
        <w:rPr>
          <w:rFonts w:asciiTheme="minorHAnsi" w:hAnsiTheme="minorHAnsi"/>
          <w:sz w:val="28"/>
          <w:lang w:eastAsia="en-GB"/>
        </w:rPr>
        <w:t xml:space="preserve"> In this GP survey each question was answered by at least 111 respondents, leading to an item response rate of 99%.   Taking these issues into account, the 28% response rate is satisfactory for an online survey of GPs in primary care. Overall the survey provided a useful indication </w:t>
      </w:r>
      <w:proofErr w:type="gramStart"/>
      <w:r w:rsidRPr="00D1191B">
        <w:rPr>
          <w:rFonts w:asciiTheme="minorHAnsi" w:hAnsiTheme="minorHAnsi"/>
          <w:sz w:val="28"/>
          <w:lang w:eastAsia="en-GB"/>
        </w:rPr>
        <w:t>of  GPs’</w:t>
      </w:r>
      <w:proofErr w:type="gramEnd"/>
      <w:r w:rsidRPr="00D1191B">
        <w:rPr>
          <w:rFonts w:asciiTheme="minorHAnsi" w:hAnsiTheme="minorHAnsi"/>
          <w:sz w:val="28"/>
          <w:lang w:eastAsia="en-GB"/>
        </w:rPr>
        <w:t xml:space="preserve"> attitudes towards dementia diagnosis </w:t>
      </w:r>
      <w:r w:rsidRPr="00D1191B">
        <w:rPr>
          <w:rFonts w:asciiTheme="minorHAnsi" w:hAnsiTheme="minorHAnsi"/>
          <w:sz w:val="28"/>
          <w:lang w:eastAsia="en-GB"/>
        </w:rPr>
        <w:lastRenderedPageBreak/>
        <w:t xml:space="preserve">and post-diagnostic </w:t>
      </w:r>
      <w:r w:rsidR="000D427A" w:rsidRPr="00D1191B">
        <w:rPr>
          <w:rFonts w:asciiTheme="minorHAnsi" w:hAnsiTheme="minorHAnsi"/>
          <w:sz w:val="28"/>
          <w:lang w:eastAsia="en-GB"/>
        </w:rPr>
        <w:t>support</w:t>
      </w:r>
      <w:r w:rsidRPr="00D1191B">
        <w:rPr>
          <w:rFonts w:asciiTheme="minorHAnsi" w:hAnsiTheme="minorHAnsi"/>
          <w:sz w:val="28"/>
          <w:lang w:eastAsia="en-GB"/>
        </w:rPr>
        <w:t>. It is possible that there might be some bias in the results with GPs in Practices with lower DDRs being more or less likely to respond to the survey. However, on average only one or two GPs from each practice responded to the survey. Therefore</w:t>
      </w:r>
      <w:r w:rsidR="00C80BFB" w:rsidRPr="00D1191B">
        <w:rPr>
          <w:rFonts w:asciiTheme="minorHAnsi" w:hAnsiTheme="minorHAnsi"/>
          <w:sz w:val="28"/>
          <w:lang w:eastAsia="en-GB"/>
        </w:rPr>
        <w:t xml:space="preserve"> samples of GPs within Practices</w:t>
      </w:r>
      <w:r w:rsidRPr="00D1191B">
        <w:rPr>
          <w:rFonts w:asciiTheme="minorHAnsi" w:hAnsiTheme="minorHAnsi"/>
          <w:sz w:val="28"/>
          <w:lang w:eastAsia="en-GB"/>
        </w:rPr>
        <w:t xml:space="preserve"> </w:t>
      </w:r>
      <w:r w:rsidR="00C80BFB" w:rsidRPr="00D1191B">
        <w:rPr>
          <w:rFonts w:asciiTheme="minorHAnsi" w:hAnsiTheme="minorHAnsi"/>
          <w:sz w:val="28"/>
          <w:lang w:eastAsia="en-GB"/>
        </w:rPr>
        <w:t xml:space="preserve">were too small </w:t>
      </w:r>
      <w:r w:rsidRPr="00D1191B">
        <w:rPr>
          <w:rFonts w:asciiTheme="minorHAnsi" w:hAnsiTheme="minorHAnsi"/>
          <w:sz w:val="28"/>
          <w:lang w:eastAsia="en-GB"/>
        </w:rPr>
        <w:t>to assess whether the</w:t>
      </w:r>
      <w:r w:rsidR="00C80BFB" w:rsidRPr="00D1191B">
        <w:rPr>
          <w:rFonts w:asciiTheme="minorHAnsi" w:hAnsiTheme="minorHAnsi"/>
          <w:sz w:val="28"/>
          <w:lang w:eastAsia="en-GB"/>
        </w:rPr>
        <w:t>re was a statistical difference in</w:t>
      </w:r>
      <w:r w:rsidRPr="00D1191B">
        <w:rPr>
          <w:rFonts w:asciiTheme="minorHAnsi" w:hAnsiTheme="minorHAnsi"/>
          <w:sz w:val="28"/>
          <w:lang w:eastAsia="en-GB"/>
        </w:rPr>
        <w:t xml:space="preserve"> response rate</w:t>
      </w:r>
      <w:r w:rsidR="00C80BFB" w:rsidRPr="00D1191B">
        <w:rPr>
          <w:rFonts w:asciiTheme="minorHAnsi" w:hAnsiTheme="minorHAnsi"/>
          <w:sz w:val="28"/>
          <w:lang w:eastAsia="en-GB"/>
        </w:rPr>
        <w:t>s between Practices with different</w:t>
      </w:r>
      <w:r w:rsidRPr="00D1191B">
        <w:rPr>
          <w:rFonts w:asciiTheme="minorHAnsi" w:hAnsiTheme="minorHAnsi"/>
          <w:sz w:val="28"/>
          <w:lang w:eastAsia="en-GB"/>
        </w:rPr>
        <w:t xml:space="preserve"> in DDRs</w:t>
      </w:r>
      <w:r w:rsidR="00D1191B">
        <w:rPr>
          <w:rFonts w:asciiTheme="minorHAnsi" w:hAnsiTheme="minorHAnsi"/>
          <w:sz w:val="28"/>
          <w:lang w:eastAsia="en-GB"/>
        </w:rPr>
        <w:t>.</w:t>
      </w:r>
      <w:r w:rsidRPr="00D1191B">
        <w:rPr>
          <w:rFonts w:asciiTheme="minorHAnsi" w:hAnsiTheme="minorHAnsi"/>
          <w:sz w:val="28"/>
          <w:lang w:eastAsia="en-GB"/>
        </w:rPr>
        <w:t xml:space="preserve">  However, the analysis indicated that this association was unlikely at the level of the CCG and therefore unlikely to have biased the results of this survey. </w:t>
      </w:r>
    </w:p>
    <w:p w:rsidR="006B49CE" w:rsidRPr="00D575CB" w:rsidRDefault="006E6B8D">
      <w:pPr>
        <w:pStyle w:val="Heading2"/>
        <w:rPr>
          <w:sz w:val="28"/>
          <w:lang w:eastAsia="en-GB"/>
        </w:rPr>
      </w:pPr>
      <w:r w:rsidRPr="00D575CB">
        <w:rPr>
          <w:sz w:val="28"/>
          <w:lang w:eastAsia="en-GB"/>
        </w:rPr>
        <w:t>Discussion and recommendations</w:t>
      </w:r>
    </w:p>
    <w:p w:rsidR="006B49CE" w:rsidRPr="00D1191B" w:rsidRDefault="006E6B8D" w:rsidP="00D1191B">
      <w:pPr>
        <w:rPr>
          <w:rFonts w:asciiTheme="minorHAnsi" w:hAnsiTheme="minorHAnsi"/>
          <w:sz w:val="28"/>
          <w:szCs w:val="28"/>
          <w:lang w:eastAsia="en-GB"/>
        </w:rPr>
      </w:pPr>
      <w:r w:rsidRPr="00D1191B">
        <w:rPr>
          <w:rFonts w:asciiTheme="minorHAnsi" w:hAnsiTheme="minorHAnsi"/>
          <w:sz w:val="28"/>
          <w:szCs w:val="28"/>
          <w:lang w:eastAsia="en-GB"/>
        </w:rPr>
        <w:t>This survey aimed to gather data from GPs to understand reasons for the low dementia diagnosis rate in Norfolk and Suffolk and to inform a strategy for increasing the rate to meet UK government targets.  It must be mentioned</w:t>
      </w:r>
      <w:r w:rsidR="000D427A" w:rsidRPr="00D1191B">
        <w:rPr>
          <w:rFonts w:asciiTheme="minorHAnsi" w:hAnsiTheme="minorHAnsi"/>
          <w:sz w:val="28"/>
          <w:szCs w:val="28"/>
          <w:lang w:eastAsia="en-GB"/>
        </w:rPr>
        <w:t>,</w:t>
      </w:r>
      <w:r w:rsidRPr="00D1191B">
        <w:rPr>
          <w:rFonts w:asciiTheme="minorHAnsi" w:hAnsiTheme="minorHAnsi"/>
          <w:sz w:val="28"/>
          <w:szCs w:val="28"/>
          <w:lang w:eastAsia="en-GB"/>
        </w:rPr>
        <w:t xml:space="preserve"> however, that the</w:t>
      </w:r>
      <w:r w:rsidR="000D427A" w:rsidRPr="00D1191B">
        <w:rPr>
          <w:rFonts w:asciiTheme="minorHAnsi" w:hAnsiTheme="minorHAnsi"/>
          <w:sz w:val="28"/>
          <w:szCs w:val="28"/>
          <w:lang w:eastAsia="en-GB"/>
        </w:rPr>
        <w:t xml:space="preserve"> DDR is based on Quality Outcomes Framework</w:t>
      </w:r>
      <w:r w:rsidR="0011769B" w:rsidRPr="00D1191B">
        <w:rPr>
          <w:rFonts w:asciiTheme="minorHAnsi" w:hAnsiTheme="minorHAnsi"/>
          <w:sz w:val="28"/>
          <w:szCs w:val="28"/>
          <w:lang w:eastAsia="en-GB"/>
        </w:rPr>
        <w:t xml:space="preserve"> (QOF)</w:t>
      </w:r>
      <w:r w:rsidR="000D427A" w:rsidRPr="00D1191B">
        <w:rPr>
          <w:rFonts w:asciiTheme="minorHAnsi" w:hAnsiTheme="minorHAnsi"/>
          <w:sz w:val="28"/>
          <w:szCs w:val="28"/>
          <w:lang w:eastAsia="en-GB"/>
        </w:rPr>
        <w:t xml:space="preserve"> registers and so will be low if GPs do not record dementia diagnosis on</w:t>
      </w:r>
      <w:r w:rsidR="00D53ECF" w:rsidRPr="00D1191B">
        <w:rPr>
          <w:rFonts w:asciiTheme="minorHAnsi" w:hAnsiTheme="minorHAnsi"/>
          <w:sz w:val="28"/>
          <w:szCs w:val="28"/>
          <w:lang w:eastAsia="en-GB"/>
        </w:rPr>
        <w:t xml:space="preserve"> this register</w:t>
      </w:r>
      <w:r w:rsidR="0011769B" w:rsidRPr="00D1191B">
        <w:rPr>
          <w:rFonts w:asciiTheme="minorHAnsi" w:hAnsiTheme="minorHAnsi"/>
          <w:sz w:val="28"/>
          <w:szCs w:val="28"/>
          <w:lang w:eastAsia="en-GB"/>
        </w:rPr>
        <w:t>; this is unlikely to be a localised challenge to increasing the DDR in Norfolk and Suffolk as the QOF is a national framework, and GPs</w:t>
      </w:r>
      <w:r w:rsidR="00547145" w:rsidRPr="00D1191B">
        <w:rPr>
          <w:rFonts w:asciiTheme="minorHAnsi" w:hAnsiTheme="minorHAnsi"/>
          <w:sz w:val="28"/>
          <w:szCs w:val="28"/>
          <w:lang w:eastAsia="en-GB"/>
        </w:rPr>
        <w:t xml:space="preserve"> across the UK</w:t>
      </w:r>
      <w:r w:rsidR="0011769B" w:rsidRPr="00D1191B">
        <w:rPr>
          <w:rFonts w:asciiTheme="minorHAnsi" w:hAnsiTheme="minorHAnsi"/>
          <w:sz w:val="28"/>
          <w:szCs w:val="28"/>
          <w:lang w:eastAsia="en-GB"/>
        </w:rPr>
        <w:t xml:space="preserve"> have been incentivised to record dementia diagnoses within the QOF. </w:t>
      </w:r>
      <w:r w:rsidR="00D53ECF" w:rsidRPr="00D1191B">
        <w:rPr>
          <w:rFonts w:asciiTheme="minorHAnsi" w:hAnsiTheme="minorHAnsi"/>
          <w:sz w:val="28"/>
          <w:szCs w:val="28"/>
          <w:lang w:eastAsia="en-GB"/>
        </w:rPr>
        <w:t xml:space="preserve"> The </w:t>
      </w:r>
      <w:r w:rsidRPr="00D1191B">
        <w:rPr>
          <w:rFonts w:asciiTheme="minorHAnsi" w:hAnsiTheme="minorHAnsi"/>
          <w:sz w:val="28"/>
          <w:szCs w:val="28"/>
          <w:lang w:eastAsia="en-GB"/>
        </w:rPr>
        <w:t>NHS Dementia Prevalence Calculator</w:t>
      </w:r>
      <w:r w:rsidR="00D53ECF" w:rsidRPr="00D1191B">
        <w:rPr>
          <w:rFonts w:asciiTheme="minorHAnsi" w:hAnsiTheme="minorHAnsi"/>
          <w:sz w:val="28"/>
          <w:szCs w:val="28"/>
          <w:lang w:eastAsia="en-GB"/>
        </w:rPr>
        <w:t xml:space="preserve"> was developed using robust epidemiological methods and is the most accurate tool available to estimate the prevalence of dementia</w:t>
      </w:r>
      <w:r w:rsidR="0011769B" w:rsidRPr="00D1191B">
        <w:rPr>
          <w:rFonts w:asciiTheme="minorHAnsi" w:hAnsiTheme="minorHAnsi"/>
          <w:sz w:val="28"/>
          <w:szCs w:val="28"/>
          <w:lang w:eastAsia="en-GB"/>
        </w:rPr>
        <w:t xml:space="preserve"> presently</w:t>
      </w:r>
      <w:r w:rsidRPr="00D1191B">
        <w:rPr>
          <w:rFonts w:asciiTheme="minorHAnsi" w:hAnsiTheme="minorHAnsi"/>
          <w:sz w:val="28"/>
          <w:szCs w:val="28"/>
          <w:lang w:eastAsia="en-GB"/>
        </w:rPr>
        <w:t xml:space="preserve">.  </w:t>
      </w:r>
      <w:r w:rsidR="00D53ECF" w:rsidRPr="00D1191B">
        <w:rPr>
          <w:rFonts w:asciiTheme="minorHAnsi" w:hAnsiTheme="minorHAnsi"/>
          <w:sz w:val="28"/>
          <w:szCs w:val="28"/>
          <w:lang w:eastAsia="en-GB"/>
        </w:rPr>
        <w:t>Therefore</w:t>
      </w:r>
      <w:r w:rsidRPr="00D1191B">
        <w:rPr>
          <w:rFonts w:asciiTheme="minorHAnsi" w:hAnsiTheme="minorHAnsi"/>
          <w:sz w:val="28"/>
          <w:szCs w:val="28"/>
          <w:lang w:eastAsia="en-GB"/>
        </w:rPr>
        <w:t xml:space="preserve">, </w:t>
      </w:r>
      <w:r w:rsidR="00D53ECF" w:rsidRPr="00D1191B">
        <w:rPr>
          <w:rFonts w:asciiTheme="minorHAnsi" w:hAnsiTheme="minorHAnsi"/>
          <w:sz w:val="28"/>
          <w:szCs w:val="28"/>
          <w:lang w:eastAsia="en-GB"/>
        </w:rPr>
        <w:t xml:space="preserve">the analysis of the data collected in this survey was </w:t>
      </w:r>
      <w:r w:rsidRPr="00D1191B">
        <w:rPr>
          <w:rFonts w:asciiTheme="minorHAnsi" w:hAnsiTheme="minorHAnsi"/>
          <w:sz w:val="28"/>
          <w:szCs w:val="28"/>
          <w:lang w:eastAsia="en-GB"/>
        </w:rPr>
        <w:t xml:space="preserve">carried out within the context of the </w:t>
      </w:r>
      <w:r w:rsidR="00D53ECF" w:rsidRPr="00D1191B">
        <w:rPr>
          <w:rFonts w:asciiTheme="minorHAnsi" w:hAnsiTheme="minorHAnsi"/>
          <w:sz w:val="28"/>
          <w:szCs w:val="28"/>
          <w:lang w:eastAsia="en-GB"/>
        </w:rPr>
        <w:t xml:space="preserve">best </w:t>
      </w:r>
      <w:r w:rsidRPr="00D1191B">
        <w:rPr>
          <w:rFonts w:asciiTheme="minorHAnsi" w:hAnsiTheme="minorHAnsi"/>
          <w:sz w:val="28"/>
          <w:szCs w:val="28"/>
          <w:lang w:eastAsia="en-GB"/>
        </w:rPr>
        <w:t xml:space="preserve">data available.  </w:t>
      </w:r>
      <w:r w:rsidR="00D53ECF" w:rsidRPr="00D1191B">
        <w:rPr>
          <w:rFonts w:asciiTheme="minorHAnsi" w:hAnsiTheme="minorHAnsi"/>
          <w:sz w:val="28"/>
          <w:szCs w:val="28"/>
          <w:lang w:eastAsia="en-GB"/>
        </w:rPr>
        <w:t xml:space="preserve">Taking these </w:t>
      </w:r>
      <w:r w:rsidRPr="00D1191B">
        <w:rPr>
          <w:rFonts w:asciiTheme="minorHAnsi" w:hAnsiTheme="minorHAnsi"/>
          <w:sz w:val="28"/>
          <w:szCs w:val="28"/>
          <w:lang w:eastAsia="en-GB"/>
        </w:rPr>
        <w:t>caveats in</w:t>
      </w:r>
      <w:r w:rsidR="00D53ECF" w:rsidRPr="00D1191B">
        <w:rPr>
          <w:rFonts w:asciiTheme="minorHAnsi" w:hAnsiTheme="minorHAnsi"/>
          <w:sz w:val="28"/>
          <w:szCs w:val="28"/>
          <w:lang w:eastAsia="en-GB"/>
        </w:rPr>
        <w:t>to account</w:t>
      </w:r>
      <w:r w:rsidRPr="00D1191B">
        <w:rPr>
          <w:rFonts w:asciiTheme="minorHAnsi" w:hAnsiTheme="minorHAnsi"/>
          <w:sz w:val="28"/>
          <w:szCs w:val="28"/>
          <w:lang w:eastAsia="en-GB"/>
        </w:rPr>
        <w:t>, the results of this survey indicate that there have been some improvements in GPs</w:t>
      </w:r>
      <w:r w:rsidR="00D53ECF" w:rsidRPr="00D1191B">
        <w:rPr>
          <w:rFonts w:asciiTheme="minorHAnsi" w:hAnsiTheme="minorHAnsi"/>
          <w:sz w:val="28"/>
          <w:szCs w:val="28"/>
          <w:lang w:eastAsia="en-GB"/>
        </w:rPr>
        <w:t>’</w:t>
      </w:r>
      <w:r w:rsidRPr="00D1191B">
        <w:rPr>
          <w:rFonts w:asciiTheme="minorHAnsi" w:hAnsiTheme="minorHAnsi"/>
          <w:sz w:val="28"/>
          <w:szCs w:val="28"/>
          <w:lang w:eastAsia="en-GB"/>
        </w:rPr>
        <w:t xml:space="preserve"> attitudes towards diagnosing and managing dementia since the 2009 National Audit of GPs in the UK</w:t>
      </w:r>
      <w:r w:rsidRPr="00D1191B">
        <w:rPr>
          <w:rFonts w:asciiTheme="minorHAnsi" w:hAnsiTheme="minorHAnsi"/>
          <w:sz w:val="28"/>
          <w:szCs w:val="28"/>
          <w:vertAlign w:val="superscript"/>
          <w:lang w:eastAsia="en-GB"/>
        </w:rPr>
        <w:t>3</w:t>
      </w:r>
      <w:r w:rsidR="00031008">
        <w:rPr>
          <w:rFonts w:asciiTheme="minorHAnsi" w:hAnsiTheme="minorHAnsi"/>
          <w:sz w:val="28"/>
          <w:szCs w:val="28"/>
          <w:lang w:eastAsia="en-GB"/>
        </w:rPr>
        <w:t>.</w:t>
      </w:r>
      <w:r w:rsidRPr="00D1191B">
        <w:rPr>
          <w:rFonts w:asciiTheme="minorHAnsi" w:hAnsiTheme="minorHAnsi"/>
          <w:sz w:val="28"/>
          <w:szCs w:val="28"/>
          <w:lang w:eastAsia="en-GB"/>
        </w:rPr>
        <w:t xml:space="preserve">  For example, in 2009 only 37% of GPs (based on a random sample of 1001) agreed that families would prefer to be told about their relative’s dementia as early as possible, whereas 72% of GPs in the Norfolk and Suffolk Survey agreed with this statement. </w:t>
      </w:r>
      <w:r w:rsidR="00547145" w:rsidRPr="00D1191B">
        <w:rPr>
          <w:rFonts w:asciiTheme="minorHAnsi" w:hAnsiTheme="minorHAnsi"/>
          <w:sz w:val="28"/>
          <w:szCs w:val="28"/>
          <w:lang w:eastAsia="en-GB"/>
        </w:rPr>
        <w:t>Additionally, i</w:t>
      </w:r>
      <w:r w:rsidRPr="00D1191B">
        <w:rPr>
          <w:rFonts w:asciiTheme="minorHAnsi" w:hAnsiTheme="minorHAnsi"/>
          <w:sz w:val="28"/>
          <w:szCs w:val="28"/>
          <w:lang w:eastAsia="en-GB"/>
        </w:rPr>
        <w:t xml:space="preserve">n 2009 only 58% of GPs reported that they were either somewhat or very confident in advising about the management of dementia. In the Norfolk and Suffolk survey 86% of GPs stated they were somewhat confident or </w:t>
      </w:r>
      <w:r w:rsidRPr="00D1191B">
        <w:rPr>
          <w:rFonts w:asciiTheme="minorHAnsi" w:hAnsiTheme="minorHAnsi"/>
          <w:sz w:val="28"/>
          <w:szCs w:val="28"/>
          <w:lang w:eastAsia="en-GB"/>
        </w:rPr>
        <w:lastRenderedPageBreak/>
        <w:t>confident about giving advice about the management of dementia symptoms.  This gain in confidence might be expected in light of the implementation of the National Dementia Strategy</w:t>
      </w:r>
      <w:r w:rsidRPr="00D1191B">
        <w:rPr>
          <w:rFonts w:asciiTheme="minorHAnsi" w:hAnsiTheme="minorHAnsi"/>
          <w:sz w:val="28"/>
          <w:szCs w:val="28"/>
          <w:vertAlign w:val="superscript"/>
          <w:lang w:eastAsia="en-GB"/>
        </w:rPr>
        <w:t>7</w:t>
      </w:r>
      <w:r w:rsidRPr="00D1191B">
        <w:rPr>
          <w:rFonts w:asciiTheme="minorHAnsi" w:hAnsiTheme="minorHAnsi"/>
          <w:sz w:val="28"/>
          <w:szCs w:val="28"/>
          <w:lang w:eastAsia="en-GB"/>
        </w:rPr>
        <w:t>, Quality Outcome Framework</w:t>
      </w:r>
      <w:r w:rsidR="00D53ECF" w:rsidRPr="00D1191B">
        <w:rPr>
          <w:rFonts w:asciiTheme="minorHAnsi" w:hAnsiTheme="minorHAnsi"/>
          <w:sz w:val="28"/>
          <w:szCs w:val="28"/>
          <w:lang w:eastAsia="en-GB"/>
        </w:rPr>
        <w:t>’</w:t>
      </w:r>
      <w:r w:rsidRPr="00D1191B">
        <w:rPr>
          <w:rFonts w:asciiTheme="minorHAnsi" w:hAnsiTheme="minorHAnsi"/>
          <w:sz w:val="28"/>
          <w:szCs w:val="28"/>
          <w:lang w:eastAsia="en-GB"/>
        </w:rPr>
        <w:t>s Guidance for GMS Contract 2013/14</w:t>
      </w:r>
      <w:r w:rsidRPr="00D1191B">
        <w:rPr>
          <w:rFonts w:asciiTheme="minorHAnsi" w:hAnsiTheme="minorHAnsi"/>
          <w:sz w:val="28"/>
          <w:szCs w:val="28"/>
          <w:vertAlign w:val="superscript"/>
          <w:lang w:eastAsia="en-GB"/>
        </w:rPr>
        <w:t>8</w:t>
      </w:r>
      <w:r w:rsidRPr="00D1191B">
        <w:rPr>
          <w:rFonts w:asciiTheme="minorHAnsi" w:hAnsiTheme="minorHAnsi"/>
          <w:sz w:val="28"/>
          <w:szCs w:val="28"/>
          <w:lang w:eastAsia="en-GB"/>
        </w:rPr>
        <w:t xml:space="preserve"> and the increased political debate around dementia following the UK Prime Minister’s Challenge on Dementia introduced in 2012</w:t>
      </w:r>
      <w:r w:rsidRPr="00D1191B">
        <w:rPr>
          <w:rFonts w:asciiTheme="minorHAnsi" w:hAnsiTheme="minorHAnsi"/>
          <w:sz w:val="28"/>
          <w:szCs w:val="28"/>
          <w:vertAlign w:val="superscript"/>
          <w:lang w:eastAsia="en-GB"/>
        </w:rPr>
        <w:t>9</w:t>
      </w:r>
      <w:r w:rsidRPr="00D1191B">
        <w:rPr>
          <w:rFonts w:asciiTheme="minorHAnsi" w:hAnsiTheme="minorHAnsi"/>
          <w:sz w:val="28"/>
          <w:szCs w:val="28"/>
          <w:lang w:eastAsia="en-GB"/>
        </w:rPr>
        <w:t xml:space="preserve">. </w:t>
      </w:r>
    </w:p>
    <w:p w:rsidR="006B49CE" w:rsidRPr="00D575CB" w:rsidRDefault="006B49CE">
      <w:pPr>
        <w:rPr>
          <w:sz w:val="28"/>
          <w:lang w:eastAsia="en-GB"/>
        </w:rPr>
      </w:pPr>
    </w:p>
    <w:p w:rsidR="006B49CE" w:rsidRPr="00D1191B" w:rsidRDefault="006E6B8D">
      <w:pPr>
        <w:rPr>
          <w:rFonts w:asciiTheme="minorHAnsi" w:hAnsiTheme="minorHAnsi"/>
          <w:sz w:val="28"/>
          <w:szCs w:val="28"/>
          <w:lang w:eastAsia="en-GB"/>
        </w:rPr>
      </w:pPr>
      <w:r w:rsidRPr="00D1191B">
        <w:rPr>
          <w:rFonts w:asciiTheme="minorHAnsi" w:hAnsiTheme="minorHAnsi"/>
          <w:sz w:val="28"/>
          <w:szCs w:val="28"/>
          <w:lang w:eastAsia="en-GB"/>
        </w:rPr>
        <w:t xml:space="preserve">GPs in Norfolk and Suffolk seem to have more positive attitudes </w:t>
      </w:r>
      <w:r w:rsidRPr="00D1191B">
        <w:rPr>
          <w:rFonts w:asciiTheme="minorHAnsi" w:hAnsiTheme="minorHAnsi"/>
          <w:sz w:val="28"/>
          <w:szCs w:val="28"/>
        </w:rPr>
        <w:t xml:space="preserve">towards </w:t>
      </w:r>
      <w:r w:rsidR="00D53ECF" w:rsidRPr="00D1191B">
        <w:rPr>
          <w:rFonts w:asciiTheme="minorHAnsi" w:hAnsiTheme="minorHAnsi"/>
          <w:sz w:val="28"/>
          <w:szCs w:val="28"/>
        </w:rPr>
        <w:t>diagnosing dementia</w:t>
      </w:r>
      <w:r w:rsidRPr="00D1191B">
        <w:rPr>
          <w:rFonts w:asciiTheme="minorHAnsi" w:hAnsiTheme="minorHAnsi"/>
          <w:sz w:val="28"/>
          <w:szCs w:val="28"/>
        </w:rPr>
        <w:t xml:space="preserve"> </w:t>
      </w:r>
      <w:r w:rsidRPr="00D1191B">
        <w:rPr>
          <w:rFonts w:asciiTheme="minorHAnsi" w:hAnsiTheme="minorHAnsi"/>
          <w:sz w:val="28"/>
          <w:szCs w:val="28"/>
          <w:lang w:eastAsia="en-GB"/>
        </w:rPr>
        <w:t>than those reported in earlier audits</w:t>
      </w:r>
      <w:r w:rsidRPr="00D1191B">
        <w:rPr>
          <w:rFonts w:asciiTheme="minorHAnsi" w:hAnsiTheme="minorHAnsi"/>
          <w:sz w:val="28"/>
          <w:szCs w:val="28"/>
        </w:rPr>
        <w:t>.  Nonetheless</w:t>
      </w:r>
      <w:r w:rsidRPr="00D1191B">
        <w:rPr>
          <w:rFonts w:asciiTheme="minorHAnsi" w:hAnsiTheme="minorHAnsi"/>
          <w:sz w:val="28"/>
          <w:szCs w:val="28"/>
          <w:lang w:eastAsia="en-GB"/>
        </w:rPr>
        <w:t xml:space="preserve"> </w:t>
      </w:r>
      <w:r w:rsidRPr="00D1191B">
        <w:rPr>
          <w:rFonts w:asciiTheme="minorHAnsi" w:hAnsiTheme="minorHAnsi"/>
          <w:sz w:val="28"/>
          <w:szCs w:val="28"/>
        </w:rPr>
        <w:t>on</w:t>
      </w:r>
      <w:r w:rsidRPr="00D1191B">
        <w:rPr>
          <w:rFonts w:asciiTheme="minorHAnsi" w:hAnsiTheme="minorHAnsi"/>
          <w:sz w:val="28"/>
          <w:szCs w:val="28"/>
          <w:lang w:eastAsia="en-GB"/>
        </w:rPr>
        <w:t xml:space="preserve"> some issues</w:t>
      </w:r>
      <w:r w:rsidRPr="00D1191B">
        <w:rPr>
          <w:rFonts w:asciiTheme="minorHAnsi" w:hAnsiTheme="minorHAnsi"/>
          <w:sz w:val="28"/>
          <w:szCs w:val="28"/>
        </w:rPr>
        <w:t>,</w:t>
      </w:r>
      <w:r w:rsidRPr="00D1191B">
        <w:rPr>
          <w:rFonts w:asciiTheme="minorHAnsi" w:hAnsiTheme="minorHAnsi"/>
          <w:sz w:val="28"/>
          <w:szCs w:val="28"/>
          <w:lang w:eastAsia="en-GB"/>
        </w:rPr>
        <w:t xml:space="preserve"> GPs were found to be less positive and less confident, such as in their knowledge about </w:t>
      </w:r>
      <w:r w:rsidR="00D53ECF" w:rsidRPr="00D1191B">
        <w:rPr>
          <w:rFonts w:asciiTheme="minorHAnsi" w:hAnsiTheme="minorHAnsi"/>
          <w:sz w:val="28"/>
          <w:szCs w:val="28"/>
          <w:lang w:eastAsia="en-GB"/>
        </w:rPr>
        <w:t>the</w:t>
      </w:r>
      <w:r w:rsidRPr="00D1191B">
        <w:rPr>
          <w:rFonts w:asciiTheme="minorHAnsi" w:hAnsiTheme="minorHAnsi"/>
          <w:sz w:val="28"/>
          <w:szCs w:val="28"/>
          <w:lang w:eastAsia="en-GB"/>
        </w:rPr>
        <w:t xml:space="preserve"> availability of </w:t>
      </w:r>
      <w:r w:rsidR="00D53ECF" w:rsidRPr="00D1191B">
        <w:rPr>
          <w:rFonts w:asciiTheme="minorHAnsi" w:hAnsiTheme="minorHAnsi"/>
          <w:sz w:val="28"/>
          <w:szCs w:val="28"/>
          <w:lang w:eastAsia="en-GB"/>
        </w:rPr>
        <w:t xml:space="preserve">post diagnostic </w:t>
      </w:r>
      <w:r w:rsidRPr="00D1191B">
        <w:rPr>
          <w:rFonts w:asciiTheme="minorHAnsi" w:hAnsiTheme="minorHAnsi"/>
          <w:sz w:val="28"/>
          <w:szCs w:val="28"/>
          <w:lang w:eastAsia="en-GB"/>
        </w:rPr>
        <w:t>support</w:t>
      </w:r>
      <w:r w:rsidR="00D53ECF" w:rsidRPr="00D1191B">
        <w:rPr>
          <w:rFonts w:asciiTheme="minorHAnsi" w:hAnsiTheme="minorHAnsi"/>
          <w:sz w:val="28"/>
          <w:szCs w:val="28"/>
          <w:lang w:eastAsia="en-GB"/>
        </w:rPr>
        <w:t xml:space="preserve"> services</w:t>
      </w:r>
      <w:r w:rsidRPr="00D1191B">
        <w:rPr>
          <w:rFonts w:asciiTheme="minorHAnsi" w:hAnsiTheme="minorHAnsi"/>
          <w:sz w:val="28"/>
          <w:szCs w:val="28"/>
          <w:lang w:eastAsia="en-GB"/>
        </w:rPr>
        <w:t xml:space="preserve"> and </w:t>
      </w:r>
      <w:r w:rsidR="00D53ECF" w:rsidRPr="00D1191B">
        <w:rPr>
          <w:rFonts w:asciiTheme="minorHAnsi" w:hAnsiTheme="minorHAnsi"/>
          <w:sz w:val="28"/>
          <w:szCs w:val="28"/>
          <w:lang w:eastAsia="en-GB"/>
        </w:rPr>
        <w:t>the satisfaction with Memory S</w:t>
      </w:r>
      <w:r w:rsidRPr="00D1191B">
        <w:rPr>
          <w:rFonts w:asciiTheme="minorHAnsi" w:hAnsiTheme="minorHAnsi"/>
          <w:sz w:val="28"/>
          <w:szCs w:val="28"/>
          <w:lang w:eastAsia="en-GB"/>
        </w:rPr>
        <w:t>ervices for people with dementia and their carers.  .  In 2009 only 44% of GPs agreed</w:t>
      </w:r>
      <w:r w:rsidR="00547145" w:rsidRPr="00D1191B">
        <w:rPr>
          <w:rFonts w:asciiTheme="minorHAnsi" w:hAnsiTheme="minorHAnsi"/>
          <w:sz w:val="28"/>
          <w:szCs w:val="28"/>
          <w:lang w:eastAsia="en-GB"/>
        </w:rPr>
        <w:t xml:space="preserve"> that</w:t>
      </w:r>
      <w:r w:rsidRPr="00D1191B">
        <w:rPr>
          <w:rFonts w:asciiTheme="minorHAnsi" w:hAnsiTheme="minorHAnsi"/>
          <w:sz w:val="28"/>
          <w:szCs w:val="28"/>
          <w:lang w:eastAsia="en-GB"/>
        </w:rPr>
        <w:t xml:space="preserve"> there were satisfactory specialised services for older people, and their families, in their area to meet the needs of those with dementia. In addition, over half (52%) of the GPs in the 2009 Audit stated that the Community Mental Health Teams had not been in contact with them to provide support and guidance </w:t>
      </w:r>
      <w:r w:rsidR="00547145" w:rsidRPr="00D1191B">
        <w:rPr>
          <w:rFonts w:asciiTheme="minorHAnsi" w:hAnsiTheme="minorHAnsi"/>
          <w:sz w:val="28"/>
          <w:szCs w:val="28"/>
          <w:lang w:eastAsia="en-GB"/>
        </w:rPr>
        <w:t>in</w:t>
      </w:r>
      <w:r w:rsidRPr="00D1191B">
        <w:rPr>
          <w:rFonts w:asciiTheme="minorHAnsi" w:hAnsiTheme="minorHAnsi"/>
          <w:sz w:val="28"/>
          <w:szCs w:val="28"/>
          <w:lang w:eastAsia="en-GB"/>
        </w:rPr>
        <w:t xml:space="preserve"> diagnosing and managing patients with dementia</w:t>
      </w:r>
      <w:r w:rsidRPr="00D1191B">
        <w:rPr>
          <w:rFonts w:asciiTheme="minorHAnsi" w:hAnsiTheme="minorHAnsi"/>
          <w:sz w:val="28"/>
          <w:szCs w:val="28"/>
        </w:rPr>
        <w:t>.</w:t>
      </w:r>
      <w:r w:rsidRPr="00D1191B">
        <w:rPr>
          <w:rFonts w:asciiTheme="minorHAnsi" w:hAnsiTheme="minorHAnsi"/>
          <w:sz w:val="28"/>
          <w:szCs w:val="28"/>
          <w:lang w:eastAsia="en-GB"/>
        </w:rPr>
        <w:t xml:space="preserve"> </w:t>
      </w:r>
      <w:r w:rsidRPr="00D1191B">
        <w:rPr>
          <w:rFonts w:asciiTheme="minorHAnsi" w:hAnsiTheme="minorHAnsi"/>
          <w:sz w:val="28"/>
          <w:szCs w:val="28"/>
        </w:rPr>
        <w:t>A majority (</w:t>
      </w:r>
      <w:r w:rsidRPr="00D1191B">
        <w:rPr>
          <w:rFonts w:asciiTheme="minorHAnsi" w:hAnsiTheme="minorHAnsi"/>
          <w:sz w:val="28"/>
          <w:szCs w:val="28"/>
          <w:lang w:eastAsia="en-GB"/>
        </w:rPr>
        <w:t>58%</w:t>
      </w:r>
      <w:r w:rsidRPr="00D1191B">
        <w:rPr>
          <w:rFonts w:asciiTheme="minorHAnsi" w:hAnsiTheme="minorHAnsi"/>
          <w:sz w:val="28"/>
          <w:szCs w:val="28"/>
        </w:rPr>
        <w:t xml:space="preserve">) </w:t>
      </w:r>
      <w:r w:rsidRPr="00D1191B">
        <w:rPr>
          <w:rFonts w:asciiTheme="minorHAnsi" w:hAnsiTheme="minorHAnsi"/>
          <w:sz w:val="28"/>
          <w:szCs w:val="28"/>
          <w:lang w:eastAsia="en-GB"/>
        </w:rPr>
        <w:t xml:space="preserve">of GPs stated that they were not aware of a local care pathway to guide them in the diagnosis and management of patients with dementia.  Although we did not collect a full set of comparable data in this survey the lack of </w:t>
      </w:r>
      <w:r w:rsidRPr="00D1191B">
        <w:rPr>
          <w:rFonts w:asciiTheme="minorHAnsi" w:hAnsiTheme="minorHAnsi"/>
          <w:sz w:val="28"/>
          <w:szCs w:val="28"/>
        </w:rPr>
        <w:t xml:space="preserve">reported </w:t>
      </w:r>
      <w:r w:rsidRPr="00D1191B">
        <w:rPr>
          <w:rFonts w:asciiTheme="minorHAnsi" w:hAnsiTheme="minorHAnsi"/>
          <w:sz w:val="28"/>
          <w:szCs w:val="28"/>
          <w:lang w:eastAsia="en-GB"/>
        </w:rPr>
        <w:t xml:space="preserve">confidence in post-diagnostic support services for people with dementia and their carers, and low </w:t>
      </w:r>
      <w:r w:rsidRPr="00D1191B">
        <w:rPr>
          <w:rFonts w:asciiTheme="minorHAnsi" w:hAnsiTheme="minorHAnsi"/>
          <w:sz w:val="28"/>
          <w:szCs w:val="28"/>
        </w:rPr>
        <w:t xml:space="preserve">levels of </w:t>
      </w:r>
      <w:r w:rsidRPr="00D1191B">
        <w:rPr>
          <w:rFonts w:asciiTheme="minorHAnsi" w:hAnsiTheme="minorHAnsi"/>
          <w:sz w:val="28"/>
          <w:szCs w:val="28"/>
          <w:lang w:eastAsia="en-GB"/>
        </w:rPr>
        <w:t xml:space="preserve">satisfaction with </w:t>
      </w:r>
      <w:r w:rsidRPr="00D1191B">
        <w:rPr>
          <w:rFonts w:asciiTheme="minorHAnsi" w:hAnsiTheme="minorHAnsi"/>
          <w:sz w:val="28"/>
          <w:szCs w:val="28"/>
        </w:rPr>
        <w:t>m</w:t>
      </w:r>
      <w:r w:rsidRPr="00D1191B">
        <w:rPr>
          <w:rFonts w:asciiTheme="minorHAnsi" w:hAnsiTheme="minorHAnsi"/>
          <w:sz w:val="28"/>
          <w:szCs w:val="28"/>
          <w:lang w:eastAsia="en-GB"/>
        </w:rPr>
        <w:t>emory services expressed by GPs in this survey might indicate that little or no progress has been made since 2009 in supporting GPs to increase the</w:t>
      </w:r>
      <w:r w:rsidRPr="00D1191B">
        <w:rPr>
          <w:rFonts w:asciiTheme="minorHAnsi" w:hAnsiTheme="minorHAnsi"/>
          <w:sz w:val="28"/>
          <w:szCs w:val="28"/>
        </w:rPr>
        <w:t>ir</w:t>
      </w:r>
      <w:r w:rsidRPr="00D1191B">
        <w:rPr>
          <w:rFonts w:asciiTheme="minorHAnsi" w:hAnsiTheme="minorHAnsi"/>
          <w:sz w:val="28"/>
          <w:szCs w:val="28"/>
          <w:lang w:eastAsia="en-GB"/>
        </w:rPr>
        <w:t xml:space="preserve"> dementia diagnosis rate. </w:t>
      </w:r>
    </w:p>
    <w:p w:rsidR="006B49CE" w:rsidRPr="00D1191B" w:rsidRDefault="006E6B8D" w:rsidP="00D575CB">
      <w:pPr>
        <w:rPr>
          <w:rFonts w:asciiTheme="minorHAnsi" w:hAnsiTheme="minorHAnsi"/>
          <w:sz w:val="28"/>
          <w:szCs w:val="28"/>
          <w:lang w:eastAsia="en-GB"/>
        </w:rPr>
      </w:pPr>
      <w:r w:rsidRPr="00D1191B">
        <w:rPr>
          <w:rFonts w:asciiTheme="minorHAnsi" w:hAnsiTheme="minorHAnsi"/>
          <w:sz w:val="28"/>
          <w:szCs w:val="28"/>
          <w:lang w:eastAsia="en-GB"/>
        </w:rPr>
        <w:t xml:space="preserve">Therefore, efforts to increase the dementia diagnosis rate nationally might be more effectively achieved by </w:t>
      </w:r>
      <w:r w:rsidRPr="00D1191B">
        <w:rPr>
          <w:rFonts w:asciiTheme="minorHAnsi" w:hAnsiTheme="minorHAnsi"/>
          <w:sz w:val="28"/>
          <w:szCs w:val="28"/>
        </w:rPr>
        <w:t>developing</w:t>
      </w:r>
      <w:r w:rsidRPr="00D1191B">
        <w:rPr>
          <w:rFonts w:asciiTheme="minorHAnsi" w:hAnsiTheme="minorHAnsi"/>
          <w:sz w:val="28"/>
          <w:szCs w:val="28"/>
          <w:lang w:eastAsia="en-GB"/>
        </w:rPr>
        <w:t xml:space="preserve"> resources to support GPs in signposting patients with dementia and their families to post-diagnostic services and </w:t>
      </w:r>
      <w:r w:rsidRPr="00D1191B">
        <w:rPr>
          <w:rFonts w:asciiTheme="minorHAnsi" w:hAnsiTheme="minorHAnsi"/>
          <w:sz w:val="28"/>
          <w:szCs w:val="28"/>
        </w:rPr>
        <w:t xml:space="preserve">in </w:t>
      </w:r>
      <w:r w:rsidRPr="00D1191B">
        <w:rPr>
          <w:rFonts w:asciiTheme="minorHAnsi" w:hAnsiTheme="minorHAnsi"/>
          <w:sz w:val="28"/>
          <w:szCs w:val="28"/>
          <w:lang w:eastAsia="en-GB"/>
        </w:rPr>
        <w:t>providing training for them to use these resources.  For example a mapping exercise could be carried out to:</w:t>
      </w:r>
    </w:p>
    <w:p w:rsidR="006B49CE" w:rsidRPr="00D1191B" w:rsidRDefault="006E6B8D">
      <w:pPr>
        <w:numPr>
          <w:ilvl w:val="1"/>
          <w:numId w:val="35"/>
        </w:numPr>
        <w:rPr>
          <w:rFonts w:asciiTheme="minorHAnsi" w:hAnsiTheme="minorHAnsi"/>
          <w:sz w:val="28"/>
          <w:szCs w:val="28"/>
          <w:lang w:eastAsia="en-GB"/>
        </w:rPr>
      </w:pPr>
      <w:r w:rsidRPr="00D1191B">
        <w:rPr>
          <w:rFonts w:asciiTheme="minorHAnsi" w:hAnsiTheme="minorHAnsi"/>
          <w:sz w:val="28"/>
          <w:szCs w:val="28"/>
          <w:lang w:eastAsia="en-GB"/>
        </w:rPr>
        <w:lastRenderedPageBreak/>
        <w:t xml:space="preserve">Populate a comprehensive and readily accessible regional database of current local </w:t>
      </w:r>
      <w:r w:rsidRPr="00D1191B">
        <w:rPr>
          <w:rFonts w:asciiTheme="minorHAnsi" w:hAnsiTheme="minorHAnsi"/>
          <w:sz w:val="28"/>
          <w:szCs w:val="28"/>
        </w:rPr>
        <w:t>m</w:t>
      </w:r>
      <w:r w:rsidRPr="00D1191B">
        <w:rPr>
          <w:rFonts w:asciiTheme="minorHAnsi" w:hAnsiTheme="minorHAnsi"/>
          <w:sz w:val="28"/>
          <w:szCs w:val="28"/>
          <w:lang w:eastAsia="en-GB"/>
        </w:rPr>
        <w:t>emory and post-diagnostic</w:t>
      </w:r>
      <w:r w:rsidRPr="00D1191B">
        <w:rPr>
          <w:rFonts w:asciiTheme="minorHAnsi" w:hAnsiTheme="minorHAnsi"/>
          <w:sz w:val="28"/>
          <w:szCs w:val="28"/>
        </w:rPr>
        <w:t xml:space="preserve"> s</w:t>
      </w:r>
      <w:r w:rsidRPr="00D1191B">
        <w:rPr>
          <w:rFonts w:asciiTheme="minorHAnsi" w:hAnsiTheme="minorHAnsi"/>
          <w:sz w:val="28"/>
          <w:szCs w:val="28"/>
          <w:lang w:eastAsia="en-GB"/>
        </w:rPr>
        <w:t xml:space="preserve">upport </w:t>
      </w:r>
      <w:r w:rsidRPr="00D1191B">
        <w:rPr>
          <w:rFonts w:asciiTheme="minorHAnsi" w:hAnsiTheme="minorHAnsi"/>
          <w:sz w:val="28"/>
          <w:szCs w:val="28"/>
        </w:rPr>
        <w:t>s</w:t>
      </w:r>
      <w:r w:rsidRPr="00D1191B">
        <w:rPr>
          <w:rFonts w:asciiTheme="minorHAnsi" w:hAnsiTheme="minorHAnsi"/>
          <w:sz w:val="28"/>
          <w:szCs w:val="28"/>
          <w:lang w:eastAsia="en-GB"/>
        </w:rPr>
        <w:t>ervices.</w:t>
      </w:r>
    </w:p>
    <w:p w:rsidR="006B49CE" w:rsidRPr="00D1191B" w:rsidRDefault="006E6B8D">
      <w:pPr>
        <w:numPr>
          <w:ilvl w:val="1"/>
          <w:numId w:val="35"/>
        </w:numPr>
        <w:rPr>
          <w:rFonts w:asciiTheme="minorHAnsi" w:hAnsiTheme="minorHAnsi"/>
          <w:sz w:val="28"/>
          <w:szCs w:val="28"/>
          <w:lang w:eastAsia="en-GB"/>
        </w:rPr>
      </w:pPr>
      <w:r w:rsidRPr="00D1191B">
        <w:rPr>
          <w:rFonts w:asciiTheme="minorHAnsi" w:hAnsiTheme="minorHAnsi"/>
          <w:sz w:val="28"/>
          <w:szCs w:val="28"/>
          <w:lang w:eastAsia="en-GB"/>
        </w:rPr>
        <w:t xml:space="preserve">Identify best practice in </w:t>
      </w:r>
      <w:r w:rsidRPr="00D1191B">
        <w:rPr>
          <w:rFonts w:asciiTheme="minorHAnsi" w:hAnsiTheme="minorHAnsi"/>
          <w:sz w:val="28"/>
          <w:szCs w:val="28"/>
        </w:rPr>
        <w:t>m</w:t>
      </w:r>
      <w:r w:rsidRPr="00D1191B">
        <w:rPr>
          <w:rFonts w:asciiTheme="minorHAnsi" w:hAnsiTheme="minorHAnsi"/>
          <w:sz w:val="28"/>
          <w:szCs w:val="28"/>
          <w:lang w:eastAsia="en-GB"/>
        </w:rPr>
        <w:t xml:space="preserve">emory and post-diagnostic </w:t>
      </w:r>
      <w:r w:rsidRPr="00D1191B">
        <w:rPr>
          <w:rFonts w:asciiTheme="minorHAnsi" w:hAnsiTheme="minorHAnsi"/>
          <w:sz w:val="28"/>
          <w:szCs w:val="28"/>
        </w:rPr>
        <w:t>s</w:t>
      </w:r>
      <w:r w:rsidRPr="00D1191B">
        <w:rPr>
          <w:rFonts w:asciiTheme="minorHAnsi" w:hAnsiTheme="minorHAnsi"/>
          <w:sz w:val="28"/>
          <w:szCs w:val="28"/>
          <w:lang w:eastAsia="en-GB"/>
        </w:rPr>
        <w:t>upport across regions.</w:t>
      </w:r>
    </w:p>
    <w:p w:rsidR="006B49CE" w:rsidRPr="00D1191B" w:rsidRDefault="006E6B8D">
      <w:pPr>
        <w:numPr>
          <w:ilvl w:val="1"/>
          <w:numId w:val="35"/>
        </w:numPr>
        <w:rPr>
          <w:rFonts w:asciiTheme="minorHAnsi" w:hAnsiTheme="minorHAnsi"/>
          <w:sz w:val="28"/>
          <w:szCs w:val="28"/>
          <w:lang w:eastAsia="en-GB"/>
        </w:rPr>
      </w:pPr>
      <w:r w:rsidRPr="00D1191B">
        <w:rPr>
          <w:rFonts w:asciiTheme="minorHAnsi" w:hAnsiTheme="minorHAnsi"/>
          <w:sz w:val="28"/>
          <w:szCs w:val="28"/>
          <w:lang w:eastAsia="en-GB"/>
        </w:rPr>
        <w:t xml:space="preserve">Inform the development of a minimum standard of post-diagnostic </w:t>
      </w:r>
      <w:r w:rsidRPr="00D1191B">
        <w:rPr>
          <w:rFonts w:asciiTheme="minorHAnsi" w:hAnsiTheme="minorHAnsi"/>
          <w:sz w:val="28"/>
          <w:szCs w:val="28"/>
        </w:rPr>
        <w:t>s</w:t>
      </w:r>
      <w:r w:rsidRPr="00D1191B">
        <w:rPr>
          <w:rFonts w:asciiTheme="minorHAnsi" w:hAnsiTheme="minorHAnsi"/>
          <w:sz w:val="28"/>
          <w:szCs w:val="28"/>
          <w:lang w:eastAsia="en-GB"/>
        </w:rPr>
        <w:t>upport for all patients with dementia and their carers.</w:t>
      </w:r>
    </w:p>
    <w:p w:rsidR="006B49CE" w:rsidRPr="00D1191B" w:rsidRDefault="006E6B8D">
      <w:pPr>
        <w:numPr>
          <w:ilvl w:val="1"/>
          <w:numId w:val="35"/>
        </w:numPr>
        <w:rPr>
          <w:rFonts w:asciiTheme="minorHAnsi" w:hAnsiTheme="minorHAnsi"/>
          <w:sz w:val="28"/>
          <w:szCs w:val="28"/>
          <w:lang w:eastAsia="en-GB"/>
        </w:rPr>
      </w:pPr>
      <w:r w:rsidRPr="00D1191B">
        <w:rPr>
          <w:rFonts w:asciiTheme="minorHAnsi" w:hAnsiTheme="minorHAnsi"/>
          <w:sz w:val="28"/>
          <w:szCs w:val="28"/>
          <w:lang w:eastAsia="en-GB"/>
        </w:rPr>
        <w:t xml:space="preserve">Identify localities deficient in the minimum standard of post-diagnostic </w:t>
      </w:r>
      <w:r w:rsidRPr="00D1191B">
        <w:rPr>
          <w:rFonts w:asciiTheme="minorHAnsi" w:hAnsiTheme="minorHAnsi"/>
          <w:sz w:val="28"/>
          <w:szCs w:val="28"/>
        </w:rPr>
        <w:t>s</w:t>
      </w:r>
      <w:r w:rsidRPr="00D1191B">
        <w:rPr>
          <w:rFonts w:asciiTheme="minorHAnsi" w:hAnsiTheme="minorHAnsi"/>
          <w:sz w:val="28"/>
          <w:szCs w:val="28"/>
          <w:lang w:eastAsia="en-GB"/>
        </w:rPr>
        <w:t>upport.</w:t>
      </w:r>
    </w:p>
    <w:p w:rsidR="006B49CE" w:rsidRPr="00D1191B" w:rsidRDefault="006E6B8D">
      <w:pPr>
        <w:numPr>
          <w:ilvl w:val="1"/>
          <w:numId w:val="35"/>
        </w:numPr>
        <w:rPr>
          <w:rFonts w:asciiTheme="minorHAnsi" w:hAnsiTheme="minorHAnsi"/>
          <w:sz w:val="28"/>
          <w:szCs w:val="28"/>
          <w:lang w:eastAsia="en-GB"/>
        </w:rPr>
      </w:pPr>
      <w:r w:rsidRPr="00D1191B">
        <w:rPr>
          <w:rFonts w:asciiTheme="minorHAnsi" w:hAnsiTheme="minorHAnsi"/>
          <w:sz w:val="28"/>
          <w:szCs w:val="28"/>
          <w:lang w:eastAsia="en-GB"/>
        </w:rPr>
        <w:t>Inform the commissioning and development of</w:t>
      </w:r>
      <w:r w:rsidRPr="00D1191B">
        <w:rPr>
          <w:rFonts w:asciiTheme="minorHAnsi" w:hAnsiTheme="minorHAnsi"/>
          <w:sz w:val="28"/>
          <w:szCs w:val="28"/>
        </w:rPr>
        <w:t xml:space="preserve"> d</w:t>
      </w:r>
      <w:r w:rsidRPr="00D1191B">
        <w:rPr>
          <w:rFonts w:asciiTheme="minorHAnsi" w:hAnsiTheme="minorHAnsi"/>
          <w:sz w:val="28"/>
          <w:szCs w:val="28"/>
          <w:lang w:eastAsia="en-GB"/>
        </w:rPr>
        <w:t xml:space="preserve">ementia post-diagnostic </w:t>
      </w:r>
      <w:r w:rsidRPr="00D1191B">
        <w:rPr>
          <w:rFonts w:asciiTheme="minorHAnsi" w:hAnsiTheme="minorHAnsi"/>
          <w:sz w:val="28"/>
          <w:szCs w:val="28"/>
        </w:rPr>
        <w:t>s</w:t>
      </w:r>
      <w:r w:rsidRPr="00D1191B">
        <w:rPr>
          <w:rFonts w:asciiTheme="minorHAnsi" w:hAnsiTheme="minorHAnsi"/>
          <w:sz w:val="28"/>
          <w:szCs w:val="28"/>
          <w:lang w:eastAsia="en-GB"/>
        </w:rPr>
        <w:t>upport options for patients with dementia and their carers.</w:t>
      </w:r>
    </w:p>
    <w:p w:rsidR="006B49CE" w:rsidRPr="00D1191B" w:rsidRDefault="00C80BFB" w:rsidP="00D575CB">
      <w:pPr>
        <w:rPr>
          <w:rFonts w:asciiTheme="minorHAnsi" w:hAnsiTheme="minorHAnsi"/>
          <w:sz w:val="28"/>
          <w:szCs w:val="28"/>
          <w:lang w:eastAsia="en-GB"/>
        </w:rPr>
      </w:pPr>
      <w:r w:rsidRPr="00D1191B">
        <w:rPr>
          <w:rFonts w:asciiTheme="minorHAnsi" w:hAnsiTheme="minorHAnsi"/>
          <w:sz w:val="28"/>
          <w:szCs w:val="28"/>
        </w:rPr>
        <w:t xml:space="preserve">This survey has identified some of the challenges associated with attempts by CCGs to increase diagnosis rates and suggested several steps that could be taken </w:t>
      </w:r>
      <w:r w:rsidR="0011769B" w:rsidRPr="00D1191B">
        <w:rPr>
          <w:rFonts w:asciiTheme="minorHAnsi" w:hAnsiTheme="minorHAnsi"/>
          <w:sz w:val="28"/>
          <w:szCs w:val="28"/>
        </w:rPr>
        <w:t xml:space="preserve">as part of a strategy </w:t>
      </w:r>
      <w:r w:rsidRPr="00D1191B">
        <w:rPr>
          <w:rFonts w:asciiTheme="minorHAnsi" w:hAnsiTheme="minorHAnsi"/>
          <w:sz w:val="28"/>
          <w:szCs w:val="28"/>
        </w:rPr>
        <w:t>to increase the rates achieved in future.</w:t>
      </w:r>
    </w:p>
    <w:p w:rsidR="006B49CE" w:rsidRDefault="006B49CE">
      <w:pPr>
        <w:rPr>
          <w:rFonts w:ascii="Calibri" w:hAnsi="Calibri"/>
          <w:sz w:val="28"/>
          <w:lang w:eastAsia="en-GB"/>
        </w:rPr>
      </w:pPr>
    </w:p>
    <w:p w:rsidR="006B49CE" w:rsidRDefault="006E6B8D">
      <w:pPr>
        <w:spacing w:after="0"/>
        <w:rPr>
          <w:lang w:eastAsia="en-GB"/>
        </w:rPr>
      </w:pPr>
      <w:r>
        <w:rPr>
          <w:lang w:eastAsia="en-GB"/>
        </w:rPr>
        <w:br w:type="page"/>
      </w:r>
    </w:p>
    <w:p w:rsidR="006B49CE" w:rsidRDefault="006E6B8D">
      <w:pPr>
        <w:spacing w:before="120" w:after="120"/>
        <w:rPr>
          <w:b/>
          <w:sz w:val="20"/>
        </w:rPr>
      </w:pPr>
      <w:r>
        <w:rPr>
          <w:b/>
          <w:sz w:val="20"/>
        </w:rPr>
        <w:lastRenderedPageBreak/>
        <w:t xml:space="preserve">Ethics approval </w:t>
      </w:r>
      <w:r>
        <w:rPr>
          <w:bCs/>
          <w:sz w:val="20"/>
        </w:rPr>
        <w:t>was granted by the Ethics Committee of the Faculty of Medicine and Health Sciences, University of East Anglia, Norwich NR4 7TJ</w:t>
      </w:r>
    </w:p>
    <w:p w:rsidR="006B49CE" w:rsidRDefault="006E6B8D">
      <w:pPr>
        <w:spacing w:after="0"/>
        <w:jc w:val="both"/>
      </w:pPr>
      <w:r>
        <w:t>This paper has not been submitted elsewhere for publication</w:t>
      </w:r>
    </w:p>
    <w:p w:rsidR="006B49CE" w:rsidRDefault="006E6B8D">
      <w:pPr>
        <w:pStyle w:val="Heading2"/>
      </w:pPr>
      <w:r>
        <w:t>Acknowledgements</w:t>
      </w:r>
    </w:p>
    <w:p w:rsidR="006B49CE" w:rsidRDefault="006E6B8D">
      <w:r>
        <w:t xml:space="preserve">This survey was funded by the Norfolk and Suffolk Dementia Alliance. This survey has benefited from the valuable support and input provided by an expert UEA Advisory Group: Professor Amanda Howe (UEA), Dr Anne </w:t>
      </w:r>
      <w:proofErr w:type="spellStart"/>
      <w:r>
        <w:t>Killett</w:t>
      </w:r>
      <w:proofErr w:type="spellEnd"/>
      <w:r>
        <w:t xml:space="preserve"> (UEA), and Dr Julia </w:t>
      </w:r>
      <w:proofErr w:type="spellStart"/>
      <w:r>
        <w:t>Baptie</w:t>
      </w:r>
      <w:proofErr w:type="spellEnd"/>
      <w:r>
        <w:t xml:space="preserve"> as GP representative.</w:t>
      </w:r>
    </w:p>
    <w:p w:rsidR="006B49CE" w:rsidRDefault="006E6B8D">
      <w:pPr>
        <w:spacing w:after="0"/>
        <w:rPr>
          <w:b/>
          <w:bCs/>
          <w:color w:val="4F81BD"/>
          <w:sz w:val="26"/>
          <w:lang w:eastAsia="en-GB"/>
        </w:rPr>
      </w:pPr>
      <w:r>
        <w:t>Our thanks to representatives of the Norfolk and Suffolk Clinical Commissioning Groups for collaborating with the implementations of the survey, and of course to all the GPs who completed the online questionnaire and gave their time freely.</w:t>
      </w:r>
      <w:r>
        <w:rPr>
          <w:lang w:eastAsia="en-GB"/>
        </w:rPr>
        <w:br w:type="page"/>
      </w:r>
    </w:p>
    <w:p w:rsidR="006B49CE" w:rsidRDefault="006E6B8D">
      <w:pPr>
        <w:pStyle w:val="Heading2"/>
        <w:rPr>
          <w:lang w:eastAsia="en-GB"/>
        </w:rPr>
      </w:pPr>
      <w:r>
        <w:rPr>
          <w:lang w:eastAsia="en-GB"/>
        </w:rPr>
        <w:lastRenderedPageBreak/>
        <w:t xml:space="preserve">References </w:t>
      </w:r>
    </w:p>
    <w:p w:rsidR="00031008" w:rsidRDefault="00031008">
      <w:pPr>
        <w:spacing w:after="0"/>
      </w:pPr>
    </w:p>
    <w:p w:rsidR="006B49CE" w:rsidRDefault="00031008">
      <w:pPr>
        <w:spacing w:after="0"/>
        <w:rPr>
          <w:i/>
          <w:iCs/>
        </w:rPr>
      </w:pPr>
      <w:r>
        <w:t>1</w:t>
      </w:r>
      <w:r w:rsidR="006E6B8D">
        <w:t xml:space="preserve"> Brookes, J. (2013) </w:t>
      </w:r>
      <w:r w:rsidR="006E6B8D">
        <w:rPr>
          <w:i/>
          <w:iCs/>
        </w:rPr>
        <w:t xml:space="preserve">Government announces drive to up the dementia diagnosis rate by 20 per cent </w:t>
      </w:r>
    </w:p>
    <w:p w:rsidR="006B49CE" w:rsidRDefault="006E6B8D">
      <w:pPr>
        <w:spacing w:after="0"/>
      </w:pPr>
      <w:r>
        <w:t xml:space="preserve">Available at: </w:t>
      </w:r>
      <w:hyperlink r:id="rId11" w:history="1">
        <w:r>
          <w:rPr>
            <w:rStyle w:val="Hyperlink"/>
          </w:rPr>
          <w:t>http://www.careindustrynews.co.uk/2013/05/government-announces-drive-to-up-dementia-diagnosis-by-20-per-cent/</w:t>
        </w:r>
      </w:hyperlink>
    </w:p>
    <w:p w:rsidR="006B49CE" w:rsidRDefault="006E6B8D">
      <w:pPr>
        <w:spacing w:after="0"/>
      </w:pPr>
      <w:r>
        <w:rPr>
          <w:color w:val="111111"/>
          <w:lang w:eastAsia="zh-CN"/>
        </w:rPr>
        <w:t>Date Accessed: 13 Dec. 2013</w:t>
      </w:r>
      <w:r>
        <w:t xml:space="preserve"> </w:t>
      </w:r>
    </w:p>
    <w:p w:rsidR="00031008" w:rsidRDefault="00031008"/>
    <w:p w:rsidR="006B49CE" w:rsidRDefault="006E6B8D">
      <w:r>
        <w:t xml:space="preserve">2 NHS </w:t>
      </w:r>
      <w:r>
        <w:rPr>
          <w:i/>
          <w:iCs/>
        </w:rPr>
        <w:t>Dementia Prevalence Calculators</w:t>
      </w:r>
      <w:r>
        <w:t xml:space="preserve"> </w:t>
      </w:r>
    </w:p>
    <w:p w:rsidR="006B49CE" w:rsidRDefault="006E6B8D">
      <w:pPr>
        <w:spacing w:after="0"/>
      </w:pPr>
      <w:r>
        <w:t xml:space="preserve">Available at </w:t>
      </w:r>
      <w:hyperlink r:id="rId12" w:history="1">
        <w:r>
          <w:rPr>
            <w:rStyle w:val="Hyperlink"/>
          </w:rPr>
          <w:t>http://www.dementiaprevalencecalculator.org.uk</w:t>
        </w:r>
      </w:hyperlink>
    </w:p>
    <w:p w:rsidR="006B49CE" w:rsidRDefault="006E6B8D">
      <w:r>
        <w:rPr>
          <w:color w:val="111111"/>
          <w:lang w:eastAsia="zh-CN"/>
        </w:rPr>
        <w:t>Date Accessed: 13 Dec. 2013</w:t>
      </w:r>
      <w:r>
        <w:t xml:space="preserve"> </w:t>
      </w:r>
    </w:p>
    <w:p w:rsidR="006B49CE" w:rsidRDefault="006E6B8D">
      <w:pPr>
        <w:rPr>
          <w:i/>
          <w:iCs/>
        </w:rPr>
      </w:pPr>
      <w:r>
        <w:t>3 National Audit Office 2009 (Jan 2010</w:t>
      </w:r>
      <w:r>
        <w:rPr>
          <w:i/>
          <w:iCs/>
        </w:rPr>
        <w:t>), Improving Dementia Services in England – an Interim Report:  GP Survey Results</w:t>
      </w:r>
    </w:p>
    <w:p w:rsidR="006B49CE" w:rsidRDefault="006E6B8D">
      <w:pPr>
        <w:spacing w:after="0"/>
        <w:rPr>
          <w:color w:val="222222"/>
          <w:lang w:eastAsia="zh-CN"/>
        </w:rPr>
      </w:pPr>
      <w:r>
        <w:rPr>
          <w:lang w:eastAsia="en-GB"/>
        </w:rPr>
        <w:t xml:space="preserve">Available at: </w:t>
      </w:r>
      <w:r>
        <w:rPr>
          <w:color w:val="222222"/>
          <w:lang w:eastAsia="zh-CN"/>
        </w:rPr>
        <w:t>www.nao.org.uk/wp-content/uploads/.../080982_GP_Survey_results.pdf‎</w:t>
      </w:r>
    </w:p>
    <w:p w:rsidR="006B49CE" w:rsidRDefault="006E6B8D">
      <w:pPr>
        <w:spacing w:after="0"/>
        <w:rPr>
          <w:lang w:eastAsia="en-GB"/>
        </w:rPr>
      </w:pPr>
      <w:r>
        <w:rPr>
          <w:lang w:eastAsia="en-GB"/>
        </w:rPr>
        <w:t>Date Accessed: 13 Dec. 2013</w:t>
      </w:r>
    </w:p>
    <w:p w:rsidR="00031008" w:rsidRDefault="00031008"/>
    <w:p w:rsidR="006B49CE" w:rsidRDefault="006E6B8D">
      <w:r>
        <w:t>4</w:t>
      </w:r>
      <w:r w:rsidR="00031008">
        <w:t xml:space="preserve"> </w:t>
      </w:r>
      <w:r>
        <w:t xml:space="preserve">Morris, C.J., </w:t>
      </w:r>
      <w:proofErr w:type="spellStart"/>
      <w:r>
        <w:t>Cantrill</w:t>
      </w:r>
      <w:proofErr w:type="spellEnd"/>
      <w:r>
        <w:t xml:space="preserve">, J.A. and Weiss, M. C. (2001) </w:t>
      </w:r>
      <w:r w:rsidRPr="00D575CB">
        <w:rPr>
          <w:i/>
        </w:rPr>
        <w:t>GP Survey Response Rates: A miscellany of influencing factors</w:t>
      </w:r>
      <w:r>
        <w:rPr>
          <w:i/>
        </w:rPr>
        <w:t xml:space="preserve">. </w:t>
      </w:r>
      <w:r>
        <w:t xml:space="preserve">Family Practice </w:t>
      </w:r>
      <w:r>
        <w:rPr>
          <w:b/>
        </w:rPr>
        <w:t>18</w:t>
      </w:r>
      <w:r>
        <w:t xml:space="preserve"> (4):454-456</w:t>
      </w:r>
    </w:p>
    <w:p w:rsidR="006B49CE" w:rsidRDefault="006E6B8D">
      <w:pPr>
        <w:spacing w:after="0"/>
        <w:rPr>
          <w:lang w:eastAsia="en-GB"/>
        </w:rPr>
      </w:pPr>
      <w:r>
        <w:rPr>
          <w:lang w:eastAsia="en-GB"/>
        </w:rPr>
        <w:t xml:space="preserve">5 </w:t>
      </w:r>
      <w:proofErr w:type="spellStart"/>
      <w:r>
        <w:rPr>
          <w:lang w:eastAsia="en-GB"/>
        </w:rPr>
        <w:t>Dykema</w:t>
      </w:r>
      <w:proofErr w:type="spellEnd"/>
      <w:r>
        <w:rPr>
          <w:lang w:eastAsia="en-GB"/>
        </w:rPr>
        <w:t xml:space="preserve">, J., N. R. Jones, T. Piché and J. Stevenson (2013) </w:t>
      </w:r>
      <w:r>
        <w:rPr>
          <w:i/>
          <w:iCs/>
          <w:lang w:eastAsia="en-GB"/>
        </w:rPr>
        <w:t>Surveying Clinicians by Web: Current Issues in Design and Administration</w:t>
      </w:r>
      <w:r>
        <w:rPr>
          <w:lang w:eastAsia="en-GB"/>
        </w:rPr>
        <w:t xml:space="preserve">, Evaluation &amp; the Health Professions </w:t>
      </w:r>
      <w:r>
        <w:rPr>
          <w:b/>
          <w:bCs/>
          <w:lang w:eastAsia="en-GB"/>
        </w:rPr>
        <w:t>36</w:t>
      </w:r>
      <w:r>
        <w:rPr>
          <w:lang w:eastAsia="en-GB"/>
        </w:rPr>
        <w:t>(3): 352-381.</w:t>
      </w:r>
    </w:p>
    <w:p w:rsidR="006B49CE" w:rsidRDefault="006B49CE">
      <w:pPr>
        <w:spacing w:after="0"/>
        <w:rPr>
          <w:lang w:eastAsia="en-GB"/>
        </w:rPr>
      </w:pPr>
    </w:p>
    <w:p w:rsidR="006B49CE" w:rsidRDefault="006E6B8D">
      <w:pPr>
        <w:spacing w:after="0"/>
        <w:jc w:val="center"/>
        <w:rPr>
          <w:vanish/>
          <w:sz w:val="16"/>
          <w:lang w:eastAsia="zh-CN"/>
        </w:rPr>
      </w:pPr>
      <w:r>
        <w:rPr>
          <w:vanish/>
          <w:sz w:val="16"/>
          <w:lang w:eastAsia="zh-CN"/>
        </w:rPr>
        <w:t>Top of Form</w:t>
      </w:r>
    </w:p>
    <w:p w:rsidR="006B49CE" w:rsidRDefault="006B49CE">
      <w:pPr>
        <w:spacing w:after="0"/>
        <w:jc w:val="center"/>
        <w:rPr>
          <w:vanish/>
          <w:sz w:val="16"/>
          <w:lang w:eastAsia="zh-CN"/>
        </w:rPr>
      </w:pPr>
    </w:p>
    <w:p w:rsidR="006B49CE" w:rsidRDefault="006B49CE">
      <w:pPr>
        <w:spacing w:after="0"/>
        <w:jc w:val="center"/>
        <w:rPr>
          <w:vanish/>
          <w:sz w:val="16"/>
          <w:lang w:eastAsia="zh-CN"/>
        </w:rPr>
      </w:pPr>
    </w:p>
    <w:p w:rsidR="006B49CE" w:rsidRDefault="006B49CE">
      <w:pPr>
        <w:spacing w:after="0"/>
        <w:jc w:val="center"/>
        <w:rPr>
          <w:vanish/>
          <w:sz w:val="16"/>
          <w:lang w:eastAsia="zh-CN"/>
        </w:rPr>
      </w:pPr>
    </w:p>
    <w:p w:rsidR="006B49CE" w:rsidRDefault="006B49CE">
      <w:pPr>
        <w:spacing w:after="0"/>
        <w:jc w:val="center"/>
        <w:rPr>
          <w:vanish/>
          <w:sz w:val="16"/>
          <w:lang w:eastAsia="zh-CN"/>
        </w:rPr>
      </w:pPr>
    </w:p>
    <w:p w:rsidR="006B49CE" w:rsidRDefault="006B49CE">
      <w:pPr>
        <w:spacing w:after="0"/>
        <w:jc w:val="center"/>
        <w:rPr>
          <w:vanish/>
          <w:sz w:val="16"/>
          <w:lang w:eastAsia="zh-CN"/>
        </w:rPr>
      </w:pPr>
    </w:p>
    <w:p w:rsidR="006B49CE" w:rsidRDefault="006E6B8D">
      <w:pPr>
        <w:spacing w:after="0"/>
        <w:jc w:val="center"/>
        <w:rPr>
          <w:vanish/>
          <w:sz w:val="16"/>
          <w:lang w:eastAsia="zh-CN"/>
        </w:rPr>
      </w:pPr>
      <w:r>
        <w:rPr>
          <w:vanish/>
          <w:sz w:val="16"/>
          <w:lang w:eastAsia="zh-CN"/>
        </w:rPr>
        <w:t>Bottom of Form</w:t>
      </w:r>
    </w:p>
    <w:p w:rsidR="006B49CE" w:rsidRDefault="006E6B8D">
      <w:r>
        <w:t xml:space="preserve">6 Messer, B, Edwards, M and Dillman, D (2012) </w:t>
      </w:r>
      <w:r>
        <w:rPr>
          <w:i/>
          <w:iCs/>
        </w:rPr>
        <w:t>Determinants of item non-response to web and mail respondents in three addressed-based mixed-mode surveys of the general public,</w:t>
      </w:r>
      <w:r>
        <w:t xml:space="preserve"> Survey Practice, North America </w:t>
      </w:r>
    </w:p>
    <w:p w:rsidR="006B49CE" w:rsidRDefault="006E6B8D">
      <w:r>
        <w:rPr>
          <w:color w:val="111111"/>
          <w:lang w:eastAsia="zh-CN"/>
        </w:rPr>
        <w:t xml:space="preserve">Available At: </w:t>
      </w:r>
      <w:hyperlink r:id="rId13" w:tgtFrame="_new" w:history="1">
        <w:r>
          <w:rPr>
            <w:color w:val="337755"/>
            <w:u w:val="single"/>
            <w:lang w:eastAsia="zh-CN"/>
          </w:rPr>
          <w:t>Http://Www.Surveypractice.Org/Index.Php/Surveypractice/Article/View/45</w:t>
        </w:r>
      </w:hyperlink>
      <w:r>
        <w:rPr>
          <w:color w:val="111111"/>
          <w:lang w:eastAsia="zh-CN"/>
        </w:rPr>
        <w:t>&gt;. Date Accessed: 13 Dec. 2013</w:t>
      </w:r>
    </w:p>
    <w:p w:rsidR="006B49CE" w:rsidRDefault="006B49CE">
      <w:pPr>
        <w:spacing w:after="0"/>
        <w:rPr>
          <w:lang w:eastAsia="en-GB"/>
        </w:rPr>
      </w:pPr>
    </w:p>
    <w:p w:rsidR="006B49CE" w:rsidRDefault="006E6B8D">
      <w:r>
        <w:t xml:space="preserve">7 Department of Health (2009) </w:t>
      </w:r>
      <w:proofErr w:type="gramStart"/>
      <w:r>
        <w:t>Living</w:t>
      </w:r>
      <w:proofErr w:type="gramEnd"/>
      <w:r>
        <w:t xml:space="preserve"> well with dementia: A National Dementia Strategy. Leeds: Department of Health</w:t>
      </w:r>
    </w:p>
    <w:p w:rsidR="006B49CE" w:rsidRDefault="006E6B8D">
      <w:pPr>
        <w:spacing w:after="0"/>
        <w:rPr>
          <w:rStyle w:val="Hyperlink"/>
        </w:rPr>
      </w:pPr>
      <w:r>
        <w:t xml:space="preserve">Available at: </w:t>
      </w:r>
      <w:hyperlink r:id="rId14" w:history="1">
        <w:r>
          <w:rPr>
            <w:rStyle w:val="Hyperlink"/>
          </w:rPr>
          <w:t>http://www.dh.gov.uk/health/category/policy-areas/social-care/dementia/</w:t>
        </w:r>
      </w:hyperlink>
    </w:p>
    <w:p w:rsidR="006B49CE" w:rsidRDefault="006E6B8D">
      <w:r>
        <w:rPr>
          <w:color w:val="111111"/>
          <w:lang w:eastAsia="zh-CN"/>
        </w:rPr>
        <w:t>Date Accessed: 13 Dec. 2013</w:t>
      </w:r>
      <w:r>
        <w:t xml:space="preserve"> </w:t>
      </w:r>
    </w:p>
    <w:p w:rsidR="006B49CE" w:rsidRDefault="006E6B8D">
      <w:pPr>
        <w:rPr>
          <w:color w:val="0000FF"/>
          <w:u w:val="single"/>
        </w:rPr>
      </w:pPr>
      <w:r>
        <w:t>8 NHS Quality Outcomes Framework clinical indicators 2013/14: summary tables</w:t>
      </w:r>
    </w:p>
    <w:p w:rsidR="006B49CE" w:rsidRDefault="006E6B8D">
      <w:pPr>
        <w:spacing w:after="0"/>
        <w:rPr>
          <w:rStyle w:val="Hyperlink"/>
        </w:rPr>
      </w:pPr>
      <w:r>
        <w:t xml:space="preserve">Available at: </w:t>
      </w:r>
      <w:hyperlink r:id="rId15" w:history="1">
        <w:r>
          <w:rPr>
            <w:rStyle w:val="Hyperlink"/>
          </w:rPr>
          <w:t>http://www.nhsemployers.org/Aboutus/Publications/Documents/qof-2013-14.pdf</w:t>
        </w:r>
      </w:hyperlink>
    </w:p>
    <w:p w:rsidR="006B49CE" w:rsidRDefault="006E6B8D">
      <w:pPr>
        <w:ind w:left="360"/>
      </w:pPr>
      <w:r>
        <w:rPr>
          <w:color w:val="111111"/>
          <w:lang w:eastAsia="zh-CN"/>
        </w:rPr>
        <w:t>Date Accessed: 13 Dec. 2013</w:t>
      </w:r>
      <w:r>
        <w:t xml:space="preserve"> </w:t>
      </w:r>
    </w:p>
    <w:p w:rsidR="006B49CE" w:rsidRDefault="006E6B8D">
      <w:r>
        <w:lastRenderedPageBreak/>
        <w:t>9 Prime Minister’s Challenge on Dementia</w:t>
      </w:r>
    </w:p>
    <w:p w:rsidR="006B49CE" w:rsidRDefault="006E6B8D">
      <w:r>
        <w:t xml:space="preserve">Available at: </w:t>
      </w:r>
      <w:hyperlink r:id="rId16" w:history="1">
        <w:r>
          <w:rPr>
            <w:rStyle w:val="Hyperlink"/>
          </w:rPr>
          <w:t>https://www.gov.uk/government/news/prime-minister-s-challenge-on-dementia</w:t>
        </w:r>
      </w:hyperlink>
    </w:p>
    <w:p w:rsidR="006B49CE" w:rsidRDefault="006E6B8D">
      <w:r>
        <w:rPr>
          <w:color w:val="111111"/>
          <w:lang w:eastAsia="zh-CN"/>
        </w:rPr>
        <w:t>Date Accessed: 13 Dec. 2013</w:t>
      </w:r>
      <w:r>
        <w:t xml:space="preserve"> </w:t>
      </w:r>
    </w:p>
    <w:p w:rsidR="006B49CE" w:rsidRDefault="006B49CE"/>
    <w:p w:rsidR="006B49CE" w:rsidRDefault="006B49CE">
      <w:pPr>
        <w:spacing w:after="0"/>
        <w:rPr>
          <w:sz w:val="28"/>
          <w:lang w:eastAsia="en-GB"/>
        </w:rPr>
      </w:pPr>
    </w:p>
    <w:p w:rsidR="006B49CE" w:rsidRDefault="006B49CE">
      <w:pPr>
        <w:ind w:left="360"/>
        <w:rPr>
          <w:sz w:val="28"/>
        </w:rPr>
      </w:pPr>
    </w:p>
    <w:p w:rsidR="006B49CE" w:rsidRDefault="006B49CE">
      <w:pPr>
        <w:pStyle w:val="Heading1"/>
        <w:rPr>
          <w:sz w:val="20"/>
        </w:rPr>
      </w:pPr>
    </w:p>
    <w:sectPr w:rsidR="006B49CE">
      <w:headerReference w:type="default" r:id="rId17"/>
      <w:footerReference w:type="default" r:id="rId18"/>
      <w:pgSz w:w="11906" w:h="16838"/>
      <w:pgMar w:top="1701" w:right="1701" w:bottom="1701" w:left="1701" w:header="567" w:footer="510" w:gutter="0"/>
      <w:cols w:sep="1"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57E6" w:rsidRDefault="00CE57E6">
      <w:pPr>
        <w:spacing w:after="0" w:line="240" w:lineRule="auto"/>
      </w:pPr>
      <w:r>
        <w:separator/>
      </w:r>
    </w:p>
  </w:endnote>
  <w:endnote w:type="continuationSeparator" w:id="0">
    <w:p w:rsidR="00CE57E6" w:rsidRDefault="00CE5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57E6" w:rsidRDefault="00CE57E6" w:rsidP="005B14F8">
    <w:pPr>
      <w:pStyle w:val="Footer"/>
    </w:pPr>
    <w:r>
      <w:t>GP Survey: Understanding the dementia diagnosis gap in Norfolk and Suffolk V</w:t>
    </w:r>
    <w:r w:rsidR="008F5D3A">
      <w:t>4</w:t>
    </w:r>
    <w:r>
      <w:t xml:space="preserve"> </w:t>
    </w:r>
    <w:r w:rsidR="008F5D3A">
      <w:t>140</w:t>
    </w:r>
    <w:r>
      <w:t>11</w:t>
    </w:r>
    <w:r w:rsidR="008F5D3A">
      <w:t>4</w:t>
    </w:r>
  </w:p>
  <w:p w:rsidR="00CE57E6" w:rsidRDefault="00CE57E6">
    <w:pPr>
      <w:pStyle w:val="Footer"/>
    </w:pPr>
  </w:p>
  <w:p w:rsidR="00CE57E6" w:rsidRDefault="00CE57E6">
    <w:pPr>
      <w:pStyle w:val="Footer"/>
    </w:pPr>
  </w:p>
  <w:p w:rsidR="00CE57E6" w:rsidRPr="00835C4F" w:rsidRDefault="00CE57E6">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57E6" w:rsidRDefault="00CE57E6">
      <w:pPr>
        <w:spacing w:after="0" w:line="240" w:lineRule="auto"/>
      </w:pPr>
      <w:r>
        <w:separator/>
      </w:r>
    </w:p>
  </w:footnote>
  <w:footnote w:type="continuationSeparator" w:id="0">
    <w:p w:rsidR="00CE57E6" w:rsidRDefault="00CE57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4816585"/>
      <w:docPartObj>
        <w:docPartGallery w:val="Page Numbers (Top of Page)"/>
        <w:docPartUnique/>
      </w:docPartObj>
    </w:sdtPr>
    <w:sdtEndPr>
      <w:rPr>
        <w:noProof/>
      </w:rPr>
    </w:sdtEndPr>
    <w:sdtContent>
      <w:p w:rsidR="00CE57E6" w:rsidRDefault="00CE57E6">
        <w:pPr>
          <w:pStyle w:val="Header"/>
        </w:pPr>
      </w:p>
      <w:p w:rsidR="00CE57E6" w:rsidRDefault="00CE57E6">
        <w:pPr>
          <w:pStyle w:val="Header"/>
        </w:pPr>
        <w:r>
          <w:fldChar w:fldCharType="begin"/>
        </w:r>
        <w:r>
          <w:instrText xml:space="preserve"> PAGE   \* MERGEFORMAT </w:instrText>
        </w:r>
        <w:r>
          <w:fldChar w:fldCharType="separate"/>
        </w:r>
        <w:r w:rsidR="005014AC">
          <w:rPr>
            <w:noProof/>
          </w:rPr>
          <w:t>3</w:t>
        </w:r>
        <w:r>
          <w:rPr>
            <w:noProof/>
          </w:rPr>
          <w:fldChar w:fldCharType="end"/>
        </w:r>
      </w:p>
    </w:sdtContent>
  </w:sdt>
  <w:p w:rsidR="00CE57E6" w:rsidRDefault="00CE57E6" w:rsidP="00063B8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74C5"/>
    <w:multiLevelType w:val="hybridMultilevel"/>
    <w:tmpl w:val="CFDE2036"/>
    <w:lvl w:ilvl="0" w:tplc="9372287E">
      <w:start w:val="1"/>
      <w:numFmt w:val="bullet"/>
      <w:lvlText w:val=""/>
      <w:lvlJc w:val="left"/>
      <w:pPr>
        <w:tabs>
          <w:tab w:val="num" w:pos="360"/>
        </w:tabs>
        <w:ind w:left="360" w:hanging="360"/>
      </w:pPr>
      <w:rPr>
        <w:rFonts w:ascii="Symbol" w:hAnsi="Symbol"/>
        <w:sz w:val="20"/>
      </w:rPr>
    </w:lvl>
    <w:lvl w:ilvl="1" w:tplc="E74CE4AA">
      <w:start w:val="1"/>
      <w:numFmt w:val="bullet"/>
      <w:lvlText w:val="o"/>
      <w:lvlJc w:val="left"/>
      <w:pPr>
        <w:tabs>
          <w:tab w:val="num" w:pos="1440"/>
        </w:tabs>
        <w:ind w:left="1440" w:hanging="360"/>
      </w:pPr>
      <w:rPr>
        <w:rFonts w:ascii="Courier New" w:hAnsi="Courier New"/>
      </w:rPr>
    </w:lvl>
    <w:lvl w:ilvl="2" w:tplc="F93C1FAC">
      <w:start w:val="1"/>
      <w:numFmt w:val="bullet"/>
      <w:lvlText w:val=""/>
      <w:lvlJc w:val="left"/>
      <w:pPr>
        <w:tabs>
          <w:tab w:val="num" w:pos="2160"/>
        </w:tabs>
        <w:ind w:left="2160" w:hanging="360"/>
      </w:pPr>
      <w:rPr>
        <w:rFonts w:ascii="Wingdings" w:hAnsi="Wingdings"/>
      </w:rPr>
    </w:lvl>
    <w:lvl w:ilvl="3" w:tplc="597C6AD8">
      <w:start w:val="1"/>
      <w:numFmt w:val="bullet"/>
      <w:lvlText w:val=""/>
      <w:lvlJc w:val="left"/>
      <w:pPr>
        <w:tabs>
          <w:tab w:val="num" w:pos="2880"/>
        </w:tabs>
        <w:ind w:left="2880" w:hanging="360"/>
      </w:pPr>
      <w:rPr>
        <w:rFonts w:ascii="Symbol" w:hAnsi="Symbol"/>
      </w:rPr>
    </w:lvl>
    <w:lvl w:ilvl="4" w:tplc="63E6F1E8">
      <w:start w:val="1"/>
      <w:numFmt w:val="bullet"/>
      <w:lvlText w:val="o"/>
      <w:lvlJc w:val="left"/>
      <w:pPr>
        <w:tabs>
          <w:tab w:val="num" w:pos="3600"/>
        </w:tabs>
        <w:ind w:left="3600" w:hanging="360"/>
      </w:pPr>
      <w:rPr>
        <w:rFonts w:ascii="Courier New" w:hAnsi="Courier New"/>
      </w:rPr>
    </w:lvl>
    <w:lvl w:ilvl="5" w:tplc="F8685B10">
      <w:start w:val="1"/>
      <w:numFmt w:val="bullet"/>
      <w:lvlText w:val=""/>
      <w:lvlJc w:val="left"/>
      <w:pPr>
        <w:tabs>
          <w:tab w:val="num" w:pos="4320"/>
        </w:tabs>
        <w:ind w:left="4320" w:hanging="360"/>
      </w:pPr>
      <w:rPr>
        <w:rFonts w:ascii="Wingdings" w:hAnsi="Wingdings"/>
      </w:rPr>
    </w:lvl>
    <w:lvl w:ilvl="6" w:tplc="0794FFBE">
      <w:start w:val="1"/>
      <w:numFmt w:val="bullet"/>
      <w:lvlText w:val=""/>
      <w:lvlJc w:val="left"/>
      <w:pPr>
        <w:tabs>
          <w:tab w:val="num" w:pos="5040"/>
        </w:tabs>
        <w:ind w:left="5040" w:hanging="360"/>
      </w:pPr>
      <w:rPr>
        <w:rFonts w:ascii="Symbol" w:hAnsi="Symbol"/>
      </w:rPr>
    </w:lvl>
    <w:lvl w:ilvl="7" w:tplc="C19273E2">
      <w:start w:val="1"/>
      <w:numFmt w:val="bullet"/>
      <w:lvlText w:val="o"/>
      <w:lvlJc w:val="left"/>
      <w:pPr>
        <w:tabs>
          <w:tab w:val="num" w:pos="5760"/>
        </w:tabs>
        <w:ind w:left="5760" w:hanging="360"/>
      </w:pPr>
      <w:rPr>
        <w:rFonts w:ascii="Courier New" w:hAnsi="Courier New"/>
      </w:rPr>
    </w:lvl>
    <w:lvl w:ilvl="8" w:tplc="1CE005DE">
      <w:start w:val="1"/>
      <w:numFmt w:val="bullet"/>
      <w:lvlText w:val=""/>
      <w:lvlJc w:val="left"/>
      <w:pPr>
        <w:tabs>
          <w:tab w:val="num" w:pos="6480"/>
        </w:tabs>
        <w:ind w:left="6480" w:hanging="360"/>
      </w:pPr>
      <w:rPr>
        <w:rFonts w:ascii="Wingdings" w:hAnsi="Wingdings"/>
      </w:rPr>
    </w:lvl>
  </w:abstractNum>
  <w:abstractNum w:abstractNumId="1">
    <w:nsid w:val="0178115B"/>
    <w:multiLevelType w:val="hybridMultilevel"/>
    <w:tmpl w:val="D2443020"/>
    <w:lvl w:ilvl="0" w:tplc="8730C16C">
      <w:start w:val="1"/>
      <w:numFmt w:val="bullet"/>
      <w:lvlText w:val=""/>
      <w:lvlJc w:val="left"/>
      <w:pPr>
        <w:ind w:left="720" w:hanging="360"/>
      </w:pPr>
      <w:rPr>
        <w:rFonts w:ascii="Symbol" w:hAnsi="Symbol"/>
      </w:rPr>
    </w:lvl>
    <w:lvl w:ilvl="1" w:tplc="FEF6BDEE">
      <w:start w:val="1"/>
      <w:numFmt w:val="bullet"/>
      <w:lvlText w:val="o"/>
      <w:lvlJc w:val="left"/>
      <w:pPr>
        <w:ind w:left="1440" w:hanging="360"/>
      </w:pPr>
      <w:rPr>
        <w:rFonts w:ascii="Courier New" w:hAnsi="Courier New"/>
      </w:rPr>
    </w:lvl>
    <w:lvl w:ilvl="2" w:tplc="EB6AE7DE">
      <w:start w:val="1"/>
      <w:numFmt w:val="bullet"/>
      <w:lvlText w:val=""/>
      <w:lvlJc w:val="left"/>
      <w:pPr>
        <w:ind w:left="2160" w:hanging="360"/>
      </w:pPr>
      <w:rPr>
        <w:rFonts w:ascii="Wingdings" w:hAnsi="Wingdings"/>
      </w:rPr>
    </w:lvl>
    <w:lvl w:ilvl="3" w:tplc="D88628CC">
      <w:start w:val="1"/>
      <w:numFmt w:val="bullet"/>
      <w:lvlText w:val=""/>
      <w:lvlJc w:val="left"/>
      <w:pPr>
        <w:ind w:left="2880" w:hanging="360"/>
      </w:pPr>
      <w:rPr>
        <w:rFonts w:ascii="Symbol" w:hAnsi="Symbol"/>
      </w:rPr>
    </w:lvl>
    <w:lvl w:ilvl="4" w:tplc="878694D6">
      <w:start w:val="1"/>
      <w:numFmt w:val="bullet"/>
      <w:lvlText w:val="o"/>
      <w:lvlJc w:val="left"/>
      <w:pPr>
        <w:ind w:left="3600" w:hanging="360"/>
      </w:pPr>
      <w:rPr>
        <w:rFonts w:ascii="Courier New" w:hAnsi="Courier New"/>
      </w:rPr>
    </w:lvl>
    <w:lvl w:ilvl="5" w:tplc="63E0F7F4">
      <w:start w:val="1"/>
      <w:numFmt w:val="bullet"/>
      <w:lvlText w:val=""/>
      <w:lvlJc w:val="left"/>
      <w:pPr>
        <w:ind w:left="4320" w:hanging="360"/>
      </w:pPr>
      <w:rPr>
        <w:rFonts w:ascii="Wingdings" w:hAnsi="Wingdings"/>
      </w:rPr>
    </w:lvl>
    <w:lvl w:ilvl="6" w:tplc="F90003E6">
      <w:start w:val="1"/>
      <w:numFmt w:val="bullet"/>
      <w:lvlText w:val=""/>
      <w:lvlJc w:val="left"/>
      <w:pPr>
        <w:ind w:left="5040" w:hanging="360"/>
      </w:pPr>
      <w:rPr>
        <w:rFonts w:ascii="Symbol" w:hAnsi="Symbol"/>
      </w:rPr>
    </w:lvl>
    <w:lvl w:ilvl="7" w:tplc="01CE9E08">
      <w:start w:val="1"/>
      <w:numFmt w:val="bullet"/>
      <w:lvlText w:val="o"/>
      <w:lvlJc w:val="left"/>
      <w:pPr>
        <w:ind w:left="5760" w:hanging="360"/>
      </w:pPr>
      <w:rPr>
        <w:rFonts w:ascii="Courier New" w:hAnsi="Courier New"/>
      </w:rPr>
    </w:lvl>
    <w:lvl w:ilvl="8" w:tplc="08F89562">
      <w:start w:val="1"/>
      <w:numFmt w:val="bullet"/>
      <w:lvlText w:val=""/>
      <w:lvlJc w:val="left"/>
      <w:pPr>
        <w:ind w:left="6480" w:hanging="360"/>
      </w:pPr>
      <w:rPr>
        <w:rFonts w:ascii="Wingdings" w:hAnsi="Wingdings"/>
      </w:rPr>
    </w:lvl>
  </w:abstractNum>
  <w:abstractNum w:abstractNumId="2">
    <w:nsid w:val="02FA5E89"/>
    <w:multiLevelType w:val="hybridMultilevel"/>
    <w:tmpl w:val="AAF2A502"/>
    <w:lvl w:ilvl="0" w:tplc="25FCA1D4">
      <w:start w:val="1"/>
      <w:numFmt w:val="decimal"/>
      <w:lvlText w:val="%1."/>
      <w:lvlJc w:val="left"/>
      <w:pPr>
        <w:ind w:left="720" w:hanging="360"/>
      </w:pPr>
    </w:lvl>
    <w:lvl w:ilvl="1" w:tplc="C838B40E">
      <w:start w:val="1"/>
      <w:numFmt w:val="lowerLetter"/>
      <w:lvlText w:val="%2."/>
      <w:lvlJc w:val="left"/>
      <w:pPr>
        <w:ind w:left="1440" w:hanging="360"/>
      </w:pPr>
    </w:lvl>
    <w:lvl w:ilvl="2" w:tplc="FA4E3BEE">
      <w:start w:val="1"/>
      <w:numFmt w:val="lowerRoman"/>
      <w:lvlText w:val="%3."/>
      <w:lvlJc w:val="right"/>
      <w:pPr>
        <w:ind w:left="2160" w:hanging="180"/>
      </w:pPr>
    </w:lvl>
    <w:lvl w:ilvl="3" w:tplc="A94677DA">
      <w:start w:val="1"/>
      <w:numFmt w:val="decimal"/>
      <w:lvlText w:val="%4."/>
      <w:lvlJc w:val="left"/>
      <w:pPr>
        <w:ind w:left="2880" w:hanging="360"/>
      </w:pPr>
    </w:lvl>
    <w:lvl w:ilvl="4" w:tplc="5E9AB35A">
      <w:start w:val="1"/>
      <w:numFmt w:val="lowerLetter"/>
      <w:lvlText w:val="%5."/>
      <w:lvlJc w:val="left"/>
      <w:pPr>
        <w:ind w:left="3600" w:hanging="360"/>
      </w:pPr>
    </w:lvl>
    <w:lvl w:ilvl="5" w:tplc="1F902082">
      <w:start w:val="1"/>
      <w:numFmt w:val="lowerRoman"/>
      <w:lvlText w:val="%6."/>
      <w:lvlJc w:val="right"/>
      <w:pPr>
        <w:ind w:left="4320" w:hanging="180"/>
      </w:pPr>
    </w:lvl>
    <w:lvl w:ilvl="6" w:tplc="93F0D9DA">
      <w:start w:val="1"/>
      <w:numFmt w:val="decimal"/>
      <w:lvlText w:val="%7."/>
      <w:lvlJc w:val="left"/>
      <w:pPr>
        <w:ind w:left="5040" w:hanging="360"/>
      </w:pPr>
    </w:lvl>
    <w:lvl w:ilvl="7" w:tplc="26724F6C">
      <w:start w:val="1"/>
      <w:numFmt w:val="lowerLetter"/>
      <w:lvlText w:val="%8."/>
      <w:lvlJc w:val="left"/>
      <w:pPr>
        <w:ind w:left="5760" w:hanging="360"/>
      </w:pPr>
    </w:lvl>
    <w:lvl w:ilvl="8" w:tplc="50EE14C6">
      <w:start w:val="1"/>
      <w:numFmt w:val="lowerRoman"/>
      <w:lvlText w:val="%9."/>
      <w:lvlJc w:val="right"/>
      <w:pPr>
        <w:ind w:left="6480" w:hanging="180"/>
      </w:pPr>
    </w:lvl>
  </w:abstractNum>
  <w:abstractNum w:abstractNumId="3">
    <w:nsid w:val="12207B70"/>
    <w:multiLevelType w:val="singleLevel"/>
    <w:tmpl w:val="30661990"/>
    <w:lvl w:ilvl="0">
      <w:start w:val="1"/>
      <w:numFmt w:val="bullet"/>
      <w:lvlText w:val=""/>
      <w:lvlJc w:val="left"/>
      <w:pPr>
        <w:tabs>
          <w:tab w:val="num" w:pos="643"/>
        </w:tabs>
        <w:ind w:left="643" w:hanging="360"/>
      </w:pPr>
      <w:rPr>
        <w:rFonts w:ascii="Symbol" w:hAnsi="Symbol"/>
      </w:rPr>
    </w:lvl>
  </w:abstractNum>
  <w:abstractNum w:abstractNumId="4">
    <w:nsid w:val="15F8048D"/>
    <w:multiLevelType w:val="singleLevel"/>
    <w:tmpl w:val="284E9D10"/>
    <w:lvl w:ilvl="0">
      <w:start w:val="1"/>
      <w:numFmt w:val="decimal"/>
      <w:lvlText w:val="%1."/>
      <w:lvlJc w:val="left"/>
      <w:pPr>
        <w:tabs>
          <w:tab w:val="num" w:pos="643"/>
        </w:tabs>
        <w:ind w:left="643" w:hanging="360"/>
      </w:pPr>
    </w:lvl>
  </w:abstractNum>
  <w:abstractNum w:abstractNumId="5">
    <w:nsid w:val="1824508C"/>
    <w:multiLevelType w:val="hybridMultilevel"/>
    <w:tmpl w:val="190E93BA"/>
    <w:lvl w:ilvl="0" w:tplc="11FAFEA2">
      <w:start w:val="1"/>
      <w:numFmt w:val="decimal"/>
      <w:lvlText w:val="%1."/>
      <w:lvlJc w:val="left"/>
      <w:pPr>
        <w:ind w:left="720" w:hanging="360"/>
      </w:pPr>
    </w:lvl>
    <w:lvl w:ilvl="1" w:tplc="511282D0">
      <w:start w:val="1"/>
      <w:numFmt w:val="lowerLetter"/>
      <w:lvlText w:val="%2."/>
      <w:lvlJc w:val="left"/>
      <w:pPr>
        <w:ind w:left="1440" w:hanging="360"/>
      </w:pPr>
    </w:lvl>
    <w:lvl w:ilvl="2" w:tplc="D66EFCE6">
      <w:start w:val="1"/>
      <w:numFmt w:val="lowerRoman"/>
      <w:lvlText w:val="%3."/>
      <w:lvlJc w:val="right"/>
      <w:pPr>
        <w:ind w:left="2160" w:hanging="180"/>
      </w:pPr>
    </w:lvl>
    <w:lvl w:ilvl="3" w:tplc="A3BE1C86">
      <w:start w:val="1"/>
      <w:numFmt w:val="decimal"/>
      <w:lvlText w:val="%4."/>
      <w:lvlJc w:val="left"/>
      <w:pPr>
        <w:ind w:left="2880" w:hanging="360"/>
      </w:pPr>
    </w:lvl>
    <w:lvl w:ilvl="4" w:tplc="A4BA1ABE">
      <w:start w:val="1"/>
      <w:numFmt w:val="lowerLetter"/>
      <w:lvlText w:val="%5."/>
      <w:lvlJc w:val="left"/>
      <w:pPr>
        <w:ind w:left="3600" w:hanging="360"/>
      </w:pPr>
    </w:lvl>
    <w:lvl w:ilvl="5" w:tplc="2A0204B8">
      <w:start w:val="1"/>
      <w:numFmt w:val="lowerRoman"/>
      <w:lvlText w:val="%6."/>
      <w:lvlJc w:val="right"/>
      <w:pPr>
        <w:ind w:left="4320" w:hanging="180"/>
      </w:pPr>
    </w:lvl>
    <w:lvl w:ilvl="6" w:tplc="4426D64A">
      <w:start w:val="1"/>
      <w:numFmt w:val="decimal"/>
      <w:lvlText w:val="%7."/>
      <w:lvlJc w:val="left"/>
      <w:pPr>
        <w:ind w:left="5040" w:hanging="360"/>
      </w:pPr>
    </w:lvl>
    <w:lvl w:ilvl="7" w:tplc="5C0EF5F2">
      <w:start w:val="1"/>
      <w:numFmt w:val="lowerLetter"/>
      <w:lvlText w:val="%8."/>
      <w:lvlJc w:val="left"/>
      <w:pPr>
        <w:ind w:left="5760" w:hanging="360"/>
      </w:pPr>
    </w:lvl>
    <w:lvl w:ilvl="8" w:tplc="D24E9EC8">
      <w:start w:val="1"/>
      <w:numFmt w:val="lowerRoman"/>
      <w:lvlText w:val="%9."/>
      <w:lvlJc w:val="right"/>
      <w:pPr>
        <w:ind w:left="6480" w:hanging="180"/>
      </w:pPr>
    </w:lvl>
  </w:abstractNum>
  <w:abstractNum w:abstractNumId="6">
    <w:nsid w:val="21DF21E1"/>
    <w:multiLevelType w:val="hybridMultilevel"/>
    <w:tmpl w:val="E81CFC50"/>
    <w:lvl w:ilvl="0" w:tplc="5A747FEC">
      <w:start w:val="1"/>
      <w:numFmt w:val="bullet"/>
      <w:lvlText w:val=""/>
      <w:lvlJc w:val="left"/>
      <w:pPr>
        <w:ind w:left="720" w:hanging="360"/>
      </w:pPr>
      <w:rPr>
        <w:rFonts w:ascii="Symbol" w:hAnsi="Symbol"/>
      </w:rPr>
    </w:lvl>
    <w:lvl w:ilvl="1" w:tplc="E33C3500">
      <w:start w:val="1"/>
      <w:numFmt w:val="bullet"/>
      <w:lvlText w:val="o"/>
      <w:lvlJc w:val="left"/>
      <w:pPr>
        <w:ind w:left="1440" w:hanging="360"/>
      </w:pPr>
      <w:rPr>
        <w:rFonts w:ascii="Courier New" w:hAnsi="Courier New"/>
      </w:rPr>
    </w:lvl>
    <w:lvl w:ilvl="2" w:tplc="B4744DD8">
      <w:start w:val="1"/>
      <w:numFmt w:val="bullet"/>
      <w:lvlText w:val=""/>
      <w:lvlJc w:val="left"/>
      <w:pPr>
        <w:ind w:left="2160" w:hanging="360"/>
      </w:pPr>
      <w:rPr>
        <w:rFonts w:ascii="Wingdings" w:hAnsi="Wingdings"/>
      </w:rPr>
    </w:lvl>
    <w:lvl w:ilvl="3" w:tplc="F03603CC">
      <w:start w:val="1"/>
      <w:numFmt w:val="bullet"/>
      <w:lvlText w:val=""/>
      <w:lvlJc w:val="left"/>
      <w:pPr>
        <w:ind w:left="2880" w:hanging="360"/>
      </w:pPr>
      <w:rPr>
        <w:rFonts w:ascii="Symbol" w:hAnsi="Symbol"/>
      </w:rPr>
    </w:lvl>
    <w:lvl w:ilvl="4" w:tplc="135C35D2">
      <w:start w:val="1"/>
      <w:numFmt w:val="bullet"/>
      <w:lvlText w:val="o"/>
      <w:lvlJc w:val="left"/>
      <w:pPr>
        <w:ind w:left="3600" w:hanging="360"/>
      </w:pPr>
      <w:rPr>
        <w:rFonts w:ascii="Courier New" w:hAnsi="Courier New"/>
      </w:rPr>
    </w:lvl>
    <w:lvl w:ilvl="5" w:tplc="2D8CDC92">
      <w:start w:val="1"/>
      <w:numFmt w:val="bullet"/>
      <w:lvlText w:val=""/>
      <w:lvlJc w:val="left"/>
      <w:pPr>
        <w:ind w:left="4320" w:hanging="360"/>
      </w:pPr>
      <w:rPr>
        <w:rFonts w:ascii="Wingdings" w:hAnsi="Wingdings"/>
      </w:rPr>
    </w:lvl>
    <w:lvl w:ilvl="6" w:tplc="897E44B6">
      <w:start w:val="1"/>
      <w:numFmt w:val="bullet"/>
      <w:lvlText w:val=""/>
      <w:lvlJc w:val="left"/>
      <w:pPr>
        <w:ind w:left="5040" w:hanging="360"/>
      </w:pPr>
      <w:rPr>
        <w:rFonts w:ascii="Symbol" w:hAnsi="Symbol"/>
      </w:rPr>
    </w:lvl>
    <w:lvl w:ilvl="7" w:tplc="61F6B36E">
      <w:start w:val="1"/>
      <w:numFmt w:val="bullet"/>
      <w:lvlText w:val="o"/>
      <w:lvlJc w:val="left"/>
      <w:pPr>
        <w:ind w:left="5760" w:hanging="360"/>
      </w:pPr>
      <w:rPr>
        <w:rFonts w:ascii="Courier New" w:hAnsi="Courier New"/>
      </w:rPr>
    </w:lvl>
    <w:lvl w:ilvl="8" w:tplc="33C43C84">
      <w:start w:val="1"/>
      <w:numFmt w:val="bullet"/>
      <w:lvlText w:val=""/>
      <w:lvlJc w:val="left"/>
      <w:pPr>
        <w:ind w:left="6480" w:hanging="360"/>
      </w:pPr>
      <w:rPr>
        <w:rFonts w:ascii="Wingdings" w:hAnsi="Wingdings"/>
      </w:rPr>
    </w:lvl>
  </w:abstractNum>
  <w:abstractNum w:abstractNumId="7">
    <w:nsid w:val="22D4561F"/>
    <w:multiLevelType w:val="hybridMultilevel"/>
    <w:tmpl w:val="0AE2FB06"/>
    <w:lvl w:ilvl="0" w:tplc="98B25D08">
      <w:start w:val="1"/>
      <w:numFmt w:val="decimal"/>
      <w:lvlText w:val="%1."/>
      <w:lvlJc w:val="left"/>
      <w:pPr>
        <w:ind w:left="720" w:hanging="360"/>
      </w:pPr>
    </w:lvl>
    <w:lvl w:ilvl="1" w:tplc="69204B9A">
      <w:start w:val="1"/>
      <w:numFmt w:val="lowerLetter"/>
      <w:lvlText w:val="%2."/>
      <w:lvlJc w:val="left"/>
      <w:pPr>
        <w:ind w:left="1440" w:hanging="360"/>
      </w:pPr>
    </w:lvl>
    <w:lvl w:ilvl="2" w:tplc="B046DF8E">
      <w:start w:val="1"/>
      <w:numFmt w:val="lowerRoman"/>
      <w:lvlText w:val="%3."/>
      <w:lvlJc w:val="right"/>
      <w:pPr>
        <w:ind w:left="2160" w:hanging="180"/>
      </w:pPr>
    </w:lvl>
    <w:lvl w:ilvl="3" w:tplc="ED3CDABC">
      <w:start w:val="1"/>
      <w:numFmt w:val="decimal"/>
      <w:lvlText w:val="%4."/>
      <w:lvlJc w:val="left"/>
      <w:pPr>
        <w:ind w:left="2880" w:hanging="360"/>
      </w:pPr>
    </w:lvl>
    <w:lvl w:ilvl="4" w:tplc="0CC07B32">
      <w:start w:val="1"/>
      <w:numFmt w:val="lowerLetter"/>
      <w:lvlText w:val="%5."/>
      <w:lvlJc w:val="left"/>
      <w:pPr>
        <w:ind w:left="3600" w:hanging="360"/>
      </w:pPr>
    </w:lvl>
    <w:lvl w:ilvl="5" w:tplc="CB9C97F4">
      <w:start w:val="1"/>
      <w:numFmt w:val="lowerRoman"/>
      <w:lvlText w:val="%6."/>
      <w:lvlJc w:val="right"/>
      <w:pPr>
        <w:ind w:left="4320" w:hanging="180"/>
      </w:pPr>
    </w:lvl>
    <w:lvl w:ilvl="6" w:tplc="09BEFD18">
      <w:start w:val="1"/>
      <w:numFmt w:val="decimal"/>
      <w:lvlText w:val="%7."/>
      <w:lvlJc w:val="left"/>
      <w:pPr>
        <w:ind w:left="5040" w:hanging="360"/>
      </w:pPr>
    </w:lvl>
    <w:lvl w:ilvl="7" w:tplc="1E5867FC">
      <w:start w:val="1"/>
      <w:numFmt w:val="lowerLetter"/>
      <w:lvlText w:val="%8."/>
      <w:lvlJc w:val="left"/>
      <w:pPr>
        <w:ind w:left="5760" w:hanging="360"/>
      </w:pPr>
    </w:lvl>
    <w:lvl w:ilvl="8" w:tplc="A7B09738">
      <w:start w:val="1"/>
      <w:numFmt w:val="lowerRoman"/>
      <w:lvlText w:val="%9."/>
      <w:lvlJc w:val="right"/>
      <w:pPr>
        <w:ind w:left="6480" w:hanging="180"/>
      </w:pPr>
    </w:lvl>
  </w:abstractNum>
  <w:abstractNum w:abstractNumId="8">
    <w:nsid w:val="23AF1E1A"/>
    <w:multiLevelType w:val="hybridMultilevel"/>
    <w:tmpl w:val="D228F504"/>
    <w:lvl w:ilvl="0" w:tplc="CE08BE84">
      <w:start w:val="1"/>
      <w:numFmt w:val="bullet"/>
      <w:lvlText w:val=""/>
      <w:lvlJc w:val="left"/>
      <w:pPr>
        <w:ind w:left="720" w:hanging="360"/>
      </w:pPr>
      <w:rPr>
        <w:rFonts w:ascii="Symbol" w:hAnsi="Symbol"/>
      </w:rPr>
    </w:lvl>
    <w:lvl w:ilvl="1" w:tplc="4F7EF6B2">
      <w:start w:val="1"/>
      <w:numFmt w:val="bullet"/>
      <w:lvlText w:val="o"/>
      <w:lvlJc w:val="left"/>
      <w:pPr>
        <w:ind w:left="1440" w:hanging="360"/>
      </w:pPr>
      <w:rPr>
        <w:rFonts w:ascii="Courier New" w:hAnsi="Courier New"/>
      </w:rPr>
    </w:lvl>
    <w:lvl w:ilvl="2" w:tplc="9A3C6872">
      <w:start w:val="1"/>
      <w:numFmt w:val="bullet"/>
      <w:lvlText w:val=""/>
      <w:lvlJc w:val="left"/>
      <w:pPr>
        <w:ind w:left="2160" w:hanging="360"/>
      </w:pPr>
      <w:rPr>
        <w:rFonts w:ascii="Wingdings" w:hAnsi="Wingdings"/>
      </w:rPr>
    </w:lvl>
    <w:lvl w:ilvl="3" w:tplc="3B3CD7EC">
      <w:start w:val="1"/>
      <w:numFmt w:val="bullet"/>
      <w:lvlText w:val=""/>
      <w:lvlJc w:val="left"/>
      <w:pPr>
        <w:ind w:left="2880" w:hanging="360"/>
      </w:pPr>
      <w:rPr>
        <w:rFonts w:ascii="Symbol" w:hAnsi="Symbol"/>
      </w:rPr>
    </w:lvl>
    <w:lvl w:ilvl="4" w:tplc="02106238">
      <w:start w:val="1"/>
      <w:numFmt w:val="bullet"/>
      <w:lvlText w:val="o"/>
      <w:lvlJc w:val="left"/>
      <w:pPr>
        <w:ind w:left="3600" w:hanging="360"/>
      </w:pPr>
      <w:rPr>
        <w:rFonts w:ascii="Courier New" w:hAnsi="Courier New"/>
      </w:rPr>
    </w:lvl>
    <w:lvl w:ilvl="5" w:tplc="68D63590">
      <w:start w:val="1"/>
      <w:numFmt w:val="bullet"/>
      <w:lvlText w:val=""/>
      <w:lvlJc w:val="left"/>
      <w:pPr>
        <w:ind w:left="4320" w:hanging="360"/>
      </w:pPr>
      <w:rPr>
        <w:rFonts w:ascii="Wingdings" w:hAnsi="Wingdings"/>
      </w:rPr>
    </w:lvl>
    <w:lvl w:ilvl="6" w:tplc="2AD8F268">
      <w:start w:val="1"/>
      <w:numFmt w:val="bullet"/>
      <w:lvlText w:val=""/>
      <w:lvlJc w:val="left"/>
      <w:pPr>
        <w:ind w:left="5040" w:hanging="360"/>
      </w:pPr>
      <w:rPr>
        <w:rFonts w:ascii="Symbol" w:hAnsi="Symbol"/>
      </w:rPr>
    </w:lvl>
    <w:lvl w:ilvl="7" w:tplc="1564FE0A">
      <w:start w:val="1"/>
      <w:numFmt w:val="bullet"/>
      <w:lvlText w:val="o"/>
      <w:lvlJc w:val="left"/>
      <w:pPr>
        <w:ind w:left="5760" w:hanging="360"/>
      </w:pPr>
      <w:rPr>
        <w:rFonts w:ascii="Courier New" w:hAnsi="Courier New"/>
      </w:rPr>
    </w:lvl>
    <w:lvl w:ilvl="8" w:tplc="72940FEA">
      <w:start w:val="1"/>
      <w:numFmt w:val="bullet"/>
      <w:lvlText w:val=""/>
      <w:lvlJc w:val="left"/>
      <w:pPr>
        <w:ind w:left="6480" w:hanging="360"/>
      </w:pPr>
      <w:rPr>
        <w:rFonts w:ascii="Wingdings" w:hAnsi="Wingdings"/>
      </w:rPr>
    </w:lvl>
  </w:abstractNum>
  <w:abstractNum w:abstractNumId="9">
    <w:nsid w:val="2D5A14DB"/>
    <w:multiLevelType w:val="singleLevel"/>
    <w:tmpl w:val="8B94513C"/>
    <w:lvl w:ilvl="0">
      <w:start w:val="1"/>
      <w:numFmt w:val="bullet"/>
      <w:lvlText w:val=""/>
      <w:lvlJc w:val="left"/>
      <w:pPr>
        <w:tabs>
          <w:tab w:val="num" w:pos="1492"/>
        </w:tabs>
        <w:ind w:left="1492" w:hanging="360"/>
      </w:pPr>
      <w:rPr>
        <w:rFonts w:ascii="Symbol" w:hAnsi="Symbol"/>
      </w:rPr>
    </w:lvl>
  </w:abstractNum>
  <w:abstractNum w:abstractNumId="10">
    <w:nsid w:val="32354861"/>
    <w:multiLevelType w:val="hybridMultilevel"/>
    <w:tmpl w:val="A4C83146"/>
    <w:lvl w:ilvl="0" w:tplc="B944FF66">
      <w:start w:val="1"/>
      <w:numFmt w:val="bullet"/>
      <w:lvlText w:val=""/>
      <w:lvlJc w:val="left"/>
      <w:pPr>
        <w:ind w:left="720" w:hanging="360"/>
      </w:pPr>
      <w:rPr>
        <w:rFonts w:ascii="Symbol" w:hAnsi="Symbol"/>
      </w:rPr>
    </w:lvl>
    <w:lvl w:ilvl="1" w:tplc="7390F49E">
      <w:start w:val="1"/>
      <w:numFmt w:val="bullet"/>
      <w:lvlText w:val="o"/>
      <w:lvlJc w:val="left"/>
      <w:pPr>
        <w:ind w:left="1440" w:hanging="360"/>
      </w:pPr>
      <w:rPr>
        <w:rFonts w:ascii="Courier New" w:hAnsi="Courier New"/>
      </w:rPr>
    </w:lvl>
    <w:lvl w:ilvl="2" w:tplc="04FA28B8">
      <w:start w:val="1"/>
      <w:numFmt w:val="bullet"/>
      <w:lvlText w:val=""/>
      <w:lvlJc w:val="left"/>
      <w:pPr>
        <w:ind w:left="2160" w:hanging="360"/>
      </w:pPr>
      <w:rPr>
        <w:rFonts w:ascii="Wingdings" w:hAnsi="Wingdings"/>
      </w:rPr>
    </w:lvl>
    <w:lvl w:ilvl="3" w:tplc="9252DE2E">
      <w:start w:val="1"/>
      <w:numFmt w:val="bullet"/>
      <w:lvlText w:val=""/>
      <w:lvlJc w:val="left"/>
      <w:pPr>
        <w:ind w:left="2880" w:hanging="360"/>
      </w:pPr>
      <w:rPr>
        <w:rFonts w:ascii="Symbol" w:hAnsi="Symbol"/>
      </w:rPr>
    </w:lvl>
    <w:lvl w:ilvl="4" w:tplc="4B1CD652">
      <w:start w:val="1"/>
      <w:numFmt w:val="bullet"/>
      <w:lvlText w:val="o"/>
      <w:lvlJc w:val="left"/>
      <w:pPr>
        <w:ind w:left="3600" w:hanging="360"/>
      </w:pPr>
      <w:rPr>
        <w:rFonts w:ascii="Courier New" w:hAnsi="Courier New"/>
      </w:rPr>
    </w:lvl>
    <w:lvl w:ilvl="5" w:tplc="89809A3A">
      <w:start w:val="1"/>
      <w:numFmt w:val="bullet"/>
      <w:lvlText w:val=""/>
      <w:lvlJc w:val="left"/>
      <w:pPr>
        <w:ind w:left="4320" w:hanging="360"/>
      </w:pPr>
      <w:rPr>
        <w:rFonts w:ascii="Wingdings" w:hAnsi="Wingdings"/>
      </w:rPr>
    </w:lvl>
    <w:lvl w:ilvl="6" w:tplc="279620AA">
      <w:start w:val="1"/>
      <w:numFmt w:val="bullet"/>
      <w:lvlText w:val=""/>
      <w:lvlJc w:val="left"/>
      <w:pPr>
        <w:ind w:left="5040" w:hanging="360"/>
      </w:pPr>
      <w:rPr>
        <w:rFonts w:ascii="Symbol" w:hAnsi="Symbol"/>
      </w:rPr>
    </w:lvl>
    <w:lvl w:ilvl="7" w:tplc="9286BB78">
      <w:start w:val="1"/>
      <w:numFmt w:val="bullet"/>
      <w:lvlText w:val="o"/>
      <w:lvlJc w:val="left"/>
      <w:pPr>
        <w:ind w:left="5760" w:hanging="360"/>
      </w:pPr>
      <w:rPr>
        <w:rFonts w:ascii="Courier New" w:hAnsi="Courier New"/>
      </w:rPr>
    </w:lvl>
    <w:lvl w:ilvl="8" w:tplc="5AFAC420">
      <w:start w:val="1"/>
      <w:numFmt w:val="bullet"/>
      <w:lvlText w:val=""/>
      <w:lvlJc w:val="left"/>
      <w:pPr>
        <w:ind w:left="6480" w:hanging="360"/>
      </w:pPr>
      <w:rPr>
        <w:rFonts w:ascii="Wingdings" w:hAnsi="Wingdings"/>
      </w:rPr>
    </w:lvl>
  </w:abstractNum>
  <w:abstractNum w:abstractNumId="11">
    <w:nsid w:val="332841E6"/>
    <w:multiLevelType w:val="hybridMultilevel"/>
    <w:tmpl w:val="EEE09DF4"/>
    <w:lvl w:ilvl="0" w:tplc="E1EA4DF2">
      <w:start w:val="1"/>
      <w:numFmt w:val="decimal"/>
      <w:lvlText w:val="%1."/>
      <w:lvlJc w:val="left"/>
      <w:pPr>
        <w:ind w:left="720" w:hanging="360"/>
      </w:pPr>
    </w:lvl>
    <w:lvl w:ilvl="1" w:tplc="8DC0785C">
      <w:start w:val="1"/>
      <w:numFmt w:val="lowerLetter"/>
      <w:lvlText w:val="%2."/>
      <w:lvlJc w:val="left"/>
      <w:pPr>
        <w:ind w:left="1440" w:hanging="360"/>
      </w:pPr>
    </w:lvl>
    <w:lvl w:ilvl="2" w:tplc="BCFA37D0">
      <w:start w:val="1"/>
      <w:numFmt w:val="bullet"/>
      <w:lvlText w:val=""/>
      <w:lvlJc w:val="left"/>
      <w:pPr>
        <w:ind w:left="2160" w:hanging="180"/>
      </w:pPr>
      <w:rPr>
        <w:rFonts w:ascii="Symbol" w:hAnsi="Symbol"/>
      </w:rPr>
    </w:lvl>
    <w:lvl w:ilvl="3" w:tplc="71E02110">
      <w:start w:val="1"/>
      <w:numFmt w:val="decimal"/>
      <w:lvlText w:val="%4."/>
      <w:lvlJc w:val="left"/>
      <w:pPr>
        <w:ind w:left="2880" w:hanging="360"/>
      </w:pPr>
    </w:lvl>
    <w:lvl w:ilvl="4" w:tplc="EA6E382A">
      <w:start w:val="1"/>
      <w:numFmt w:val="lowerLetter"/>
      <w:lvlText w:val="%5."/>
      <w:lvlJc w:val="left"/>
      <w:pPr>
        <w:ind w:left="3600" w:hanging="360"/>
      </w:pPr>
    </w:lvl>
    <w:lvl w:ilvl="5" w:tplc="07DA8634">
      <w:start w:val="1"/>
      <w:numFmt w:val="lowerRoman"/>
      <w:lvlText w:val="%6."/>
      <w:lvlJc w:val="right"/>
      <w:pPr>
        <w:ind w:left="4320" w:hanging="180"/>
      </w:pPr>
    </w:lvl>
    <w:lvl w:ilvl="6" w:tplc="05D4E990">
      <w:start w:val="1"/>
      <w:numFmt w:val="decimal"/>
      <w:lvlText w:val="%7."/>
      <w:lvlJc w:val="left"/>
      <w:pPr>
        <w:ind w:left="5040" w:hanging="360"/>
      </w:pPr>
    </w:lvl>
    <w:lvl w:ilvl="7" w:tplc="F69E9B42">
      <w:start w:val="1"/>
      <w:numFmt w:val="lowerLetter"/>
      <w:lvlText w:val="%8."/>
      <w:lvlJc w:val="left"/>
      <w:pPr>
        <w:ind w:left="5760" w:hanging="360"/>
      </w:pPr>
    </w:lvl>
    <w:lvl w:ilvl="8" w:tplc="97C4B1B6">
      <w:start w:val="1"/>
      <w:numFmt w:val="lowerRoman"/>
      <w:lvlText w:val="%9."/>
      <w:lvlJc w:val="right"/>
      <w:pPr>
        <w:ind w:left="6480" w:hanging="180"/>
      </w:pPr>
    </w:lvl>
  </w:abstractNum>
  <w:abstractNum w:abstractNumId="12">
    <w:nsid w:val="33951092"/>
    <w:multiLevelType w:val="hybridMultilevel"/>
    <w:tmpl w:val="90C2DC44"/>
    <w:lvl w:ilvl="0" w:tplc="832C9664">
      <w:start w:val="1"/>
      <w:numFmt w:val="decimal"/>
      <w:lvlText w:val="%1."/>
      <w:lvlJc w:val="left"/>
      <w:pPr>
        <w:ind w:left="720" w:hanging="360"/>
      </w:pPr>
    </w:lvl>
    <w:lvl w:ilvl="1" w:tplc="1A70C4EA">
      <w:start w:val="1"/>
      <w:numFmt w:val="lowerLetter"/>
      <w:lvlText w:val="%2."/>
      <w:lvlJc w:val="left"/>
      <w:pPr>
        <w:ind w:left="1440" w:hanging="360"/>
      </w:pPr>
    </w:lvl>
    <w:lvl w:ilvl="2" w:tplc="E99207BC">
      <w:start w:val="1"/>
      <w:numFmt w:val="bullet"/>
      <w:lvlText w:val=""/>
      <w:lvlJc w:val="left"/>
      <w:pPr>
        <w:ind w:left="2160" w:hanging="180"/>
      </w:pPr>
      <w:rPr>
        <w:rFonts w:ascii="Symbol" w:hAnsi="Symbol"/>
      </w:rPr>
    </w:lvl>
    <w:lvl w:ilvl="3" w:tplc="18B436C8">
      <w:start w:val="1"/>
      <w:numFmt w:val="decimal"/>
      <w:lvlText w:val="%4."/>
      <w:lvlJc w:val="left"/>
      <w:pPr>
        <w:ind w:left="2880" w:hanging="360"/>
      </w:pPr>
    </w:lvl>
    <w:lvl w:ilvl="4" w:tplc="FDA2B394">
      <w:start w:val="1"/>
      <w:numFmt w:val="lowerLetter"/>
      <w:lvlText w:val="%5."/>
      <w:lvlJc w:val="left"/>
      <w:pPr>
        <w:ind w:left="3600" w:hanging="360"/>
      </w:pPr>
    </w:lvl>
    <w:lvl w:ilvl="5" w:tplc="A776E70E">
      <w:start w:val="1"/>
      <w:numFmt w:val="lowerRoman"/>
      <w:lvlText w:val="%6."/>
      <w:lvlJc w:val="right"/>
      <w:pPr>
        <w:ind w:left="4320" w:hanging="180"/>
      </w:pPr>
    </w:lvl>
    <w:lvl w:ilvl="6" w:tplc="A088F240">
      <w:start w:val="1"/>
      <w:numFmt w:val="decimal"/>
      <w:lvlText w:val="%7."/>
      <w:lvlJc w:val="left"/>
      <w:pPr>
        <w:ind w:left="5040" w:hanging="360"/>
      </w:pPr>
    </w:lvl>
    <w:lvl w:ilvl="7" w:tplc="044C50B0">
      <w:start w:val="1"/>
      <w:numFmt w:val="lowerLetter"/>
      <w:lvlText w:val="%8."/>
      <w:lvlJc w:val="left"/>
      <w:pPr>
        <w:ind w:left="5760" w:hanging="360"/>
      </w:pPr>
    </w:lvl>
    <w:lvl w:ilvl="8" w:tplc="FE8250B0">
      <w:start w:val="1"/>
      <w:numFmt w:val="lowerRoman"/>
      <w:lvlText w:val="%9."/>
      <w:lvlJc w:val="right"/>
      <w:pPr>
        <w:ind w:left="6480" w:hanging="180"/>
      </w:pPr>
    </w:lvl>
  </w:abstractNum>
  <w:abstractNum w:abstractNumId="13">
    <w:nsid w:val="37CF4CE2"/>
    <w:multiLevelType w:val="hybridMultilevel"/>
    <w:tmpl w:val="14CA0D52"/>
    <w:lvl w:ilvl="0" w:tplc="4FFABAEA">
      <w:start w:val="1"/>
      <w:numFmt w:val="bullet"/>
      <w:lvlText w:val=""/>
      <w:lvlJc w:val="left"/>
      <w:pPr>
        <w:ind w:left="720" w:hanging="360"/>
      </w:pPr>
      <w:rPr>
        <w:rFonts w:ascii="Symbol" w:hAnsi="Symbol"/>
      </w:rPr>
    </w:lvl>
    <w:lvl w:ilvl="1" w:tplc="4B94C8DC">
      <w:start w:val="1"/>
      <w:numFmt w:val="bullet"/>
      <w:lvlText w:val="o"/>
      <w:lvlJc w:val="left"/>
      <w:pPr>
        <w:ind w:left="1440" w:hanging="360"/>
      </w:pPr>
      <w:rPr>
        <w:rFonts w:ascii="Courier New" w:hAnsi="Courier New"/>
      </w:rPr>
    </w:lvl>
    <w:lvl w:ilvl="2" w:tplc="5A5617C4">
      <w:start w:val="1"/>
      <w:numFmt w:val="bullet"/>
      <w:lvlText w:val=""/>
      <w:lvlJc w:val="left"/>
      <w:pPr>
        <w:ind w:left="2160" w:hanging="360"/>
      </w:pPr>
      <w:rPr>
        <w:rFonts w:ascii="Wingdings" w:hAnsi="Wingdings"/>
      </w:rPr>
    </w:lvl>
    <w:lvl w:ilvl="3" w:tplc="11D4654C">
      <w:start w:val="1"/>
      <w:numFmt w:val="bullet"/>
      <w:lvlText w:val=""/>
      <w:lvlJc w:val="left"/>
      <w:pPr>
        <w:ind w:left="2880" w:hanging="360"/>
      </w:pPr>
      <w:rPr>
        <w:rFonts w:ascii="Symbol" w:hAnsi="Symbol"/>
      </w:rPr>
    </w:lvl>
    <w:lvl w:ilvl="4" w:tplc="83865048">
      <w:start w:val="1"/>
      <w:numFmt w:val="bullet"/>
      <w:lvlText w:val="o"/>
      <w:lvlJc w:val="left"/>
      <w:pPr>
        <w:ind w:left="3600" w:hanging="360"/>
      </w:pPr>
      <w:rPr>
        <w:rFonts w:ascii="Courier New" w:hAnsi="Courier New"/>
      </w:rPr>
    </w:lvl>
    <w:lvl w:ilvl="5" w:tplc="6B7ABA18">
      <w:start w:val="1"/>
      <w:numFmt w:val="bullet"/>
      <w:lvlText w:val=""/>
      <w:lvlJc w:val="left"/>
      <w:pPr>
        <w:ind w:left="4320" w:hanging="360"/>
      </w:pPr>
      <w:rPr>
        <w:rFonts w:ascii="Wingdings" w:hAnsi="Wingdings"/>
      </w:rPr>
    </w:lvl>
    <w:lvl w:ilvl="6" w:tplc="B1E4F38E">
      <w:start w:val="1"/>
      <w:numFmt w:val="bullet"/>
      <w:lvlText w:val=""/>
      <w:lvlJc w:val="left"/>
      <w:pPr>
        <w:ind w:left="5040" w:hanging="360"/>
      </w:pPr>
      <w:rPr>
        <w:rFonts w:ascii="Symbol" w:hAnsi="Symbol"/>
      </w:rPr>
    </w:lvl>
    <w:lvl w:ilvl="7" w:tplc="2F9017FA">
      <w:start w:val="1"/>
      <w:numFmt w:val="bullet"/>
      <w:lvlText w:val="o"/>
      <w:lvlJc w:val="left"/>
      <w:pPr>
        <w:ind w:left="5760" w:hanging="360"/>
      </w:pPr>
      <w:rPr>
        <w:rFonts w:ascii="Courier New" w:hAnsi="Courier New"/>
      </w:rPr>
    </w:lvl>
    <w:lvl w:ilvl="8" w:tplc="28E43A44">
      <w:start w:val="1"/>
      <w:numFmt w:val="bullet"/>
      <w:lvlText w:val=""/>
      <w:lvlJc w:val="left"/>
      <w:pPr>
        <w:ind w:left="6480" w:hanging="360"/>
      </w:pPr>
      <w:rPr>
        <w:rFonts w:ascii="Wingdings" w:hAnsi="Wingdings"/>
      </w:rPr>
    </w:lvl>
  </w:abstractNum>
  <w:abstractNum w:abstractNumId="14">
    <w:nsid w:val="37DC41B3"/>
    <w:multiLevelType w:val="hybridMultilevel"/>
    <w:tmpl w:val="E462072C"/>
    <w:lvl w:ilvl="0" w:tplc="2916B5E6">
      <w:start w:val="1"/>
      <w:numFmt w:val="bullet"/>
      <w:lvlText w:val=""/>
      <w:lvlJc w:val="left"/>
      <w:pPr>
        <w:ind w:left="780" w:hanging="360"/>
      </w:pPr>
      <w:rPr>
        <w:rFonts w:ascii="Symbol" w:hAnsi="Symbol"/>
      </w:rPr>
    </w:lvl>
    <w:lvl w:ilvl="1" w:tplc="EEE6790E">
      <w:start w:val="1"/>
      <w:numFmt w:val="bullet"/>
      <w:lvlText w:val="o"/>
      <w:lvlJc w:val="left"/>
      <w:pPr>
        <w:ind w:left="1500" w:hanging="360"/>
      </w:pPr>
      <w:rPr>
        <w:rFonts w:ascii="Courier New" w:hAnsi="Courier New"/>
      </w:rPr>
    </w:lvl>
    <w:lvl w:ilvl="2" w:tplc="727ECC06">
      <w:start w:val="1"/>
      <w:numFmt w:val="bullet"/>
      <w:lvlText w:val=""/>
      <w:lvlJc w:val="left"/>
      <w:pPr>
        <w:ind w:left="2220" w:hanging="360"/>
      </w:pPr>
      <w:rPr>
        <w:rFonts w:ascii="Wingdings" w:hAnsi="Wingdings"/>
      </w:rPr>
    </w:lvl>
    <w:lvl w:ilvl="3" w:tplc="BC442D56">
      <w:start w:val="1"/>
      <w:numFmt w:val="bullet"/>
      <w:lvlText w:val=""/>
      <w:lvlJc w:val="left"/>
      <w:pPr>
        <w:ind w:left="2940" w:hanging="360"/>
      </w:pPr>
      <w:rPr>
        <w:rFonts w:ascii="Symbol" w:hAnsi="Symbol"/>
      </w:rPr>
    </w:lvl>
    <w:lvl w:ilvl="4" w:tplc="90606004">
      <w:start w:val="1"/>
      <w:numFmt w:val="bullet"/>
      <w:lvlText w:val="o"/>
      <w:lvlJc w:val="left"/>
      <w:pPr>
        <w:ind w:left="3660" w:hanging="360"/>
      </w:pPr>
      <w:rPr>
        <w:rFonts w:ascii="Courier New" w:hAnsi="Courier New"/>
      </w:rPr>
    </w:lvl>
    <w:lvl w:ilvl="5" w:tplc="D2C21566">
      <w:start w:val="1"/>
      <w:numFmt w:val="bullet"/>
      <w:lvlText w:val=""/>
      <w:lvlJc w:val="left"/>
      <w:pPr>
        <w:ind w:left="4380" w:hanging="360"/>
      </w:pPr>
      <w:rPr>
        <w:rFonts w:ascii="Wingdings" w:hAnsi="Wingdings"/>
      </w:rPr>
    </w:lvl>
    <w:lvl w:ilvl="6" w:tplc="39DC259E">
      <w:start w:val="1"/>
      <w:numFmt w:val="bullet"/>
      <w:lvlText w:val=""/>
      <w:lvlJc w:val="left"/>
      <w:pPr>
        <w:ind w:left="5100" w:hanging="360"/>
      </w:pPr>
      <w:rPr>
        <w:rFonts w:ascii="Symbol" w:hAnsi="Symbol"/>
      </w:rPr>
    </w:lvl>
    <w:lvl w:ilvl="7" w:tplc="6E984152">
      <w:start w:val="1"/>
      <w:numFmt w:val="bullet"/>
      <w:lvlText w:val="o"/>
      <w:lvlJc w:val="left"/>
      <w:pPr>
        <w:ind w:left="5820" w:hanging="360"/>
      </w:pPr>
      <w:rPr>
        <w:rFonts w:ascii="Courier New" w:hAnsi="Courier New"/>
      </w:rPr>
    </w:lvl>
    <w:lvl w:ilvl="8" w:tplc="45D8CA56">
      <w:start w:val="1"/>
      <w:numFmt w:val="bullet"/>
      <w:lvlText w:val=""/>
      <w:lvlJc w:val="left"/>
      <w:pPr>
        <w:ind w:left="6540" w:hanging="360"/>
      </w:pPr>
      <w:rPr>
        <w:rFonts w:ascii="Wingdings" w:hAnsi="Wingdings"/>
      </w:rPr>
    </w:lvl>
  </w:abstractNum>
  <w:abstractNum w:abstractNumId="15">
    <w:nsid w:val="37E62117"/>
    <w:multiLevelType w:val="hybridMultilevel"/>
    <w:tmpl w:val="9A96004A"/>
    <w:lvl w:ilvl="0" w:tplc="A2D088E8">
      <w:start w:val="1"/>
      <w:numFmt w:val="bullet"/>
      <w:lvlText w:val=""/>
      <w:lvlJc w:val="left"/>
      <w:pPr>
        <w:tabs>
          <w:tab w:val="num" w:pos="360"/>
        </w:tabs>
        <w:ind w:left="360" w:hanging="360"/>
      </w:pPr>
      <w:rPr>
        <w:rFonts w:ascii="Symbol" w:hAnsi="Symbol"/>
        <w:sz w:val="20"/>
      </w:rPr>
    </w:lvl>
    <w:lvl w:ilvl="1" w:tplc="C7D00612">
      <w:start w:val="1"/>
      <w:numFmt w:val="bullet"/>
      <w:lvlText w:val="o"/>
      <w:lvlJc w:val="left"/>
      <w:pPr>
        <w:tabs>
          <w:tab w:val="num" w:pos="1440"/>
        </w:tabs>
        <w:ind w:left="1440" w:hanging="360"/>
      </w:pPr>
      <w:rPr>
        <w:rFonts w:ascii="Courier New" w:hAnsi="Courier New"/>
      </w:rPr>
    </w:lvl>
    <w:lvl w:ilvl="2" w:tplc="33BE8FB4">
      <w:start w:val="1"/>
      <w:numFmt w:val="bullet"/>
      <w:lvlText w:val=""/>
      <w:lvlJc w:val="left"/>
      <w:pPr>
        <w:tabs>
          <w:tab w:val="num" w:pos="2160"/>
        </w:tabs>
        <w:ind w:left="2160" w:hanging="360"/>
      </w:pPr>
      <w:rPr>
        <w:rFonts w:ascii="Wingdings" w:hAnsi="Wingdings"/>
      </w:rPr>
    </w:lvl>
    <w:lvl w:ilvl="3" w:tplc="8D22EA86">
      <w:start w:val="1"/>
      <w:numFmt w:val="bullet"/>
      <w:lvlText w:val=""/>
      <w:lvlJc w:val="left"/>
      <w:pPr>
        <w:tabs>
          <w:tab w:val="num" w:pos="2880"/>
        </w:tabs>
        <w:ind w:left="2880" w:hanging="360"/>
      </w:pPr>
      <w:rPr>
        <w:rFonts w:ascii="Symbol" w:hAnsi="Symbol"/>
      </w:rPr>
    </w:lvl>
    <w:lvl w:ilvl="4" w:tplc="9D2E9D38">
      <w:start w:val="1"/>
      <w:numFmt w:val="bullet"/>
      <w:lvlText w:val="o"/>
      <w:lvlJc w:val="left"/>
      <w:pPr>
        <w:tabs>
          <w:tab w:val="num" w:pos="3600"/>
        </w:tabs>
        <w:ind w:left="3600" w:hanging="360"/>
      </w:pPr>
      <w:rPr>
        <w:rFonts w:ascii="Courier New" w:hAnsi="Courier New"/>
      </w:rPr>
    </w:lvl>
    <w:lvl w:ilvl="5" w:tplc="E992479E">
      <w:start w:val="1"/>
      <w:numFmt w:val="bullet"/>
      <w:lvlText w:val=""/>
      <w:lvlJc w:val="left"/>
      <w:pPr>
        <w:tabs>
          <w:tab w:val="num" w:pos="4320"/>
        </w:tabs>
        <w:ind w:left="4320" w:hanging="360"/>
      </w:pPr>
      <w:rPr>
        <w:rFonts w:ascii="Wingdings" w:hAnsi="Wingdings"/>
      </w:rPr>
    </w:lvl>
    <w:lvl w:ilvl="6" w:tplc="C6C29FE8">
      <w:start w:val="1"/>
      <w:numFmt w:val="bullet"/>
      <w:lvlText w:val=""/>
      <w:lvlJc w:val="left"/>
      <w:pPr>
        <w:tabs>
          <w:tab w:val="num" w:pos="5040"/>
        </w:tabs>
        <w:ind w:left="5040" w:hanging="360"/>
      </w:pPr>
      <w:rPr>
        <w:rFonts w:ascii="Symbol" w:hAnsi="Symbol"/>
      </w:rPr>
    </w:lvl>
    <w:lvl w:ilvl="7" w:tplc="0C3E0A46">
      <w:start w:val="1"/>
      <w:numFmt w:val="bullet"/>
      <w:lvlText w:val="o"/>
      <w:lvlJc w:val="left"/>
      <w:pPr>
        <w:tabs>
          <w:tab w:val="num" w:pos="5760"/>
        </w:tabs>
        <w:ind w:left="5760" w:hanging="360"/>
      </w:pPr>
      <w:rPr>
        <w:rFonts w:ascii="Courier New" w:hAnsi="Courier New"/>
      </w:rPr>
    </w:lvl>
    <w:lvl w:ilvl="8" w:tplc="603667C8">
      <w:start w:val="1"/>
      <w:numFmt w:val="bullet"/>
      <w:lvlText w:val=""/>
      <w:lvlJc w:val="left"/>
      <w:pPr>
        <w:tabs>
          <w:tab w:val="num" w:pos="6480"/>
        </w:tabs>
        <w:ind w:left="6480" w:hanging="360"/>
      </w:pPr>
      <w:rPr>
        <w:rFonts w:ascii="Wingdings" w:hAnsi="Wingdings"/>
      </w:rPr>
    </w:lvl>
  </w:abstractNum>
  <w:abstractNum w:abstractNumId="16">
    <w:nsid w:val="3B4921BF"/>
    <w:multiLevelType w:val="singleLevel"/>
    <w:tmpl w:val="C0D08240"/>
    <w:lvl w:ilvl="0">
      <w:start w:val="1"/>
      <w:numFmt w:val="decimal"/>
      <w:lvlText w:val="%1."/>
      <w:lvlJc w:val="left"/>
      <w:pPr>
        <w:tabs>
          <w:tab w:val="num" w:pos="360"/>
        </w:tabs>
        <w:ind w:left="360" w:hanging="360"/>
      </w:pPr>
    </w:lvl>
  </w:abstractNum>
  <w:abstractNum w:abstractNumId="17">
    <w:nsid w:val="3D2D21E9"/>
    <w:multiLevelType w:val="hybridMultilevel"/>
    <w:tmpl w:val="9E9E8628"/>
    <w:lvl w:ilvl="0" w:tplc="94A29944">
      <w:start w:val="1"/>
      <w:numFmt w:val="decimal"/>
      <w:lvlText w:val="%1."/>
      <w:lvlJc w:val="left"/>
      <w:pPr>
        <w:ind w:left="720" w:hanging="360"/>
      </w:pPr>
    </w:lvl>
    <w:lvl w:ilvl="1" w:tplc="36A0E272">
      <w:start w:val="1"/>
      <w:numFmt w:val="lowerLetter"/>
      <w:lvlText w:val="%2."/>
      <w:lvlJc w:val="left"/>
      <w:pPr>
        <w:ind w:left="1440" w:hanging="360"/>
      </w:pPr>
    </w:lvl>
    <w:lvl w:ilvl="2" w:tplc="A9BAF3AE">
      <w:start w:val="1"/>
      <w:numFmt w:val="bullet"/>
      <w:lvlText w:val=""/>
      <w:lvlJc w:val="left"/>
      <w:pPr>
        <w:ind w:left="2160" w:hanging="180"/>
      </w:pPr>
      <w:rPr>
        <w:rFonts w:ascii="Symbol" w:hAnsi="Symbol"/>
      </w:rPr>
    </w:lvl>
    <w:lvl w:ilvl="3" w:tplc="14B6F560">
      <w:start w:val="1"/>
      <w:numFmt w:val="decimal"/>
      <w:lvlText w:val="%4."/>
      <w:lvlJc w:val="left"/>
      <w:pPr>
        <w:ind w:left="2880" w:hanging="360"/>
      </w:pPr>
    </w:lvl>
    <w:lvl w:ilvl="4" w:tplc="14B84114">
      <w:start w:val="1"/>
      <w:numFmt w:val="lowerLetter"/>
      <w:lvlText w:val="%5."/>
      <w:lvlJc w:val="left"/>
      <w:pPr>
        <w:ind w:left="3600" w:hanging="360"/>
      </w:pPr>
    </w:lvl>
    <w:lvl w:ilvl="5" w:tplc="F522B06A">
      <w:start w:val="1"/>
      <w:numFmt w:val="lowerRoman"/>
      <w:lvlText w:val="%6."/>
      <w:lvlJc w:val="right"/>
      <w:pPr>
        <w:ind w:left="4320" w:hanging="180"/>
      </w:pPr>
    </w:lvl>
    <w:lvl w:ilvl="6" w:tplc="72489CBE">
      <w:start w:val="1"/>
      <w:numFmt w:val="decimal"/>
      <w:lvlText w:val="%7."/>
      <w:lvlJc w:val="left"/>
      <w:pPr>
        <w:ind w:left="5040" w:hanging="360"/>
      </w:pPr>
    </w:lvl>
    <w:lvl w:ilvl="7" w:tplc="A146A5C0">
      <w:start w:val="1"/>
      <w:numFmt w:val="lowerLetter"/>
      <w:lvlText w:val="%8."/>
      <w:lvlJc w:val="left"/>
      <w:pPr>
        <w:ind w:left="5760" w:hanging="360"/>
      </w:pPr>
    </w:lvl>
    <w:lvl w:ilvl="8" w:tplc="4DD0B87A">
      <w:start w:val="1"/>
      <w:numFmt w:val="lowerRoman"/>
      <w:lvlText w:val="%9."/>
      <w:lvlJc w:val="right"/>
      <w:pPr>
        <w:ind w:left="6480" w:hanging="180"/>
      </w:pPr>
    </w:lvl>
  </w:abstractNum>
  <w:abstractNum w:abstractNumId="18">
    <w:nsid w:val="3E3B1425"/>
    <w:multiLevelType w:val="hybridMultilevel"/>
    <w:tmpl w:val="4C6EAE74"/>
    <w:lvl w:ilvl="0" w:tplc="60DE9688">
      <w:start w:val="1"/>
      <w:numFmt w:val="bullet"/>
      <w:lvlText w:val=""/>
      <w:lvlJc w:val="left"/>
      <w:pPr>
        <w:ind w:left="720" w:hanging="360"/>
      </w:pPr>
      <w:rPr>
        <w:rFonts w:ascii="Symbol" w:hAnsi="Symbol"/>
      </w:rPr>
    </w:lvl>
    <w:lvl w:ilvl="1" w:tplc="6A001004">
      <w:start w:val="1"/>
      <w:numFmt w:val="bullet"/>
      <w:lvlText w:val="o"/>
      <w:lvlJc w:val="left"/>
      <w:pPr>
        <w:ind w:left="1440" w:hanging="360"/>
      </w:pPr>
      <w:rPr>
        <w:rFonts w:ascii="Courier New" w:hAnsi="Courier New"/>
      </w:rPr>
    </w:lvl>
    <w:lvl w:ilvl="2" w:tplc="BC00C320">
      <w:start w:val="1"/>
      <w:numFmt w:val="bullet"/>
      <w:lvlText w:val=""/>
      <w:lvlJc w:val="left"/>
      <w:pPr>
        <w:ind w:left="2160" w:hanging="360"/>
      </w:pPr>
      <w:rPr>
        <w:rFonts w:ascii="Wingdings" w:hAnsi="Wingdings"/>
      </w:rPr>
    </w:lvl>
    <w:lvl w:ilvl="3" w:tplc="1FC662D4">
      <w:start w:val="1"/>
      <w:numFmt w:val="bullet"/>
      <w:lvlText w:val=""/>
      <w:lvlJc w:val="left"/>
      <w:pPr>
        <w:ind w:left="2880" w:hanging="360"/>
      </w:pPr>
      <w:rPr>
        <w:rFonts w:ascii="Symbol" w:hAnsi="Symbol"/>
      </w:rPr>
    </w:lvl>
    <w:lvl w:ilvl="4" w:tplc="D9DEBE78">
      <w:start w:val="1"/>
      <w:numFmt w:val="bullet"/>
      <w:lvlText w:val="o"/>
      <w:lvlJc w:val="left"/>
      <w:pPr>
        <w:ind w:left="3600" w:hanging="360"/>
      </w:pPr>
      <w:rPr>
        <w:rFonts w:ascii="Courier New" w:hAnsi="Courier New"/>
      </w:rPr>
    </w:lvl>
    <w:lvl w:ilvl="5" w:tplc="8384D666">
      <w:start w:val="1"/>
      <w:numFmt w:val="bullet"/>
      <w:lvlText w:val=""/>
      <w:lvlJc w:val="left"/>
      <w:pPr>
        <w:ind w:left="4320" w:hanging="360"/>
      </w:pPr>
      <w:rPr>
        <w:rFonts w:ascii="Wingdings" w:hAnsi="Wingdings"/>
      </w:rPr>
    </w:lvl>
    <w:lvl w:ilvl="6" w:tplc="B888E1A0">
      <w:start w:val="1"/>
      <w:numFmt w:val="bullet"/>
      <w:lvlText w:val=""/>
      <w:lvlJc w:val="left"/>
      <w:pPr>
        <w:ind w:left="5040" w:hanging="360"/>
      </w:pPr>
      <w:rPr>
        <w:rFonts w:ascii="Symbol" w:hAnsi="Symbol"/>
      </w:rPr>
    </w:lvl>
    <w:lvl w:ilvl="7" w:tplc="43C2C9F8">
      <w:start w:val="1"/>
      <w:numFmt w:val="bullet"/>
      <w:lvlText w:val="o"/>
      <w:lvlJc w:val="left"/>
      <w:pPr>
        <w:ind w:left="5760" w:hanging="360"/>
      </w:pPr>
      <w:rPr>
        <w:rFonts w:ascii="Courier New" w:hAnsi="Courier New"/>
      </w:rPr>
    </w:lvl>
    <w:lvl w:ilvl="8" w:tplc="E496F764">
      <w:start w:val="1"/>
      <w:numFmt w:val="bullet"/>
      <w:lvlText w:val=""/>
      <w:lvlJc w:val="left"/>
      <w:pPr>
        <w:ind w:left="6480" w:hanging="360"/>
      </w:pPr>
      <w:rPr>
        <w:rFonts w:ascii="Wingdings" w:hAnsi="Wingdings"/>
      </w:rPr>
    </w:lvl>
  </w:abstractNum>
  <w:abstractNum w:abstractNumId="19">
    <w:nsid w:val="413A1C6C"/>
    <w:multiLevelType w:val="hybridMultilevel"/>
    <w:tmpl w:val="0EE60096"/>
    <w:lvl w:ilvl="0" w:tplc="5D109724">
      <w:start w:val="1"/>
      <w:numFmt w:val="bullet"/>
      <w:lvlText w:val=""/>
      <w:lvlJc w:val="left"/>
      <w:pPr>
        <w:ind w:left="360" w:hanging="360"/>
      </w:pPr>
      <w:rPr>
        <w:rFonts w:ascii="Symbol" w:hAnsi="Symbol"/>
      </w:rPr>
    </w:lvl>
    <w:lvl w:ilvl="1" w:tplc="A782C24C">
      <w:start w:val="1"/>
      <w:numFmt w:val="bullet"/>
      <w:lvlText w:val="o"/>
      <w:lvlJc w:val="left"/>
      <w:pPr>
        <w:ind w:left="1080" w:hanging="360"/>
      </w:pPr>
      <w:rPr>
        <w:rFonts w:ascii="Courier New" w:hAnsi="Courier New"/>
      </w:rPr>
    </w:lvl>
    <w:lvl w:ilvl="2" w:tplc="745676C0">
      <w:start w:val="1"/>
      <w:numFmt w:val="bullet"/>
      <w:lvlText w:val=""/>
      <w:lvlJc w:val="left"/>
      <w:pPr>
        <w:ind w:left="1800" w:hanging="360"/>
      </w:pPr>
      <w:rPr>
        <w:rFonts w:ascii="Wingdings" w:hAnsi="Wingdings"/>
      </w:rPr>
    </w:lvl>
    <w:lvl w:ilvl="3" w:tplc="1A045904">
      <w:start w:val="1"/>
      <w:numFmt w:val="bullet"/>
      <w:lvlText w:val=""/>
      <w:lvlJc w:val="left"/>
      <w:pPr>
        <w:ind w:left="2520" w:hanging="360"/>
      </w:pPr>
      <w:rPr>
        <w:rFonts w:ascii="Symbol" w:hAnsi="Symbol"/>
      </w:rPr>
    </w:lvl>
    <w:lvl w:ilvl="4" w:tplc="669248B8">
      <w:start w:val="1"/>
      <w:numFmt w:val="bullet"/>
      <w:lvlText w:val="o"/>
      <w:lvlJc w:val="left"/>
      <w:pPr>
        <w:ind w:left="3240" w:hanging="360"/>
      </w:pPr>
      <w:rPr>
        <w:rFonts w:ascii="Courier New" w:hAnsi="Courier New"/>
      </w:rPr>
    </w:lvl>
    <w:lvl w:ilvl="5" w:tplc="52EA35A6">
      <w:start w:val="1"/>
      <w:numFmt w:val="bullet"/>
      <w:lvlText w:val=""/>
      <w:lvlJc w:val="left"/>
      <w:pPr>
        <w:ind w:left="3960" w:hanging="360"/>
      </w:pPr>
      <w:rPr>
        <w:rFonts w:ascii="Wingdings" w:hAnsi="Wingdings"/>
      </w:rPr>
    </w:lvl>
    <w:lvl w:ilvl="6" w:tplc="8BEC5BD2">
      <w:start w:val="1"/>
      <w:numFmt w:val="bullet"/>
      <w:lvlText w:val=""/>
      <w:lvlJc w:val="left"/>
      <w:pPr>
        <w:ind w:left="4680" w:hanging="360"/>
      </w:pPr>
      <w:rPr>
        <w:rFonts w:ascii="Symbol" w:hAnsi="Symbol"/>
      </w:rPr>
    </w:lvl>
    <w:lvl w:ilvl="7" w:tplc="E054928A">
      <w:start w:val="1"/>
      <w:numFmt w:val="bullet"/>
      <w:lvlText w:val="o"/>
      <w:lvlJc w:val="left"/>
      <w:pPr>
        <w:ind w:left="5400" w:hanging="360"/>
      </w:pPr>
      <w:rPr>
        <w:rFonts w:ascii="Courier New" w:hAnsi="Courier New"/>
      </w:rPr>
    </w:lvl>
    <w:lvl w:ilvl="8" w:tplc="3E5250D0">
      <w:start w:val="1"/>
      <w:numFmt w:val="bullet"/>
      <w:lvlText w:val=""/>
      <w:lvlJc w:val="left"/>
      <w:pPr>
        <w:ind w:left="6120" w:hanging="360"/>
      </w:pPr>
      <w:rPr>
        <w:rFonts w:ascii="Wingdings" w:hAnsi="Wingdings"/>
      </w:rPr>
    </w:lvl>
  </w:abstractNum>
  <w:abstractNum w:abstractNumId="20">
    <w:nsid w:val="43CB0003"/>
    <w:multiLevelType w:val="singleLevel"/>
    <w:tmpl w:val="5B4CF938"/>
    <w:lvl w:ilvl="0">
      <w:start w:val="1"/>
      <w:numFmt w:val="bullet"/>
      <w:lvlText w:val=""/>
      <w:lvlJc w:val="left"/>
      <w:pPr>
        <w:tabs>
          <w:tab w:val="num" w:pos="1209"/>
        </w:tabs>
        <w:ind w:left="1209" w:hanging="360"/>
      </w:pPr>
      <w:rPr>
        <w:rFonts w:ascii="Symbol" w:hAnsi="Symbol"/>
      </w:rPr>
    </w:lvl>
  </w:abstractNum>
  <w:abstractNum w:abstractNumId="21">
    <w:nsid w:val="44912F58"/>
    <w:multiLevelType w:val="multilevel"/>
    <w:tmpl w:val="F612A9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460166D4"/>
    <w:multiLevelType w:val="hybridMultilevel"/>
    <w:tmpl w:val="4A169E96"/>
    <w:lvl w:ilvl="0" w:tplc="5ABE96E4">
      <w:start w:val="1"/>
      <w:numFmt w:val="decimal"/>
      <w:lvlText w:val="%1."/>
      <w:lvlJc w:val="left"/>
      <w:pPr>
        <w:ind w:left="720" w:hanging="360"/>
      </w:pPr>
    </w:lvl>
    <w:lvl w:ilvl="1" w:tplc="0D92F78E">
      <w:start w:val="1"/>
      <w:numFmt w:val="lowerLetter"/>
      <w:lvlText w:val="%2."/>
      <w:lvlJc w:val="left"/>
      <w:pPr>
        <w:ind w:left="1440" w:hanging="360"/>
      </w:pPr>
    </w:lvl>
    <w:lvl w:ilvl="2" w:tplc="A4C83880">
      <w:start w:val="1"/>
      <w:numFmt w:val="lowerRoman"/>
      <w:lvlText w:val="%3."/>
      <w:lvlJc w:val="right"/>
      <w:pPr>
        <w:ind w:left="2160" w:hanging="180"/>
      </w:pPr>
    </w:lvl>
    <w:lvl w:ilvl="3" w:tplc="F3B87B26">
      <w:start w:val="1"/>
      <w:numFmt w:val="decimal"/>
      <w:lvlText w:val="%4."/>
      <w:lvlJc w:val="left"/>
      <w:pPr>
        <w:ind w:left="2880" w:hanging="360"/>
      </w:pPr>
    </w:lvl>
    <w:lvl w:ilvl="4" w:tplc="048E07D8">
      <w:start w:val="1"/>
      <w:numFmt w:val="lowerLetter"/>
      <w:lvlText w:val="%5."/>
      <w:lvlJc w:val="left"/>
      <w:pPr>
        <w:ind w:left="3600" w:hanging="360"/>
      </w:pPr>
    </w:lvl>
    <w:lvl w:ilvl="5" w:tplc="47785644">
      <w:start w:val="1"/>
      <w:numFmt w:val="lowerRoman"/>
      <w:lvlText w:val="%6."/>
      <w:lvlJc w:val="right"/>
      <w:pPr>
        <w:ind w:left="4320" w:hanging="180"/>
      </w:pPr>
    </w:lvl>
    <w:lvl w:ilvl="6" w:tplc="CD6EA238">
      <w:start w:val="1"/>
      <w:numFmt w:val="decimal"/>
      <w:lvlText w:val="%7."/>
      <w:lvlJc w:val="left"/>
      <w:pPr>
        <w:ind w:left="5040" w:hanging="360"/>
      </w:pPr>
    </w:lvl>
    <w:lvl w:ilvl="7" w:tplc="C6764BC4">
      <w:start w:val="1"/>
      <w:numFmt w:val="lowerLetter"/>
      <w:lvlText w:val="%8."/>
      <w:lvlJc w:val="left"/>
      <w:pPr>
        <w:ind w:left="5760" w:hanging="360"/>
      </w:pPr>
    </w:lvl>
    <w:lvl w:ilvl="8" w:tplc="FC503BB0">
      <w:start w:val="1"/>
      <w:numFmt w:val="lowerRoman"/>
      <w:lvlText w:val="%9."/>
      <w:lvlJc w:val="right"/>
      <w:pPr>
        <w:ind w:left="6480" w:hanging="180"/>
      </w:pPr>
    </w:lvl>
  </w:abstractNum>
  <w:abstractNum w:abstractNumId="23">
    <w:nsid w:val="4AD93D4E"/>
    <w:multiLevelType w:val="singleLevel"/>
    <w:tmpl w:val="153289B0"/>
    <w:lvl w:ilvl="0">
      <w:start w:val="1"/>
      <w:numFmt w:val="decimal"/>
      <w:lvlText w:val="%1."/>
      <w:lvlJc w:val="left"/>
      <w:pPr>
        <w:tabs>
          <w:tab w:val="num" w:pos="1209"/>
        </w:tabs>
        <w:ind w:left="1209" w:hanging="360"/>
      </w:pPr>
    </w:lvl>
  </w:abstractNum>
  <w:abstractNum w:abstractNumId="24">
    <w:nsid w:val="559342BA"/>
    <w:multiLevelType w:val="hybridMultilevel"/>
    <w:tmpl w:val="350EA126"/>
    <w:lvl w:ilvl="0" w:tplc="147C4602">
      <w:start w:val="1"/>
      <w:numFmt w:val="bullet"/>
      <w:lvlText w:val=""/>
      <w:lvlJc w:val="left"/>
      <w:pPr>
        <w:ind w:left="720" w:hanging="360"/>
      </w:pPr>
      <w:rPr>
        <w:rFonts w:ascii="Symbol" w:hAnsi="Symbol"/>
      </w:rPr>
    </w:lvl>
    <w:lvl w:ilvl="1" w:tplc="36CCB0FC">
      <w:start w:val="1"/>
      <w:numFmt w:val="bullet"/>
      <w:lvlText w:val="o"/>
      <w:lvlJc w:val="left"/>
      <w:pPr>
        <w:ind w:left="1440" w:hanging="360"/>
      </w:pPr>
      <w:rPr>
        <w:rFonts w:ascii="Courier New" w:hAnsi="Courier New"/>
      </w:rPr>
    </w:lvl>
    <w:lvl w:ilvl="2" w:tplc="2FF8CBC6">
      <w:start w:val="1"/>
      <w:numFmt w:val="bullet"/>
      <w:lvlText w:val=""/>
      <w:lvlJc w:val="left"/>
      <w:pPr>
        <w:ind w:left="2160" w:hanging="360"/>
      </w:pPr>
      <w:rPr>
        <w:rFonts w:ascii="Wingdings" w:hAnsi="Wingdings"/>
      </w:rPr>
    </w:lvl>
    <w:lvl w:ilvl="3" w:tplc="22661224">
      <w:start w:val="1"/>
      <w:numFmt w:val="bullet"/>
      <w:lvlText w:val=""/>
      <w:lvlJc w:val="left"/>
      <w:pPr>
        <w:ind w:left="2880" w:hanging="360"/>
      </w:pPr>
      <w:rPr>
        <w:rFonts w:ascii="Symbol" w:hAnsi="Symbol"/>
      </w:rPr>
    </w:lvl>
    <w:lvl w:ilvl="4" w:tplc="2AE6FEF2">
      <w:start w:val="1"/>
      <w:numFmt w:val="bullet"/>
      <w:lvlText w:val="o"/>
      <w:lvlJc w:val="left"/>
      <w:pPr>
        <w:ind w:left="3600" w:hanging="360"/>
      </w:pPr>
      <w:rPr>
        <w:rFonts w:ascii="Courier New" w:hAnsi="Courier New"/>
      </w:rPr>
    </w:lvl>
    <w:lvl w:ilvl="5" w:tplc="13A88A12">
      <w:start w:val="1"/>
      <w:numFmt w:val="bullet"/>
      <w:lvlText w:val=""/>
      <w:lvlJc w:val="left"/>
      <w:pPr>
        <w:ind w:left="4320" w:hanging="360"/>
      </w:pPr>
      <w:rPr>
        <w:rFonts w:ascii="Wingdings" w:hAnsi="Wingdings"/>
      </w:rPr>
    </w:lvl>
    <w:lvl w:ilvl="6" w:tplc="3DF65C20">
      <w:start w:val="1"/>
      <w:numFmt w:val="bullet"/>
      <w:lvlText w:val=""/>
      <w:lvlJc w:val="left"/>
      <w:pPr>
        <w:ind w:left="5040" w:hanging="360"/>
      </w:pPr>
      <w:rPr>
        <w:rFonts w:ascii="Symbol" w:hAnsi="Symbol"/>
      </w:rPr>
    </w:lvl>
    <w:lvl w:ilvl="7" w:tplc="B78E6960">
      <w:start w:val="1"/>
      <w:numFmt w:val="bullet"/>
      <w:lvlText w:val="o"/>
      <w:lvlJc w:val="left"/>
      <w:pPr>
        <w:ind w:left="5760" w:hanging="360"/>
      </w:pPr>
      <w:rPr>
        <w:rFonts w:ascii="Courier New" w:hAnsi="Courier New"/>
      </w:rPr>
    </w:lvl>
    <w:lvl w:ilvl="8" w:tplc="217CF78C">
      <w:start w:val="1"/>
      <w:numFmt w:val="bullet"/>
      <w:lvlText w:val=""/>
      <w:lvlJc w:val="left"/>
      <w:pPr>
        <w:ind w:left="6480" w:hanging="360"/>
      </w:pPr>
      <w:rPr>
        <w:rFonts w:ascii="Wingdings" w:hAnsi="Wingdings"/>
      </w:rPr>
    </w:lvl>
  </w:abstractNum>
  <w:abstractNum w:abstractNumId="25">
    <w:nsid w:val="55C834B7"/>
    <w:multiLevelType w:val="hybridMultilevel"/>
    <w:tmpl w:val="993C1E2A"/>
    <w:lvl w:ilvl="0" w:tplc="D556DE9C">
      <w:start w:val="1"/>
      <w:numFmt w:val="bullet"/>
      <w:lvlText w:val=""/>
      <w:lvlJc w:val="left"/>
      <w:pPr>
        <w:ind w:left="720" w:hanging="360"/>
      </w:pPr>
      <w:rPr>
        <w:rFonts w:ascii="Symbol" w:hAnsi="Symbol"/>
      </w:rPr>
    </w:lvl>
    <w:lvl w:ilvl="1" w:tplc="992CAEAC">
      <w:start w:val="1"/>
      <w:numFmt w:val="bullet"/>
      <w:lvlText w:val="o"/>
      <w:lvlJc w:val="left"/>
      <w:pPr>
        <w:ind w:left="1440" w:hanging="360"/>
      </w:pPr>
      <w:rPr>
        <w:rFonts w:ascii="Courier New" w:hAnsi="Courier New"/>
      </w:rPr>
    </w:lvl>
    <w:lvl w:ilvl="2" w:tplc="AABA437E">
      <w:start w:val="1"/>
      <w:numFmt w:val="bullet"/>
      <w:lvlText w:val=""/>
      <w:lvlJc w:val="left"/>
      <w:pPr>
        <w:ind w:left="2160" w:hanging="360"/>
      </w:pPr>
      <w:rPr>
        <w:rFonts w:ascii="Wingdings" w:hAnsi="Wingdings"/>
      </w:rPr>
    </w:lvl>
    <w:lvl w:ilvl="3" w:tplc="B83E923C">
      <w:start w:val="1"/>
      <w:numFmt w:val="bullet"/>
      <w:lvlText w:val=""/>
      <w:lvlJc w:val="left"/>
      <w:pPr>
        <w:ind w:left="2880" w:hanging="360"/>
      </w:pPr>
      <w:rPr>
        <w:rFonts w:ascii="Symbol" w:hAnsi="Symbol"/>
      </w:rPr>
    </w:lvl>
    <w:lvl w:ilvl="4" w:tplc="A6FC81E8">
      <w:start w:val="1"/>
      <w:numFmt w:val="bullet"/>
      <w:lvlText w:val="o"/>
      <w:lvlJc w:val="left"/>
      <w:pPr>
        <w:ind w:left="3600" w:hanging="360"/>
      </w:pPr>
      <w:rPr>
        <w:rFonts w:ascii="Courier New" w:hAnsi="Courier New"/>
      </w:rPr>
    </w:lvl>
    <w:lvl w:ilvl="5" w:tplc="02ACE7D4">
      <w:start w:val="1"/>
      <w:numFmt w:val="bullet"/>
      <w:lvlText w:val=""/>
      <w:lvlJc w:val="left"/>
      <w:pPr>
        <w:ind w:left="4320" w:hanging="360"/>
      </w:pPr>
      <w:rPr>
        <w:rFonts w:ascii="Wingdings" w:hAnsi="Wingdings"/>
      </w:rPr>
    </w:lvl>
    <w:lvl w:ilvl="6" w:tplc="3D929BF8">
      <w:start w:val="1"/>
      <w:numFmt w:val="bullet"/>
      <w:lvlText w:val=""/>
      <w:lvlJc w:val="left"/>
      <w:pPr>
        <w:ind w:left="5040" w:hanging="360"/>
      </w:pPr>
      <w:rPr>
        <w:rFonts w:ascii="Symbol" w:hAnsi="Symbol"/>
      </w:rPr>
    </w:lvl>
    <w:lvl w:ilvl="7" w:tplc="F632921E">
      <w:start w:val="1"/>
      <w:numFmt w:val="bullet"/>
      <w:lvlText w:val="o"/>
      <w:lvlJc w:val="left"/>
      <w:pPr>
        <w:ind w:left="5760" w:hanging="360"/>
      </w:pPr>
      <w:rPr>
        <w:rFonts w:ascii="Courier New" w:hAnsi="Courier New"/>
      </w:rPr>
    </w:lvl>
    <w:lvl w:ilvl="8" w:tplc="335246CC">
      <w:start w:val="1"/>
      <w:numFmt w:val="bullet"/>
      <w:lvlText w:val=""/>
      <w:lvlJc w:val="left"/>
      <w:pPr>
        <w:ind w:left="6480" w:hanging="360"/>
      </w:pPr>
      <w:rPr>
        <w:rFonts w:ascii="Wingdings" w:hAnsi="Wingdings"/>
      </w:rPr>
    </w:lvl>
  </w:abstractNum>
  <w:abstractNum w:abstractNumId="26">
    <w:nsid w:val="58852712"/>
    <w:multiLevelType w:val="multilevel"/>
    <w:tmpl w:val="366AD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FE594B"/>
    <w:multiLevelType w:val="singleLevel"/>
    <w:tmpl w:val="2042F422"/>
    <w:lvl w:ilvl="0">
      <w:start w:val="1"/>
      <w:numFmt w:val="decimal"/>
      <w:lvlText w:val="%1."/>
      <w:lvlJc w:val="left"/>
      <w:pPr>
        <w:tabs>
          <w:tab w:val="num" w:pos="1492"/>
        </w:tabs>
        <w:ind w:left="1492" w:hanging="360"/>
      </w:pPr>
    </w:lvl>
  </w:abstractNum>
  <w:abstractNum w:abstractNumId="28">
    <w:nsid w:val="610260BC"/>
    <w:multiLevelType w:val="singleLevel"/>
    <w:tmpl w:val="2B9ED4D8"/>
    <w:lvl w:ilvl="0">
      <w:start w:val="1"/>
      <w:numFmt w:val="bullet"/>
      <w:lvlText w:val=""/>
      <w:lvlJc w:val="left"/>
      <w:pPr>
        <w:tabs>
          <w:tab w:val="num" w:pos="926"/>
        </w:tabs>
        <w:ind w:left="926" w:hanging="360"/>
      </w:pPr>
      <w:rPr>
        <w:rFonts w:ascii="Symbol" w:hAnsi="Symbol"/>
      </w:rPr>
    </w:lvl>
  </w:abstractNum>
  <w:abstractNum w:abstractNumId="29">
    <w:nsid w:val="61247B5E"/>
    <w:multiLevelType w:val="hybridMultilevel"/>
    <w:tmpl w:val="1D9EA8C6"/>
    <w:lvl w:ilvl="0" w:tplc="FE6C1222">
      <w:start w:val="1"/>
      <w:numFmt w:val="bullet"/>
      <w:lvlText w:val=""/>
      <w:lvlJc w:val="left"/>
      <w:pPr>
        <w:ind w:left="720" w:hanging="360"/>
      </w:pPr>
      <w:rPr>
        <w:rFonts w:ascii="Symbol" w:hAnsi="Symbol"/>
      </w:rPr>
    </w:lvl>
    <w:lvl w:ilvl="1" w:tplc="FED4A8F2">
      <w:start w:val="1"/>
      <w:numFmt w:val="bullet"/>
      <w:lvlText w:val="o"/>
      <w:lvlJc w:val="left"/>
      <w:pPr>
        <w:ind w:left="1440" w:hanging="360"/>
      </w:pPr>
      <w:rPr>
        <w:rFonts w:ascii="Courier New" w:hAnsi="Courier New"/>
      </w:rPr>
    </w:lvl>
    <w:lvl w:ilvl="2" w:tplc="C9FC4302">
      <w:start w:val="1"/>
      <w:numFmt w:val="bullet"/>
      <w:lvlText w:val=""/>
      <w:lvlJc w:val="left"/>
      <w:pPr>
        <w:ind w:left="2160" w:hanging="360"/>
      </w:pPr>
      <w:rPr>
        <w:rFonts w:ascii="Wingdings" w:hAnsi="Wingdings"/>
      </w:rPr>
    </w:lvl>
    <w:lvl w:ilvl="3" w:tplc="1000576E">
      <w:start w:val="1"/>
      <w:numFmt w:val="bullet"/>
      <w:lvlText w:val=""/>
      <w:lvlJc w:val="left"/>
      <w:pPr>
        <w:ind w:left="2880" w:hanging="360"/>
      </w:pPr>
      <w:rPr>
        <w:rFonts w:ascii="Symbol" w:hAnsi="Symbol"/>
      </w:rPr>
    </w:lvl>
    <w:lvl w:ilvl="4" w:tplc="98602BAE">
      <w:start w:val="1"/>
      <w:numFmt w:val="bullet"/>
      <w:lvlText w:val="o"/>
      <w:lvlJc w:val="left"/>
      <w:pPr>
        <w:ind w:left="3600" w:hanging="360"/>
      </w:pPr>
      <w:rPr>
        <w:rFonts w:ascii="Courier New" w:hAnsi="Courier New"/>
      </w:rPr>
    </w:lvl>
    <w:lvl w:ilvl="5" w:tplc="334EA69A">
      <w:start w:val="1"/>
      <w:numFmt w:val="bullet"/>
      <w:lvlText w:val=""/>
      <w:lvlJc w:val="left"/>
      <w:pPr>
        <w:ind w:left="4320" w:hanging="360"/>
      </w:pPr>
      <w:rPr>
        <w:rFonts w:ascii="Wingdings" w:hAnsi="Wingdings"/>
      </w:rPr>
    </w:lvl>
    <w:lvl w:ilvl="6" w:tplc="F7C4D4C6">
      <w:start w:val="1"/>
      <w:numFmt w:val="bullet"/>
      <w:lvlText w:val=""/>
      <w:lvlJc w:val="left"/>
      <w:pPr>
        <w:ind w:left="5040" w:hanging="360"/>
      </w:pPr>
      <w:rPr>
        <w:rFonts w:ascii="Symbol" w:hAnsi="Symbol"/>
      </w:rPr>
    </w:lvl>
    <w:lvl w:ilvl="7" w:tplc="45065D38">
      <w:start w:val="1"/>
      <w:numFmt w:val="bullet"/>
      <w:lvlText w:val="o"/>
      <w:lvlJc w:val="left"/>
      <w:pPr>
        <w:ind w:left="5760" w:hanging="360"/>
      </w:pPr>
      <w:rPr>
        <w:rFonts w:ascii="Courier New" w:hAnsi="Courier New"/>
      </w:rPr>
    </w:lvl>
    <w:lvl w:ilvl="8" w:tplc="BC3AA8CC">
      <w:start w:val="1"/>
      <w:numFmt w:val="bullet"/>
      <w:lvlText w:val=""/>
      <w:lvlJc w:val="left"/>
      <w:pPr>
        <w:ind w:left="6480" w:hanging="360"/>
      </w:pPr>
      <w:rPr>
        <w:rFonts w:ascii="Wingdings" w:hAnsi="Wingdings"/>
      </w:rPr>
    </w:lvl>
  </w:abstractNum>
  <w:abstractNum w:abstractNumId="30">
    <w:nsid w:val="64C2409F"/>
    <w:multiLevelType w:val="singleLevel"/>
    <w:tmpl w:val="052E1CBA"/>
    <w:lvl w:ilvl="0">
      <w:start w:val="1"/>
      <w:numFmt w:val="decimal"/>
      <w:lvlText w:val="%1."/>
      <w:lvlJc w:val="left"/>
      <w:pPr>
        <w:tabs>
          <w:tab w:val="num" w:pos="926"/>
        </w:tabs>
        <w:ind w:left="926" w:hanging="360"/>
      </w:pPr>
    </w:lvl>
  </w:abstractNum>
  <w:abstractNum w:abstractNumId="31">
    <w:nsid w:val="6BD10320"/>
    <w:multiLevelType w:val="multilevel"/>
    <w:tmpl w:val="70EEFC6E"/>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6CDA358E"/>
    <w:multiLevelType w:val="hybridMultilevel"/>
    <w:tmpl w:val="090EDCFC"/>
    <w:lvl w:ilvl="0" w:tplc="60041080">
      <w:start w:val="1"/>
      <w:numFmt w:val="bullet"/>
      <w:lvlText w:val=""/>
      <w:lvlJc w:val="left"/>
      <w:pPr>
        <w:ind w:left="720" w:hanging="360"/>
      </w:pPr>
      <w:rPr>
        <w:rFonts w:ascii="Symbol" w:hAnsi="Symbol"/>
      </w:rPr>
    </w:lvl>
    <w:lvl w:ilvl="1" w:tplc="5D4A3840">
      <w:start w:val="1"/>
      <w:numFmt w:val="bullet"/>
      <w:lvlText w:val="o"/>
      <w:lvlJc w:val="left"/>
      <w:pPr>
        <w:ind w:left="1440" w:hanging="360"/>
      </w:pPr>
      <w:rPr>
        <w:rFonts w:ascii="Courier New" w:hAnsi="Courier New"/>
      </w:rPr>
    </w:lvl>
    <w:lvl w:ilvl="2" w:tplc="5406D7B2">
      <w:start w:val="1"/>
      <w:numFmt w:val="bullet"/>
      <w:lvlText w:val=""/>
      <w:lvlJc w:val="left"/>
      <w:pPr>
        <w:ind w:left="2160" w:hanging="360"/>
      </w:pPr>
      <w:rPr>
        <w:rFonts w:ascii="Wingdings" w:hAnsi="Wingdings"/>
      </w:rPr>
    </w:lvl>
    <w:lvl w:ilvl="3" w:tplc="85907756">
      <w:start w:val="1"/>
      <w:numFmt w:val="bullet"/>
      <w:lvlText w:val=""/>
      <w:lvlJc w:val="left"/>
      <w:pPr>
        <w:ind w:left="2880" w:hanging="360"/>
      </w:pPr>
      <w:rPr>
        <w:rFonts w:ascii="Symbol" w:hAnsi="Symbol"/>
      </w:rPr>
    </w:lvl>
    <w:lvl w:ilvl="4" w:tplc="7E203036">
      <w:start w:val="1"/>
      <w:numFmt w:val="bullet"/>
      <w:lvlText w:val="o"/>
      <w:lvlJc w:val="left"/>
      <w:pPr>
        <w:ind w:left="3600" w:hanging="360"/>
      </w:pPr>
      <w:rPr>
        <w:rFonts w:ascii="Courier New" w:hAnsi="Courier New"/>
      </w:rPr>
    </w:lvl>
    <w:lvl w:ilvl="5" w:tplc="0B8A2858">
      <w:start w:val="1"/>
      <w:numFmt w:val="bullet"/>
      <w:lvlText w:val=""/>
      <w:lvlJc w:val="left"/>
      <w:pPr>
        <w:ind w:left="4320" w:hanging="360"/>
      </w:pPr>
      <w:rPr>
        <w:rFonts w:ascii="Wingdings" w:hAnsi="Wingdings"/>
      </w:rPr>
    </w:lvl>
    <w:lvl w:ilvl="6" w:tplc="17CA118A">
      <w:start w:val="1"/>
      <w:numFmt w:val="bullet"/>
      <w:lvlText w:val=""/>
      <w:lvlJc w:val="left"/>
      <w:pPr>
        <w:ind w:left="5040" w:hanging="360"/>
      </w:pPr>
      <w:rPr>
        <w:rFonts w:ascii="Symbol" w:hAnsi="Symbol"/>
      </w:rPr>
    </w:lvl>
    <w:lvl w:ilvl="7" w:tplc="2BA81300">
      <w:start w:val="1"/>
      <w:numFmt w:val="bullet"/>
      <w:lvlText w:val="o"/>
      <w:lvlJc w:val="left"/>
      <w:pPr>
        <w:ind w:left="5760" w:hanging="360"/>
      </w:pPr>
      <w:rPr>
        <w:rFonts w:ascii="Courier New" w:hAnsi="Courier New"/>
      </w:rPr>
    </w:lvl>
    <w:lvl w:ilvl="8" w:tplc="46B29DBA">
      <w:start w:val="1"/>
      <w:numFmt w:val="bullet"/>
      <w:lvlText w:val=""/>
      <w:lvlJc w:val="left"/>
      <w:pPr>
        <w:ind w:left="6480" w:hanging="360"/>
      </w:pPr>
      <w:rPr>
        <w:rFonts w:ascii="Wingdings" w:hAnsi="Wingdings"/>
      </w:rPr>
    </w:lvl>
  </w:abstractNum>
  <w:abstractNum w:abstractNumId="33">
    <w:nsid w:val="6F4334B0"/>
    <w:multiLevelType w:val="singleLevel"/>
    <w:tmpl w:val="631A7BEA"/>
    <w:lvl w:ilvl="0">
      <w:start w:val="1"/>
      <w:numFmt w:val="bullet"/>
      <w:lvlText w:val=""/>
      <w:lvlJc w:val="left"/>
      <w:pPr>
        <w:tabs>
          <w:tab w:val="num" w:pos="360"/>
        </w:tabs>
        <w:ind w:left="360" w:hanging="360"/>
      </w:pPr>
      <w:rPr>
        <w:rFonts w:ascii="Symbol" w:hAnsi="Symbol"/>
      </w:rPr>
    </w:lvl>
  </w:abstractNum>
  <w:abstractNum w:abstractNumId="34">
    <w:nsid w:val="6FCE6F53"/>
    <w:multiLevelType w:val="hybridMultilevel"/>
    <w:tmpl w:val="D452D260"/>
    <w:lvl w:ilvl="0" w:tplc="72EEA18E">
      <w:start w:val="1"/>
      <w:numFmt w:val="bullet"/>
      <w:lvlText w:val=""/>
      <w:lvlJc w:val="left"/>
      <w:pPr>
        <w:ind w:left="720" w:hanging="360"/>
      </w:pPr>
      <w:rPr>
        <w:rFonts w:ascii="Symbol" w:hAnsi="Symbol"/>
      </w:rPr>
    </w:lvl>
    <w:lvl w:ilvl="1" w:tplc="666218B4">
      <w:start w:val="1"/>
      <w:numFmt w:val="bullet"/>
      <w:lvlText w:val="o"/>
      <w:lvlJc w:val="left"/>
      <w:pPr>
        <w:ind w:left="1440" w:hanging="360"/>
      </w:pPr>
      <w:rPr>
        <w:rFonts w:ascii="Courier New" w:hAnsi="Courier New"/>
      </w:rPr>
    </w:lvl>
    <w:lvl w:ilvl="2" w:tplc="25A23314">
      <w:start w:val="1"/>
      <w:numFmt w:val="bullet"/>
      <w:lvlText w:val=""/>
      <w:lvlJc w:val="left"/>
      <w:pPr>
        <w:ind w:left="2160" w:hanging="360"/>
      </w:pPr>
      <w:rPr>
        <w:rFonts w:ascii="Wingdings" w:hAnsi="Wingdings"/>
      </w:rPr>
    </w:lvl>
    <w:lvl w:ilvl="3" w:tplc="11FC6656">
      <w:start w:val="1"/>
      <w:numFmt w:val="bullet"/>
      <w:lvlText w:val=""/>
      <w:lvlJc w:val="left"/>
      <w:pPr>
        <w:ind w:left="2880" w:hanging="360"/>
      </w:pPr>
      <w:rPr>
        <w:rFonts w:ascii="Symbol" w:hAnsi="Symbol"/>
      </w:rPr>
    </w:lvl>
    <w:lvl w:ilvl="4" w:tplc="90A0EDF8">
      <w:start w:val="1"/>
      <w:numFmt w:val="bullet"/>
      <w:lvlText w:val="o"/>
      <w:lvlJc w:val="left"/>
      <w:pPr>
        <w:ind w:left="3600" w:hanging="360"/>
      </w:pPr>
      <w:rPr>
        <w:rFonts w:ascii="Courier New" w:hAnsi="Courier New"/>
      </w:rPr>
    </w:lvl>
    <w:lvl w:ilvl="5" w:tplc="FFEA725A">
      <w:start w:val="1"/>
      <w:numFmt w:val="bullet"/>
      <w:lvlText w:val=""/>
      <w:lvlJc w:val="left"/>
      <w:pPr>
        <w:ind w:left="4320" w:hanging="360"/>
      </w:pPr>
      <w:rPr>
        <w:rFonts w:ascii="Wingdings" w:hAnsi="Wingdings"/>
      </w:rPr>
    </w:lvl>
    <w:lvl w:ilvl="6" w:tplc="851CE9EC">
      <w:start w:val="1"/>
      <w:numFmt w:val="bullet"/>
      <w:lvlText w:val=""/>
      <w:lvlJc w:val="left"/>
      <w:pPr>
        <w:ind w:left="5040" w:hanging="360"/>
      </w:pPr>
      <w:rPr>
        <w:rFonts w:ascii="Symbol" w:hAnsi="Symbol"/>
      </w:rPr>
    </w:lvl>
    <w:lvl w:ilvl="7" w:tplc="AE209D7C">
      <w:start w:val="1"/>
      <w:numFmt w:val="bullet"/>
      <w:lvlText w:val="o"/>
      <w:lvlJc w:val="left"/>
      <w:pPr>
        <w:ind w:left="5760" w:hanging="360"/>
      </w:pPr>
      <w:rPr>
        <w:rFonts w:ascii="Courier New" w:hAnsi="Courier New"/>
      </w:rPr>
    </w:lvl>
    <w:lvl w:ilvl="8" w:tplc="30B2617E">
      <w:start w:val="1"/>
      <w:numFmt w:val="bullet"/>
      <w:lvlText w:val=""/>
      <w:lvlJc w:val="left"/>
      <w:pPr>
        <w:ind w:left="6480" w:hanging="360"/>
      </w:pPr>
      <w:rPr>
        <w:rFonts w:ascii="Wingdings" w:hAnsi="Wingdings"/>
      </w:rPr>
    </w:lvl>
  </w:abstractNum>
  <w:abstractNum w:abstractNumId="35">
    <w:nsid w:val="72271A4F"/>
    <w:multiLevelType w:val="hybridMultilevel"/>
    <w:tmpl w:val="8FB47640"/>
    <w:lvl w:ilvl="0" w:tplc="A0685CA2">
      <w:start w:val="1"/>
      <w:numFmt w:val="bullet"/>
      <w:lvlText w:val=""/>
      <w:lvlJc w:val="left"/>
      <w:pPr>
        <w:ind w:left="720" w:hanging="360"/>
      </w:pPr>
      <w:rPr>
        <w:rFonts w:ascii="Symbol" w:hAnsi="Symbol"/>
      </w:rPr>
    </w:lvl>
    <w:lvl w:ilvl="1" w:tplc="0AD29FE8">
      <w:start w:val="1"/>
      <w:numFmt w:val="bullet"/>
      <w:lvlText w:val="o"/>
      <w:lvlJc w:val="left"/>
      <w:pPr>
        <w:ind w:left="1440" w:hanging="360"/>
      </w:pPr>
      <w:rPr>
        <w:rFonts w:ascii="Courier New" w:hAnsi="Courier New"/>
      </w:rPr>
    </w:lvl>
    <w:lvl w:ilvl="2" w:tplc="0AD25F00">
      <w:start w:val="1"/>
      <w:numFmt w:val="bullet"/>
      <w:lvlText w:val=""/>
      <w:lvlJc w:val="left"/>
      <w:pPr>
        <w:ind w:left="2160" w:hanging="360"/>
      </w:pPr>
      <w:rPr>
        <w:rFonts w:ascii="Wingdings" w:hAnsi="Wingdings"/>
      </w:rPr>
    </w:lvl>
    <w:lvl w:ilvl="3" w:tplc="202CB5A8">
      <w:start w:val="1"/>
      <w:numFmt w:val="bullet"/>
      <w:lvlText w:val=""/>
      <w:lvlJc w:val="left"/>
      <w:pPr>
        <w:ind w:left="2880" w:hanging="360"/>
      </w:pPr>
      <w:rPr>
        <w:rFonts w:ascii="Symbol" w:hAnsi="Symbol"/>
      </w:rPr>
    </w:lvl>
    <w:lvl w:ilvl="4" w:tplc="63289358">
      <w:start w:val="1"/>
      <w:numFmt w:val="bullet"/>
      <w:lvlText w:val="o"/>
      <w:lvlJc w:val="left"/>
      <w:pPr>
        <w:ind w:left="3600" w:hanging="360"/>
      </w:pPr>
      <w:rPr>
        <w:rFonts w:ascii="Courier New" w:hAnsi="Courier New"/>
      </w:rPr>
    </w:lvl>
    <w:lvl w:ilvl="5" w:tplc="30D82D46">
      <w:start w:val="1"/>
      <w:numFmt w:val="bullet"/>
      <w:lvlText w:val=""/>
      <w:lvlJc w:val="left"/>
      <w:pPr>
        <w:ind w:left="4320" w:hanging="360"/>
      </w:pPr>
      <w:rPr>
        <w:rFonts w:ascii="Wingdings" w:hAnsi="Wingdings"/>
      </w:rPr>
    </w:lvl>
    <w:lvl w:ilvl="6" w:tplc="2A242AC0">
      <w:start w:val="1"/>
      <w:numFmt w:val="bullet"/>
      <w:lvlText w:val=""/>
      <w:lvlJc w:val="left"/>
      <w:pPr>
        <w:ind w:left="5040" w:hanging="360"/>
      </w:pPr>
      <w:rPr>
        <w:rFonts w:ascii="Symbol" w:hAnsi="Symbol"/>
      </w:rPr>
    </w:lvl>
    <w:lvl w:ilvl="7" w:tplc="61F43516">
      <w:start w:val="1"/>
      <w:numFmt w:val="bullet"/>
      <w:lvlText w:val="o"/>
      <w:lvlJc w:val="left"/>
      <w:pPr>
        <w:ind w:left="5760" w:hanging="360"/>
      </w:pPr>
      <w:rPr>
        <w:rFonts w:ascii="Courier New" w:hAnsi="Courier New"/>
      </w:rPr>
    </w:lvl>
    <w:lvl w:ilvl="8" w:tplc="ED8CAB7E">
      <w:start w:val="1"/>
      <w:numFmt w:val="bullet"/>
      <w:lvlText w:val=""/>
      <w:lvlJc w:val="left"/>
      <w:pPr>
        <w:ind w:left="6480" w:hanging="360"/>
      </w:pPr>
      <w:rPr>
        <w:rFonts w:ascii="Wingdings" w:hAnsi="Wingdings"/>
      </w:rPr>
    </w:lvl>
  </w:abstractNum>
  <w:abstractNum w:abstractNumId="36">
    <w:nsid w:val="7589543E"/>
    <w:multiLevelType w:val="hybridMultilevel"/>
    <w:tmpl w:val="6C6C0C18"/>
    <w:lvl w:ilvl="0" w:tplc="F2AE8B28">
      <w:start w:val="1"/>
      <w:numFmt w:val="bullet"/>
      <w:lvlText w:val=""/>
      <w:lvlJc w:val="left"/>
      <w:pPr>
        <w:ind w:left="540" w:hanging="180"/>
      </w:pPr>
      <w:rPr>
        <w:rFonts w:ascii="Symbol" w:hAnsi="Symbol"/>
      </w:rPr>
    </w:lvl>
    <w:lvl w:ilvl="1" w:tplc="DF2297DE">
      <w:start w:val="1"/>
      <w:numFmt w:val="bullet"/>
      <w:lvlText w:val="o"/>
      <w:lvlJc w:val="left"/>
      <w:pPr>
        <w:ind w:left="1440" w:hanging="360"/>
      </w:pPr>
      <w:rPr>
        <w:rFonts w:ascii="Courier New" w:hAnsi="Courier New"/>
      </w:rPr>
    </w:lvl>
    <w:lvl w:ilvl="2" w:tplc="B0CC1B84">
      <w:start w:val="1"/>
      <w:numFmt w:val="bullet"/>
      <w:lvlText w:val=""/>
      <w:lvlJc w:val="left"/>
      <w:pPr>
        <w:ind w:left="2160" w:hanging="360"/>
      </w:pPr>
      <w:rPr>
        <w:rFonts w:ascii="Wingdings" w:hAnsi="Wingdings"/>
      </w:rPr>
    </w:lvl>
    <w:lvl w:ilvl="3" w:tplc="FD589DB4">
      <w:start w:val="1"/>
      <w:numFmt w:val="bullet"/>
      <w:lvlText w:val=""/>
      <w:lvlJc w:val="left"/>
      <w:pPr>
        <w:ind w:left="2880" w:hanging="360"/>
      </w:pPr>
      <w:rPr>
        <w:rFonts w:ascii="Symbol" w:hAnsi="Symbol"/>
      </w:rPr>
    </w:lvl>
    <w:lvl w:ilvl="4" w:tplc="95D8EEB6">
      <w:start w:val="1"/>
      <w:numFmt w:val="bullet"/>
      <w:lvlText w:val="o"/>
      <w:lvlJc w:val="left"/>
      <w:pPr>
        <w:ind w:left="3600" w:hanging="360"/>
      </w:pPr>
      <w:rPr>
        <w:rFonts w:ascii="Courier New" w:hAnsi="Courier New"/>
      </w:rPr>
    </w:lvl>
    <w:lvl w:ilvl="5" w:tplc="84B0FE1E">
      <w:start w:val="1"/>
      <w:numFmt w:val="bullet"/>
      <w:lvlText w:val=""/>
      <w:lvlJc w:val="left"/>
      <w:pPr>
        <w:ind w:left="4320" w:hanging="360"/>
      </w:pPr>
      <w:rPr>
        <w:rFonts w:ascii="Wingdings" w:hAnsi="Wingdings"/>
      </w:rPr>
    </w:lvl>
    <w:lvl w:ilvl="6" w:tplc="5E160B78">
      <w:start w:val="1"/>
      <w:numFmt w:val="bullet"/>
      <w:lvlText w:val=""/>
      <w:lvlJc w:val="left"/>
      <w:pPr>
        <w:ind w:left="5040" w:hanging="360"/>
      </w:pPr>
      <w:rPr>
        <w:rFonts w:ascii="Symbol" w:hAnsi="Symbol"/>
      </w:rPr>
    </w:lvl>
    <w:lvl w:ilvl="7" w:tplc="79DC60E6">
      <w:start w:val="1"/>
      <w:numFmt w:val="bullet"/>
      <w:lvlText w:val="o"/>
      <w:lvlJc w:val="left"/>
      <w:pPr>
        <w:ind w:left="5760" w:hanging="360"/>
      </w:pPr>
      <w:rPr>
        <w:rFonts w:ascii="Courier New" w:hAnsi="Courier New"/>
      </w:rPr>
    </w:lvl>
    <w:lvl w:ilvl="8" w:tplc="AC525EDC">
      <w:start w:val="1"/>
      <w:numFmt w:val="bullet"/>
      <w:lvlText w:val=""/>
      <w:lvlJc w:val="left"/>
      <w:pPr>
        <w:ind w:left="6480" w:hanging="360"/>
      </w:pPr>
      <w:rPr>
        <w:rFonts w:ascii="Wingdings" w:hAnsi="Wingdings"/>
      </w:rPr>
    </w:lvl>
  </w:abstractNum>
  <w:abstractNum w:abstractNumId="37">
    <w:nsid w:val="78CF6123"/>
    <w:multiLevelType w:val="hybridMultilevel"/>
    <w:tmpl w:val="2D348B36"/>
    <w:lvl w:ilvl="0" w:tplc="8860713A">
      <w:start w:val="1"/>
      <w:numFmt w:val="bullet"/>
      <w:lvlText w:val=""/>
      <w:lvlJc w:val="left"/>
      <w:pPr>
        <w:ind w:left="540" w:hanging="180"/>
      </w:pPr>
      <w:rPr>
        <w:rFonts w:ascii="Symbol" w:hAnsi="Symbol"/>
      </w:rPr>
    </w:lvl>
    <w:lvl w:ilvl="1" w:tplc="58981254">
      <w:start w:val="1"/>
      <w:numFmt w:val="bullet"/>
      <w:lvlText w:val="o"/>
      <w:lvlJc w:val="left"/>
      <w:pPr>
        <w:ind w:left="1440" w:hanging="360"/>
      </w:pPr>
      <w:rPr>
        <w:rFonts w:ascii="Courier New" w:hAnsi="Courier New"/>
      </w:rPr>
    </w:lvl>
    <w:lvl w:ilvl="2" w:tplc="6B0E9A28">
      <w:start w:val="1"/>
      <w:numFmt w:val="bullet"/>
      <w:lvlText w:val=""/>
      <w:lvlJc w:val="left"/>
      <w:pPr>
        <w:ind w:left="2160" w:hanging="360"/>
      </w:pPr>
      <w:rPr>
        <w:rFonts w:ascii="Wingdings" w:hAnsi="Wingdings"/>
      </w:rPr>
    </w:lvl>
    <w:lvl w:ilvl="3" w:tplc="71D46B28">
      <w:start w:val="1"/>
      <w:numFmt w:val="bullet"/>
      <w:lvlText w:val=""/>
      <w:lvlJc w:val="left"/>
      <w:pPr>
        <w:ind w:left="2880" w:hanging="360"/>
      </w:pPr>
      <w:rPr>
        <w:rFonts w:ascii="Symbol" w:hAnsi="Symbol"/>
      </w:rPr>
    </w:lvl>
    <w:lvl w:ilvl="4" w:tplc="349E051E">
      <w:start w:val="1"/>
      <w:numFmt w:val="bullet"/>
      <w:lvlText w:val="o"/>
      <w:lvlJc w:val="left"/>
      <w:pPr>
        <w:ind w:left="3600" w:hanging="360"/>
      </w:pPr>
      <w:rPr>
        <w:rFonts w:ascii="Courier New" w:hAnsi="Courier New"/>
      </w:rPr>
    </w:lvl>
    <w:lvl w:ilvl="5" w:tplc="B212D1A6">
      <w:start w:val="1"/>
      <w:numFmt w:val="bullet"/>
      <w:lvlText w:val=""/>
      <w:lvlJc w:val="left"/>
      <w:pPr>
        <w:ind w:left="4320" w:hanging="360"/>
      </w:pPr>
      <w:rPr>
        <w:rFonts w:ascii="Wingdings" w:hAnsi="Wingdings"/>
      </w:rPr>
    </w:lvl>
    <w:lvl w:ilvl="6" w:tplc="583EA04A">
      <w:start w:val="1"/>
      <w:numFmt w:val="bullet"/>
      <w:lvlText w:val=""/>
      <w:lvlJc w:val="left"/>
      <w:pPr>
        <w:ind w:left="5040" w:hanging="360"/>
      </w:pPr>
      <w:rPr>
        <w:rFonts w:ascii="Symbol" w:hAnsi="Symbol"/>
      </w:rPr>
    </w:lvl>
    <w:lvl w:ilvl="7" w:tplc="A778365E">
      <w:start w:val="1"/>
      <w:numFmt w:val="bullet"/>
      <w:lvlText w:val="o"/>
      <w:lvlJc w:val="left"/>
      <w:pPr>
        <w:ind w:left="5760" w:hanging="360"/>
      </w:pPr>
      <w:rPr>
        <w:rFonts w:ascii="Courier New" w:hAnsi="Courier New"/>
      </w:rPr>
    </w:lvl>
    <w:lvl w:ilvl="8" w:tplc="43FA59DA">
      <w:start w:val="1"/>
      <w:numFmt w:val="bullet"/>
      <w:lvlText w:val=""/>
      <w:lvlJc w:val="left"/>
      <w:pPr>
        <w:ind w:left="6480" w:hanging="360"/>
      </w:pPr>
      <w:rPr>
        <w:rFonts w:ascii="Wingdings" w:hAnsi="Wingdings"/>
      </w:rPr>
    </w:lvl>
  </w:abstractNum>
  <w:num w:numId="1">
    <w:abstractNumId w:val="8"/>
  </w:num>
  <w:num w:numId="2">
    <w:abstractNumId w:val="24"/>
  </w:num>
  <w:num w:numId="3">
    <w:abstractNumId w:val="1"/>
  </w:num>
  <w:num w:numId="4">
    <w:abstractNumId w:val="14"/>
  </w:num>
  <w:num w:numId="5">
    <w:abstractNumId w:val="32"/>
  </w:num>
  <w:num w:numId="6">
    <w:abstractNumId w:val="18"/>
  </w:num>
  <w:num w:numId="7">
    <w:abstractNumId w:val="7"/>
  </w:num>
  <w:num w:numId="8">
    <w:abstractNumId w:val="29"/>
  </w:num>
  <w:num w:numId="9">
    <w:abstractNumId w:val="31"/>
  </w:num>
  <w:num w:numId="10">
    <w:abstractNumId w:val="33"/>
  </w:num>
  <w:num w:numId="11">
    <w:abstractNumId w:val="3"/>
  </w:num>
  <w:num w:numId="12">
    <w:abstractNumId w:val="28"/>
  </w:num>
  <w:num w:numId="13">
    <w:abstractNumId w:val="20"/>
  </w:num>
  <w:num w:numId="14">
    <w:abstractNumId w:val="9"/>
  </w:num>
  <w:num w:numId="15">
    <w:abstractNumId w:val="16"/>
  </w:num>
  <w:num w:numId="16">
    <w:abstractNumId w:val="4"/>
  </w:num>
  <w:num w:numId="17">
    <w:abstractNumId w:val="30"/>
  </w:num>
  <w:num w:numId="18">
    <w:abstractNumId w:val="23"/>
  </w:num>
  <w:num w:numId="19">
    <w:abstractNumId w:val="27"/>
  </w:num>
  <w:num w:numId="20">
    <w:abstractNumId w:val="2"/>
  </w:num>
  <w:num w:numId="21">
    <w:abstractNumId w:val="13"/>
  </w:num>
  <w:num w:numId="22">
    <w:abstractNumId w:val="34"/>
  </w:num>
  <w:num w:numId="23">
    <w:abstractNumId w:val="25"/>
  </w:num>
  <w:num w:numId="24">
    <w:abstractNumId w:val="22"/>
  </w:num>
  <w:num w:numId="25">
    <w:abstractNumId w:val="5"/>
  </w:num>
  <w:num w:numId="26">
    <w:abstractNumId w:val="12"/>
  </w:num>
  <w:num w:numId="27">
    <w:abstractNumId w:val="17"/>
  </w:num>
  <w:num w:numId="28">
    <w:abstractNumId w:val="11"/>
  </w:num>
  <w:num w:numId="29">
    <w:abstractNumId w:val="37"/>
  </w:num>
  <w:num w:numId="30">
    <w:abstractNumId w:val="36"/>
  </w:num>
  <w:num w:numId="31">
    <w:abstractNumId w:val="10"/>
  </w:num>
  <w:num w:numId="32">
    <w:abstractNumId w:val="0"/>
  </w:num>
  <w:num w:numId="33">
    <w:abstractNumId w:val="15"/>
  </w:num>
  <w:num w:numId="34">
    <w:abstractNumId w:val="35"/>
  </w:num>
  <w:num w:numId="35">
    <w:abstractNumId w:val="6"/>
  </w:num>
  <w:num w:numId="36">
    <w:abstractNumId w:val="19"/>
  </w:num>
  <w:num w:numId="37">
    <w:abstractNumId w:val="21"/>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activeWritingStyle w:appName="MSWord" w:lang="fr-FR" w:vendorID="64" w:dllVersion="131078" w:nlCheck="1" w:checkStyle="1"/>
  <w:activeWritingStyle w:appName="MSWord" w:lang="en-GB" w:vendorID="64" w:dllVersion="131078" w:nlCheck="1" w:checkStyle="1"/>
  <w:proofState w:spelling="clean" w:grammar="clean"/>
  <w:trackRevisions/>
  <w:defaultTabStop w:val="720"/>
  <w:drawingGridHorizontalSpacing w:val="11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3F0"/>
    <w:rsid w:val="0000046F"/>
    <w:rsid w:val="00000906"/>
    <w:rsid w:val="00001C28"/>
    <w:rsid w:val="000075D2"/>
    <w:rsid w:val="00013846"/>
    <w:rsid w:val="00014DD8"/>
    <w:rsid w:val="00015596"/>
    <w:rsid w:val="00020CAC"/>
    <w:rsid w:val="0002560C"/>
    <w:rsid w:val="00031008"/>
    <w:rsid w:val="000363BB"/>
    <w:rsid w:val="00036D4E"/>
    <w:rsid w:val="00037338"/>
    <w:rsid w:val="000470F2"/>
    <w:rsid w:val="00050A18"/>
    <w:rsid w:val="00052D77"/>
    <w:rsid w:val="00053B80"/>
    <w:rsid w:val="00057E64"/>
    <w:rsid w:val="00063B80"/>
    <w:rsid w:val="00063D49"/>
    <w:rsid w:val="000710E3"/>
    <w:rsid w:val="00073D9B"/>
    <w:rsid w:val="00074447"/>
    <w:rsid w:val="000756E3"/>
    <w:rsid w:val="00076817"/>
    <w:rsid w:val="00076A01"/>
    <w:rsid w:val="00081F5B"/>
    <w:rsid w:val="00082FAC"/>
    <w:rsid w:val="00083CAF"/>
    <w:rsid w:val="000871E9"/>
    <w:rsid w:val="000A016E"/>
    <w:rsid w:val="000A0337"/>
    <w:rsid w:val="000B3FC4"/>
    <w:rsid w:val="000B7334"/>
    <w:rsid w:val="000C15A7"/>
    <w:rsid w:val="000C209D"/>
    <w:rsid w:val="000C347B"/>
    <w:rsid w:val="000D0B19"/>
    <w:rsid w:val="000D2BDC"/>
    <w:rsid w:val="000D3528"/>
    <w:rsid w:val="000D427A"/>
    <w:rsid w:val="000D54AC"/>
    <w:rsid w:val="000E029E"/>
    <w:rsid w:val="000E2DE2"/>
    <w:rsid w:val="000E3FD3"/>
    <w:rsid w:val="000F2CC5"/>
    <w:rsid w:val="000F3A29"/>
    <w:rsid w:val="000F4A07"/>
    <w:rsid w:val="000F5A07"/>
    <w:rsid w:val="000F5E4A"/>
    <w:rsid w:val="0010030D"/>
    <w:rsid w:val="001014A2"/>
    <w:rsid w:val="0010150F"/>
    <w:rsid w:val="00103BAB"/>
    <w:rsid w:val="00110F6B"/>
    <w:rsid w:val="00111960"/>
    <w:rsid w:val="001139AB"/>
    <w:rsid w:val="0011769B"/>
    <w:rsid w:val="00117E74"/>
    <w:rsid w:val="0012203A"/>
    <w:rsid w:val="001260A6"/>
    <w:rsid w:val="00134694"/>
    <w:rsid w:val="001354FC"/>
    <w:rsid w:val="0014014B"/>
    <w:rsid w:val="00144E52"/>
    <w:rsid w:val="00144FCE"/>
    <w:rsid w:val="00145C51"/>
    <w:rsid w:val="001467BB"/>
    <w:rsid w:val="00152882"/>
    <w:rsid w:val="0015484F"/>
    <w:rsid w:val="00156E83"/>
    <w:rsid w:val="0016006A"/>
    <w:rsid w:val="001603B3"/>
    <w:rsid w:val="001628C1"/>
    <w:rsid w:val="001724CB"/>
    <w:rsid w:val="00187D1D"/>
    <w:rsid w:val="0019187D"/>
    <w:rsid w:val="001A198E"/>
    <w:rsid w:val="001A2082"/>
    <w:rsid w:val="001B0172"/>
    <w:rsid w:val="001B1726"/>
    <w:rsid w:val="001C1D72"/>
    <w:rsid w:val="001C3387"/>
    <w:rsid w:val="001C3D34"/>
    <w:rsid w:val="001D5092"/>
    <w:rsid w:val="001E7574"/>
    <w:rsid w:val="001E7DD1"/>
    <w:rsid w:val="001F117F"/>
    <w:rsid w:val="001F35A4"/>
    <w:rsid w:val="001F395B"/>
    <w:rsid w:val="001F5722"/>
    <w:rsid w:val="001F6B5F"/>
    <w:rsid w:val="001F75D4"/>
    <w:rsid w:val="002000F1"/>
    <w:rsid w:val="00205BA4"/>
    <w:rsid w:val="002109DD"/>
    <w:rsid w:val="00216E1D"/>
    <w:rsid w:val="002213D9"/>
    <w:rsid w:val="00222CF6"/>
    <w:rsid w:val="002234CB"/>
    <w:rsid w:val="00230521"/>
    <w:rsid w:val="00230D17"/>
    <w:rsid w:val="00231874"/>
    <w:rsid w:val="00234099"/>
    <w:rsid w:val="00234F3F"/>
    <w:rsid w:val="002369DC"/>
    <w:rsid w:val="00240478"/>
    <w:rsid w:val="00241040"/>
    <w:rsid w:val="00243F08"/>
    <w:rsid w:val="00250111"/>
    <w:rsid w:val="00250810"/>
    <w:rsid w:val="002540DB"/>
    <w:rsid w:val="002552F1"/>
    <w:rsid w:val="00257704"/>
    <w:rsid w:val="002813FE"/>
    <w:rsid w:val="00282FF3"/>
    <w:rsid w:val="0029215A"/>
    <w:rsid w:val="002A0B60"/>
    <w:rsid w:val="002A2770"/>
    <w:rsid w:val="002A38ED"/>
    <w:rsid w:val="002A5BB4"/>
    <w:rsid w:val="002A73B5"/>
    <w:rsid w:val="002C2473"/>
    <w:rsid w:val="002C2C0F"/>
    <w:rsid w:val="002C3805"/>
    <w:rsid w:val="002C60F3"/>
    <w:rsid w:val="002C6275"/>
    <w:rsid w:val="002C7757"/>
    <w:rsid w:val="002D1801"/>
    <w:rsid w:val="002D1841"/>
    <w:rsid w:val="002D2BEA"/>
    <w:rsid w:val="002E13CA"/>
    <w:rsid w:val="002E2719"/>
    <w:rsid w:val="002E416F"/>
    <w:rsid w:val="002E46A5"/>
    <w:rsid w:val="002E5B50"/>
    <w:rsid w:val="002F6098"/>
    <w:rsid w:val="002F7610"/>
    <w:rsid w:val="003005DF"/>
    <w:rsid w:val="00300793"/>
    <w:rsid w:val="0030428A"/>
    <w:rsid w:val="00304835"/>
    <w:rsid w:val="00305C46"/>
    <w:rsid w:val="00305DFE"/>
    <w:rsid w:val="00306F41"/>
    <w:rsid w:val="00312ADB"/>
    <w:rsid w:val="00315175"/>
    <w:rsid w:val="0031653B"/>
    <w:rsid w:val="00324524"/>
    <w:rsid w:val="003258B2"/>
    <w:rsid w:val="003271F6"/>
    <w:rsid w:val="003308D6"/>
    <w:rsid w:val="003336C3"/>
    <w:rsid w:val="003346E8"/>
    <w:rsid w:val="00337790"/>
    <w:rsid w:val="00340C15"/>
    <w:rsid w:val="00342BA5"/>
    <w:rsid w:val="00350EF2"/>
    <w:rsid w:val="0035117D"/>
    <w:rsid w:val="003530D5"/>
    <w:rsid w:val="003553E8"/>
    <w:rsid w:val="0037008C"/>
    <w:rsid w:val="00371A8F"/>
    <w:rsid w:val="003754E8"/>
    <w:rsid w:val="00376EE7"/>
    <w:rsid w:val="00377778"/>
    <w:rsid w:val="003806BB"/>
    <w:rsid w:val="00386341"/>
    <w:rsid w:val="00390F66"/>
    <w:rsid w:val="00390FF4"/>
    <w:rsid w:val="00393936"/>
    <w:rsid w:val="0039492E"/>
    <w:rsid w:val="00394991"/>
    <w:rsid w:val="003952BB"/>
    <w:rsid w:val="003957F3"/>
    <w:rsid w:val="00397785"/>
    <w:rsid w:val="00397CC8"/>
    <w:rsid w:val="003A0BF1"/>
    <w:rsid w:val="003A123A"/>
    <w:rsid w:val="003A2E3E"/>
    <w:rsid w:val="003A3284"/>
    <w:rsid w:val="003B055D"/>
    <w:rsid w:val="003B4F10"/>
    <w:rsid w:val="003C0B9E"/>
    <w:rsid w:val="003C784B"/>
    <w:rsid w:val="003D0543"/>
    <w:rsid w:val="003D240A"/>
    <w:rsid w:val="003D434B"/>
    <w:rsid w:val="003D4BC2"/>
    <w:rsid w:val="003D71CE"/>
    <w:rsid w:val="003E29A6"/>
    <w:rsid w:val="003F4CAB"/>
    <w:rsid w:val="003F5EB9"/>
    <w:rsid w:val="003F71CD"/>
    <w:rsid w:val="003F7BBB"/>
    <w:rsid w:val="00403E29"/>
    <w:rsid w:val="0040403F"/>
    <w:rsid w:val="00404B08"/>
    <w:rsid w:val="004103D7"/>
    <w:rsid w:val="00414E42"/>
    <w:rsid w:val="00415AE0"/>
    <w:rsid w:val="00415C13"/>
    <w:rsid w:val="004226D7"/>
    <w:rsid w:val="0042369B"/>
    <w:rsid w:val="00423A79"/>
    <w:rsid w:val="00423BC0"/>
    <w:rsid w:val="004263CB"/>
    <w:rsid w:val="00427D06"/>
    <w:rsid w:val="00427F03"/>
    <w:rsid w:val="00431C50"/>
    <w:rsid w:val="00432CC9"/>
    <w:rsid w:val="00435BB2"/>
    <w:rsid w:val="00437C4B"/>
    <w:rsid w:val="004405F3"/>
    <w:rsid w:val="0044193F"/>
    <w:rsid w:val="004451F2"/>
    <w:rsid w:val="00447894"/>
    <w:rsid w:val="00457F44"/>
    <w:rsid w:val="00467DB9"/>
    <w:rsid w:val="0047237C"/>
    <w:rsid w:val="0047356F"/>
    <w:rsid w:val="0047402E"/>
    <w:rsid w:val="00474C01"/>
    <w:rsid w:val="00475107"/>
    <w:rsid w:val="0047702C"/>
    <w:rsid w:val="00480454"/>
    <w:rsid w:val="00480BD3"/>
    <w:rsid w:val="00484089"/>
    <w:rsid w:val="00484A21"/>
    <w:rsid w:val="00484C0B"/>
    <w:rsid w:val="00484DBA"/>
    <w:rsid w:val="004860F5"/>
    <w:rsid w:val="00487446"/>
    <w:rsid w:val="004877A1"/>
    <w:rsid w:val="00493536"/>
    <w:rsid w:val="00494313"/>
    <w:rsid w:val="004A1FDE"/>
    <w:rsid w:val="004A5B21"/>
    <w:rsid w:val="004A6AEF"/>
    <w:rsid w:val="004A7AB6"/>
    <w:rsid w:val="004B0F4A"/>
    <w:rsid w:val="004B13C0"/>
    <w:rsid w:val="004C2402"/>
    <w:rsid w:val="004C5AC0"/>
    <w:rsid w:val="004D11B0"/>
    <w:rsid w:val="004D23E4"/>
    <w:rsid w:val="004D248A"/>
    <w:rsid w:val="004D272E"/>
    <w:rsid w:val="004D2F5A"/>
    <w:rsid w:val="004D5BF8"/>
    <w:rsid w:val="004D67A0"/>
    <w:rsid w:val="004E2886"/>
    <w:rsid w:val="004E2CFC"/>
    <w:rsid w:val="004E33DD"/>
    <w:rsid w:val="004E4C57"/>
    <w:rsid w:val="004E4DF3"/>
    <w:rsid w:val="004E592E"/>
    <w:rsid w:val="004F0473"/>
    <w:rsid w:val="004F23CD"/>
    <w:rsid w:val="004F5CE4"/>
    <w:rsid w:val="005014AC"/>
    <w:rsid w:val="00503E49"/>
    <w:rsid w:val="00513BF1"/>
    <w:rsid w:val="0051550E"/>
    <w:rsid w:val="005157AB"/>
    <w:rsid w:val="00524549"/>
    <w:rsid w:val="0052459B"/>
    <w:rsid w:val="00533AFB"/>
    <w:rsid w:val="00536B88"/>
    <w:rsid w:val="0054073B"/>
    <w:rsid w:val="00541DF5"/>
    <w:rsid w:val="00542302"/>
    <w:rsid w:val="005453B1"/>
    <w:rsid w:val="00547145"/>
    <w:rsid w:val="005509CE"/>
    <w:rsid w:val="00550C46"/>
    <w:rsid w:val="00550E18"/>
    <w:rsid w:val="005516F0"/>
    <w:rsid w:val="00556DEB"/>
    <w:rsid w:val="00557285"/>
    <w:rsid w:val="005612E5"/>
    <w:rsid w:val="00565341"/>
    <w:rsid w:val="00571DBA"/>
    <w:rsid w:val="0057410B"/>
    <w:rsid w:val="00576837"/>
    <w:rsid w:val="00580DCE"/>
    <w:rsid w:val="0058192F"/>
    <w:rsid w:val="00581CDC"/>
    <w:rsid w:val="005847CB"/>
    <w:rsid w:val="005879BC"/>
    <w:rsid w:val="00594C4C"/>
    <w:rsid w:val="00594EA1"/>
    <w:rsid w:val="005A2DB4"/>
    <w:rsid w:val="005A639D"/>
    <w:rsid w:val="005A641E"/>
    <w:rsid w:val="005B0C9C"/>
    <w:rsid w:val="005B1243"/>
    <w:rsid w:val="005B14F8"/>
    <w:rsid w:val="005B54D4"/>
    <w:rsid w:val="005B6D26"/>
    <w:rsid w:val="005C6097"/>
    <w:rsid w:val="005C6BCE"/>
    <w:rsid w:val="005C7394"/>
    <w:rsid w:val="005D314E"/>
    <w:rsid w:val="005E0DFF"/>
    <w:rsid w:val="005E1EF2"/>
    <w:rsid w:val="005E3FD0"/>
    <w:rsid w:val="005F1D0D"/>
    <w:rsid w:val="005F317B"/>
    <w:rsid w:val="005F3E96"/>
    <w:rsid w:val="005F54D5"/>
    <w:rsid w:val="005F61E4"/>
    <w:rsid w:val="005F7DB2"/>
    <w:rsid w:val="0060002B"/>
    <w:rsid w:val="0060015A"/>
    <w:rsid w:val="00600A51"/>
    <w:rsid w:val="00602D8C"/>
    <w:rsid w:val="00605803"/>
    <w:rsid w:val="00614264"/>
    <w:rsid w:val="00614864"/>
    <w:rsid w:val="006158DF"/>
    <w:rsid w:val="00617834"/>
    <w:rsid w:val="00620489"/>
    <w:rsid w:val="006241E0"/>
    <w:rsid w:val="00630AB9"/>
    <w:rsid w:val="0063394A"/>
    <w:rsid w:val="0063445F"/>
    <w:rsid w:val="00641A1C"/>
    <w:rsid w:val="006425DF"/>
    <w:rsid w:val="00645F29"/>
    <w:rsid w:val="00654A52"/>
    <w:rsid w:val="00655E8A"/>
    <w:rsid w:val="00661047"/>
    <w:rsid w:val="0066783C"/>
    <w:rsid w:val="006727D7"/>
    <w:rsid w:val="0067679D"/>
    <w:rsid w:val="006809EB"/>
    <w:rsid w:val="00684484"/>
    <w:rsid w:val="00684F3B"/>
    <w:rsid w:val="00685340"/>
    <w:rsid w:val="00690BFD"/>
    <w:rsid w:val="00691359"/>
    <w:rsid w:val="00691C10"/>
    <w:rsid w:val="00693552"/>
    <w:rsid w:val="00693D01"/>
    <w:rsid w:val="006A1266"/>
    <w:rsid w:val="006A1772"/>
    <w:rsid w:val="006A5679"/>
    <w:rsid w:val="006A7649"/>
    <w:rsid w:val="006B16D3"/>
    <w:rsid w:val="006B1B15"/>
    <w:rsid w:val="006B49CE"/>
    <w:rsid w:val="006B4E48"/>
    <w:rsid w:val="006B5B18"/>
    <w:rsid w:val="006C09A5"/>
    <w:rsid w:val="006C22E8"/>
    <w:rsid w:val="006C4DA7"/>
    <w:rsid w:val="006D1D90"/>
    <w:rsid w:val="006D2328"/>
    <w:rsid w:val="006D2E1E"/>
    <w:rsid w:val="006D4247"/>
    <w:rsid w:val="006E0CD9"/>
    <w:rsid w:val="006E1818"/>
    <w:rsid w:val="006E57CE"/>
    <w:rsid w:val="006E66F1"/>
    <w:rsid w:val="006E6B8D"/>
    <w:rsid w:val="006E6BED"/>
    <w:rsid w:val="006E7414"/>
    <w:rsid w:val="007017E6"/>
    <w:rsid w:val="00701B80"/>
    <w:rsid w:val="00701E1C"/>
    <w:rsid w:val="00702A20"/>
    <w:rsid w:val="007042C1"/>
    <w:rsid w:val="00706862"/>
    <w:rsid w:val="007073D6"/>
    <w:rsid w:val="007158C7"/>
    <w:rsid w:val="0072118B"/>
    <w:rsid w:val="00721B93"/>
    <w:rsid w:val="00722028"/>
    <w:rsid w:val="00722059"/>
    <w:rsid w:val="00726240"/>
    <w:rsid w:val="00744944"/>
    <w:rsid w:val="0074533E"/>
    <w:rsid w:val="00745E52"/>
    <w:rsid w:val="00746FAD"/>
    <w:rsid w:val="007505BA"/>
    <w:rsid w:val="00753160"/>
    <w:rsid w:val="007558DF"/>
    <w:rsid w:val="007601A9"/>
    <w:rsid w:val="00760CBA"/>
    <w:rsid w:val="00762CA8"/>
    <w:rsid w:val="0076413F"/>
    <w:rsid w:val="00765AF5"/>
    <w:rsid w:val="00766640"/>
    <w:rsid w:val="00766FDD"/>
    <w:rsid w:val="00767368"/>
    <w:rsid w:val="00774A1B"/>
    <w:rsid w:val="00782ECC"/>
    <w:rsid w:val="00784357"/>
    <w:rsid w:val="007912B5"/>
    <w:rsid w:val="007A16A5"/>
    <w:rsid w:val="007A6329"/>
    <w:rsid w:val="007B250D"/>
    <w:rsid w:val="007B66BA"/>
    <w:rsid w:val="007B7A9A"/>
    <w:rsid w:val="007C1E62"/>
    <w:rsid w:val="007D037E"/>
    <w:rsid w:val="007D0821"/>
    <w:rsid w:val="007D6FCF"/>
    <w:rsid w:val="007E1145"/>
    <w:rsid w:val="007E1214"/>
    <w:rsid w:val="007E1287"/>
    <w:rsid w:val="007E229B"/>
    <w:rsid w:val="007E5D1A"/>
    <w:rsid w:val="007E6827"/>
    <w:rsid w:val="007E7A05"/>
    <w:rsid w:val="007E7FEA"/>
    <w:rsid w:val="007F04CA"/>
    <w:rsid w:val="007F0F0A"/>
    <w:rsid w:val="007F2B00"/>
    <w:rsid w:val="007F2E1D"/>
    <w:rsid w:val="00803995"/>
    <w:rsid w:val="00806734"/>
    <w:rsid w:val="0081197A"/>
    <w:rsid w:val="008119B9"/>
    <w:rsid w:val="00815E25"/>
    <w:rsid w:val="008223DC"/>
    <w:rsid w:val="00822733"/>
    <w:rsid w:val="00827920"/>
    <w:rsid w:val="00831118"/>
    <w:rsid w:val="008353CF"/>
    <w:rsid w:val="00835C4F"/>
    <w:rsid w:val="0083664A"/>
    <w:rsid w:val="00836CEB"/>
    <w:rsid w:val="00837913"/>
    <w:rsid w:val="0084051F"/>
    <w:rsid w:val="0084094F"/>
    <w:rsid w:val="00841BBA"/>
    <w:rsid w:val="008424A6"/>
    <w:rsid w:val="00843ED6"/>
    <w:rsid w:val="00846052"/>
    <w:rsid w:val="008524F0"/>
    <w:rsid w:val="00852C2C"/>
    <w:rsid w:val="00866B63"/>
    <w:rsid w:val="008678D8"/>
    <w:rsid w:val="0086790A"/>
    <w:rsid w:val="00870FA0"/>
    <w:rsid w:val="0087241F"/>
    <w:rsid w:val="00873DCE"/>
    <w:rsid w:val="008764AF"/>
    <w:rsid w:val="00880036"/>
    <w:rsid w:val="00883587"/>
    <w:rsid w:val="00892B7E"/>
    <w:rsid w:val="00894FC1"/>
    <w:rsid w:val="008A01B3"/>
    <w:rsid w:val="008A7792"/>
    <w:rsid w:val="008B3146"/>
    <w:rsid w:val="008B68D0"/>
    <w:rsid w:val="008B7996"/>
    <w:rsid w:val="008C6F3D"/>
    <w:rsid w:val="008D0374"/>
    <w:rsid w:val="008D447F"/>
    <w:rsid w:val="008D65B5"/>
    <w:rsid w:val="008E2E1C"/>
    <w:rsid w:val="008E5980"/>
    <w:rsid w:val="008E6DE5"/>
    <w:rsid w:val="008F1417"/>
    <w:rsid w:val="008F17A3"/>
    <w:rsid w:val="008F461E"/>
    <w:rsid w:val="008F5D3A"/>
    <w:rsid w:val="008F7F1C"/>
    <w:rsid w:val="00900D19"/>
    <w:rsid w:val="00901C38"/>
    <w:rsid w:val="00902000"/>
    <w:rsid w:val="00903CB3"/>
    <w:rsid w:val="009044DC"/>
    <w:rsid w:val="00907303"/>
    <w:rsid w:val="00910A7B"/>
    <w:rsid w:val="0091251D"/>
    <w:rsid w:val="009143C4"/>
    <w:rsid w:val="009149B3"/>
    <w:rsid w:val="009171F9"/>
    <w:rsid w:val="00920984"/>
    <w:rsid w:val="00930D01"/>
    <w:rsid w:val="009310A5"/>
    <w:rsid w:val="00931B75"/>
    <w:rsid w:val="00932F47"/>
    <w:rsid w:val="0093737B"/>
    <w:rsid w:val="0094017F"/>
    <w:rsid w:val="00943950"/>
    <w:rsid w:val="00944103"/>
    <w:rsid w:val="00944570"/>
    <w:rsid w:val="00946169"/>
    <w:rsid w:val="009462FB"/>
    <w:rsid w:val="0094707B"/>
    <w:rsid w:val="00952C21"/>
    <w:rsid w:val="009543E4"/>
    <w:rsid w:val="00955AB5"/>
    <w:rsid w:val="0096080E"/>
    <w:rsid w:val="009629D5"/>
    <w:rsid w:val="00962CBA"/>
    <w:rsid w:val="009644BE"/>
    <w:rsid w:val="00966C62"/>
    <w:rsid w:val="00971A02"/>
    <w:rsid w:val="009721CF"/>
    <w:rsid w:val="009736A5"/>
    <w:rsid w:val="0097492D"/>
    <w:rsid w:val="00976B51"/>
    <w:rsid w:val="009777BA"/>
    <w:rsid w:val="00980C55"/>
    <w:rsid w:val="009814A2"/>
    <w:rsid w:val="00982672"/>
    <w:rsid w:val="009827AD"/>
    <w:rsid w:val="00983989"/>
    <w:rsid w:val="00983A46"/>
    <w:rsid w:val="00990C93"/>
    <w:rsid w:val="00991FE5"/>
    <w:rsid w:val="00992097"/>
    <w:rsid w:val="009941BC"/>
    <w:rsid w:val="009946C5"/>
    <w:rsid w:val="0099681E"/>
    <w:rsid w:val="009969D4"/>
    <w:rsid w:val="009A6349"/>
    <w:rsid w:val="009A69D3"/>
    <w:rsid w:val="009C15E5"/>
    <w:rsid w:val="009C2D17"/>
    <w:rsid w:val="009C4B5A"/>
    <w:rsid w:val="009C4BEF"/>
    <w:rsid w:val="009C5BF5"/>
    <w:rsid w:val="009D1C28"/>
    <w:rsid w:val="009D21DA"/>
    <w:rsid w:val="009D3EB8"/>
    <w:rsid w:val="009D42A0"/>
    <w:rsid w:val="009D5E53"/>
    <w:rsid w:val="009E0A80"/>
    <w:rsid w:val="009F0EE4"/>
    <w:rsid w:val="009F2507"/>
    <w:rsid w:val="009F7471"/>
    <w:rsid w:val="00A06785"/>
    <w:rsid w:val="00A14897"/>
    <w:rsid w:val="00A155C4"/>
    <w:rsid w:val="00A15BE2"/>
    <w:rsid w:val="00A17A29"/>
    <w:rsid w:val="00A17A36"/>
    <w:rsid w:val="00A24B37"/>
    <w:rsid w:val="00A31C8A"/>
    <w:rsid w:val="00A321F5"/>
    <w:rsid w:val="00A32B07"/>
    <w:rsid w:val="00A42412"/>
    <w:rsid w:val="00A457AE"/>
    <w:rsid w:val="00A46DDF"/>
    <w:rsid w:val="00A54613"/>
    <w:rsid w:val="00A61212"/>
    <w:rsid w:val="00A617A9"/>
    <w:rsid w:val="00A61DB1"/>
    <w:rsid w:val="00A6279D"/>
    <w:rsid w:val="00A62F69"/>
    <w:rsid w:val="00A6458A"/>
    <w:rsid w:val="00A67917"/>
    <w:rsid w:val="00A7068A"/>
    <w:rsid w:val="00A73BA8"/>
    <w:rsid w:val="00A741BA"/>
    <w:rsid w:val="00A7760F"/>
    <w:rsid w:val="00A77677"/>
    <w:rsid w:val="00A817E4"/>
    <w:rsid w:val="00A84840"/>
    <w:rsid w:val="00A90142"/>
    <w:rsid w:val="00A911A1"/>
    <w:rsid w:val="00A91EA9"/>
    <w:rsid w:val="00AA64B7"/>
    <w:rsid w:val="00AB250D"/>
    <w:rsid w:val="00AB27EF"/>
    <w:rsid w:val="00AB32B7"/>
    <w:rsid w:val="00AB63F7"/>
    <w:rsid w:val="00AB6C71"/>
    <w:rsid w:val="00AD087A"/>
    <w:rsid w:val="00AD158C"/>
    <w:rsid w:val="00AD1B08"/>
    <w:rsid w:val="00AD470E"/>
    <w:rsid w:val="00AD55B1"/>
    <w:rsid w:val="00AD7ADF"/>
    <w:rsid w:val="00AD7E59"/>
    <w:rsid w:val="00AE531E"/>
    <w:rsid w:val="00AE5651"/>
    <w:rsid w:val="00AF1705"/>
    <w:rsid w:val="00B00646"/>
    <w:rsid w:val="00B025C4"/>
    <w:rsid w:val="00B034F1"/>
    <w:rsid w:val="00B063AE"/>
    <w:rsid w:val="00B07898"/>
    <w:rsid w:val="00B161A1"/>
    <w:rsid w:val="00B17276"/>
    <w:rsid w:val="00B20508"/>
    <w:rsid w:val="00B32BA9"/>
    <w:rsid w:val="00B34111"/>
    <w:rsid w:val="00B344AB"/>
    <w:rsid w:val="00B369B4"/>
    <w:rsid w:val="00B419CE"/>
    <w:rsid w:val="00B42AD6"/>
    <w:rsid w:val="00B42F58"/>
    <w:rsid w:val="00B52D8B"/>
    <w:rsid w:val="00B55890"/>
    <w:rsid w:val="00B56B3F"/>
    <w:rsid w:val="00B56D52"/>
    <w:rsid w:val="00B6099C"/>
    <w:rsid w:val="00B61074"/>
    <w:rsid w:val="00B629EF"/>
    <w:rsid w:val="00B65F6F"/>
    <w:rsid w:val="00B6762A"/>
    <w:rsid w:val="00B726CF"/>
    <w:rsid w:val="00B74756"/>
    <w:rsid w:val="00B802DE"/>
    <w:rsid w:val="00B8050A"/>
    <w:rsid w:val="00B81C4B"/>
    <w:rsid w:val="00B81DE7"/>
    <w:rsid w:val="00B81F98"/>
    <w:rsid w:val="00B8335B"/>
    <w:rsid w:val="00B838DB"/>
    <w:rsid w:val="00B84E22"/>
    <w:rsid w:val="00B86924"/>
    <w:rsid w:val="00B90DC0"/>
    <w:rsid w:val="00B914AD"/>
    <w:rsid w:val="00B92678"/>
    <w:rsid w:val="00BA00B7"/>
    <w:rsid w:val="00BA3E6F"/>
    <w:rsid w:val="00BA54C7"/>
    <w:rsid w:val="00BA56D9"/>
    <w:rsid w:val="00BA785F"/>
    <w:rsid w:val="00BA7AD1"/>
    <w:rsid w:val="00BB2181"/>
    <w:rsid w:val="00BB3CA8"/>
    <w:rsid w:val="00BB470D"/>
    <w:rsid w:val="00BB621C"/>
    <w:rsid w:val="00BB70BD"/>
    <w:rsid w:val="00BC421D"/>
    <w:rsid w:val="00BD03F0"/>
    <w:rsid w:val="00BD2435"/>
    <w:rsid w:val="00BD2A34"/>
    <w:rsid w:val="00BD74C1"/>
    <w:rsid w:val="00BE011E"/>
    <w:rsid w:val="00BE1F87"/>
    <w:rsid w:val="00BE1FF5"/>
    <w:rsid w:val="00BE3316"/>
    <w:rsid w:val="00BE3430"/>
    <w:rsid w:val="00BE5510"/>
    <w:rsid w:val="00BE5C8F"/>
    <w:rsid w:val="00BF3667"/>
    <w:rsid w:val="00C007AF"/>
    <w:rsid w:val="00C0239F"/>
    <w:rsid w:val="00C046C8"/>
    <w:rsid w:val="00C06D61"/>
    <w:rsid w:val="00C07B77"/>
    <w:rsid w:val="00C166AF"/>
    <w:rsid w:val="00C20EF7"/>
    <w:rsid w:val="00C24294"/>
    <w:rsid w:val="00C277A6"/>
    <w:rsid w:val="00C35FDF"/>
    <w:rsid w:val="00C36574"/>
    <w:rsid w:val="00C41C38"/>
    <w:rsid w:val="00C43334"/>
    <w:rsid w:val="00C45F84"/>
    <w:rsid w:val="00C466BD"/>
    <w:rsid w:val="00C506CB"/>
    <w:rsid w:val="00C5280D"/>
    <w:rsid w:val="00C538CB"/>
    <w:rsid w:val="00C57D6F"/>
    <w:rsid w:val="00C57E6E"/>
    <w:rsid w:val="00C6218B"/>
    <w:rsid w:val="00C65C3A"/>
    <w:rsid w:val="00C76610"/>
    <w:rsid w:val="00C7748D"/>
    <w:rsid w:val="00C77626"/>
    <w:rsid w:val="00C80BFB"/>
    <w:rsid w:val="00C82C82"/>
    <w:rsid w:val="00C86F21"/>
    <w:rsid w:val="00C87A25"/>
    <w:rsid w:val="00C90751"/>
    <w:rsid w:val="00C92ACD"/>
    <w:rsid w:val="00C93B78"/>
    <w:rsid w:val="00C9560D"/>
    <w:rsid w:val="00C95E16"/>
    <w:rsid w:val="00CA6A3C"/>
    <w:rsid w:val="00CC591F"/>
    <w:rsid w:val="00CC65B3"/>
    <w:rsid w:val="00CD053C"/>
    <w:rsid w:val="00CD2C6A"/>
    <w:rsid w:val="00CD6636"/>
    <w:rsid w:val="00CE1A82"/>
    <w:rsid w:val="00CE57E6"/>
    <w:rsid w:val="00CE5F7A"/>
    <w:rsid w:val="00CE6AC3"/>
    <w:rsid w:val="00CF2FF8"/>
    <w:rsid w:val="00CF3474"/>
    <w:rsid w:val="00D00893"/>
    <w:rsid w:val="00D00A7D"/>
    <w:rsid w:val="00D05EB8"/>
    <w:rsid w:val="00D0617F"/>
    <w:rsid w:val="00D11257"/>
    <w:rsid w:val="00D1191B"/>
    <w:rsid w:val="00D210BA"/>
    <w:rsid w:val="00D2319D"/>
    <w:rsid w:val="00D236A6"/>
    <w:rsid w:val="00D25C8D"/>
    <w:rsid w:val="00D3075F"/>
    <w:rsid w:val="00D314AA"/>
    <w:rsid w:val="00D31607"/>
    <w:rsid w:val="00D453F3"/>
    <w:rsid w:val="00D53ECF"/>
    <w:rsid w:val="00D57252"/>
    <w:rsid w:val="00D575CB"/>
    <w:rsid w:val="00D633EA"/>
    <w:rsid w:val="00D67313"/>
    <w:rsid w:val="00D67AC4"/>
    <w:rsid w:val="00D701BC"/>
    <w:rsid w:val="00D75168"/>
    <w:rsid w:val="00D7633E"/>
    <w:rsid w:val="00D8317D"/>
    <w:rsid w:val="00D863EC"/>
    <w:rsid w:val="00D86937"/>
    <w:rsid w:val="00D9186F"/>
    <w:rsid w:val="00D9277C"/>
    <w:rsid w:val="00D9296E"/>
    <w:rsid w:val="00D92F7F"/>
    <w:rsid w:val="00D965ED"/>
    <w:rsid w:val="00D97842"/>
    <w:rsid w:val="00D97A59"/>
    <w:rsid w:val="00DA49C2"/>
    <w:rsid w:val="00DA5866"/>
    <w:rsid w:val="00DB1D35"/>
    <w:rsid w:val="00DC33DE"/>
    <w:rsid w:val="00DC471F"/>
    <w:rsid w:val="00DD01A8"/>
    <w:rsid w:val="00DD0E01"/>
    <w:rsid w:val="00DD3179"/>
    <w:rsid w:val="00DD484C"/>
    <w:rsid w:val="00DD6685"/>
    <w:rsid w:val="00DE28E8"/>
    <w:rsid w:val="00DE6282"/>
    <w:rsid w:val="00DE62C6"/>
    <w:rsid w:val="00DF4CC4"/>
    <w:rsid w:val="00DF7081"/>
    <w:rsid w:val="00E0327E"/>
    <w:rsid w:val="00E040BF"/>
    <w:rsid w:val="00E04A89"/>
    <w:rsid w:val="00E04D0B"/>
    <w:rsid w:val="00E061E3"/>
    <w:rsid w:val="00E07034"/>
    <w:rsid w:val="00E07567"/>
    <w:rsid w:val="00E10300"/>
    <w:rsid w:val="00E11F46"/>
    <w:rsid w:val="00E1635E"/>
    <w:rsid w:val="00E2322A"/>
    <w:rsid w:val="00E24BF4"/>
    <w:rsid w:val="00E2533C"/>
    <w:rsid w:val="00E2616D"/>
    <w:rsid w:val="00E3002B"/>
    <w:rsid w:val="00E36502"/>
    <w:rsid w:val="00E36857"/>
    <w:rsid w:val="00E417F0"/>
    <w:rsid w:val="00E44E73"/>
    <w:rsid w:val="00E47E6E"/>
    <w:rsid w:val="00E53633"/>
    <w:rsid w:val="00E539ED"/>
    <w:rsid w:val="00E65AA5"/>
    <w:rsid w:val="00E70F75"/>
    <w:rsid w:val="00E736A5"/>
    <w:rsid w:val="00E74552"/>
    <w:rsid w:val="00E7515C"/>
    <w:rsid w:val="00E7774A"/>
    <w:rsid w:val="00E837DF"/>
    <w:rsid w:val="00E856D1"/>
    <w:rsid w:val="00E86237"/>
    <w:rsid w:val="00E92630"/>
    <w:rsid w:val="00E92A37"/>
    <w:rsid w:val="00E96281"/>
    <w:rsid w:val="00EA6803"/>
    <w:rsid w:val="00EA6FA9"/>
    <w:rsid w:val="00EA7387"/>
    <w:rsid w:val="00EB3555"/>
    <w:rsid w:val="00EB513A"/>
    <w:rsid w:val="00EB5312"/>
    <w:rsid w:val="00EB5C48"/>
    <w:rsid w:val="00EB6E7F"/>
    <w:rsid w:val="00EC46E2"/>
    <w:rsid w:val="00EC5418"/>
    <w:rsid w:val="00ED04B9"/>
    <w:rsid w:val="00ED3188"/>
    <w:rsid w:val="00ED4443"/>
    <w:rsid w:val="00ED626C"/>
    <w:rsid w:val="00ED6AD1"/>
    <w:rsid w:val="00EE2730"/>
    <w:rsid w:val="00EE54D5"/>
    <w:rsid w:val="00EE7198"/>
    <w:rsid w:val="00EF066B"/>
    <w:rsid w:val="00EF2D6B"/>
    <w:rsid w:val="00EF3010"/>
    <w:rsid w:val="00EF3D2D"/>
    <w:rsid w:val="00EF5AAA"/>
    <w:rsid w:val="00EF5F4E"/>
    <w:rsid w:val="00F01E37"/>
    <w:rsid w:val="00F03BDD"/>
    <w:rsid w:val="00F04EE7"/>
    <w:rsid w:val="00F06475"/>
    <w:rsid w:val="00F0736C"/>
    <w:rsid w:val="00F073AF"/>
    <w:rsid w:val="00F11795"/>
    <w:rsid w:val="00F13599"/>
    <w:rsid w:val="00F15A65"/>
    <w:rsid w:val="00F171E5"/>
    <w:rsid w:val="00F3235B"/>
    <w:rsid w:val="00F34FD7"/>
    <w:rsid w:val="00F37EF7"/>
    <w:rsid w:val="00F40494"/>
    <w:rsid w:val="00F415BE"/>
    <w:rsid w:val="00F42B1A"/>
    <w:rsid w:val="00F47669"/>
    <w:rsid w:val="00F50FC4"/>
    <w:rsid w:val="00F51CBD"/>
    <w:rsid w:val="00F53554"/>
    <w:rsid w:val="00F549D5"/>
    <w:rsid w:val="00F54A79"/>
    <w:rsid w:val="00F56794"/>
    <w:rsid w:val="00F570F2"/>
    <w:rsid w:val="00F71EAE"/>
    <w:rsid w:val="00F74D1A"/>
    <w:rsid w:val="00F75C88"/>
    <w:rsid w:val="00F7748A"/>
    <w:rsid w:val="00F80D8E"/>
    <w:rsid w:val="00F8146F"/>
    <w:rsid w:val="00F86977"/>
    <w:rsid w:val="00F877A0"/>
    <w:rsid w:val="00F87C75"/>
    <w:rsid w:val="00F905F2"/>
    <w:rsid w:val="00F9258D"/>
    <w:rsid w:val="00F95408"/>
    <w:rsid w:val="00FA07A2"/>
    <w:rsid w:val="00FA3374"/>
    <w:rsid w:val="00FA34E2"/>
    <w:rsid w:val="00FA3C64"/>
    <w:rsid w:val="00FA4490"/>
    <w:rsid w:val="00FB55E8"/>
    <w:rsid w:val="00FB5BED"/>
    <w:rsid w:val="00FB619A"/>
    <w:rsid w:val="00FB782C"/>
    <w:rsid w:val="00FC42D3"/>
    <w:rsid w:val="00FC4378"/>
    <w:rsid w:val="00FC6B61"/>
    <w:rsid w:val="00FC7373"/>
    <w:rsid w:val="00FD35AF"/>
    <w:rsid w:val="00FD4316"/>
    <w:rsid w:val="00FD7454"/>
    <w:rsid w:val="00FE114F"/>
    <w:rsid w:val="00FE4642"/>
    <w:rsid w:val="00FE5B20"/>
    <w:rsid w:val="00FF10CD"/>
    <w:rsid w:val="00FF51D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39"/>
    <w:lsdException w:name="toc 2" w:locked="1" w:semiHidden="0" w:uiPriority="39"/>
    <w:lsdException w:name="toc 3" w:locked="1" w:semiHidden="0" w:uiPriority="39"/>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2109DD"/>
    <w:pPr>
      <w:spacing w:after="200" w:line="276" w:lineRule="auto"/>
    </w:pPr>
    <w:rPr>
      <w:sz w:val="22"/>
      <w:szCs w:val="22"/>
      <w:lang w:eastAsia="en-US"/>
    </w:rPr>
  </w:style>
  <w:style w:type="paragraph" w:styleId="Heading1">
    <w:name w:val="heading 1"/>
    <w:basedOn w:val="Normal"/>
    <w:next w:val="Normal"/>
    <w:link w:val="Heading1Char"/>
    <w:uiPriority w:val="99"/>
    <w:qFormat/>
    <w:rsid w:val="002109DD"/>
    <w:pPr>
      <w:keepNext/>
      <w:keepLines/>
      <w:spacing w:before="480" w:after="0"/>
      <w:outlineLvl w:val="0"/>
    </w:pPr>
    <w:rPr>
      <w:rFonts w:eastAsia="Times New Roman"/>
      <w:b/>
      <w:bCs/>
      <w:color w:val="365F91"/>
      <w:sz w:val="28"/>
      <w:szCs w:val="28"/>
    </w:rPr>
  </w:style>
  <w:style w:type="paragraph" w:styleId="Heading2">
    <w:name w:val="heading 2"/>
    <w:basedOn w:val="Normal"/>
    <w:next w:val="Normal"/>
    <w:link w:val="Heading2Char"/>
    <w:uiPriority w:val="99"/>
    <w:qFormat/>
    <w:rsid w:val="002109DD"/>
    <w:pPr>
      <w:keepNext/>
      <w:keepLines/>
      <w:spacing w:before="200" w:after="0"/>
      <w:outlineLvl w:val="1"/>
    </w:pPr>
    <w:rPr>
      <w:rFonts w:eastAsia="Times New Roman"/>
      <w:b/>
      <w:bCs/>
      <w:color w:val="4F81BD"/>
      <w:sz w:val="26"/>
      <w:szCs w:val="26"/>
    </w:rPr>
  </w:style>
  <w:style w:type="paragraph" w:styleId="Heading3">
    <w:name w:val="heading 3"/>
    <w:basedOn w:val="Normal"/>
    <w:next w:val="Normal"/>
    <w:link w:val="Heading3Char"/>
    <w:uiPriority w:val="99"/>
    <w:qFormat/>
    <w:rsid w:val="002109DD"/>
    <w:pPr>
      <w:keepNext/>
      <w:keepLines/>
      <w:spacing w:before="200" w:after="0"/>
      <w:outlineLvl w:val="2"/>
    </w:pPr>
    <w:rPr>
      <w:rFonts w:eastAsia="Times New Roman"/>
      <w:b/>
      <w:bCs/>
      <w:color w:val="4F81BD"/>
    </w:rPr>
  </w:style>
  <w:style w:type="paragraph" w:styleId="Heading4">
    <w:name w:val="heading 4"/>
    <w:basedOn w:val="Normal"/>
    <w:next w:val="Normal"/>
    <w:link w:val="Heading4Char"/>
    <w:uiPriority w:val="99"/>
    <w:qFormat/>
    <w:rsid w:val="002109DD"/>
    <w:pPr>
      <w:keepNext/>
      <w:keepLines/>
      <w:spacing w:before="200" w:after="0"/>
      <w:outlineLvl w:val="3"/>
    </w:pPr>
    <w:rPr>
      <w:rFonts w:eastAsia="Times New Roman"/>
      <w:b/>
      <w:bCs/>
      <w:i/>
      <w:iCs/>
      <w:color w:val="4F81BD"/>
    </w:rPr>
  </w:style>
  <w:style w:type="paragraph" w:styleId="Heading5">
    <w:name w:val="heading 5"/>
    <w:basedOn w:val="Normal"/>
    <w:next w:val="Normal"/>
    <w:link w:val="Heading5Char"/>
    <w:uiPriority w:val="99"/>
    <w:qFormat/>
    <w:rsid w:val="002109DD"/>
    <w:pPr>
      <w:keepNext/>
      <w:keepLines/>
      <w:spacing w:before="200" w:after="0"/>
      <w:outlineLvl w:val="4"/>
    </w:pPr>
    <w:rPr>
      <w:rFonts w:eastAsia="Times New Roman"/>
      <w:color w:val="243F60"/>
    </w:rPr>
  </w:style>
  <w:style w:type="paragraph" w:styleId="Heading6">
    <w:name w:val="heading 6"/>
    <w:basedOn w:val="Normal"/>
    <w:next w:val="Normal"/>
    <w:link w:val="Heading6Char"/>
    <w:uiPriority w:val="99"/>
    <w:qFormat/>
    <w:rsid w:val="002109DD"/>
    <w:pPr>
      <w:keepNext/>
      <w:keepLines/>
      <w:spacing w:before="200" w:after="0"/>
      <w:outlineLvl w:val="5"/>
    </w:pPr>
    <w:rPr>
      <w:rFonts w:eastAsia="Times New Roman"/>
      <w:i/>
      <w:iCs/>
      <w:color w:val="243F60"/>
    </w:rPr>
  </w:style>
  <w:style w:type="paragraph" w:styleId="Heading7">
    <w:name w:val="heading 7"/>
    <w:basedOn w:val="Normal"/>
    <w:next w:val="Normal"/>
    <w:link w:val="Heading7Char"/>
    <w:uiPriority w:val="99"/>
    <w:qFormat/>
    <w:rsid w:val="002109DD"/>
    <w:pPr>
      <w:keepNext/>
      <w:outlineLvl w:val="6"/>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2109DD"/>
    <w:rPr>
      <w:rFonts w:ascii="Arial" w:hAnsi="Arial" w:cs="Times New Roman"/>
      <w:b/>
      <w:color w:val="365F91"/>
      <w:sz w:val="28"/>
    </w:rPr>
  </w:style>
  <w:style w:type="character" w:customStyle="1" w:styleId="Heading2Char">
    <w:name w:val="Heading 2 Char"/>
    <w:link w:val="Heading2"/>
    <w:uiPriority w:val="99"/>
    <w:locked/>
    <w:rsid w:val="002109DD"/>
    <w:rPr>
      <w:rFonts w:ascii="Arial" w:hAnsi="Arial" w:cs="Times New Roman"/>
      <w:b/>
      <w:color w:val="4F81BD"/>
      <w:sz w:val="26"/>
    </w:rPr>
  </w:style>
  <w:style w:type="character" w:customStyle="1" w:styleId="Heading3Char">
    <w:name w:val="Heading 3 Char"/>
    <w:link w:val="Heading3"/>
    <w:uiPriority w:val="99"/>
    <w:locked/>
    <w:rsid w:val="002109DD"/>
    <w:rPr>
      <w:rFonts w:ascii="Arial" w:hAnsi="Arial" w:cs="Times New Roman"/>
      <w:b/>
      <w:color w:val="4F81BD"/>
    </w:rPr>
  </w:style>
  <w:style w:type="character" w:customStyle="1" w:styleId="Heading4Char">
    <w:name w:val="Heading 4 Char"/>
    <w:link w:val="Heading4"/>
    <w:uiPriority w:val="99"/>
    <w:locked/>
    <w:rsid w:val="002109DD"/>
    <w:rPr>
      <w:rFonts w:ascii="Arial" w:hAnsi="Arial" w:cs="Times New Roman"/>
      <w:b/>
      <w:i/>
      <w:color w:val="4F81BD"/>
    </w:rPr>
  </w:style>
  <w:style w:type="character" w:customStyle="1" w:styleId="Heading5Char">
    <w:name w:val="Heading 5 Char"/>
    <w:link w:val="Heading5"/>
    <w:uiPriority w:val="99"/>
    <w:locked/>
    <w:rsid w:val="002109DD"/>
    <w:rPr>
      <w:rFonts w:ascii="Arial" w:hAnsi="Arial" w:cs="Times New Roman"/>
      <w:color w:val="243F60"/>
    </w:rPr>
  </w:style>
  <w:style w:type="character" w:customStyle="1" w:styleId="Heading6Char">
    <w:name w:val="Heading 6 Char"/>
    <w:link w:val="Heading6"/>
    <w:uiPriority w:val="99"/>
    <w:locked/>
    <w:rsid w:val="002109DD"/>
    <w:rPr>
      <w:rFonts w:ascii="Arial" w:hAnsi="Arial" w:cs="Times New Roman"/>
      <w:i/>
      <w:color w:val="243F60"/>
    </w:rPr>
  </w:style>
  <w:style w:type="character" w:customStyle="1" w:styleId="Heading7Char">
    <w:name w:val="Heading 7 Char"/>
    <w:link w:val="Heading7"/>
    <w:uiPriority w:val="99"/>
    <w:semiHidden/>
    <w:locked/>
    <w:rsid w:val="00EB3555"/>
    <w:rPr>
      <w:rFonts w:ascii="Calibri" w:hAnsi="Calibri" w:cs="Times New Roman"/>
      <w:sz w:val="24"/>
      <w:szCs w:val="24"/>
      <w:lang w:eastAsia="en-US"/>
    </w:rPr>
  </w:style>
  <w:style w:type="paragraph" w:styleId="Header">
    <w:name w:val="header"/>
    <w:basedOn w:val="Normal"/>
    <w:link w:val="HeaderChar"/>
    <w:uiPriority w:val="99"/>
    <w:rsid w:val="002109DD"/>
    <w:pPr>
      <w:tabs>
        <w:tab w:val="center" w:pos="4513"/>
        <w:tab w:val="right" w:pos="9026"/>
      </w:tabs>
      <w:spacing w:after="0" w:line="240" w:lineRule="auto"/>
    </w:pPr>
  </w:style>
  <w:style w:type="character" w:customStyle="1" w:styleId="HeaderChar">
    <w:name w:val="Header Char"/>
    <w:link w:val="Header"/>
    <w:uiPriority w:val="99"/>
    <w:locked/>
    <w:rsid w:val="002109DD"/>
    <w:rPr>
      <w:rFonts w:cs="Times New Roman"/>
    </w:rPr>
  </w:style>
  <w:style w:type="paragraph" w:styleId="Footer">
    <w:name w:val="footer"/>
    <w:basedOn w:val="Normal"/>
    <w:link w:val="FooterChar"/>
    <w:uiPriority w:val="99"/>
    <w:rsid w:val="002109DD"/>
    <w:pPr>
      <w:tabs>
        <w:tab w:val="center" w:pos="4513"/>
        <w:tab w:val="right" w:pos="9026"/>
      </w:tabs>
      <w:spacing w:after="0" w:line="240" w:lineRule="auto"/>
    </w:pPr>
  </w:style>
  <w:style w:type="character" w:customStyle="1" w:styleId="FooterChar">
    <w:name w:val="Footer Char"/>
    <w:link w:val="Footer"/>
    <w:uiPriority w:val="99"/>
    <w:locked/>
    <w:rsid w:val="002109DD"/>
    <w:rPr>
      <w:rFonts w:cs="Times New Roman"/>
    </w:rPr>
  </w:style>
  <w:style w:type="table" w:styleId="TableGrid">
    <w:name w:val="Table Grid"/>
    <w:basedOn w:val="TableNormal"/>
    <w:uiPriority w:val="59"/>
    <w:rsid w:val="00FC437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rsid w:val="002109DD"/>
    <w:rPr>
      <w:rFonts w:cs="Times New Roman"/>
      <w:color w:val="0000FF"/>
      <w:u w:val="single"/>
    </w:rPr>
  </w:style>
  <w:style w:type="paragraph" w:styleId="BalloonText">
    <w:name w:val="Balloon Text"/>
    <w:basedOn w:val="Normal"/>
    <w:link w:val="BalloonTextChar"/>
    <w:uiPriority w:val="99"/>
    <w:semiHidden/>
    <w:rsid w:val="002109DD"/>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2109DD"/>
    <w:rPr>
      <w:rFonts w:ascii="Tahoma" w:hAnsi="Tahoma" w:cs="Times New Roman"/>
      <w:sz w:val="16"/>
    </w:rPr>
  </w:style>
  <w:style w:type="paragraph" w:styleId="TOC1">
    <w:name w:val="toc 1"/>
    <w:basedOn w:val="Normal"/>
    <w:next w:val="Normal"/>
    <w:autoRedefine/>
    <w:uiPriority w:val="39"/>
    <w:locked/>
    <w:rsid w:val="009C15E5"/>
    <w:pPr>
      <w:tabs>
        <w:tab w:val="right" w:leader="dot" w:pos="9016"/>
      </w:tabs>
      <w:spacing w:before="120" w:after="180" w:line="240" w:lineRule="auto"/>
    </w:pPr>
    <w:rPr>
      <w:b/>
      <w:bCs/>
      <w:iCs/>
      <w:caps/>
      <w:noProof/>
      <w:color w:val="000000"/>
      <w:sz w:val="24"/>
      <w:szCs w:val="24"/>
    </w:rPr>
  </w:style>
  <w:style w:type="paragraph" w:styleId="TOC2">
    <w:name w:val="toc 2"/>
    <w:basedOn w:val="Normal"/>
    <w:next w:val="Normal"/>
    <w:autoRedefine/>
    <w:uiPriority w:val="39"/>
    <w:rsid w:val="002109DD"/>
    <w:pPr>
      <w:spacing w:before="240" w:after="0"/>
    </w:pPr>
    <w:rPr>
      <w:b/>
      <w:bCs/>
      <w:sz w:val="20"/>
      <w:szCs w:val="20"/>
    </w:rPr>
  </w:style>
  <w:style w:type="paragraph" w:styleId="TOC3">
    <w:name w:val="toc 3"/>
    <w:basedOn w:val="Normal"/>
    <w:next w:val="Normal"/>
    <w:autoRedefine/>
    <w:uiPriority w:val="39"/>
    <w:rsid w:val="002109DD"/>
    <w:pPr>
      <w:spacing w:after="0"/>
      <w:ind w:left="220"/>
    </w:pPr>
    <w:rPr>
      <w:sz w:val="20"/>
      <w:szCs w:val="20"/>
    </w:rPr>
  </w:style>
  <w:style w:type="paragraph" w:styleId="TOC4">
    <w:name w:val="toc 4"/>
    <w:basedOn w:val="Normal"/>
    <w:next w:val="Normal"/>
    <w:autoRedefine/>
    <w:uiPriority w:val="99"/>
    <w:semiHidden/>
    <w:rsid w:val="002109DD"/>
    <w:pPr>
      <w:spacing w:after="0"/>
      <w:ind w:left="440"/>
    </w:pPr>
    <w:rPr>
      <w:sz w:val="20"/>
      <w:szCs w:val="20"/>
    </w:rPr>
  </w:style>
  <w:style w:type="paragraph" w:styleId="TOC5">
    <w:name w:val="toc 5"/>
    <w:basedOn w:val="Normal"/>
    <w:next w:val="Normal"/>
    <w:autoRedefine/>
    <w:uiPriority w:val="99"/>
    <w:semiHidden/>
    <w:rsid w:val="002109DD"/>
    <w:pPr>
      <w:spacing w:after="0"/>
      <w:ind w:left="660"/>
    </w:pPr>
    <w:rPr>
      <w:sz w:val="20"/>
      <w:szCs w:val="20"/>
    </w:rPr>
  </w:style>
  <w:style w:type="paragraph" w:styleId="TOC6">
    <w:name w:val="toc 6"/>
    <w:basedOn w:val="Normal"/>
    <w:next w:val="Normal"/>
    <w:autoRedefine/>
    <w:uiPriority w:val="99"/>
    <w:semiHidden/>
    <w:rsid w:val="002109DD"/>
    <w:pPr>
      <w:spacing w:after="0"/>
      <w:ind w:left="880"/>
    </w:pPr>
    <w:rPr>
      <w:sz w:val="20"/>
      <w:szCs w:val="20"/>
    </w:rPr>
  </w:style>
  <w:style w:type="paragraph" w:styleId="TOC7">
    <w:name w:val="toc 7"/>
    <w:basedOn w:val="Normal"/>
    <w:next w:val="Normal"/>
    <w:autoRedefine/>
    <w:uiPriority w:val="99"/>
    <w:rsid w:val="002109DD"/>
    <w:pPr>
      <w:spacing w:after="0"/>
      <w:ind w:left="1100"/>
    </w:pPr>
    <w:rPr>
      <w:sz w:val="20"/>
      <w:szCs w:val="20"/>
    </w:rPr>
  </w:style>
  <w:style w:type="paragraph" w:styleId="TOC8">
    <w:name w:val="toc 8"/>
    <w:basedOn w:val="Normal"/>
    <w:next w:val="Normal"/>
    <w:autoRedefine/>
    <w:uiPriority w:val="99"/>
    <w:semiHidden/>
    <w:rsid w:val="002109DD"/>
    <w:pPr>
      <w:spacing w:after="0"/>
      <w:ind w:left="1320"/>
    </w:pPr>
    <w:rPr>
      <w:sz w:val="20"/>
      <w:szCs w:val="20"/>
    </w:rPr>
  </w:style>
  <w:style w:type="paragraph" w:styleId="TOC9">
    <w:name w:val="toc 9"/>
    <w:basedOn w:val="Normal"/>
    <w:next w:val="Normal"/>
    <w:autoRedefine/>
    <w:uiPriority w:val="99"/>
    <w:semiHidden/>
    <w:rsid w:val="002109DD"/>
    <w:pPr>
      <w:spacing w:after="0"/>
      <w:ind w:left="1540"/>
    </w:pPr>
    <w:rPr>
      <w:sz w:val="20"/>
      <w:szCs w:val="20"/>
    </w:rPr>
  </w:style>
  <w:style w:type="paragraph" w:styleId="TOCHeading">
    <w:name w:val="TOC Heading"/>
    <w:basedOn w:val="Heading1"/>
    <w:next w:val="Normal"/>
    <w:uiPriority w:val="99"/>
    <w:qFormat/>
    <w:rsid w:val="002109DD"/>
    <w:pPr>
      <w:outlineLvl w:val="9"/>
    </w:pPr>
    <w:rPr>
      <w:lang w:val="en-US"/>
    </w:rPr>
  </w:style>
  <w:style w:type="paragraph" w:styleId="BodyText">
    <w:name w:val="Body Text"/>
    <w:basedOn w:val="Normal"/>
    <w:link w:val="BodyTextChar"/>
    <w:uiPriority w:val="99"/>
    <w:semiHidden/>
    <w:rsid w:val="002109DD"/>
    <w:pPr>
      <w:spacing w:after="120" w:line="240" w:lineRule="auto"/>
    </w:pPr>
    <w:rPr>
      <w:rFonts w:eastAsia="Times New Roman"/>
      <w:sz w:val="20"/>
      <w:szCs w:val="20"/>
    </w:rPr>
  </w:style>
  <w:style w:type="character" w:customStyle="1" w:styleId="BodyTextChar">
    <w:name w:val="Body Text Char"/>
    <w:link w:val="BodyText"/>
    <w:uiPriority w:val="99"/>
    <w:locked/>
    <w:rsid w:val="002109DD"/>
    <w:rPr>
      <w:rFonts w:ascii="Arial" w:hAnsi="Arial" w:cs="Times New Roman"/>
      <w:sz w:val="20"/>
    </w:rPr>
  </w:style>
  <w:style w:type="paragraph" w:styleId="ListParagraph">
    <w:name w:val="List Paragraph"/>
    <w:basedOn w:val="Normal"/>
    <w:uiPriority w:val="99"/>
    <w:qFormat/>
    <w:rsid w:val="002109DD"/>
    <w:pPr>
      <w:ind w:left="720"/>
      <w:contextualSpacing/>
    </w:pPr>
  </w:style>
  <w:style w:type="paragraph" w:styleId="BodyText2">
    <w:name w:val="Body Text 2"/>
    <w:basedOn w:val="Normal"/>
    <w:link w:val="BodyText2Char"/>
    <w:uiPriority w:val="99"/>
    <w:rsid w:val="002109DD"/>
    <w:pPr>
      <w:spacing w:after="120" w:line="480" w:lineRule="auto"/>
    </w:pPr>
  </w:style>
  <w:style w:type="character" w:customStyle="1" w:styleId="BodyText2Char">
    <w:name w:val="Body Text 2 Char"/>
    <w:link w:val="BodyText2"/>
    <w:uiPriority w:val="99"/>
    <w:semiHidden/>
    <w:locked/>
    <w:rsid w:val="002109DD"/>
    <w:rPr>
      <w:rFonts w:cs="Times New Roman"/>
    </w:rPr>
  </w:style>
  <w:style w:type="paragraph" w:styleId="NoSpacing">
    <w:name w:val="No Spacing"/>
    <w:uiPriority w:val="99"/>
    <w:qFormat/>
    <w:rsid w:val="002109DD"/>
    <w:rPr>
      <w:sz w:val="22"/>
      <w:szCs w:val="22"/>
      <w:lang w:eastAsia="en-US"/>
    </w:rPr>
  </w:style>
  <w:style w:type="character" w:styleId="SubtleEmphasis">
    <w:name w:val="Subtle Emphasis"/>
    <w:uiPriority w:val="99"/>
    <w:qFormat/>
    <w:rsid w:val="002109DD"/>
    <w:rPr>
      <w:rFonts w:cs="Times New Roman"/>
      <w:i/>
      <w:color w:val="808080"/>
    </w:rPr>
  </w:style>
  <w:style w:type="character" w:styleId="Emphasis">
    <w:name w:val="Emphasis"/>
    <w:uiPriority w:val="99"/>
    <w:qFormat/>
    <w:rsid w:val="002109DD"/>
    <w:rPr>
      <w:rFonts w:cs="Times New Roman"/>
      <w:i/>
    </w:rPr>
  </w:style>
  <w:style w:type="character" w:styleId="BookTitle">
    <w:name w:val="Book Title"/>
    <w:uiPriority w:val="99"/>
    <w:qFormat/>
    <w:rsid w:val="002109DD"/>
    <w:rPr>
      <w:rFonts w:cs="Times New Roman"/>
      <w:b/>
      <w:smallCaps/>
      <w:spacing w:val="5"/>
    </w:rPr>
  </w:style>
  <w:style w:type="character" w:styleId="IntenseReference">
    <w:name w:val="Intense Reference"/>
    <w:uiPriority w:val="99"/>
    <w:qFormat/>
    <w:rsid w:val="002109DD"/>
    <w:rPr>
      <w:rFonts w:cs="Times New Roman"/>
      <w:b/>
      <w:smallCaps/>
      <w:color w:val="C0504D"/>
      <w:spacing w:val="5"/>
      <w:u w:val="single"/>
    </w:rPr>
  </w:style>
  <w:style w:type="character" w:styleId="IntenseEmphasis">
    <w:name w:val="Intense Emphasis"/>
    <w:uiPriority w:val="99"/>
    <w:qFormat/>
    <w:rsid w:val="002109DD"/>
    <w:rPr>
      <w:rFonts w:cs="Times New Roman"/>
      <w:b/>
      <w:i/>
      <w:color w:val="4F81BD"/>
    </w:rPr>
  </w:style>
  <w:style w:type="paragraph" w:customStyle="1" w:styleId="immtextalignjustify">
    <w:name w:val="immtextalign_justify"/>
    <w:basedOn w:val="Normal"/>
    <w:uiPriority w:val="99"/>
    <w:rsid w:val="004E592E"/>
    <w:pPr>
      <w:spacing w:after="0" w:line="240" w:lineRule="auto"/>
      <w:jc w:val="both"/>
    </w:pPr>
    <w:rPr>
      <w:rFonts w:ascii="Times New Roman" w:eastAsia="Times New Roman" w:hAnsi="Times New Roman"/>
      <w:color w:val="111144"/>
      <w:sz w:val="24"/>
      <w:szCs w:val="24"/>
      <w:lang w:val="en-US"/>
    </w:rPr>
  </w:style>
  <w:style w:type="paragraph" w:customStyle="1" w:styleId="Default">
    <w:name w:val="Default"/>
    <w:uiPriority w:val="99"/>
    <w:rsid w:val="004E592E"/>
    <w:pPr>
      <w:autoSpaceDE w:val="0"/>
      <w:autoSpaceDN w:val="0"/>
      <w:adjustRightInd w:val="0"/>
    </w:pPr>
    <w:rPr>
      <w:rFonts w:ascii="Verdana" w:hAnsi="Verdana" w:cs="Verdana"/>
      <w:color w:val="000000"/>
      <w:sz w:val="24"/>
      <w:szCs w:val="24"/>
      <w:lang w:val="en-US" w:eastAsia="en-US"/>
    </w:rPr>
  </w:style>
  <w:style w:type="character" w:styleId="Strong">
    <w:name w:val="Strong"/>
    <w:uiPriority w:val="99"/>
    <w:qFormat/>
    <w:rsid w:val="00641A1C"/>
    <w:rPr>
      <w:rFonts w:cs="Times New Roman"/>
      <w:b/>
    </w:rPr>
  </w:style>
  <w:style w:type="paragraph" w:styleId="NormalWeb">
    <w:name w:val="Normal (Web)"/>
    <w:basedOn w:val="Normal"/>
    <w:uiPriority w:val="99"/>
    <w:semiHidden/>
    <w:rsid w:val="00641A1C"/>
    <w:pPr>
      <w:spacing w:before="158" w:after="158" w:line="240" w:lineRule="auto"/>
    </w:pPr>
    <w:rPr>
      <w:rFonts w:ascii="Times New Roman" w:eastAsia="Times New Roman" w:hAnsi="Times New Roman"/>
      <w:sz w:val="24"/>
      <w:szCs w:val="24"/>
      <w:lang w:eastAsia="en-GB"/>
    </w:rPr>
  </w:style>
  <w:style w:type="paragraph" w:customStyle="1" w:styleId="TableTitle">
    <w:name w:val="Table Title"/>
    <w:basedOn w:val="Heading7"/>
    <w:link w:val="TableTitleChar"/>
    <w:uiPriority w:val="99"/>
    <w:rsid w:val="00541DF5"/>
    <w:pPr>
      <w:spacing w:after="0" w:line="240" w:lineRule="auto"/>
    </w:pPr>
  </w:style>
  <w:style w:type="paragraph" w:styleId="TableofFigures">
    <w:name w:val="table of figures"/>
    <w:basedOn w:val="Normal"/>
    <w:next w:val="Normal"/>
    <w:link w:val="TableofFiguresChar"/>
    <w:uiPriority w:val="99"/>
    <w:rsid w:val="00602D8C"/>
    <w:pPr>
      <w:tabs>
        <w:tab w:val="right" w:leader="dot" w:pos="8779"/>
      </w:tabs>
      <w:spacing w:after="0"/>
      <w:ind w:left="567" w:hanging="567"/>
    </w:pPr>
    <w:rPr>
      <w:noProof/>
    </w:rPr>
  </w:style>
  <w:style w:type="character" w:customStyle="1" w:styleId="TableTitleChar">
    <w:name w:val="Table Title Char"/>
    <w:link w:val="TableTitle"/>
    <w:uiPriority w:val="99"/>
    <w:locked/>
    <w:rsid w:val="00541DF5"/>
    <w:rPr>
      <w:rFonts w:ascii="Calibri" w:hAnsi="Calibri" w:cs="Arial"/>
      <w:b/>
      <w:sz w:val="24"/>
      <w:szCs w:val="24"/>
      <w:lang w:eastAsia="en-US"/>
    </w:rPr>
  </w:style>
  <w:style w:type="paragraph" w:customStyle="1" w:styleId="ecxmsonormal">
    <w:name w:val="ecxmsonormal"/>
    <w:basedOn w:val="Normal"/>
    <w:uiPriority w:val="99"/>
    <w:rsid w:val="001F117F"/>
    <w:pPr>
      <w:spacing w:after="324" w:line="240" w:lineRule="auto"/>
    </w:pPr>
    <w:rPr>
      <w:rFonts w:ascii="Times New Roman" w:eastAsia="Times New Roman" w:hAnsi="Times New Roman"/>
      <w:sz w:val="24"/>
      <w:szCs w:val="24"/>
      <w:lang w:eastAsia="en-GB"/>
    </w:rPr>
  </w:style>
  <w:style w:type="paragraph" w:customStyle="1" w:styleId="FigureTitle">
    <w:name w:val="Figure Title"/>
    <w:basedOn w:val="TableTitle"/>
    <w:link w:val="FigureTitleChar"/>
    <w:uiPriority w:val="99"/>
    <w:rsid w:val="00B8050A"/>
  </w:style>
  <w:style w:type="paragraph" w:customStyle="1" w:styleId="ListofTables">
    <w:name w:val="List of Tables"/>
    <w:basedOn w:val="TableofFigures"/>
    <w:link w:val="ListofTablesChar"/>
    <w:uiPriority w:val="99"/>
    <w:rsid w:val="001354FC"/>
    <w:pPr>
      <w:tabs>
        <w:tab w:val="right" w:leader="dot" w:pos="9627"/>
      </w:tabs>
    </w:pPr>
  </w:style>
  <w:style w:type="character" w:customStyle="1" w:styleId="FigureTitleChar">
    <w:name w:val="Figure Title Char"/>
    <w:link w:val="FigureTitle"/>
    <w:uiPriority w:val="99"/>
    <w:locked/>
    <w:rsid w:val="00B8050A"/>
    <w:rPr>
      <w:rFonts w:ascii="Calibri" w:hAnsi="Calibri" w:cs="Arial"/>
      <w:b/>
      <w:sz w:val="24"/>
      <w:szCs w:val="24"/>
      <w:lang w:eastAsia="en-US"/>
    </w:rPr>
  </w:style>
  <w:style w:type="character" w:customStyle="1" w:styleId="TableofFiguresChar">
    <w:name w:val="Table of Figures Char"/>
    <w:link w:val="TableofFigures"/>
    <w:uiPriority w:val="99"/>
    <w:locked/>
    <w:rsid w:val="00602D8C"/>
    <w:rPr>
      <w:rFonts w:cs="Times New Roman"/>
      <w:noProof/>
      <w:lang w:eastAsia="en-US"/>
    </w:rPr>
  </w:style>
  <w:style w:type="character" w:customStyle="1" w:styleId="ListofTablesChar">
    <w:name w:val="List of Tables Char"/>
    <w:link w:val="ListofTables"/>
    <w:uiPriority w:val="99"/>
    <w:locked/>
    <w:rsid w:val="001354FC"/>
    <w:rPr>
      <w:rFonts w:cs="Times New Roman"/>
      <w:noProof/>
      <w:lang w:eastAsia="en-US"/>
    </w:rPr>
  </w:style>
  <w:style w:type="paragraph" w:styleId="PlainText">
    <w:name w:val="Plain Text"/>
    <w:basedOn w:val="Normal"/>
    <w:link w:val="PlainTextChar"/>
    <w:uiPriority w:val="99"/>
    <w:unhideWhenUsed/>
    <w:rsid w:val="001D5092"/>
    <w:pPr>
      <w:spacing w:after="0" w:line="240" w:lineRule="auto"/>
    </w:pPr>
    <w:rPr>
      <w:rFonts w:ascii="Consolas" w:eastAsia="Calibri" w:hAnsi="Consolas" w:cs="Arial"/>
      <w:sz w:val="21"/>
      <w:szCs w:val="21"/>
    </w:rPr>
  </w:style>
  <w:style w:type="character" w:customStyle="1" w:styleId="PlainTextChar">
    <w:name w:val="Plain Text Char"/>
    <w:link w:val="PlainText"/>
    <w:uiPriority w:val="99"/>
    <w:rsid w:val="001D5092"/>
    <w:rPr>
      <w:rFonts w:ascii="Consolas" w:eastAsia="Calibri" w:hAnsi="Consolas" w:cs="Arial"/>
      <w:sz w:val="21"/>
      <w:szCs w:val="21"/>
      <w:lang w:eastAsia="en-US"/>
    </w:rPr>
  </w:style>
  <w:style w:type="paragraph" w:styleId="Caption">
    <w:name w:val="caption"/>
    <w:basedOn w:val="Normal"/>
    <w:next w:val="Normal"/>
    <w:unhideWhenUsed/>
    <w:qFormat/>
    <w:locked/>
    <w:rsid w:val="007042C1"/>
    <w:rPr>
      <w:b/>
      <w:bCs/>
      <w:sz w:val="20"/>
      <w:szCs w:val="20"/>
    </w:rPr>
  </w:style>
  <w:style w:type="character" w:styleId="CommentReference">
    <w:name w:val="annotation reference"/>
    <w:uiPriority w:val="99"/>
    <w:semiHidden/>
    <w:unhideWhenUsed/>
    <w:rsid w:val="009044DC"/>
    <w:rPr>
      <w:sz w:val="16"/>
      <w:szCs w:val="16"/>
    </w:rPr>
  </w:style>
  <w:style w:type="paragraph" w:styleId="CommentText">
    <w:name w:val="annotation text"/>
    <w:basedOn w:val="Normal"/>
    <w:link w:val="CommentTextChar"/>
    <w:uiPriority w:val="99"/>
    <w:semiHidden/>
    <w:unhideWhenUsed/>
    <w:rsid w:val="009044DC"/>
    <w:rPr>
      <w:sz w:val="20"/>
      <w:szCs w:val="20"/>
    </w:rPr>
  </w:style>
  <w:style w:type="character" w:customStyle="1" w:styleId="CommentTextChar">
    <w:name w:val="Comment Text Char"/>
    <w:link w:val="CommentText"/>
    <w:uiPriority w:val="99"/>
    <w:semiHidden/>
    <w:rsid w:val="009044DC"/>
    <w:rPr>
      <w:lang w:eastAsia="en-US"/>
    </w:rPr>
  </w:style>
  <w:style w:type="paragraph" w:styleId="CommentSubject">
    <w:name w:val="annotation subject"/>
    <w:basedOn w:val="CommentText"/>
    <w:next w:val="CommentText"/>
    <w:link w:val="CommentSubjectChar"/>
    <w:uiPriority w:val="99"/>
    <w:semiHidden/>
    <w:unhideWhenUsed/>
    <w:rsid w:val="009044DC"/>
    <w:rPr>
      <w:b/>
      <w:bCs/>
    </w:rPr>
  </w:style>
  <w:style w:type="character" w:customStyle="1" w:styleId="CommentSubjectChar">
    <w:name w:val="Comment Subject Char"/>
    <w:link w:val="CommentSubject"/>
    <w:uiPriority w:val="99"/>
    <w:semiHidden/>
    <w:rsid w:val="009044DC"/>
    <w:rPr>
      <w:b/>
      <w:bCs/>
      <w:lang w:eastAsia="en-US"/>
    </w:rPr>
  </w:style>
  <w:style w:type="paragraph" w:styleId="Revision">
    <w:name w:val="Revision"/>
    <w:hidden/>
    <w:uiPriority w:val="99"/>
    <w:semiHidden/>
    <w:rsid w:val="009044DC"/>
    <w:rPr>
      <w:sz w:val="22"/>
      <w:szCs w:val="22"/>
      <w:lang w:eastAsia="en-US"/>
    </w:rPr>
  </w:style>
  <w:style w:type="paragraph" w:styleId="Subtitle">
    <w:name w:val="Subtitle"/>
    <w:basedOn w:val="Normal"/>
    <w:next w:val="Normal"/>
    <w:link w:val="SubtitleChar"/>
    <w:qFormat/>
    <w:locked/>
    <w:rsid w:val="009543E4"/>
    <w:pPr>
      <w:spacing w:after="60"/>
      <w:jc w:val="center"/>
      <w:outlineLvl w:val="1"/>
    </w:pPr>
    <w:rPr>
      <w:rFonts w:ascii="Cambria" w:eastAsia="SimSun" w:hAnsi="Cambria"/>
      <w:sz w:val="24"/>
      <w:szCs w:val="24"/>
    </w:rPr>
  </w:style>
  <w:style w:type="character" w:customStyle="1" w:styleId="SubtitleChar">
    <w:name w:val="Subtitle Char"/>
    <w:link w:val="Subtitle"/>
    <w:rsid w:val="009543E4"/>
    <w:rPr>
      <w:rFonts w:ascii="Cambria" w:eastAsia="SimSun" w:hAnsi="Cambria" w:cs="Times New Roman"/>
      <w:sz w:val="24"/>
      <w:szCs w:val="24"/>
      <w:lang w:eastAsia="en-US"/>
    </w:rPr>
  </w:style>
  <w:style w:type="paragraph" w:styleId="Quote">
    <w:name w:val="Quote"/>
    <w:basedOn w:val="Normal"/>
    <w:next w:val="Normal"/>
    <w:link w:val="QuoteChar"/>
    <w:uiPriority w:val="29"/>
    <w:qFormat/>
    <w:rsid w:val="008F1417"/>
    <w:rPr>
      <w:i/>
      <w:iCs/>
      <w:color w:val="000000"/>
    </w:rPr>
  </w:style>
  <w:style w:type="character" w:customStyle="1" w:styleId="QuoteChar">
    <w:name w:val="Quote Char"/>
    <w:link w:val="Quote"/>
    <w:uiPriority w:val="29"/>
    <w:rsid w:val="008F1417"/>
    <w:rPr>
      <w:i/>
      <w:iCs/>
      <w:color w:val="000000"/>
      <w:sz w:val="22"/>
      <w:szCs w:val="22"/>
      <w:lang w:eastAsia="en-US"/>
    </w:rPr>
  </w:style>
  <w:style w:type="paragraph" w:styleId="IntenseQuote">
    <w:name w:val="Intense Quote"/>
    <w:basedOn w:val="Normal"/>
    <w:next w:val="Normal"/>
    <w:link w:val="IntenseQuoteChar"/>
    <w:uiPriority w:val="30"/>
    <w:qFormat/>
    <w:rsid w:val="005F1D0D"/>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5F1D0D"/>
    <w:rPr>
      <w:b/>
      <w:bCs/>
      <w:i/>
      <w:iCs/>
      <w:color w:val="4F81BD"/>
      <w:sz w:val="22"/>
      <w:szCs w:val="22"/>
      <w:lang w:eastAsia="en-US"/>
    </w:rPr>
  </w:style>
  <w:style w:type="paragraph" w:styleId="FootnoteText">
    <w:name w:val="footnote text"/>
    <w:basedOn w:val="Normal"/>
    <w:link w:val="FootnoteTextChar"/>
    <w:uiPriority w:val="99"/>
    <w:unhideWhenUsed/>
    <w:rsid w:val="00E2533C"/>
    <w:rPr>
      <w:sz w:val="24"/>
      <w:szCs w:val="24"/>
    </w:rPr>
  </w:style>
  <w:style w:type="character" w:customStyle="1" w:styleId="FootnoteTextChar">
    <w:name w:val="Footnote Text Char"/>
    <w:basedOn w:val="DefaultParagraphFont"/>
    <w:link w:val="FootnoteText"/>
    <w:uiPriority w:val="99"/>
    <w:rsid w:val="00E2533C"/>
    <w:rPr>
      <w:sz w:val="24"/>
      <w:szCs w:val="24"/>
      <w:lang w:eastAsia="en-US"/>
    </w:rPr>
  </w:style>
  <w:style w:type="character" w:styleId="FootnoteReference">
    <w:name w:val="footnote reference"/>
    <w:basedOn w:val="DefaultParagraphFont"/>
    <w:uiPriority w:val="99"/>
    <w:unhideWhenUsed/>
    <w:rsid w:val="00E2533C"/>
    <w:rPr>
      <w:vertAlign w:val="superscript"/>
    </w:rPr>
  </w:style>
  <w:style w:type="character" w:styleId="FollowedHyperlink">
    <w:name w:val="FollowedHyperlink"/>
    <w:basedOn w:val="DefaultParagraphFont"/>
    <w:uiPriority w:val="99"/>
    <w:semiHidden/>
    <w:unhideWhenUsed/>
    <w:rsid w:val="006A1266"/>
    <w:rPr>
      <w:color w:val="800080" w:themeColor="followedHyperlink"/>
      <w:u w:val="single"/>
    </w:rPr>
  </w:style>
  <w:style w:type="character" w:styleId="HTMLCite">
    <w:name w:val="HTML Cite"/>
    <w:basedOn w:val="DefaultParagraphFont"/>
    <w:uiPriority w:val="99"/>
    <w:semiHidden/>
    <w:unhideWhenUsed/>
    <w:rsid w:val="006A1266"/>
    <w:rPr>
      <w:i/>
      <w:iCs/>
    </w:rPr>
  </w:style>
  <w:style w:type="character" w:customStyle="1" w:styleId="cit-title">
    <w:name w:val="cit-title"/>
    <w:basedOn w:val="DefaultParagraphFont"/>
    <w:rsid w:val="000470F2"/>
  </w:style>
  <w:style w:type="character" w:customStyle="1" w:styleId="cit-auth">
    <w:name w:val="cit-auth"/>
    <w:basedOn w:val="DefaultParagraphFont"/>
    <w:rsid w:val="000470F2"/>
  </w:style>
  <w:style w:type="character" w:customStyle="1" w:styleId="cit-sep">
    <w:name w:val="cit-sep"/>
    <w:basedOn w:val="DefaultParagraphFont"/>
    <w:rsid w:val="000470F2"/>
  </w:style>
  <w:style w:type="character" w:customStyle="1" w:styleId="apple-converted-space">
    <w:name w:val="apple-converted-space"/>
    <w:basedOn w:val="DefaultParagraphFont"/>
    <w:rsid w:val="000470F2"/>
  </w:style>
  <w:style w:type="character" w:customStyle="1" w:styleId="cit-print-date">
    <w:name w:val="cit-print-date"/>
    <w:basedOn w:val="DefaultParagraphFont"/>
    <w:rsid w:val="000470F2"/>
  </w:style>
  <w:style w:type="character" w:customStyle="1" w:styleId="cit-vol">
    <w:name w:val="cit-vol"/>
    <w:basedOn w:val="DefaultParagraphFont"/>
    <w:rsid w:val="000470F2"/>
  </w:style>
  <w:style w:type="character" w:customStyle="1" w:styleId="cit-issue">
    <w:name w:val="cit-issue"/>
    <w:basedOn w:val="DefaultParagraphFont"/>
    <w:rsid w:val="000470F2"/>
  </w:style>
  <w:style w:type="character" w:customStyle="1" w:styleId="cit-elocation">
    <w:name w:val="cit-elocation"/>
    <w:basedOn w:val="DefaultParagraphFont"/>
    <w:rsid w:val="000470F2"/>
  </w:style>
  <w:style w:type="character" w:customStyle="1" w:styleId="cit-doi">
    <w:name w:val="cit-doi"/>
    <w:basedOn w:val="DefaultParagraphFont"/>
    <w:rsid w:val="000470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39"/>
    <w:lsdException w:name="toc 2" w:locked="1" w:semiHidden="0" w:uiPriority="39"/>
    <w:lsdException w:name="toc 3" w:locked="1" w:semiHidden="0" w:uiPriority="39"/>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2109DD"/>
    <w:pPr>
      <w:spacing w:after="200" w:line="276" w:lineRule="auto"/>
    </w:pPr>
    <w:rPr>
      <w:sz w:val="22"/>
      <w:szCs w:val="22"/>
      <w:lang w:eastAsia="en-US"/>
    </w:rPr>
  </w:style>
  <w:style w:type="paragraph" w:styleId="Heading1">
    <w:name w:val="heading 1"/>
    <w:basedOn w:val="Normal"/>
    <w:next w:val="Normal"/>
    <w:link w:val="Heading1Char"/>
    <w:uiPriority w:val="99"/>
    <w:qFormat/>
    <w:rsid w:val="002109DD"/>
    <w:pPr>
      <w:keepNext/>
      <w:keepLines/>
      <w:spacing w:before="480" w:after="0"/>
      <w:outlineLvl w:val="0"/>
    </w:pPr>
    <w:rPr>
      <w:rFonts w:eastAsia="Times New Roman"/>
      <w:b/>
      <w:bCs/>
      <w:color w:val="365F91"/>
      <w:sz w:val="28"/>
      <w:szCs w:val="28"/>
    </w:rPr>
  </w:style>
  <w:style w:type="paragraph" w:styleId="Heading2">
    <w:name w:val="heading 2"/>
    <w:basedOn w:val="Normal"/>
    <w:next w:val="Normal"/>
    <w:link w:val="Heading2Char"/>
    <w:uiPriority w:val="99"/>
    <w:qFormat/>
    <w:rsid w:val="002109DD"/>
    <w:pPr>
      <w:keepNext/>
      <w:keepLines/>
      <w:spacing w:before="200" w:after="0"/>
      <w:outlineLvl w:val="1"/>
    </w:pPr>
    <w:rPr>
      <w:rFonts w:eastAsia="Times New Roman"/>
      <w:b/>
      <w:bCs/>
      <w:color w:val="4F81BD"/>
      <w:sz w:val="26"/>
      <w:szCs w:val="26"/>
    </w:rPr>
  </w:style>
  <w:style w:type="paragraph" w:styleId="Heading3">
    <w:name w:val="heading 3"/>
    <w:basedOn w:val="Normal"/>
    <w:next w:val="Normal"/>
    <w:link w:val="Heading3Char"/>
    <w:uiPriority w:val="99"/>
    <w:qFormat/>
    <w:rsid w:val="002109DD"/>
    <w:pPr>
      <w:keepNext/>
      <w:keepLines/>
      <w:spacing w:before="200" w:after="0"/>
      <w:outlineLvl w:val="2"/>
    </w:pPr>
    <w:rPr>
      <w:rFonts w:eastAsia="Times New Roman"/>
      <w:b/>
      <w:bCs/>
      <w:color w:val="4F81BD"/>
    </w:rPr>
  </w:style>
  <w:style w:type="paragraph" w:styleId="Heading4">
    <w:name w:val="heading 4"/>
    <w:basedOn w:val="Normal"/>
    <w:next w:val="Normal"/>
    <w:link w:val="Heading4Char"/>
    <w:uiPriority w:val="99"/>
    <w:qFormat/>
    <w:rsid w:val="002109DD"/>
    <w:pPr>
      <w:keepNext/>
      <w:keepLines/>
      <w:spacing w:before="200" w:after="0"/>
      <w:outlineLvl w:val="3"/>
    </w:pPr>
    <w:rPr>
      <w:rFonts w:eastAsia="Times New Roman"/>
      <w:b/>
      <w:bCs/>
      <w:i/>
      <w:iCs/>
      <w:color w:val="4F81BD"/>
    </w:rPr>
  </w:style>
  <w:style w:type="paragraph" w:styleId="Heading5">
    <w:name w:val="heading 5"/>
    <w:basedOn w:val="Normal"/>
    <w:next w:val="Normal"/>
    <w:link w:val="Heading5Char"/>
    <w:uiPriority w:val="99"/>
    <w:qFormat/>
    <w:rsid w:val="002109DD"/>
    <w:pPr>
      <w:keepNext/>
      <w:keepLines/>
      <w:spacing w:before="200" w:after="0"/>
      <w:outlineLvl w:val="4"/>
    </w:pPr>
    <w:rPr>
      <w:rFonts w:eastAsia="Times New Roman"/>
      <w:color w:val="243F60"/>
    </w:rPr>
  </w:style>
  <w:style w:type="paragraph" w:styleId="Heading6">
    <w:name w:val="heading 6"/>
    <w:basedOn w:val="Normal"/>
    <w:next w:val="Normal"/>
    <w:link w:val="Heading6Char"/>
    <w:uiPriority w:val="99"/>
    <w:qFormat/>
    <w:rsid w:val="002109DD"/>
    <w:pPr>
      <w:keepNext/>
      <w:keepLines/>
      <w:spacing w:before="200" w:after="0"/>
      <w:outlineLvl w:val="5"/>
    </w:pPr>
    <w:rPr>
      <w:rFonts w:eastAsia="Times New Roman"/>
      <w:i/>
      <w:iCs/>
      <w:color w:val="243F60"/>
    </w:rPr>
  </w:style>
  <w:style w:type="paragraph" w:styleId="Heading7">
    <w:name w:val="heading 7"/>
    <w:basedOn w:val="Normal"/>
    <w:next w:val="Normal"/>
    <w:link w:val="Heading7Char"/>
    <w:uiPriority w:val="99"/>
    <w:qFormat/>
    <w:rsid w:val="002109DD"/>
    <w:pPr>
      <w:keepNext/>
      <w:outlineLvl w:val="6"/>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2109DD"/>
    <w:rPr>
      <w:rFonts w:ascii="Arial" w:hAnsi="Arial" w:cs="Times New Roman"/>
      <w:b/>
      <w:color w:val="365F91"/>
      <w:sz w:val="28"/>
    </w:rPr>
  </w:style>
  <w:style w:type="character" w:customStyle="1" w:styleId="Heading2Char">
    <w:name w:val="Heading 2 Char"/>
    <w:link w:val="Heading2"/>
    <w:uiPriority w:val="99"/>
    <w:locked/>
    <w:rsid w:val="002109DD"/>
    <w:rPr>
      <w:rFonts w:ascii="Arial" w:hAnsi="Arial" w:cs="Times New Roman"/>
      <w:b/>
      <w:color w:val="4F81BD"/>
      <w:sz w:val="26"/>
    </w:rPr>
  </w:style>
  <w:style w:type="character" w:customStyle="1" w:styleId="Heading3Char">
    <w:name w:val="Heading 3 Char"/>
    <w:link w:val="Heading3"/>
    <w:uiPriority w:val="99"/>
    <w:locked/>
    <w:rsid w:val="002109DD"/>
    <w:rPr>
      <w:rFonts w:ascii="Arial" w:hAnsi="Arial" w:cs="Times New Roman"/>
      <w:b/>
      <w:color w:val="4F81BD"/>
    </w:rPr>
  </w:style>
  <w:style w:type="character" w:customStyle="1" w:styleId="Heading4Char">
    <w:name w:val="Heading 4 Char"/>
    <w:link w:val="Heading4"/>
    <w:uiPriority w:val="99"/>
    <w:locked/>
    <w:rsid w:val="002109DD"/>
    <w:rPr>
      <w:rFonts w:ascii="Arial" w:hAnsi="Arial" w:cs="Times New Roman"/>
      <w:b/>
      <w:i/>
      <w:color w:val="4F81BD"/>
    </w:rPr>
  </w:style>
  <w:style w:type="character" w:customStyle="1" w:styleId="Heading5Char">
    <w:name w:val="Heading 5 Char"/>
    <w:link w:val="Heading5"/>
    <w:uiPriority w:val="99"/>
    <w:locked/>
    <w:rsid w:val="002109DD"/>
    <w:rPr>
      <w:rFonts w:ascii="Arial" w:hAnsi="Arial" w:cs="Times New Roman"/>
      <w:color w:val="243F60"/>
    </w:rPr>
  </w:style>
  <w:style w:type="character" w:customStyle="1" w:styleId="Heading6Char">
    <w:name w:val="Heading 6 Char"/>
    <w:link w:val="Heading6"/>
    <w:uiPriority w:val="99"/>
    <w:locked/>
    <w:rsid w:val="002109DD"/>
    <w:rPr>
      <w:rFonts w:ascii="Arial" w:hAnsi="Arial" w:cs="Times New Roman"/>
      <w:i/>
      <w:color w:val="243F60"/>
    </w:rPr>
  </w:style>
  <w:style w:type="character" w:customStyle="1" w:styleId="Heading7Char">
    <w:name w:val="Heading 7 Char"/>
    <w:link w:val="Heading7"/>
    <w:uiPriority w:val="99"/>
    <w:semiHidden/>
    <w:locked/>
    <w:rsid w:val="00EB3555"/>
    <w:rPr>
      <w:rFonts w:ascii="Calibri" w:hAnsi="Calibri" w:cs="Times New Roman"/>
      <w:sz w:val="24"/>
      <w:szCs w:val="24"/>
      <w:lang w:eastAsia="en-US"/>
    </w:rPr>
  </w:style>
  <w:style w:type="paragraph" w:styleId="Header">
    <w:name w:val="header"/>
    <w:basedOn w:val="Normal"/>
    <w:link w:val="HeaderChar"/>
    <w:uiPriority w:val="99"/>
    <w:rsid w:val="002109DD"/>
    <w:pPr>
      <w:tabs>
        <w:tab w:val="center" w:pos="4513"/>
        <w:tab w:val="right" w:pos="9026"/>
      </w:tabs>
      <w:spacing w:after="0" w:line="240" w:lineRule="auto"/>
    </w:pPr>
  </w:style>
  <w:style w:type="character" w:customStyle="1" w:styleId="HeaderChar">
    <w:name w:val="Header Char"/>
    <w:link w:val="Header"/>
    <w:uiPriority w:val="99"/>
    <w:locked/>
    <w:rsid w:val="002109DD"/>
    <w:rPr>
      <w:rFonts w:cs="Times New Roman"/>
    </w:rPr>
  </w:style>
  <w:style w:type="paragraph" w:styleId="Footer">
    <w:name w:val="footer"/>
    <w:basedOn w:val="Normal"/>
    <w:link w:val="FooterChar"/>
    <w:uiPriority w:val="99"/>
    <w:rsid w:val="002109DD"/>
    <w:pPr>
      <w:tabs>
        <w:tab w:val="center" w:pos="4513"/>
        <w:tab w:val="right" w:pos="9026"/>
      </w:tabs>
      <w:spacing w:after="0" w:line="240" w:lineRule="auto"/>
    </w:pPr>
  </w:style>
  <w:style w:type="character" w:customStyle="1" w:styleId="FooterChar">
    <w:name w:val="Footer Char"/>
    <w:link w:val="Footer"/>
    <w:uiPriority w:val="99"/>
    <w:locked/>
    <w:rsid w:val="002109DD"/>
    <w:rPr>
      <w:rFonts w:cs="Times New Roman"/>
    </w:rPr>
  </w:style>
  <w:style w:type="table" w:styleId="TableGrid">
    <w:name w:val="Table Grid"/>
    <w:basedOn w:val="TableNormal"/>
    <w:uiPriority w:val="59"/>
    <w:rsid w:val="00FC437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rsid w:val="002109DD"/>
    <w:rPr>
      <w:rFonts w:cs="Times New Roman"/>
      <w:color w:val="0000FF"/>
      <w:u w:val="single"/>
    </w:rPr>
  </w:style>
  <w:style w:type="paragraph" w:styleId="BalloonText">
    <w:name w:val="Balloon Text"/>
    <w:basedOn w:val="Normal"/>
    <w:link w:val="BalloonTextChar"/>
    <w:uiPriority w:val="99"/>
    <w:semiHidden/>
    <w:rsid w:val="002109DD"/>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2109DD"/>
    <w:rPr>
      <w:rFonts w:ascii="Tahoma" w:hAnsi="Tahoma" w:cs="Times New Roman"/>
      <w:sz w:val="16"/>
    </w:rPr>
  </w:style>
  <w:style w:type="paragraph" w:styleId="TOC1">
    <w:name w:val="toc 1"/>
    <w:basedOn w:val="Normal"/>
    <w:next w:val="Normal"/>
    <w:autoRedefine/>
    <w:uiPriority w:val="39"/>
    <w:locked/>
    <w:rsid w:val="009C15E5"/>
    <w:pPr>
      <w:tabs>
        <w:tab w:val="right" w:leader="dot" w:pos="9016"/>
      </w:tabs>
      <w:spacing w:before="120" w:after="180" w:line="240" w:lineRule="auto"/>
    </w:pPr>
    <w:rPr>
      <w:b/>
      <w:bCs/>
      <w:iCs/>
      <w:caps/>
      <w:noProof/>
      <w:color w:val="000000"/>
      <w:sz w:val="24"/>
      <w:szCs w:val="24"/>
    </w:rPr>
  </w:style>
  <w:style w:type="paragraph" w:styleId="TOC2">
    <w:name w:val="toc 2"/>
    <w:basedOn w:val="Normal"/>
    <w:next w:val="Normal"/>
    <w:autoRedefine/>
    <w:uiPriority w:val="39"/>
    <w:rsid w:val="002109DD"/>
    <w:pPr>
      <w:spacing w:before="240" w:after="0"/>
    </w:pPr>
    <w:rPr>
      <w:b/>
      <w:bCs/>
      <w:sz w:val="20"/>
      <w:szCs w:val="20"/>
    </w:rPr>
  </w:style>
  <w:style w:type="paragraph" w:styleId="TOC3">
    <w:name w:val="toc 3"/>
    <w:basedOn w:val="Normal"/>
    <w:next w:val="Normal"/>
    <w:autoRedefine/>
    <w:uiPriority w:val="39"/>
    <w:rsid w:val="002109DD"/>
    <w:pPr>
      <w:spacing w:after="0"/>
      <w:ind w:left="220"/>
    </w:pPr>
    <w:rPr>
      <w:sz w:val="20"/>
      <w:szCs w:val="20"/>
    </w:rPr>
  </w:style>
  <w:style w:type="paragraph" w:styleId="TOC4">
    <w:name w:val="toc 4"/>
    <w:basedOn w:val="Normal"/>
    <w:next w:val="Normal"/>
    <w:autoRedefine/>
    <w:uiPriority w:val="99"/>
    <w:semiHidden/>
    <w:rsid w:val="002109DD"/>
    <w:pPr>
      <w:spacing w:after="0"/>
      <w:ind w:left="440"/>
    </w:pPr>
    <w:rPr>
      <w:sz w:val="20"/>
      <w:szCs w:val="20"/>
    </w:rPr>
  </w:style>
  <w:style w:type="paragraph" w:styleId="TOC5">
    <w:name w:val="toc 5"/>
    <w:basedOn w:val="Normal"/>
    <w:next w:val="Normal"/>
    <w:autoRedefine/>
    <w:uiPriority w:val="99"/>
    <w:semiHidden/>
    <w:rsid w:val="002109DD"/>
    <w:pPr>
      <w:spacing w:after="0"/>
      <w:ind w:left="660"/>
    </w:pPr>
    <w:rPr>
      <w:sz w:val="20"/>
      <w:szCs w:val="20"/>
    </w:rPr>
  </w:style>
  <w:style w:type="paragraph" w:styleId="TOC6">
    <w:name w:val="toc 6"/>
    <w:basedOn w:val="Normal"/>
    <w:next w:val="Normal"/>
    <w:autoRedefine/>
    <w:uiPriority w:val="99"/>
    <w:semiHidden/>
    <w:rsid w:val="002109DD"/>
    <w:pPr>
      <w:spacing w:after="0"/>
      <w:ind w:left="880"/>
    </w:pPr>
    <w:rPr>
      <w:sz w:val="20"/>
      <w:szCs w:val="20"/>
    </w:rPr>
  </w:style>
  <w:style w:type="paragraph" w:styleId="TOC7">
    <w:name w:val="toc 7"/>
    <w:basedOn w:val="Normal"/>
    <w:next w:val="Normal"/>
    <w:autoRedefine/>
    <w:uiPriority w:val="99"/>
    <w:rsid w:val="002109DD"/>
    <w:pPr>
      <w:spacing w:after="0"/>
      <w:ind w:left="1100"/>
    </w:pPr>
    <w:rPr>
      <w:sz w:val="20"/>
      <w:szCs w:val="20"/>
    </w:rPr>
  </w:style>
  <w:style w:type="paragraph" w:styleId="TOC8">
    <w:name w:val="toc 8"/>
    <w:basedOn w:val="Normal"/>
    <w:next w:val="Normal"/>
    <w:autoRedefine/>
    <w:uiPriority w:val="99"/>
    <w:semiHidden/>
    <w:rsid w:val="002109DD"/>
    <w:pPr>
      <w:spacing w:after="0"/>
      <w:ind w:left="1320"/>
    </w:pPr>
    <w:rPr>
      <w:sz w:val="20"/>
      <w:szCs w:val="20"/>
    </w:rPr>
  </w:style>
  <w:style w:type="paragraph" w:styleId="TOC9">
    <w:name w:val="toc 9"/>
    <w:basedOn w:val="Normal"/>
    <w:next w:val="Normal"/>
    <w:autoRedefine/>
    <w:uiPriority w:val="99"/>
    <w:semiHidden/>
    <w:rsid w:val="002109DD"/>
    <w:pPr>
      <w:spacing w:after="0"/>
      <w:ind w:left="1540"/>
    </w:pPr>
    <w:rPr>
      <w:sz w:val="20"/>
      <w:szCs w:val="20"/>
    </w:rPr>
  </w:style>
  <w:style w:type="paragraph" w:styleId="TOCHeading">
    <w:name w:val="TOC Heading"/>
    <w:basedOn w:val="Heading1"/>
    <w:next w:val="Normal"/>
    <w:uiPriority w:val="99"/>
    <w:qFormat/>
    <w:rsid w:val="002109DD"/>
    <w:pPr>
      <w:outlineLvl w:val="9"/>
    </w:pPr>
    <w:rPr>
      <w:lang w:val="en-US"/>
    </w:rPr>
  </w:style>
  <w:style w:type="paragraph" w:styleId="BodyText">
    <w:name w:val="Body Text"/>
    <w:basedOn w:val="Normal"/>
    <w:link w:val="BodyTextChar"/>
    <w:uiPriority w:val="99"/>
    <w:semiHidden/>
    <w:rsid w:val="002109DD"/>
    <w:pPr>
      <w:spacing w:after="120" w:line="240" w:lineRule="auto"/>
    </w:pPr>
    <w:rPr>
      <w:rFonts w:eastAsia="Times New Roman"/>
      <w:sz w:val="20"/>
      <w:szCs w:val="20"/>
    </w:rPr>
  </w:style>
  <w:style w:type="character" w:customStyle="1" w:styleId="BodyTextChar">
    <w:name w:val="Body Text Char"/>
    <w:link w:val="BodyText"/>
    <w:uiPriority w:val="99"/>
    <w:locked/>
    <w:rsid w:val="002109DD"/>
    <w:rPr>
      <w:rFonts w:ascii="Arial" w:hAnsi="Arial" w:cs="Times New Roman"/>
      <w:sz w:val="20"/>
    </w:rPr>
  </w:style>
  <w:style w:type="paragraph" w:styleId="ListParagraph">
    <w:name w:val="List Paragraph"/>
    <w:basedOn w:val="Normal"/>
    <w:uiPriority w:val="99"/>
    <w:qFormat/>
    <w:rsid w:val="002109DD"/>
    <w:pPr>
      <w:ind w:left="720"/>
      <w:contextualSpacing/>
    </w:pPr>
  </w:style>
  <w:style w:type="paragraph" w:styleId="BodyText2">
    <w:name w:val="Body Text 2"/>
    <w:basedOn w:val="Normal"/>
    <w:link w:val="BodyText2Char"/>
    <w:uiPriority w:val="99"/>
    <w:rsid w:val="002109DD"/>
    <w:pPr>
      <w:spacing w:after="120" w:line="480" w:lineRule="auto"/>
    </w:pPr>
  </w:style>
  <w:style w:type="character" w:customStyle="1" w:styleId="BodyText2Char">
    <w:name w:val="Body Text 2 Char"/>
    <w:link w:val="BodyText2"/>
    <w:uiPriority w:val="99"/>
    <w:semiHidden/>
    <w:locked/>
    <w:rsid w:val="002109DD"/>
    <w:rPr>
      <w:rFonts w:cs="Times New Roman"/>
    </w:rPr>
  </w:style>
  <w:style w:type="paragraph" w:styleId="NoSpacing">
    <w:name w:val="No Spacing"/>
    <w:uiPriority w:val="99"/>
    <w:qFormat/>
    <w:rsid w:val="002109DD"/>
    <w:rPr>
      <w:sz w:val="22"/>
      <w:szCs w:val="22"/>
      <w:lang w:eastAsia="en-US"/>
    </w:rPr>
  </w:style>
  <w:style w:type="character" w:styleId="SubtleEmphasis">
    <w:name w:val="Subtle Emphasis"/>
    <w:uiPriority w:val="99"/>
    <w:qFormat/>
    <w:rsid w:val="002109DD"/>
    <w:rPr>
      <w:rFonts w:cs="Times New Roman"/>
      <w:i/>
      <w:color w:val="808080"/>
    </w:rPr>
  </w:style>
  <w:style w:type="character" w:styleId="Emphasis">
    <w:name w:val="Emphasis"/>
    <w:uiPriority w:val="99"/>
    <w:qFormat/>
    <w:rsid w:val="002109DD"/>
    <w:rPr>
      <w:rFonts w:cs="Times New Roman"/>
      <w:i/>
    </w:rPr>
  </w:style>
  <w:style w:type="character" w:styleId="BookTitle">
    <w:name w:val="Book Title"/>
    <w:uiPriority w:val="99"/>
    <w:qFormat/>
    <w:rsid w:val="002109DD"/>
    <w:rPr>
      <w:rFonts w:cs="Times New Roman"/>
      <w:b/>
      <w:smallCaps/>
      <w:spacing w:val="5"/>
    </w:rPr>
  </w:style>
  <w:style w:type="character" w:styleId="IntenseReference">
    <w:name w:val="Intense Reference"/>
    <w:uiPriority w:val="99"/>
    <w:qFormat/>
    <w:rsid w:val="002109DD"/>
    <w:rPr>
      <w:rFonts w:cs="Times New Roman"/>
      <w:b/>
      <w:smallCaps/>
      <w:color w:val="C0504D"/>
      <w:spacing w:val="5"/>
      <w:u w:val="single"/>
    </w:rPr>
  </w:style>
  <w:style w:type="character" w:styleId="IntenseEmphasis">
    <w:name w:val="Intense Emphasis"/>
    <w:uiPriority w:val="99"/>
    <w:qFormat/>
    <w:rsid w:val="002109DD"/>
    <w:rPr>
      <w:rFonts w:cs="Times New Roman"/>
      <w:b/>
      <w:i/>
      <w:color w:val="4F81BD"/>
    </w:rPr>
  </w:style>
  <w:style w:type="paragraph" w:customStyle="1" w:styleId="immtextalignjustify">
    <w:name w:val="immtextalign_justify"/>
    <w:basedOn w:val="Normal"/>
    <w:uiPriority w:val="99"/>
    <w:rsid w:val="004E592E"/>
    <w:pPr>
      <w:spacing w:after="0" w:line="240" w:lineRule="auto"/>
      <w:jc w:val="both"/>
    </w:pPr>
    <w:rPr>
      <w:rFonts w:ascii="Times New Roman" w:eastAsia="Times New Roman" w:hAnsi="Times New Roman"/>
      <w:color w:val="111144"/>
      <w:sz w:val="24"/>
      <w:szCs w:val="24"/>
      <w:lang w:val="en-US"/>
    </w:rPr>
  </w:style>
  <w:style w:type="paragraph" w:customStyle="1" w:styleId="Default">
    <w:name w:val="Default"/>
    <w:uiPriority w:val="99"/>
    <w:rsid w:val="004E592E"/>
    <w:pPr>
      <w:autoSpaceDE w:val="0"/>
      <w:autoSpaceDN w:val="0"/>
      <w:adjustRightInd w:val="0"/>
    </w:pPr>
    <w:rPr>
      <w:rFonts w:ascii="Verdana" w:hAnsi="Verdana" w:cs="Verdana"/>
      <w:color w:val="000000"/>
      <w:sz w:val="24"/>
      <w:szCs w:val="24"/>
      <w:lang w:val="en-US" w:eastAsia="en-US"/>
    </w:rPr>
  </w:style>
  <w:style w:type="character" w:styleId="Strong">
    <w:name w:val="Strong"/>
    <w:uiPriority w:val="99"/>
    <w:qFormat/>
    <w:rsid w:val="00641A1C"/>
    <w:rPr>
      <w:rFonts w:cs="Times New Roman"/>
      <w:b/>
    </w:rPr>
  </w:style>
  <w:style w:type="paragraph" w:styleId="NormalWeb">
    <w:name w:val="Normal (Web)"/>
    <w:basedOn w:val="Normal"/>
    <w:uiPriority w:val="99"/>
    <w:semiHidden/>
    <w:rsid w:val="00641A1C"/>
    <w:pPr>
      <w:spacing w:before="158" w:after="158" w:line="240" w:lineRule="auto"/>
    </w:pPr>
    <w:rPr>
      <w:rFonts w:ascii="Times New Roman" w:eastAsia="Times New Roman" w:hAnsi="Times New Roman"/>
      <w:sz w:val="24"/>
      <w:szCs w:val="24"/>
      <w:lang w:eastAsia="en-GB"/>
    </w:rPr>
  </w:style>
  <w:style w:type="paragraph" w:customStyle="1" w:styleId="TableTitle">
    <w:name w:val="Table Title"/>
    <w:basedOn w:val="Heading7"/>
    <w:link w:val="TableTitleChar"/>
    <w:uiPriority w:val="99"/>
    <w:rsid w:val="00541DF5"/>
    <w:pPr>
      <w:spacing w:after="0" w:line="240" w:lineRule="auto"/>
    </w:pPr>
  </w:style>
  <w:style w:type="paragraph" w:styleId="TableofFigures">
    <w:name w:val="table of figures"/>
    <w:basedOn w:val="Normal"/>
    <w:next w:val="Normal"/>
    <w:link w:val="TableofFiguresChar"/>
    <w:uiPriority w:val="99"/>
    <w:rsid w:val="00602D8C"/>
    <w:pPr>
      <w:tabs>
        <w:tab w:val="right" w:leader="dot" w:pos="8779"/>
      </w:tabs>
      <w:spacing w:after="0"/>
      <w:ind w:left="567" w:hanging="567"/>
    </w:pPr>
    <w:rPr>
      <w:noProof/>
    </w:rPr>
  </w:style>
  <w:style w:type="character" w:customStyle="1" w:styleId="TableTitleChar">
    <w:name w:val="Table Title Char"/>
    <w:link w:val="TableTitle"/>
    <w:uiPriority w:val="99"/>
    <w:locked/>
    <w:rsid w:val="00541DF5"/>
    <w:rPr>
      <w:rFonts w:ascii="Calibri" w:hAnsi="Calibri" w:cs="Arial"/>
      <w:b/>
      <w:sz w:val="24"/>
      <w:szCs w:val="24"/>
      <w:lang w:eastAsia="en-US"/>
    </w:rPr>
  </w:style>
  <w:style w:type="paragraph" w:customStyle="1" w:styleId="ecxmsonormal">
    <w:name w:val="ecxmsonormal"/>
    <w:basedOn w:val="Normal"/>
    <w:uiPriority w:val="99"/>
    <w:rsid w:val="001F117F"/>
    <w:pPr>
      <w:spacing w:after="324" w:line="240" w:lineRule="auto"/>
    </w:pPr>
    <w:rPr>
      <w:rFonts w:ascii="Times New Roman" w:eastAsia="Times New Roman" w:hAnsi="Times New Roman"/>
      <w:sz w:val="24"/>
      <w:szCs w:val="24"/>
      <w:lang w:eastAsia="en-GB"/>
    </w:rPr>
  </w:style>
  <w:style w:type="paragraph" w:customStyle="1" w:styleId="FigureTitle">
    <w:name w:val="Figure Title"/>
    <w:basedOn w:val="TableTitle"/>
    <w:link w:val="FigureTitleChar"/>
    <w:uiPriority w:val="99"/>
    <w:rsid w:val="00B8050A"/>
  </w:style>
  <w:style w:type="paragraph" w:customStyle="1" w:styleId="ListofTables">
    <w:name w:val="List of Tables"/>
    <w:basedOn w:val="TableofFigures"/>
    <w:link w:val="ListofTablesChar"/>
    <w:uiPriority w:val="99"/>
    <w:rsid w:val="001354FC"/>
    <w:pPr>
      <w:tabs>
        <w:tab w:val="right" w:leader="dot" w:pos="9627"/>
      </w:tabs>
    </w:pPr>
  </w:style>
  <w:style w:type="character" w:customStyle="1" w:styleId="FigureTitleChar">
    <w:name w:val="Figure Title Char"/>
    <w:link w:val="FigureTitle"/>
    <w:uiPriority w:val="99"/>
    <w:locked/>
    <w:rsid w:val="00B8050A"/>
    <w:rPr>
      <w:rFonts w:ascii="Calibri" w:hAnsi="Calibri" w:cs="Arial"/>
      <w:b/>
      <w:sz w:val="24"/>
      <w:szCs w:val="24"/>
      <w:lang w:eastAsia="en-US"/>
    </w:rPr>
  </w:style>
  <w:style w:type="character" w:customStyle="1" w:styleId="TableofFiguresChar">
    <w:name w:val="Table of Figures Char"/>
    <w:link w:val="TableofFigures"/>
    <w:uiPriority w:val="99"/>
    <w:locked/>
    <w:rsid w:val="00602D8C"/>
    <w:rPr>
      <w:rFonts w:cs="Times New Roman"/>
      <w:noProof/>
      <w:lang w:eastAsia="en-US"/>
    </w:rPr>
  </w:style>
  <w:style w:type="character" w:customStyle="1" w:styleId="ListofTablesChar">
    <w:name w:val="List of Tables Char"/>
    <w:link w:val="ListofTables"/>
    <w:uiPriority w:val="99"/>
    <w:locked/>
    <w:rsid w:val="001354FC"/>
    <w:rPr>
      <w:rFonts w:cs="Times New Roman"/>
      <w:noProof/>
      <w:lang w:eastAsia="en-US"/>
    </w:rPr>
  </w:style>
  <w:style w:type="paragraph" w:styleId="PlainText">
    <w:name w:val="Plain Text"/>
    <w:basedOn w:val="Normal"/>
    <w:link w:val="PlainTextChar"/>
    <w:uiPriority w:val="99"/>
    <w:unhideWhenUsed/>
    <w:rsid w:val="001D5092"/>
    <w:pPr>
      <w:spacing w:after="0" w:line="240" w:lineRule="auto"/>
    </w:pPr>
    <w:rPr>
      <w:rFonts w:ascii="Consolas" w:eastAsia="Calibri" w:hAnsi="Consolas" w:cs="Arial"/>
      <w:sz w:val="21"/>
      <w:szCs w:val="21"/>
    </w:rPr>
  </w:style>
  <w:style w:type="character" w:customStyle="1" w:styleId="PlainTextChar">
    <w:name w:val="Plain Text Char"/>
    <w:link w:val="PlainText"/>
    <w:uiPriority w:val="99"/>
    <w:rsid w:val="001D5092"/>
    <w:rPr>
      <w:rFonts w:ascii="Consolas" w:eastAsia="Calibri" w:hAnsi="Consolas" w:cs="Arial"/>
      <w:sz w:val="21"/>
      <w:szCs w:val="21"/>
      <w:lang w:eastAsia="en-US"/>
    </w:rPr>
  </w:style>
  <w:style w:type="paragraph" w:styleId="Caption">
    <w:name w:val="caption"/>
    <w:basedOn w:val="Normal"/>
    <w:next w:val="Normal"/>
    <w:unhideWhenUsed/>
    <w:qFormat/>
    <w:locked/>
    <w:rsid w:val="007042C1"/>
    <w:rPr>
      <w:b/>
      <w:bCs/>
      <w:sz w:val="20"/>
      <w:szCs w:val="20"/>
    </w:rPr>
  </w:style>
  <w:style w:type="character" w:styleId="CommentReference">
    <w:name w:val="annotation reference"/>
    <w:uiPriority w:val="99"/>
    <w:semiHidden/>
    <w:unhideWhenUsed/>
    <w:rsid w:val="009044DC"/>
    <w:rPr>
      <w:sz w:val="16"/>
      <w:szCs w:val="16"/>
    </w:rPr>
  </w:style>
  <w:style w:type="paragraph" w:styleId="CommentText">
    <w:name w:val="annotation text"/>
    <w:basedOn w:val="Normal"/>
    <w:link w:val="CommentTextChar"/>
    <w:uiPriority w:val="99"/>
    <w:semiHidden/>
    <w:unhideWhenUsed/>
    <w:rsid w:val="009044DC"/>
    <w:rPr>
      <w:sz w:val="20"/>
      <w:szCs w:val="20"/>
    </w:rPr>
  </w:style>
  <w:style w:type="character" w:customStyle="1" w:styleId="CommentTextChar">
    <w:name w:val="Comment Text Char"/>
    <w:link w:val="CommentText"/>
    <w:uiPriority w:val="99"/>
    <w:semiHidden/>
    <w:rsid w:val="009044DC"/>
    <w:rPr>
      <w:lang w:eastAsia="en-US"/>
    </w:rPr>
  </w:style>
  <w:style w:type="paragraph" w:styleId="CommentSubject">
    <w:name w:val="annotation subject"/>
    <w:basedOn w:val="CommentText"/>
    <w:next w:val="CommentText"/>
    <w:link w:val="CommentSubjectChar"/>
    <w:uiPriority w:val="99"/>
    <w:semiHidden/>
    <w:unhideWhenUsed/>
    <w:rsid w:val="009044DC"/>
    <w:rPr>
      <w:b/>
      <w:bCs/>
    </w:rPr>
  </w:style>
  <w:style w:type="character" w:customStyle="1" w:styleId="CommentSubjectChar">
    <w:name w:val="Comment Subject Char"/>
    <w:link w:val="CommentSubject"/>
    <w:uiPriority w:val="99"/>
    <w:semiHidden/>
    <w:rsid w:val="009044DC"/>
    <w:rPr>
      <w:b/>
      <w:bCs/>
      <w:lang w:eastAsia="en-US"/>
    </w:rPr>
  </w:style>
  <w:style w:type="paragraph" w:styleId="Revision">
    <w:name w:val="Revision"/>
    <w:hidden/>
    <w:uiPriority w:val="99"/>
    <w:semiHidden/>
    <w:rsid w:val="009044DC"/>
    <w:rPr>
      <w:sz w:val="22"/>
      <w:szCs w:val="22"/>
      <w:lang w:eastAsia="en-US"/>
    </w:rPr>
  </w:style>
  <w:style w:type="paragraph" w:styleId="Subtitle">
    <w:name w:val="Subtitle"/>
    <w:basedOn w:val="Normal"/>
    <w:next w:val="Normal"/>
    <w:link w:val="SubtitleChar"/>
    <w:qFormat/>
    <w:locked/>
    <w:rsid w:val="009543E4"/>
    <w:pPr>
      <w:spacing w:after="60"/>
      <w:jc w:val="center"/>
      <w:outlineLvl w:val="1"/>
    </w:pPr>
    <w:rPr>
      <w:rFonts w:ascii="Cambria" w:eastAsia="SimSun" w:hAnsi="Cambria"/>
      <w:sz w:val="24"/>
      <w:szCs w:val="24"/>
    </w:rPr>
  </w:style>
  <w:style w:type="character" w:customStyle="1" w:styleId="SubtitleChar">
    <w:name w:val="Subtitle Char"/>
    <w:link w:val="Subtitle"/>
    <w:rsid w:val="009543E4"/>
    <w:rPr>
      <w:rFonts w:ascii="Cambria" w:eastAsia="SimSun" w:hAnsi="Cambria" w:cs="Times New Roman"/>
      <w:sz w:val="24"/>
      <w:szCs w:val="24"/>
      <w:lang w:eastAsia="en-US"/>
    </w:rPr>
  </w:style>
  <w:style w:type="paragraph" w:styleId="Quote">
    <w:name w:val="Quote"/>
    <w:basedOn w:val="Normal"/>
    <w:next w:val="Normal"/>
    <w:link w:val="QuoteChar"/>
    <w:uiPriority w:val="29"/>
    <w:qFormat/>
    <w:rsid w:val="008F1417"/>
    <w:rPr>
      <w:i/>
      <w:iCs/>
      <w:color w:val="000000"/>
    </w:rPr>
  </w:style>
  <w:style w:type="character" w:customStyle="1" w:styleId="QuoteChar">
    <w:name w:val="Quote Char"/>
    <w:link w:val="Quote"/>
    <w:uiPriority w:val="29"/>
    <w:rsid w:val="008F1417"/>
    <w:rPr>
      <w:i/>
      <w:iCs/>
      <w:color w:val="000000"/>
      <w:sz w:val="22"/>
      <w:szCs w:val="22"/>
      <w:lang w:eastAsia="en-US"/>
    </w:rPr>
  </w:style>
  <w:style w:type="paragraph" w:styleId="IntenseQuote">
    <w:name w:val="Intense Quote"/>
    <w:basedOn w:val="Normal"/>
    <w:next w:val="Normal"/>
    <w:link w:val="IntenseQuoteChar"/>
    <w:uiPriority w:val="30"/>
    <w:qFormat/>
    <w:rsid w:val="005F1D0D"/>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5F1D0D"/>
    <w:rPr>
      <w:b/>
      <w:bCs/>
      <w:i/>
      <w:iCs/>
      <w:color w:val="4F81BD"/>
      <w:sz w:val="22"/>
      <w:szCs w:val="22"/>
      <w:lang w:eastAsia="en-US"/>
    </w:rPr>
  </w:style>
  <w:style w:type="paragraph" w:styleId="FootnoteText">
    <w:name w:val="footnote text"/>
    <w:basedOn w:val="Normal"/>
    <w:link w:val="FootnoteTextChar"/>
    <w:uiPriority w:val="99"/>
    <w:unhideWhenUsed/>
    <w:rsid w:val="00E2533C"/>
    <w:rPr>
      <w:sz w:val="24"/>
      <w:szCs w:val="24"/>
    </w:rPr>
  </w:style>
  <w:style w:type="character" w:customStyle="1" w:styleId="FootnoteTextChar">
    <w:name w:val="Footnote Text Char"/>
    <w:basedOn w:val="DefaultParagraphFont"/>
    <w:link w:val="FootnoteText"/>
    <w:uiPriority w:val="99"/>
    <w:rsid w:val="00E2533C"/>
    <w:rPr>
      <w:sz w:val="24"/>
      <w:szCs w:val="24"/>
      <w:lang w:eastAsia="en-US"/>
    </w:rPr>
  </w:style>
  <w:style w:type="character" w:styleId="FootnoteReference">
    <w:name w:val="footnote reference"/>
    <w:basedOn w:val="DefaultParagraphFont"/>
    <w:uiPriority w:val="99"/>
    <w:unhideWhenUsed/>
    <w:rsid w:val="00E2533C"/>
    <w:rPr>
      <w:vertAlign w:val="superscript"/>
    </w:rPr>
  </w:style>
  <w:style w:type="character" w:styleId="FollowedHyperlink">
    <w:name w:val="FollowedHyperlink"/>
    <w:basedOn w:val="DefaultParagraphFont"/>
    <w:uiPriority w:val="99"/>
    <w:semiHidden/>
    <w:unhideWhenUsed/>
    <w:rsid w:val="006A1266"/>
    <w:rPr>
      <w:color w:val="800080" w:themeColor="followedHyperlink"/>
      <w:u w:val="single"/>
    </w:rPr>
  </w:style>
  <w:style w:type="character" w:styleId="HTMLCite">
    <w:name w:val="HTML Cite"/>
    <w:basedOn w:val="DefaultParagraphFont"/>
    <w:uiPriority w:val="99"/>
    <w:semiHidden/>
    <w:unhideWhenUsed/>
    <w:rsid w:val="006A1266"/>
    <w:rPr>
      <w:i/>
      <w:iCs/>
    </w:rPr>
  </w:style>
  <w:style w:type="character" w:customStyle="1" w:styleId="cit-title">
    <w:name w:val="cit-title"/>
    <w:basedOn w:val="DefaultParagraphFont"/>
    <w:rsid w:val="000470F2"/>
  </w:style>
  <w:style w:type="character" w:customStyle="1" w:styleId="cit-auth">
    <w:name w:val="cit-auth"/>
    <w:basedOn w:val="DefaultParagraphFont"/>
    <w:rsid w:val="000470F2"/>
  </w:style>
  <w:style w:type="character" w:customStyle="1" w:styleId="cit-sep">
    <w:name w:val="cit-sep"/>
    <w:basedOn w:val="DefaultParagraphFont"/>
    <w:rsid w:val="000470F2"/>
  </w:style>
  <w:style w:type="character" w:customStyle="1" w:styleId="apple-converted-space">
    <w:name w:val="apple-converted-space"/>
    <w:basedOn w:val="DefaultParagraphFont"/>
    <w:rsid w:val="000470F2"/>
  </w:style>
  <w:style w:type="character" w:customStyle="1" w:styleId="cit-print-date">
    <w:name w:val="cit-print-date"/>
    <w:basedOn w:val="DefaultParagraphFont"/>
    <w:rsid w:val="000470F2"/>
  </w:style>
  <w:style w:type="character" w:customStyle="1" w:styleId="cit-vol">
    <w:name w:val="cit-vol"/>
    <w:basedOn w:val="DefaultParagraphFont"/>
    <w:rsid w:val="000470F2"/>
  </w:style>
  <w:style w:type="character" w:customStyle="1" w:styleId="cit-issue">
    <w:name w:val="cit-issue"/>
    <w:basedOn w:val="DefaultParagraphFont"/>
    <w:rsid w:val="000470F2"/>
  </w:style>
  <w:style w:type="character" w:customStyle="1" w:styleId="cit-elocation">
    <w:name w:val="cit-elocation"/>
    <w:basedOn w:val="DefaultParagraphFont"/>
    <w:rsid w:val="000470F2"/>
  </w:style>
  <w:style w:type="character" w:customStyle="1" w:styleId="cit-doi">
    <w:name w:val="cit-doi"/>
    <w:basedOn w:val="DefaultParagraphFont"/>
    <w:rsid w:val="00047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435885">
      <w:bodyDiv w:val="1"/>
      <w:marLeft w:val="0"/>
      <w:marRight w:val="0"/>
      <w:marTop w:val="0"/>
      <w:marBottom w:val="0"/>
      <w:divBdr>
        <w:top w:val="none" w:sz="0" w:space="0" w:color="auto"/>
        <w:left w:val="none" w:sz="0" w:space="0" w:color="auto"/>
        <w:bottom w:val="none" w:sz="0" w:space="0" w:color="auto"/>
        <w:right w:val="none" w:sz="0" w:space="0" w:color="auto"/>
      </w:divBdr>
    </w:div>
    <w:div w:id="1054280492">
      <w:bodyDiv w:val="1"/>
      <w:marLeft w:val="0"/>
      <w:marRight w:val="0"/>
      <w:marTop w:val="0"/>
      <w:marBottom w:val="0"/>
      <w:divBdr>
        <w:top w:val="none" w:sz="0" w:space="0" w:color="auto"/>
        <w:left w:val="none" w:sz="0" w:space="0" w:color="auto"/>
        <w:bottom w:val="none" w:sz="0" w:space="0" w:color="auto"/>
        <w:right w:val="none" w:sz="0" w:space="0" w:color="auto"/>
      </w:divBdr>
      <w:divsChild>
        <w:div w:id="1424758957">
          <w:marLeft w:val="0"/>
          <w:marRight w:val="0"/>
          <w:marTop w:val="0"/>
          <w:marBottom w:val="0"/>
          <w:divBdr>
            <w:top w:val="none" w:sz="0" w:space="0" w:color="auto"/>
            <w:left w:val="none" w:sz="0" w:space="0" w:color="auto"/>
            <w:bottom w:val="none" w:sz="0" w:space="0" w:color="auto"/>
            <w:right w:val="none" w:sz="0" w:space="0" w:color="auto"/>
          </w:divBdr>
          <w:divsChild>
            <w:div w:id="77094210">
              <w:marLeft w:val="0"/>
              <w:marRight w:val="0"/>
              <w:marTop w:val="0"/>
              <w:marBottom w:val="0"/>
              <w:divBdr>
                <w:top w:val="none" w:sz="0" w:space="0" w:color="auto"/>
                <w:left w:val="none" w:sz="0" w:space="0" w:color="auto"/>
                <w:bottom w:val="none" w:sz="0" w:space="0" w:color="auto"/>
                <w:right w:val="none" w:sz="0" w:space="0" w:color="auto"/>
              </w:divBdr>
              <w:divsChild>
                <w:div w:id="1755782486">
                  <w:marLeft w:val="0"/>
                  <w:marRight w:val="0"/>
                  <w:marTop w:val="0"/>
                  <w:marBottom w:val="0"/>
                  <w:divBdr>
                    <w:top w:val="none" w:sz="0" w:space="0" w:color="auto"/>
                    <w:left w:val="none" w:sz="0" w:space="0" w:color="auto"/>
                    <w:bottom w:val="none" w:sz="0" w:space="0" w:color="auto"/>
                    <w:right w:val="none" w:sz="0" w:space="0" w:color="auto"/>
                  </w:divBdr>
                  <w:divsChild>
                    <w:div w:id="668950257">
                      <w:marLeft w:val="0"/>
                      <w:marRight w:val="0"/>
                      <w:marTop w:val="0"/>
                      <w:marBottom w:val="0"/>
                      <w:divBdr>
                        <w:top w:val="none" w:sz="0" w:space="0" w:color="auto"/>
                        <w:left w:val="none" w:sz="0" w:space="0" w:color="auto"/>
                        <w:bottom w:val="none" w:sz="0" w:space="0" w:color="auto"/>
                        <w:right w:val="none" w:sz="0" w:space="0" w:color="auto"/>
                      </w:divBdr>
                      <w:divsChild>
                        <w:div w:id="1500660251">
                          <w:marLeft w:val="0"/>
                          <w:marRight w:val="0"/>
                          <w:marTop w:val="0"/>
                          <w:marBottom w:val="0"/>
                          <w:divBdr>
                            <w:top w:val="none" w:sz="0" w:space="0" w:color="auto"/>
                            <w:left w:val="none" w:sz="0" w:space="0" w:color="auto"/>
                            <w:bottom w:val="none" w:sz="0" w:space="0" w:color="auto"/>
                            <w:right w:val="none" w:sz="0" w:space="0" w:color="auto"/>
                          </w:divBdr>
                          <w:divsChild>
                            <w:div w:id="1447849607">
                              <w:marLeft w:val="0"/>
                              <w:marRight w:val="0"/>
                              <w:marTop w:val="0"/>
                              <w:marBottom w:val="0"/>
                              <w:divBdr>
                                <w:top w:val="none" w:sz="0" w:space="0" w:color="auto"/>
                                <w:left w:val="none" w:sz="0" w:space="0" w:color="auto"/>
                                <w:bottom w:val="none" w:sz="0" w:space="0" w:color="auto"/>
                                <w:right w:val="none" w:sz="0" w:space="0" w:color="auto"/>
                              </w:divBdr>
                              <w:divsChild>
                                <w:div w:id="2096976867">
                                  <w:marLeft w:val="0"/>
                                  <w:marRight w:val="0"/>
                                  <w:marTop w:val="0"/>
                                  <w:marBottom w:val="0"/>
                                  <w:divBdr>
                                    <w:top w:val="none" w:sz="0" w:space="0" w:color="auto"/>
                                    <w:left w:val="none" w:sz="0" w:space="0" w:color="auto"/>
                                    <w:bottom w:val="none" w:sz="0" w:space="0" w:color="auto"/>
                                    <w:right w:val="none" w:sz="0" w:space="0" w:color="auto"/>
                                  </w:divBdr>
                                  <w:divsChild>
                                    <w:div w:id="1243173960">
                                      <w:marLeft w:val="0"/>
                                      <w:marRight w:val="0"/>
                                      <w:marTop w:val="0"/>
                                      <w:marBottom w:val="0"/>
                                      <w:divBdr>
                                        <w:top w:val="none" w:sz="0" w:space="0" w:color="auto"/>
                                        <w:left w:val="none" w:sz="0" w:space="0" w:color="auto"/>
                                        <w:bottom w:val="none" w:sz="0" w:space="0" w:color="auto"/>
                                        <w:right w:val="none" w:sz="0" w:space="0" w:color="auto"/>
                                      </w:divBdr>
                                      <w:divsChild>
                                        <w:div w:id="1228147818">
                                          <w:marLeft w:val="0"/>
                                          <w:marRight w:val="0"/>
                                          <w:marTop w:val="0"/>
                                          <w:marBottom w:val="0"/>
                                          <w:divBdr>
                                            <w:top w:val="none" w:sz="0" w:space="0" w:color="auto"/>
                                            <w:left w:val="none" w:sz="0" w:space="0" w:color="auto"/>
                                            <w:bottom w:val="none" w:sz="0" w:space="0" w:color="auto"/>
                                            <w:right w:val="none" w:sz="0" w:space="0" w:color="auto"/>
                                          </w:divBdr>
                                          <w:divsChild>
                                            <w:div w:id="1339233407">
                                              <w:marLeft w:val="0"/>
                                              <w:marRight w:val="0"/>
                                              <w:marTop w:val="0"/>
                                              <w:marBottom w:val="0"/>
                                              <w:divBdr>
                                                <w:top w:val="none" w:sz="0" w:space="0" w:color="auto"/>
                                                <w:left w:val="none" w:sz="0" w:space="0" w:color="auto"/>
                                                <w:bottom w:val="none" w:sz="0" w:space="0" w:color="auto"/>
                                                <w:right w:val="none" w:sz="0" w:space="0" w:color="auto"/>
                                              </w:divBdr>
                                              <w:divsChild>
                                                <w:div w:id="1186869280">
                                                  <w:marLeft w:val="0"/>
                                                  <w:marRight w:val="0"/>
                                                  <w:marTop w:val="0"/>
                                                  <w:marBottom w:val="0"/>
                                                  <w:divBdr>
                                                    <w:top w:val="none" w:sz="0" w:space="0" w:color="auto"/>
                                                    <w:left w:val="none" w:sz="0" w:space="0" w:color="auto"/>
                                                    <w:bottom w:val="none" w:sz="0" w:space="0" w:color="auto"/>
                                                    <w:right w:val="none" w:sz="0" w:space="0" w:color="auto"/>
                                                  </w:divBdr>
                                                  <w:divsChild>
                                                    <w:div w:id="1870871017">
                                                      <w:marLeft w:val="0"/>
                                                      <w:marRight w:val="0"/>
                                                      <w:marTop w:val="0"/>
                                                      <w:marBottom w:val="0"/>
                                                      <w:divBdr>
                                                        <w:top w:val="none" w:sz="0" w:space="0" w:color="auto"/>
                                                        <w:left w:val="none" w:sz="0" w:space="0" w:color="auto"/>
                                                        <w:bottom w:val="none" w:sz="0" w:space="0" w:color="auto"/>
                                                        <w:right w:val="none" w:sz="0" w:space="0" w:color="auto"/>
                                                      </w:divBdr>
                                                      <w:divsChild>
                                                        <w:div w:id="1162886832">
                                                          <w:marLeft w:val="0"/>
                                                          <w:marRight w:val="0"/>
                                                          <w:marTop w:val="0"/>
                                                          <w:marBottom w:val="0"/>
                                                          <w:divBdr>
                                                            <w:top w:val="none" w:sz="0" w:space="0" w:color="auto"/>
                                                            <w:left w:val="none" w:sz="0" w:space="0" w:color="auto"/>
                                                            <w:bottom w:val="none" w:sz="0" w:space="0" w:color="auto"/>
                                                            <w:right w:val="none" w:sz="0" w:space="0" w:color="auto"/>
                                                          </w:divBdr>
                                                          <w:divsChild>
                                                            <w:div w:id="18691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64714430">
      <w:bodyDiv w:val="1"/>
      <w:marLeft w:val="0"/>
      <w:marRight w:val="0"/>
      <w:marTop w:val="0"/>
      <w:marBottom w:val="0"/>
      <w:divBdr>
        <w:top w:val="none" w:sz="0" w:space="0" w:color="auto"/>
        <w:left w:val="none" w:sz="0" w:space="0" w:color="auto"/>
        <w:bottom w:val="none" w:sz="0" w:space="0" w:color="auto"/>
        <w:right w:val="none" w:sz="0" w:space="0" w:color="auto"/>
      </w:divBdr>
    </w:div>
    <w:div w:id="1135294278">
      <w:bodyDiv w:val="1"/>
      <w:marLeft w:val="0"/>
      <w:marRight w:val="0"/>
      <w:marTop w:val="0"/>
      <w:marBottom w:val="0"/>
      <w:divBdr>
        <w:top w:val="none" w:sz="0" w:space="0" w:color="auto"/>
        <w:left w:val="none" w:sz="0" w:space="0" w:color="auto"/>
        <w:bottom w:val="none" w:sz="0" w:space="0" w:color="auto"/>
        <w:right w:val="none" w:sz="0" w:space="0" w:color="auto"/>
      </w:divBdr>
      <w:divsChild>
        <w:div w:id="2130010207">
          <w:marLeft w:val="0"/>
          <w:marRight w:val="0"/>
          <w:marTop w:val="0"/>
          <w:marBottom w:val="0"/>
          <w:divBdr>
            <w:top w:val="dotted" w:sz="12" w:space="6" w:color="000000"/>
            <w:left w:val="none" w:sz="0" w:space="0" w:color="auto"/>
            <w:bottom w:val="none" w:sz="0" w:space="0" w:color="auto"/>
            <w:right w:val="none" w:sz="0" w:space="0" w:color="auto"/>
          </w:divBdr>
        </w:div>
      </w:divsChild>
    </w:div>
    <w:div w:id="1200314944">
      <w:marLeft w:val="0"/>
      <w:marRight w:val="0"/>
      <w:marTop w:val="0"/>
      <w:marBottom w:val="0"/>
      <w:divBdr>
        <w:top w:val="none" w:sz="0" w:space="0" w:color="auto"/>
        <w:left w:val="none" w:sz="0" w:space="0" w:color="auto"/>
        <w:bottom w:val="none" w:sz="0" w:space="0" w:color="auto"/>
        <w:right w:val="none" w:sz="0" w:space="0" w:color="auto"/>
      </w:divBdr>
      <w:divsChild>
        <w:div w:id="1200315096">
          <w:marLeft w:val="0"/>
          <w:marRight w:val="0"/>
          <w:marTop w:val="0"/>
          <w:marBottom w:val="0"/>
          <w:divBdr>
            <w:top w:val="none" w:sz="0" w:space="0" w:color="auto"/>
            <w:left w:val="none" w:sz="0" w:space="0" w:color="auto"/>
            <w:bottom w:val="none" w:sz="0" w:space="0" w:color="auto"/>
            <w:right w:val="none" w:sz="0" w:space="0" w:color="auto"/>
          </w:divBdr>
          <w:divsChild>
            <w:div w:id="1200315089">
              <w:marLeft w:val="0"/>
              <w:marRight w:val="0"/>
              <w:marTop w:val="0"/>
              <w:marBottom w:val="0"/>
              <w:divBdr>
                <w:top w:val="none" w:sz="0" w:space="0" w:color="auto"/>
                <w:left w:val="none" w:sz="0" w:space="0" w:color="auto"/>
                <w:bottom w:val="none" w:sz="0" w:space="0" w:color="auto"/>
                <w:right w:val="none" w:sz="0" w:space="0" w:color="auto"/>
              </w:divBdr>
              <w:divsChild>
                <w:div w:id="1200315033">
                  <w:marLeft w:val="0"/>
                  <w:marRight w:val="0"/>
                  <w:marTop w:val="0"/>
                  <w:marBottom w:val="0"/>
                  <w:divBdr>
                    <w:top w:val="none" w:sz="0" w:space="0" w:color="auto"/>
                    <w:left w:val="none" w:sz="0" w:space="0" w:color="auto"/>
                    <w:bottom w:val="none" w:sz="0" w:space="0" w:color="auto"/>
                    <w:right w:val="none" w:sz="0" w:space="0" w:color="auto"/>
                  </w:divBdr>
                  <w:divsChild>
                    <w:div w:id="1200314971">
                      <w:marLeft w:val="0"/>
                      <w:marRight w:val="0"/>
                      <w:marTop w:val="0"/>
                      <w:marBottom w:val="0"/>
                      <w:divBdr>
                        <w:top w:val="none" w:sz="0" w:space="0" w:color="auto"/>
                        <w:left w:val="none" w:sz="0" w:space="0" w:color="auto"/>
                        <w:bottom w:val="none" w:sz="0" w:space="0" w:color="auto"/>
                        <w:right w:val="none" w:sz="0" w:space="0" w:color="auto"/>
                      </w:divBdr>
                      <w:divsChild>
                        <w:div w:id="1200314963">
                          <w:marLeft w:val="0"/>
                          <w:marRight w:val="0"/>
                          <w:marTop w:val="0"/>
                          <w:marBottom w:val="0"/>
                          <w:divBdr>
                            <w:top w:val="none" w:sz="0" w:space="0" w:color="auto"/>
                            <w:left w:val="none" w:sz="0" w:space="0" w:color="auto"/>
                            <w:bottom w:val="none" w:sz="0" w:space="0" w:color="auto"/>
                            <w:right w:val="none" w:sz="0" w:space="0" w:color="auto"/>
                          </w:divBdr>
                          <w:divsChild>
                            <w:div w:id="1200315074">
                              <w:marLeft w:val="0"/>
                              <w:marRight w:val="0"/>
                              <w:marTop w:val="0"/>
                              <w:marBottom w:val="0"/>
                              <w:divBdr>
                                <w:top w:val="none" w:sz="0" w:space="0" w:color="auto"/>
                                <w:left w:val="none" w:sz="0" w:space="0" w:color="auto"/>
                                <w:bottom w:val="none" w:sz="0" w:space="0" w:color="auto"/>
                                <w:right w:val="none" w:sz="0" w:space="0" w:color="auto"/>
                              </w:divBdr>
                              <w:divsChild>
                                <w:div w:id="1200315087">
                                  <w:marLeft w:val="0"/>
                                  <w:marRight w:val="0"/>
                                  <w:marTop w:val="0"/>
                                  <w:marBottom w:val="0"/>
                                  <w:divBdr>
                                    <w:top w:val="none" w:sz="0" w:space="0" w:color="auto"/>
                                    <w:left w:val="none" w:sz="0" w:space="0" w:color="auto"/>
                                    <w:bottom w:val="none" w:sz="0" w:space="0" w:color="auto"/>
                                    <w:right w:val="none" w:sz="0" w:space="0" w:color="auto"/>
                                  </w:divBdr>
                                  <w:divsChild>
                                    <w:div w:id="1200315041">
                                      <w:marLeft w:val="0"/>
                                      <w:marRight w:val="0"/>
                                      <w:marTop w:val="0"/>
                                      <w:marBottom w:val="0"/>
                                      <w:divBdr>
                                        <w:top w:val="none" w:sz="0" w:space="0" w:color="auto"/>
                                        <w:left w:val="none" w:sz="0" w:space="0" w:color="auto"/>
                                        <w:bottom w:val="none" w:sz="0" w:space="0" w:color="auto"/>
                                        <w:right w:val="none" w:sz="0" w:space="0" w:color="auto"/>
                                      </w:divBdr>
                                      <w:divsChild>
                                        <w:div w:id="1200314953">
                                          <w:marLeft w:val="0"/>
                                          <w:marRight w:val="0"/>
                                          <w:marTop w:val="0"/>
                                          <w:marBottom w:val="0"/>
                                          <w:divBdr>
                                            <w:top w:val="none" w:sz="0" w:space="0" w:color="auto"/>
                                            <w:left w:val="none" w:sz="0" w:space="0" w:color="auto"/>
                                            <w:bottom w:val="none" w:sz="0" w:space="0" w:color="auto"/>
                                            <w:right w:val="none" w:sz="0" w:space="0" w:color="auto"/>
                                          </w:divBdr>
                                          <w:divsChild>
                                            <w:div w:id="1200315107">
                                              <w:marLeft w:val="0"/>
                                              <w:marRight w:val="0"/>
                                              <w:marTop w:val="0"/>
                                              <w:marBottom w:val="0"/>
                                              <w:divBdr>
                                                <w:top w:val="none" w:sz="0" w:space="0" w:color="auto"/>
                                                <w:left w:val="none" w:sz="0" w:space="0" w:color="auto"/>
                                                <w:bottom w:val="none" w:sz="0" w:space="0" w:color="auto"/>
                                                <w:right w:val="none" w:sz="0" w:space="0" w:color="auto"/>
                                              </w:divBdr>
                                              <w:divsChild>
                                                <w:div w:id="1200314925">
                                                  <w:marLeft w:val="0"/>
                                                  <w:marRight w:val="90"/>
                                                  <w:marTop w:val="0"/>
                                                  <w:marBottom w:val="0"/>
                                                  <w:divBdr>
                                                    <w:top w:val="none" w:sz="0" w:space="0" w:color="auto"/>
                                                    <w:left w:val="none" w:sz="0" w:space="0" w:color="auto"/>
                                                    <w:bottom w:val="none" w:sz="0" w:space="0" w:color="auto"/>
                                                    <w:right w:val="none" w:sz="0" w:space="0" w:color="auto"/>
                                                  </w:divBdr>
                                                  <w:divsChild>
                                                    <w:div w:id="1200314998">
                                                      <w:marLeft w:val="0"/>
                                                      <w:marRight w:val="0"/>
                                                      <w:marTop w:val="0"/>
                                                      <w:marBottom w:val="0"/>
                                                      <w:divBdr>
                                                        <w:top w:val="none" w:sz="0" w:space="0" w:color="auto"/>
                                                        <w:left w:val="none" w:sz="0" w:space="0" w:color="auto"/>
                                                        <w:bottom w:val="none" w:sz="0" w:space="0" w:color="auto"/>
                                                        <w:right w:val="none" w:sz="0" w:space="0" w:color="auto"/>
                                                      </w:divBdr>
                                                      <w:divsChild>
                                                        <w:div w:id="1200315070">
                                                          <w:marLeft w:val="0"/>
                                                          <w:marRight w:val="0"/>
                                                          <w:marTop w:val="0"/>
                                                          <w:marBottom w:val="0"/>
                                                          <w:divBdr>
                                                            <w:top w:val="none" w:sz="0" w:space="0" w:color="auto"/>
                                                            <w:left w:val="none" w:sz="0" w:space="0" w:color="auto"/>
                                                            <w:bottom w:val="none" w:sz="0" w:space="0" w:color="auto"/>
                                                            <w:right w:val="none" w:sz="0" w:space="0" w:color="auto"/>
                                                          </w:divBdr>
                                                          <w:divsChild>
                                                            <w:div w:id="1200315066">
                                                              <w:marLeft w:val="0"/>
                                                              <w:marRight w:val="0"/>
                                                              <w:marTop w:val="0"/>
                                                              <w:marBottom w:val="0"/>
                                                              <w:divBdr>
                                                                <w:top w:val="none" w:sz="0" w:space="0" w:color="auto"/>
                                                                <w:left w:val="none" w:sz="0" w:space="0" w:color="auto"/>
                                                                <w:bottom w:val="none" w:sz="0" w:space="0" w:color="auto"/>
                                                                <w:right w:val="none" w:sz="0" w:space="0" w:color="auto"/>
                                                              </w:divBdr>
                                                              <w:divsChild>
                                                                <w:div w:id="1200315031">
                                                                  <w:marLeft w:val="0"/>
                                                                  <w:marRight w:val="0"/>
                                                                  <w:marTop w:val="0"/>
                                                                  <w:marBottom w:val="105"/>
                                                                  <w:divBdr>
                                                                    <w:top w:val="single" w:sz="6" w:space="0" w:color="EDEDED"/>
                                                                    <w:left w:val="single" w:sz="6" w:space="0" w:color="EDEDED"/>
                                                                    <w:bottom w:val="single" w:sz="6" w:space="0" w:color="EDEDED"/>
                                                                    <w:right w:val="single" w:sz="6" w:space="0" w:color="EDEDED"/>
                                                                  </w:divBdr>
                                                                  <w:divsChild>
                                                                    <w:div w:id="1200314933">
                                                                      <w:marLeft w:val="0"/>
                                                                      <w:marRight w:val="0"/>
                                                                      <w:marTop w:val="0"/>
                                                                      <w:marBottom w:val="0"/>
                                                                      <w:divBdr>
                                                                        <w:top w:val="none" w:sz="0" w:space="0" w:color="auto"/>
                                                                        <w:left w:val="none" w:sz="0" w:space="0" w:color="auto"/>
                                                                        <w:bottom w:val="none" w:sz="0" w:space="0" w:color="auto"/>
                                                                        <w:right w:val="none" w:sz="0" w:space="0" w:color="auto"/>
                                                                      </w:divBdr>
                                                                      <w:divsChild>
                                                                        <w:div w:id="1200314982">
                                                                          <w:marLeft w:val="0"/>
                                                                          <w:marRight w:val="0"/>
                                                                          <w:marTop w:val="0"/>
                                                                          <w:marBottom w:val="0"/>
                                                                          <w:divBdr>
                                                                            <w:top w:val="none" w:sz="0" w:space="0" w:color="auto"/>
                                                                            <w:left w:val="none" w:sz="0" w:space="0" w:color="auto"/>
                                                                            <w:bottom w:val="none" w:sz="0" w:space="0" w:color="auto"/>
                                                                            <w:right w:val="none" w:sz="0" w:space="0" w:color="auto"/>
                                                                          </w:divBdr>
                                                                          <w:divsChild>
                                                                            <w:div w:id="1200315032">
                                                                              <w:marLeft w:val="0"/>
                                                                              <w:marRight w:val="0"/>
                                                                              <w:marTop w:val="0"/>
                                                                              <w:marBottom w:val="0"/>
                                                                              <w:divBdr>
                                                                                <w:top w:val="none" w:sz="0" w:space="0" w:color="auto"/>
                                                                                <w:left w:val="none" w:sz="0" w:space="0" w:color="auto"/>
                                                                                <w:bottom w:val="none" w:sz="0" w:space="0" w:color="auto"/>
                                                                                <w:right w:val="none" w:sz="0" w:space="0" w:color="auto"/>
                                                                              </w:divBdr>
                                                                              <w:divsChild>
                                                                                <w:div w:id="1200314946">
                                                                                  <w:marLeft w:val="180"/>
                                                                                  <w:marRight w:val="180"/>
                                                                                  <w:marTop w:val="0"/>
                                                                                  <w:marBottom w:val="0"/>
                                                                                  <w:divBdr>
                                                                                    <w:top w:val="none" w:sz="0" w:space="0" w:color="auto"/>
                                                                                    <w:left w:val="none" w:sz="0" w:space="0" w:color="auto"/>
                                                                                    <w:bottom w:val="none" w:sz="0" w:space="0" w:color="auto"/>
                                                                                    <w:right w:val="none" w:sz="0" w:space="0" w:color="auto"/>
                                                                                  </w:divBdr>
                                                                                  <w:divsChild>
                                                                                    <w:div w:id="1200315086">
                                                                                      <w:marLeft w:val="0"/>
                                                                                      <w:marRight w:val="0"/>
                                                                                      <w:marTop w:val="0"/>
                                                                                      <w:marBottom w:val="0"/>
                                                                                      <w:divBdr>
                                                                                        <w:top w:val="none" w:sz="0" w:space="0" w:color="auto"/>
                                                                                        <w:left w:val="none" w:sz="0" w:space="0" w:color="auto"/>
                                                                                        <w:bottom w:val="none" w:sz="0" w:space="0" w:color="auto"/>
                                                                                        <w:right w:val="none" w:sz="0" w:space="0" w:color="auto"/>
                                                                                      </w:divBdr>
                                                                                      <w:divsChild>
                                                                                        <w:div w:id="1200314938">
                                                                                          <w:marLeft w:val="0"/>
                                                                                          <w:marRight w:val="0"/>
                                                                                          <w:marTop w:val="0"/>
                                                                                          <w:marBottom w:val="0"/>
                                                                                          <w:divBdr>
                                                                                            <w:top w:val="none" w:sz="0" w:space="0" w:color="auto"/>
                                                                                            <w:left w:val="none" w:sz="0" w:space="0" w:color="auto"/>
                                                                                            <w:bottom w:val="none" w:sz="0" w:space="0" w:color="auto"/>
                                                                                            <w:right w:val="none" w:sz="0" w:space="0" w:color="auto"/>
                                                                                          </w:divBdr>
                                                                                          <w:divsChild>
                                                                                            <w:div w:id="1200315030">
                                                                                              <w:marLeft w:val="0"/>
                                                                                              <w:marRight w:val="0"/>
                                                                                              <w:marTop w:val="0"/>
                                                                                              <w:marBottom w:val="0"/>
                                                                                              <w:divBdr>
                                                                                                <w:top w:val="none" w:sz="0" w:space="0" w:color="auto"/>
                                                                                                <w:left w:val="none" w:sz="0" w:space="0" w:color="auto"/>
                                                                                                <w:bottom w:val="none" w:sz="0" w:space="0" w:color="auto"/>
                                                                                                <w:right w:val="none" w:sz="0" w:space="0" w:color="auto"/>
                                                                                              </w:divBdr>
                                                                                              <w:divsChild>
                                                                                                <w:div w:id="1200315092">
                                                                                                  <w:marLeft w:val="0"/>
                                                                                                  <w:marRight w:val="0"/>
                                                                                                  <w:marTop w:val="0"/>
                                                                                                  <w:marBottom w:val="0"/>
                                                                                                  <w:divBdr>
                                                                                                    <w:top w:val="none" w:sz="0" w:space="0" w:color="auto"/>
                                                                                                    <w:left w:val="none" w:sz="0" w:space="0" w:color="auto"/>
                                                                                                    <w:bottom w:val="none" w:sz="0" w:space="0" w:color="auto"/>
                                                                                                    <w:right w:val="none" w:sz="0" w:space="0" w:color="auto"/>
                                                                                                  </w:divBdr>
                                                                                                  <w:divsChild>
                                                                                                    <w:div w:id="1200314940">
                                                                                                      <w:marLeft w:val="0"/>
                                                                                                      <w:marRight w:val="0"/>
                                                                                                      <w:marTop w:val="0"/>
                                                                                                      <w:marBottom w:val="0"/>
                                                                                                      <w:divBdr>
                                                                                                        <w:top w:val="none" w:sz="0" w:space="0" w:color="auto"/>
                                                                                                        <w:left w:val="none" w:sz="0" w:space="0" w:color="auto"/>
                                                                                                        <w:bottom w:val="none" w:sz="0" w:space="0" w:color="auto"/>
                                                                                                        <w:right w:val="none" w:sz="0" w:space="0" w:color="auto"/>
                                                                                                      </w:divBdr>
                                                                                                      <w:divsChild>
                                                                                                        <w:div w:id="120031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0314987">
      <w:marLeft w:val="0"/>
      <w:marRight w:val="0"/>
      <w:marTop w:val="0"/>
      <w:marBottom w:val="0"/>
      <w:divBdr>
        <w:top w:val="none" w:sz="0" w:space="0" w:color="auto"/>
        <w:left w:val="none" w:sz="0" w:space="0" w:color="auto"/>
        <w:bottom w:val="none" w:sz="0" w:space="0" w:color="auto"/>
        <w:right w:val="none" w:sz="0" w:space="0" w:color="auto"/>
      </w:divBdr>
      <w:divsChild>
        <w:div w:id="1200314978">
          <w:marLeft w:val="0"/>
          <w:marRight w:val="0"/>
          <w:marTop w:val="0"/>
          <w:marBottom w:val="0"/>
          <w:divBdr>
            <w:top w:val="none" w:sz="0" w:space="0" w:color="auto"/>
            <w:left w:val="none" w:sz="0" w:space="0" w:color="auto"/>
            <w:bottom w:val="none" w:sz="0" w:space="0" w:color="auto"/>
            <w:right w:val="none" w:sz="0" w:space="0" w:color="auto"/>
          </w:divBdr>
          <w:divsChild>
            <w:div w:id="1200315110">
              <w:marLeft w:val="0"/>
              <w:marRight w:val="0"/>
              <w:marTop w:val="0"/>
              <w:marBottom w:val="0"/>
              <w:divBdr>
                <w:top w:val="none" w:sz="0" w:space="0" w:color="auto"/>
                <w:left w:val="none" w:sz="0" w:space="0" w:color="auto"/>
                <w:bottom w:val="none" w:sz="0" w:space="0" w:color="auto"/>
                <w:right w:val="none" w:sz="0" w:space="0" w:color="auto"/>
              </w:divBdr>
              <w:divsChild>
                <w:div w:id="1200315054">
                  <w:marLeft w:val="0"/>
                  <w:marRight w:val="0"/>
                  <w:marTop w:val="0"/>
                  <w:marBottom w:val="0"/>
                  <w:divBdr>
                    <w:top w:val="none" w:sz="0" w:space="0" w:color="auto"/>
                    <w:left w:val="none" w:sz="0" w:space="0" w:color="auto"/>
                    <w:bottom w:val="none" w:sz="0" w:space="0" w:color="auto"/>
                    <w:right w:val="none" w:sz="0" w:space="0" w:color="auto"/>
                  </w:divBdr>
                  <w:divsChild>
                    <w:div w:id="1200315076">
                      <w:marLeft w:val="0"/>
                      <w:marRight w:val="0"/>
                      <w:marTop w:val="0"/>
                      <w:marBottom w:val="0"/>
                      <w:divBdr>
                        <w:top w:val="none" w:sz="0" w:space="0" w:color="auto"/>
                        <w:left w:val="none" w:sz="0" w:space="0" w:color="auto"/>
                        <w:bottom w:val="none" w:sz="0" w:space="0" w:color="auto"/>
                        <w:right w:val="none" w:sz="0" w:space="0" w:color="auto"/>
                      </w:divBdr>
                      <w:divsChild>
                        <w:div w:id="1200314993">
                          <w:marLeft w:val="0"/>
                          <w:marRight w:val="0"/>
                          <w:marTop w:val="0"/>
                          <w:marBottom w:val="0"/>
                          <w:divBdr>
                            <w:top w:val="none" w:sz="0" w:space="0" w:color="auto"/>
                            <w:left w:val="none" w:sz="0" w:space="0" w:color="auto"/>
                            <w:bottom w:val="none" w:sz="0" w:space="0" w:color="auto"/>
                            <w:right w:val="none" w:sz="0" w:space="0" w:color="auto"/>
                          </w:divBdr>
                          <w:divsChild>
                            <w:div w:id="1200314930">
                              <w:marLeft w:val="0"/>
                              <w:marRight w:val="0"/>
                              <w:marTop w:val="0"/>
                              <w:marBottom w:val="0"/>
                              <w:divBdr>
                                <w:top w:val="none" w:sz="0" w:space="0" w:color="auto"/>
                                <w:left w:val="none" w:sz="0" w:space="0" w:color="auto"/>
                                <w:bottom w:val="none" w:sz="0" w:space="0" w:color="auto"/>
                                <w:right w:val="none" w:sz="0" w:space="0" w:color="auto"/>
                              </w:divBdr>
                              <w:divsChild>
                                <w:div w:id="1200315048">
                                  <w:marLeft w:val="0"/>
                                  <w:marRight w:val="0"/>
                                  <w:marTop w:val="0"/>
                                  <w:marBottom w:val="0"/>
                                  <w:divBdr>
                                    <w:top w:val="none" w:sz="0" w:space="0" w:color="auto"/>
                                    <w:left w:val="none" w:sz="0" w:space="0" w:color="auto"/>
                                    <w:bottom w:val="none" w:sz="0" w:space="0" w:color="auto"/>
                                    <w:right w:val="none" w:sz="0" w:space="0" w:color="auto"/>
                                  </w:divBdr>
                                  <w:divsChild>
                                    <w:div w:id="1200314960">
                                      <w:marLeft w:val="0"/>
                                      <w:marRight w:val="0"/>
                                      <w:marTop w:val="0"/>
                                      <w:marBottom w:val="0"/>
                                      <w:divBdr>
                                        <w:top w:val="none" w:sz="0" w:space="0" w:color="auto"/>
                                        <w:left w:val="none" w:sz="0" w:space="0" w:color="auto"/>
                                        <w:bottom w:val="none" w:sz="0" w:space="0" w:color="auto"/>
                                        <w:right w:val="none" w:sz="0" w:space="0" w:color="auto"/>
                                      </w:divBdr>
                                      <w:divsChild>
                                        <w:div w:id="1200315049">
                                          <w:marLeft w:val="0"/>
                                          <w:marRight w:val="0"/>
                                          <w:marTop w:val="0"/>
                                          <w:marBottom w:val="0"/>
                                          <w:divBdr>
                                            <w:top w:val="none" w:sz="0" w:space="0" w:color="auto"/>
                                            <w:left w:val="none" w:sz="0" w:space="0" w:color="auto"/>
                                            <w:bottom w:val="none" w:sz="0" w:space="0" w:color="auto"/>
                                            <w:right w:val="none" w:sz="0" w:space="0" w:color="auto"/>
                                          </w:divBdr>
                                          <w:divsChild>
                                            <w:div w:id="1200315073">
                                              <w:marLeft w:val="0"/>
                                              <w:marRight w:val="0"/>
                                              <w:marTop w:val="0"/>
                                              <w:marBottom w:val="0"/>
                                              <w:divBdr>
                                                <w:top w:val="none" w:sz="0" w:space="0" w:color="auto"/>
                                                <w:left w:val="none" w:sz="0" w:space="0" w:color="auto"/>
                                                <w:bottom w:val="none" w:sz="0" w:space="0" w:color="auto"/>
                                                <w:right w:val="none" w:sz="0" w:space="0" w:color="auto"/>
                                              </w:divBdr>
                                              <w:divsChild>
                                                <w:div w:id="1200315100">
                                                  <w:marLeft w:val="0"/>
                                                  <w:marRight w:val="90"/>
                                                  <w:marTop w:val="0"/>
                                                  <w:marBottom w:val="0"/>
                                                  <w:divBdr>
                                                    <w:top w:val="none" w:sz="0" w:space="0" w:color="auto"/>
                                                    <w:left w:val="none" w:sz="0" w:space="0" w:color="auto"/>
                                                    <w:bottom w:val="none" w:sz="0" w:space="0" w:color="auto"/>
                                                    <w:right w:val="none" w:sz="0" w:space="0" w:color="auto"/>
                                                  </w:divBdr>
                                                  <w:divsChild>
                                                    <w:div w:id="1200314975">
                                                      <w:marLeft w:val="0"/>
                                                      <w:marRight w:val="0"/>
                                                      <w:marTop w:val="0"/>
                                                      <w:marBottom w:val="0"/>
                                                      <w:divBdr>
                                                        <w:top w:val="none" w:sz="0" w:space="0" w:color="auto"/>
                                                        <w:left w:val="none" w:sz="0" w:space="0" w:color="auto"/>
                                                        <w:bottom w:val="none" w:sz="0" w:space="0" w:color="auto"/>
                                                        <w:right w:val="none" w:sz="0" w:space="0" w:color="auto"/>
                                                      </w:divBdr>
                                                      <w:divsChild>
                                                        <w:div w:id="1200315064">
                                                          <w:marLeft w:val="0"/>
                                                          <w:marRight w:val="0"/>
                                                          <w:marTop w:val="0"/>
                                                          <w:marBottom w:val="0"/>
                                                          <w:divBdr>
                                                            <w:top w:val="none" w:sz="0" w:space="0" w:color="auto"/>
                                                            <w:left w:val="none" w:sz="0" w:space="0" w:color="auto"/>
                                                            <w:bottom w:val="none" w:sz="0" w:space="0" w:color="auto"/>
                                                            <w:right w:val="none" w:sz="0" w:space="0" w:color="auto"/>
                                                          </w:divBdr>
                                                          <w:divsChild>
                                                            <w:div w:id="1200314961">
                                                              <w:marLeft w:val="0"/>
                                                              <w:marRight w:val="0"/>
                                                              <w:marTop w:val="0"/>
                                                              <w:marBottom w:val="0"/>
                                                              <w:divBdr>
                                                                <w:top w:val="none" w:sz="0" w:space="0" w:color="auto"/>
                                                                <w:left w:val="none" w:sz="0" w:space="0" w:color="auto"/>
                                                                <w:bottom w:val="none" w:sz="0" w:space="0" w:color="auto"/>
                                                                <w:right w:val="none" w:sz="0" w:space="0" w:color="auto"/>
                                                              </w:divBdr>
                                                              <w:divsChild>
                                                                <w:div w:id="1200315080">
                                                                  <w:marLeft w:val="0"/>
                                                                  <w:marRight w:val="0"/>
                                                                  <w:marTop w:val="0"/>
                                                                  <w:marBottom w:val="105"/>
                                                                  <w:divBdr>
                                                                    <w:top w:val="single" w:sz="6" w:space="0" w:color="EDEDED"/>
                                                                    <w:left w:val="single" w:sz="6" w:space="0" w:color="EDEDED"/>
                                                                    <w:bottom w:val="single" w:sz="6" w:space="0" w:color="EDEDED"/>
                                                                    <w:right w:val="single" w:sz="6" w:space="0" w:color="EDEDED"/>
                                                                  </w:divBdr>
                                                                  <w:divsChild>
                                                                    <w:div w:id="1200315055">
                                                                      <w:marLeft w:val="0"/>
                                                                      <w:marRight w:val="0"/>
                                                                      <w:marTop w:val="0"/>
                                                                      <w:marBottom w:val="0"/>
                                                                      <w:divBdr>
                                                                        <w:top w:val="none" w:sz="0" w:space="0" w:color="auto"/>
                                                                        <w:left w:val="none" w:sz="0" w:space="0" w:color="auto"/>
                                                                        <w:bottom w:val="none" w:sz="0" w:space="0" w:color="auto"/>
                                                                        <w:right w:val="none" w:sz="0" w:space="0" w:color="auto"/>
                                                                      </w:divBdr>
                                                                      <w:divsChild>
                                                                        <w:div w:id="1200315034">
                                                                          <w:marLeft w:val="0"/>
                                                                          <w:marRight w:val="0"/>
                                                                          <w:marTop w:val="0"/>
                                                                          <w:marBottom w:val="0"/>
                                                                          <w:divBdr>
                                                                            <w:top w:val="none" w:sz="0" w:space="0" w:color="auto"/>
                                                                            <w:left w:val="none" w:sz="0" w:space="0" w:color="auto"/>
                                                                            <w:bottom w:val="none" w:sz="0" w:space="0" w:color="auto"/>
                                                                            <w:right w:val="none" w:sz="0" w:space="0" w:color="auto"/>
                                                                          </w:divBdr>
                                                                          <w:divsChild>
                                                                            <w:div w:id="1200314976">
                                                                              <w:marLeft w:val="0"/>
                                                                              <w:marRight w:val="0"/>
                                                                              <w:marTop w:val="0"/>
                                                                              <w:marBottom w:val="0"/>
                                                                              <w:divBdr>
                                                                                <w:top w:val="none" w:sz="0" w:space="0" w:color="auto"/>
                                                                                <w:left w:val="none" w:sz="0" w:space="0" w:color="auto"/>
                                                                                <w:bottom w:val="none" w:sz="0" w:space="0" w:color="auto"/>
                                                                                <w:right w:val="none" w:sz="0" w:space="0" w:color="auto"/>
                                                                              </w:divBdr>
                                                                              <w:divsChild>
                                                                                <w:div w:id="1200314929">
                                                                                  <w:marLeft w:val="180"/>
                                                                                  <w:marRight w:val="180"/>
                                                                                  <w:marTop w:val="0"/>
                                                                                  <w:marBottom w:val="0"/>
                                                                                  <w:divBdr>
                                                                                    <w:top w:val="none" w:sz="0" w:space="0" w:color="auto"/>
                                                                                    <w:left w:val="none" w:sz="0" w:space="0" w:color="auto"/>
                                                                                    <w:bottom w:val="none" w:sz="0" w:space="0" w:color="auto"/>
                                                                                    <w:right w:val="none" w:sz="0" w:space="0" w:color="auto"/>
                                                                                  </w:divBdr>
                                                                                  <w:divsChild>
                                                                                    <w:div w:id="1200315035">
                                                                                      <w:marLeft w:val="0"/>
                                                                                      <w:marRight w:val="0"/>
                                                                                      <w:marTop w:val="0"/>
                                                                                      <w:marBottom w:val="0"/>
                                                                                      <w:divBdr>
                                                                                        <w:top w:val="none" w:sz="0" w:space="0" w:color="auto"/>
                                                                                        <w:left w:val="none" w:sz="0" w:space="0" w:color="auto"/>
                                                                                        <w:bottom w:val="none" w:sz="0" w:space="0" w:color="auto"/>
                                                                                        <w:right w:val="none" w:sz="0" w:space="0" w:color="auto"/>
                                                                                      </w:divBdr>
                                                                                      <w:divsChild>
                                                                                        <w:div w:id="1200315116">
                                                                                          <w:marLeft w:val="0"/>
                                                                                          <w:marRight w:val="0"/>
                                                                                          <w:marTop w:val="0"/>
                                                                                          <w:marBottom w:val="0"/>
                                                                                          <w:divBdr>
                                                                                            <w:top w:val="none" w:sz="0" w:space="0" w:color="auto"/>
                                                                                            <w:left w:val="none" w:sz="0" w:space="0" w:color="auto"/>
                                                                                            <w:bottom w:val="none" w:sz="0" w:space="0" w:color="auto"/>
                                                                                            <w:right w:val="none" w:sz="0" w:space="0" w:color="auto"/>
                                                                                          </w:divBdr>
                                                                                          <w:divsChild>
                                                                                            <w:div w:id="1200315044">
                                                                                              <w:marLeft w:val="0"/>
                                                                                              <w:marRight w:val="0"/>
                                                                                              <w:marTop w:val="0"/>
                                                                                              <w:marBottom w:val="0"/>
                                                                                              <w:divBdr>
                                                                                                <w:top w:val="none" w:sz="0" w:space="0" w:color="auto"/>
                                                                                                <w:left w:val="none" w:sz="0" w:space="0" w:color="auto"/>
                                                                                                <w:bottom w:val="none" w:sz="0" w:space="0" w:color="auto"/>
                                                                                                <w:right w:val="none" w:sz="0" w:space="0" w:color="auto"/>
                                                                                              </w:divBdr>
                                                                                              <w:divsChild>
                                                                                                <w:div w:id="1200315097">
                                                                                                  <w:marLeft w:val="0"/>
                                                                                                  <w:marRight w:val="0"/>
                                                                                                  <w:marTop w:val="0"/>
                                                                                                  <w:marBottom w:val="0"/>
                                                                                                  <w:divBdr>
                                                                                                    <w:top w:val="none" w:sz="0" w:space="0" w:color="auto"/>
                                                                                                    <w:left w:val="none" w:sz="0" w:space="0" w:color="auto"/>
                                                                                                    <w:bottom w:val="none" w:sz="0" w:space="0" w:color="auto"/>
                                                                                                    <w:right w:val="none" w:sz="0" w:space="0" w:color="auto"/>
                                                                                                  </w:divBdr>
                                                                                                  <w:divsChild>
                                                                                                    <w:div w:id="1200314935">
                                                                                                      <w:marLeft w:val="0"/>
                                                                                                      <w:marRight w:val="0"/>
                                                                                                      <w:marTop w:val="0"/>
                                                                                                      <w:marBottom w:val="0"/>
                                                                                                      <w:divBdr>
                                                                                                        <w:top w:val="none" w:sz="0" w:space="0" w:color="auto"/>
                                                                                                        <w:left w:val="none" w:sz="0" w:space="0" w:color="auto"/>
                                                                                                        <w:bottom w:val="none" w:sz="0" w:space="0" w:color="auto"/>
                                                                                                        <w:right w:val="none" w:sz="0" w:space="0" w:color="auto"/>
                                                                                                      </w:divBdr>
                                                                                                      <w:divsChild>
                                                                                                        <w:div w:id="120031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0314999">
      <w:marLeft w:val="0"/>
      <w:marRight w:val="0"/>
      <w:marTop w:val="0"/>
      <w:marBottom w:val="0"/>
      <w:divBdr>
        <w:top w:val="none" w:sz="0" w:space="0" w:color="auto"/>
        <w:left w:val="none" w:sz="0" w:space="0" w:color="auto"/>
        <w:bottom w:val="none" w:sz="0" w:space="0" w:color="auto"/>
        <w:right w:val="none" w:sz="0" w:space="0" w:color="auto"/>
      </w:divBdr>
      <w:divsChild>
        <w:div w:id="1200315046">
          <w:marLeft w:val="0"/>
          <w:marRight w:val="0"/>
          <w:marTop w:val="0"/>
          <w:marBottom w:val="0"/>
          <w:divBdr>
            <w:top w:val="none" w:sz="0" w:space="0" w:color="auto"/>
            <w:left w:val="none" w:sz="0" w:space="0" w:color="auto"/>
            <w:bottom w:val="none" w:sz="0" w:space="0" w:color="auto"/>
            <w:right w:val="none" w:sz="0" w:space="0" w:color="auto"/>
          </w:divBdr>
          <w:divsChild>
            <w:div w:id="1200315102">
              <w:marLeft w:val="0"/>
              <w:marRight w:val="0"/>
              <w:marTop w:val="0"/>
              <w:marBottom w:val="0"/>
              <w:divBdr>
                <w:top w:val="none" w:sz="0" w:space="0" w:color="auto"/>
                <w:left w:val="none" w:sz="0" w:space="0" w:color="auto"/>
                <w:bottom w:val="none" w:sz="0" w:space="0" w:color="auto"/>
                <w:right w:val="none" w:sz="0" w:space="0" w:color="auto"/>
              </w:divBdr>
              <w:divsChild>
                <w:div w:id="1200315037">
                  <w:marLeft w:val="0"/>
                  <w:marRight w:val="0"/>
                  <w:marTop w:val="0"/>
                  <w:marBottom w:val="0"/>
                  <w:divBdr>
                    <w:top w:val="none" w:sz="0" w:space="0" w:color="auto"/>
                    <w:left w:val="none" w:sz="0" w:space="0" w:color="auto"/>
                    <w:bottom w:val="none" w:sz="0" w:space="0" w:color="auto"/>
                    <w:right w:val="none" w:sz="0" w:space="0" w:color="auto"/>
                  </w:divBdr>
                  <w:divsChild>
                    <w:div w:id="1200315039">
                      <w:marLeft w:val="0"/>
                      <w:marRight w:val="0"/>
                      <w:marTop w:val="0"/>
                      <w:marBottom w:val="0"/>
                      <w:divBdr>
                        <w:top w:val="none" w:sz="0" w:space="0" w:color="auto"/>
                        <w:left w:val="none" w:sz="0" w:space="0" w:color="auto"/>
                        <w:bottom w:val="none" w:sz="0" w:space="0" w:color="auto"/>
                        <w:right w:val="none" w:sz="0" w:space="0" w:color="auto"/>
                      </w:divBdr>
                      <w:divsChild>
                        <w:div w:id="1200315083">
                          <w:marLeft w:val="0"/>
                          <w:marRight w:val="0"/>
                          <w:marTop w:val="0"/>
                          <w:marBottom w:val="0"/>
                          <w:divBdr>
                            <w:top w:val="none" w:sz="0" w:space="0" w:color="auto"/>
                            <w:left w:val="none" w:sz="0" w:space="0" w:color="auto"/>
                            <w:bottom w:val="none" w:sz="0" w:space="0" w:color="auto"/>
                            <w:right w:val="none" w:sz="0" w:space="0" w:color="auto"/>
                          </w:divBdr>
                          <w:divsChild>
                            <w:div w:id="1200315050">
                              <w:marLeft w:val="0"/>
                              <w:marRight w:val="0"/>
                              <w:marTop w:val="0"/>
                              <w:marBottom w:val="0"/>
                              <w:divBdr>
                                <w:top w:val="none" w:sz="0" w:space="0" w:color="auto"/>
                                <w:left w:val="none" w:sz="0" w:space="0" w:color="auto"/>
                                <w:bottom w:val="none" w:sz="0" w:space="0" w:color="auto"/>
                                <w:right w:val="none" w:sz="0" w:space="0" w:color="auto"/>
                              </w:divBdr>
                              <w:divsChild>
                                <w:div w:id="1200314991">
                                  <w:marLeft w:val="0"/>
                                  <w:marRight w:val="0"/>
                                  <w:marTop w:val="0"/>
                                  <w:marBottom w:val="0"/>
                                  <w:divBdr>
                                    <w:top w:val="none" w:sz="0" w:space="0" w:color="auto"/>
                                    <w:left w:val="none" w:sz="0" w:space="0" w:color="auto"/>
                                    <w:bottom w:val="none" w:sz="0" w:space="0" w:color="auto"/>
                                    <w:right w:val="none" w:sz="0" w:space="0" w:color="auto"/>
                                  </w:divBdr>
                                  <w:divsChild>
                                    <w:div w:id="1200315081">
                                      <w:marLeft w:val="0"/>
                                      <w:marRight w:val="0"/>
                                      <w:marTop w:val="0"/>
                                      <w:marBottom w:val="0"/>
                                      <w:divBdr>
                                        <w:top w:val="none" w:sz="0" w:space="0" w:color="auto"/>
                                        <w:left w:val="none" w:sz="0" w:space="0" w:color="auto"/>
                                        <w:bottom w:val="none" w:sz="0" w:space="0" w:color="auto"/>
                                        <w:right w:val="none" w:sz="0" w:space="0" w:color="auto"/>
                                      </w:divBdr>
                                      <w:divsChild>
                                        <w:div w:id="1200314934">
                                          <w:marLeft w:val="0"/>
                                          <w:marRight w:val="0"/>
                                          <w:marTop w:val="0"/>
                                          <w:marBottom w:val="0"/>
                                          <w:divBdr>
                                            <w:top w:val="none" w:sz="0" w:space="0" w:color="auto"/>
                                            <w:left w:val="none" w:sz="0" w:space="0" w:color="auto"/>
                                            <w:bottom w:val="none" w:sz="0" w:space="0" w:color="auto"/>
                                            <w:right w:val="none" w:sz="0" w:space="0" w:color="auto"/>
                                          </w:divBdr>
                                          <w:divsChild>
                                            <w:div w:id="1200314985">
                                              <w:marLeft w:val="0"/>
                                              <w:marRight w:val="0"/>
                                              <w:marTop w:val="0"/>
                                              <w:marBottom w:val="0"/>
                                              <w:divBdr>
                                                <w:top w:val="none" w:sz="0" w:space="0" w:color="auto"/>
                                                <w:left w:val="none" w:sz="0" w:space="0" w:color="auto"/>
                                                <w:bottom w:val="none" w:sz="0" w:space="0" w:color="auto"/>
                                                <w:right w:val="none" w:sz="0" w:space="0" w:color="auto"/>
                                              </w:divBdr>
                                              <w:divsChild>
                                                <w:div w:id="1200314956">
                                                  <w:marLeft w:val="0"/>
                                                  <w:marRight w:val="90"/>
                                                  <w:marTop w:val="0"/>
                                                  <w:marBottom w:val="0"/>
                                                  <w:divBdr>
                                                    <w:top w:val="none" w:sz="0" w:space="0" w:color="auto"/>
                                                    <w:left w:val="none" w:sz="0" w:space="0" w:color="auto"/>
                                                    <w:bottom w:val="none" w:sz="0" w:space="0" w:color="auto"/>
                                                    <w:right w:val="none" w:sz="0" w:space="0" w:color="auto"/>
                                                  </w:divBdr>
                                                  <w:divsChild>
                                                    <w:div w:id="1200314977">
                                                      <w:marLeft w:val="0"/>
                                                      <w:marRight w:val="0"/>
                                                      <w:marTop w:val="0"/>
                                                      <w:marBottom w:val="0"/>
                                                      <w:divBdr>
                                                        <w:top w:val="none" w:sz="0" w:space="0" w:color="auto"/>
                                                        <w:left w:val="none" w:sz="0" w:space="0" w:color="auto"/>
                                                        <w:bottom w:val="none" w:sz="0" w:space="0" w:color="auto"/>
                                                        <w:right w:val="none" w:sz="0" w:space="0" w:color="auto"/>
                                                      </w:divBdr>
                                                      <w:divsChild>
                                                        <w:div w:id="1200314952">
                                                          <w:marLeft w:val="0"/>
                                                          <w:marRight w:val="0"/>
                                                          <w:marTop w:val="0"/>
                                                          <w:marBottom w:val="0"/>
                                                          <w:divBdr>
                                                            <w:top w:val="none" w:sz="0" w:space="0" w:color="auto"/>
                                                            <w:left w:val="none" w:sz="0" w:space="0" w:color="auto"/>
                                                            <w:bottom w:val="none" w:sz="0" w:space="0" w:color="auto"/>
                                                            <w:right w:val="none" w:sz="0" w:space="0" w:color="auto"/>
                                                          </w:divBdr>
                                                          <w:divsChild>
                                                            <w:div w:id="1200315084">
                                                              <w:marLeft w:val="0"/>
                                                              <w:marRight w:val="0"/>
                                                              <w:marTop w:val="0"/>
                                                              <w:marBottom w:val="0"/>
                                                              <w:divBdr>
                                                                <w:top w:val="none" w:sz="0" w:space="0" w:color="auto"/>
                                                                <w:left w:val="none" w:sz="0" w:space="0" w:color="auto"/>
                                                                <w:bottom w:val="none" w:sz="0" w:space="0" w:color="auto"/>
                                                                <w:right w:val="none" w:sz="0" w:space="0" w:color="auto"/>
                                                              </w:divBdr>
                                                              <w:divsChild>
                                                                <w:div w:id="1200314945">
                                                                  <w:marLeft w:val="0"/>
                                                                  <w:marRight w:val="0"/>
                                                                  <w:marTop w:val="0"/>
                                                                  <w:marBottom w:val="105"/>
                                                                  <w:divBdr>
                                                                    <w:top w:val="single" w:sz="6" w:space="0" w:color="EDEDED"/>
                                                                    <w:left w:val="single" w:sz="6" w:space="0" w:color="EDEDED"/>
                                                                    <w:bottom w:val="single" w:sz="6" w:space="0" w:color="EDEDED"/>
                                                                    <w:right w:val="single" w:sz="6" w:space="0" w:color="EDEDED"/>
                                                                  </w:divBdr>
                                                                  <w:divsChild>
                                                                    <w:div w:id="1200314936">
                                                                      <w:marLeft w:val="0"/>
                                                                      <w:marRight w:val="0"/>
                                                                      <w:marTop w:val="0"/>
                                                                      <w:marBottom w:val="0"/>
                                                                      <w:divBdr>
                                                                        <w:top w:val="none" w:sz="0" w:space="0" w:color="auto"/>
                                                                        <w:left w:val="none" w:sz="0" w:space="0" w:color="auto"/>
                                                                        <w:bottom w:val="none" w:sz="0" w:space="0" w:color="auto"/>
                                                                        <w:right w:val="none" w:sz="0" w:space="0" w:color="auto"/>
                                                                      </w:divBdr>
                                                                      <w:divsChild>
                                                                        <w:div w:id="1200314941">
                                                                          <w:marLeft w:val="0"/>
                                                                          <w:marRight w:val="0"/>
                                                                          <w:marTop w:val="0"/>
                                                                          <w:marBottom w:val="0"/>
                                                                          <w:divBdr>
                                                                            <w:top w:val="none" w:sz="0" w:space="0" w:color="auto"/>
                                                                            <w:left w:val="none" w:sz="0" w:space="0" w:color="auto"/>
                                                                            <w:bottom w:val="none" w:sz="0" w:space="0" w:color="auto"/>
                                                                            <w:right w:val="none" w:sz="0" w:space="0" w:color="auto"/>
                                                                          </w:divBdr>
                                                                          <w:divsChild>
                                                                            <w:div w:id="1200315028">
                                                                              <w:marLeft w:val="0"/>
                                                                              <w:marRight w:val="0"/>
                                                                              <w:marTop w:val="0"/>
                                                                              <w:marBottom w:val="0"/>
                                                                              <w:divBdr>
                                                                                <w:top w:val="none" w:sz="0" w:space="0" w:color="auto"/>
                                                                                <w:left w:val="none" w:sz="0" w:space="0" w:color="auto"/>
                                                                                <w:bottom w:val="none" w:sz="0" w:space="0" w:color="auto"/>
                                                                                <w:right w:val="none" w:sz="0" w:space="0" w:color="auto"/>
                                                                              </w:divBdr>
                                                                              <w:divsChild>
                                                                                <w:div w:id="1200315108">
                                                                                  <w:marLeft w:val="180"/>
                                                                                  <w:marRight w:val="180"/>
                                                                                  <w:marTop w:val="0"/>
                                                                                  <w:marBottom w:val="0"/>
                                                                                  <w:divBdr>
                                                                                    <w:top w:val="none" w:sz="0" w:space="0" w:color="auto"/>
                                                                                    <w:left w:val="none" w:sz="0" w:space="0" w:color="auto"/>
                                                                                    <w:bottom w:val="none" w:sz="0" w:space="0" w:color="auto"/>
                                                                                    <w:right w:val="none" w:sz="0" w:space="0" w:color="auto"/>
                                                                                  </w:divBdr>
                                                                                  <w:divsChild>
                                                                                    <w:div w:id="1200315061">
                                                                                      <w:marLeft w:val="0"/>
                                                                                      <w:marRight w:val="0"/>
                                                                                      <w:marTop w:val="0"/>
                                                                                      <w:marBottom w:val="0"/>
                                                                                      <w:divBdr>
                                                                                        <w:top w:val="none" w:sz="0" w:space="0" w:color="auto"/>
                                                                                        <w:left w:val="none" w:sz="0" w:space="0" w:color="auto"/>
                                                                                        <w:bottom w:val="none" w:sz="0" w:space="0" w:color="auto"/>
                                                                                        <w:right w:val="none" w:sz="0" w:space="0" w:color="auto"/>
                                                                                      </w:divBdr>
                                                                                      <w:divsChild>
                                                                                        <w:div w:id="1200314965">
                                                                                          <w:marLeft w:val="0"/>
                                                                                          <w:marRight w:val="0"/>
                                                                                          <w:marTop w:val="0"/>
                                                                                          <w:marBottom w:val="0"/>
                                                                                          <w:divBdr>
                                                                                            <w:top w:val="none" w:sz="0" w:space="0" w:color="auto"/>
                                                                                            <w:left w:val="none" w:sz="0" w:space="0" w:color="auto"/>
                                                                                            <w:bottom w:val="none" w:sz="0" w:space="0" w:color="auto"/>
                                                                                            <w:right w:val="none" w:sz="0" w:space="0" w:color="auto"/>
                                                                                          </w:divBdr>
                                                                                          <w:divsChild>
                                                                                            <w:div w:id="1200315094">
                                                                                              <w:marLeft w:val="0"/>
                                                                                              <w:marRight w:val="0"/>
                                                                                              <w:marTop w:val="0"/>
                                                                                              <w:marBottom w:val="0"/>
                                                                                              <w:divBdr>
                                                                                                <w:top w:val="none" w:sz="0" w:space="0" w:color="auto"/>
                                                                                                <w:left w:val="none" w:sz="0" w:space="0" w:color="auto"/>
                                                                                                <w:bottom w:val="none" w:sz="0" w:space="0" w:color="auto"/>
                                                                                                <w:right w:val="none" w:sz="0" w:space="0" w:color="auto"/>
                                                                                              </w:divBdr>
                                                                                              <w:divsChild>
                                                                                                <w:div w:id="1200314949">
                                                                                                  <w:marLeft w:val="0"/>
                                                                                                  <w:marRight w:val="0"/>
                                                                                                  <w:marTop w:val="0"/>
                                                                                                  <w:marBottom w:val="0"/>
                                                                                                  <w:divBdr>
                                                                                                    <w:top w:val="none" w:sz="0" w:space="0" w:color="auto"/>
                                                                                                    <w:left w:val="none" w:sz="0" w:space="0" w:color="auto"/>
                                                                                                    <w:bottom w:val="none" w:sz="0" w:space="0" w:color="auto"/>
                                                                                                    <w:right w:val="none" w:sz="0" w:space="0" w:color="auto"/>
                                                                                                  </w:divBdr>
                                                                                                  <w:divsChild>
                                                                                                    <w:div w:id="1200315068">
                                                                                                      <w:marLeft w:val="0"/>
                                                                                                      <w:marRight w:val="0"/>
                                                                                                      <w:marTop w:val="0"/>
                                                                                                      <w:marBottom w:val="0"/>
                                                                                                      <w:divBdr>
                                                                                                        <w:top w:val="none" w:sz="0" w:space="0" w:color="auto"/>
                                                                                                        <w:left w:val="none" w:sz="0" w:space="0" w:color="auto"/>
                                                                                                        <w:bottom w:val="none" w:sz="0" w:space="0" w:color="auto"/>
                                                                                                        <w:right w:val="none" w:sz="0" w:space="0" w:color="auto"/>
                                                                                                      </w:divBdr>
                                                                                                      <w:divsChild>
                                                                                                        <w:div w:id="120031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0315000">
      <w:marLeft w:val="0"/>
      <w:marRight w:val="0"/>
      <w:marTop w:val="0"/>
      <w:marBottom w:val="0"/>
      <w:divBdr>
        <w:top w:val="none" w:sz="0" w:space="0" w:color="auto"/>
        <w:left w:val="none" w:sz="0" w:space="0" w:color="auto"/>
        <w:bottom w:val="none" w:sz="0" w:space="0" w:color="auto"/>
        <w:right w:val="none" w:sz="0" w:space="0" w:color="auto"/>
      </w:divBdr>
      <w:divsChild>
        <w:div w:id="1200315001">
          <w:marLeft w:val="0"/>
          <w:marRight w:val="0"/>
          <w:marTop w:val="0"/>
          <w:marBottom w:val="0"/>
          <w:divBdr>
            <w:top w:val="none" w:sz="0" w:space="0" w:color="auto"/>
            <w:left w:val="none" w:sz="0" w:space="0" w:color="auto"/>
            <w:bottom w:val="none" w:sz="0" w:space="0" w:color="auto"/>
            <w:right w:val="none" w:sz="0" w:space="0" w:color="auto"/>
          </w:divBdr>
          <w:divsChild>
            <w:div w:id="1200315006">
              <w:marLeft w:val="0"/>
              <w:marRight w:val="0"/>
              <w:marTop w:val="0"/>
              <w:marBottom w:val="0"/>
              <w:divBdr>
                <w:top w:val="none" w:sz="0" w:space="0" w:color="auto"/>
                <w:left w:val="none" w:sz="0" w:space="0" w:color="auto"/>
                <w:bottom w:val="none" w:sz="0" w:space="0" w:color="auto"/>
                <w:right w:val="none" w:sz="0" w:space="0" w:color="auto"/>
              </w:divBdr>
              <w:divsChild>
                <w:div w:id="1200315013">
                  <w:marLeft w:val="0"/>
                  <w:marRight w:val="0"/>
                  <w:marTop w:val="0"/>
                  <w:marBottom w:val="150"/>
                  <w:divBdr>
                    <w:top w:val="single" w:sz="2" w:space="4" w:color="000000"/>
                    <w:left w:val="single" w:sz="2" w:space="4" w:color="000000"/>
                    <w:bottom w:val="single" w:sz="48" w:space="4" w:color="000000"/>
                    <w:right w:val="single" w:sz="2" w:space="4" w:color="000000"/>
                  </w:divBdr>
                </w:div>
              </w:divsChild>
            </w:div>
          </w:divsChild>
        </w:div>
      </w:divsChild>
    </w:div>
    <w:div w:id="1200315005">
      <w:marLeft w:val="0"/>
      <w:marRight w:val="0"/>
      <w:marTop w:val="0"/>
      <w:marBottom w:val="0"/>
      <w:divBdr>
        <w:top w:val="none" w:sz="0" w:space="0" w:color="auto"/>
        <w:left w:val="none" w:sz="0" w:space="0" w:color="auto"/>
        <w:bottom w:val="none" w:sz="0" w:space="0" w:color="auto"/>
        <w:right w:val="none" w:sz="0" w:space="0" w:color="auto"/>
      </w:divBdr>
      <w:divsChild>
        <w:div w:id="1200315008">
          <w:marLeft w:val="0"/>
          <w:marRight w:val="0"/>
          <w:marTop w:val="0"/>
          <w:marBottom w:val="0"/>
          <w:divBdr>
            <w:top w:val="none" w:sz="0" w:space="0" w:color="auto"/>
            <w:left w:val="none" w:sz="0" w:space="0" w:color="auto"/>
            <w:bottom w:val="none" w:sz="0" w:space="0" w:color="auto"/>
            <w:right w:val="none" w:sz="0" w:space="0" w:color="auto"/>
          </w:divBdr>
          <w:divsChild>
            <w:div w:id="1200315020">
              <w:marLeft w:val="0"/>
              <w:marRight w:val="0"/>
              <w:marTop w:val="150"/>
              <w:marBottom w:val="0"/>
              <w:divBdr>
                <w:top w:val="single" w:sz="6" w:space="0" w:color="CCCCCC"/>
                <w:left w:val="single" w:sz="6" w:space="0" w:color="CCCCCC"/>
                <w:bottom w:val="single" w:sz="6" w:space="0" w:color="CCCCCC"/>
                <w:right w:val="single" w:sz="6" w:space="0" w:color="CCCCCC"/>
              </w:divBdr>
              <w:divsChild>
                <w:div w:id="1200315015">
                  <w:marLeft w:val="0"/>
                  <w:marRight w:val="0"/>
                  <w:marTop w:val="0"/>
                  <w:marBottom w:val="0"/>
                  <w:divBdr>
                    <w:top w:val="none" w:sz="0" w:space="0" w:color="auto"/>
                    <w:left w:val="none" w:sz="0" w:space="0" w:color="auto"/>
                    <w:bottom w:val="none" w:sz="0" w:space="0" w:color="auto"/>
                    <w:right w:val="none" w:sz="0" w:space="0" w:color="auto"/>
                  </w:divBdr>
                  <w:divsChild>
                    <w:div w:id="1200315004">
                      <w:marLeft w:val="0"/>
                      <w:marRight w:val="-5700"/>
                      <w:marTop w:val="0"/>
                      <w:marBottom w:val="0"/>
                      <w:divBdr>
                        <w:top w:val="none" w:sz="0" w:space="0" w:color="auto"/>
                        <w:left w:val="none" w:sz="0" w:space="0" w:color="auto"/>
                        <w:bottom w:val="none" w:sz="0" w:space="0" w:color="auto"/>
                        <w:right w:val="none" w:sz="0" w:space="0" w:color="auto"/>
                      </w:divBdr>
                      <w:divsChild>
                        <w:div w:id="1200315002">
                          <w:marLeft w:val="300"/>
                          <w:marRight w:val="6000"/>
                          <w:marTop w:val="150"/>
                          <w:marBottom w:val="0"/>
                          <w:divBdr>
                            <w:top w:val="none" w:sz="0" w:space="0" w:color="auto"/>
                            <w:left w:val="none" w:sz="0" w:space="0" w:color="auto"/>
                            <w:bottom w:val="none" w:sz="0" w:space="0" w:color="auto"/>
                            <w:right w:val="none" w:sz="0" w:space="0" w:color="auto"/>
                          </w:divBdr>
                          <w:divsChild>
                            <w:div w:id="1200315017">
                              <w:marLeft w:val="0"/>
                              <w:marRight w:val="0"/>
                              <w:marTop w:val="0"/>
                              <w:marBottom w:val="0"/>
                              <w:divBdr>
                                <w:top w:val="none" w:sz="0" w:space="0" w:color="auto"/>
                                <w:left w:val="none" w:sz="0" w:space="0" w:color="auto"/>
                                <w:bottom w:val="none" w:sz="0" w:space="0" w:color="auto"/>
                                <w:right w:val="none" w:sz="0" w:space="0" w:color="auto"/>
                              </w:divBdr>
                              <w:divsChild>
                                <w:div w:id="120031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0315007">
      <w:marLeft w:val="0"/>
      <w:marRight w:val="0"/>
      <w:marTop w:val="0"/>
      <w:marBottom w:val="0"/>
      <w:divBdr>
        <w:top w:val="none" w:sz="0" w:space="0" w:color="auto"/>
        <w:left w:val="none" w:sz="0" w:space="0" w:color="auto"/>
        <w:bottom w:val="none" w:sz="0" w:space="0" w:color="auto"/>
        <w:right w:val="none" w:sz="0" w:space="0" w:color="auto"/>
      </w:divBdr>
    </w:div>
    <w:div w:id="1200315011">
      <w:marLeft w:val="0"/>
      <w:marRight w:val="0"/>
      <w:marTop w:val="0"/>
      <w:marBottom w:val="0"/>
      <w:divBdr>
        <w:top w:val="none" w:sz="0" w:space="0" w:color="auto"/>
        <w:left w:val="none" w:sz="0" w:space="0" w:color="auto"/>
        <w:bottom w:val="none" w:sz="0" w:space="0" w:color="auto"/>
        <w:right w:val="none" w:sz="0" w:space="0" w:color="auto"/>
      </w:divBdr>
      <w:divsChild>
        <w:div w:id="1200315012">
          <w:marLeft w:val="0"/>
          <w:marRight w:val="0"/>
          <w:marTop w:val="0"/>
          <w:marBottom w:val="0"/>
          <w:divBdr>
            <w:top w:val="none" w:sz="0" w:space="0" w:color="auto"/>
            <w:left w:val="none" w:sz="0" w:space="0" w:color="auto"/>
            <w:bottom w:val="none" w:sz="0" w:space="0" w:color="auto"/>
            <w:right w:val="none" w:sz="0" w:space="0" w:color="auto"/>
          </w:divBdr>
        </w:div>
      </w:divsChild>
    </w:div>
    <w:div w:id="1200315016">
      <w:marLeft w:val="0"/>
      <w:marRight w:val="0"/>
      <w:marTop w:val="0"/>
      <w:marBottom w:val="0"/>
      <w:divBdr>
        <w:top w:val="none" w:sz="0" w:space="0" w:color="auto"/>
        <w:left w:val="none" w:sz="0" w:space="0" w:color="auto"/>
        <w:bottom w:val="none" w:sz="0" w:space="0" w:color="auto"/>
        <w:right w:val="none" w:sz="0" w:space="0" w:color="auto"/>
      </w:divBdr>
      <w:divsChild>
        <w:div w:id="1200315009">
          <w:marLeft w:val="0"/>
          <w:marRight w:val="0"/>
          <w:marTop w:val="0"/>
          <w:marBottom w:val="0"/>
          <w:divBdr>
            <w:top w:val="none" w:sz="0" w:space="0" w:color="auto"/>
            <w:left w:val="none" w:sz="0" w:space="0" w:color="auto"/>
            <w:bottom w:val="none" w:sz="0" w:space="0" w:color="auto"/>
            <w:right w:val="none" w:sz="0" w:space="0" w:color="auto"/>
          </w:divBdr>
          <w:divsChild>
            <w:div w:id="1200315019">
              <w:marLeft w:val="0"/>
              <w:marRight w:val="0"/>
              <w:marTop w:val="150"/>
              <w:marBottom w:val="0"/>
              <w:divBdr>
                <w:top w:val="single" w:sz="6" w:space="0" w:color="CCCCCC"/>
                <w:left w:val="single" w:sz="6" w:space="0" w:color="CCCCCC"/>
                <w:bottom w:val="single" w:sz="6" w:space="0" w:color="CCCCCC"/>
                <w:right w:val="single" w:sz="6" w:space="0" w:color="CCCCCC"/>
              </w:divBdr>
              <w:divsChild>
                <w:div w:id="1200315014">
                  <w:marLeft w:val="0"/>
                  <w:marRight w:val="0"/>
                  <w:marTop w:val="0"/>
                  <w:marBottom w:val="0"/>
                  <w:divBdr>
                    <w:top w:val="none" w:sz="0" w:space="0" w:color="auto"/>
                    <w:left w:val="none" w:sz="0" w:space="0" w:color="auto"/>
                    <w:bottom w:val="none" w:sz="0" w:space="0" w:color="auto"/>
                    <w:right w:val="none" w:sz="0" w:space="0" w:color="auto"/>
                  </w:divBdr>
                  <w:divsChild>
                    <w:div w:id="1200315010">
                      <w:marLeft w:val="0"/>
                      <w:marRight w:val="-5700"/>
                      <w:marTop w:val="0"/>
                      <w:marBottom w:val="0"/>
                      <w:divBdr>
                        <w:top w:val="none" w:sz="0" w:space="0" w:color="auto"/>
                        <w:left w:val="none" w:sz="0" w:space="0" w:color="auto"/>
                        <w:bottom w:val="none" w:sz="0" w:space="0" w:color="auto"/>
                        <w:right w:val="none" w:sz="0" w:space="0" w:color="auto"/>
                      </w:divBdr>
                      <w:divsChild>
                        <w:div w:id="1200315022">
                          <w:marLeft w:val="300"/>
                          <w:marRight w:val="6000"/>
                          <w:marTop w:val="150"/>
                          <w:marBottom w:val="0"/>
                          <w:divBdr>
                            <w:top w:val="none" w:sz="0" w:space="0" w:color="auto"/>
                            <w:left w:val="none" w:sz="0" w:space="0" w:color="auto"/>
                            <w:bottom w:val="none" w:sz="0" w:space="0" w:color="auto"/>
                            <w:right w:val="none" w:sz="0" w:space="0" w:color="auto"/>
                          </w:divBdr>
                          <w:divsChild>
                            <w:div w:id="1200315018">
                              <w:marLeft w:val="0"/>
                              <w:marRight w:val="0"/>
                              <w:marTop w:val="0"/>
                              <w:marBottom w:val="0"/>
                              <w:divBdr>
                                <w:top w:val="none" w:sz="0" w:space="0" w:color="auto"/>
                                <w:left w:val="none" w:sz="0" w:space="0" w:color="auto"/>
                                <w:bottom w:val="none" w:sz="0" w:space="0" w:color="auto"/>
                                <w:right w:val="none" w:sz="0" w:space="0" w:color="auto"/>
                              </w:divBdr>
                              <w:divsChild>
                                <w:div w:id="120031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0315024">
      <w:marLeft w:val="0"/>
      <w:marRight w:val="0"/>
      <w:marTop w:val="0"/>
      <w:marBottom w:val="0"/>
      <w:divBdr>
        <w:top w:val="none" w:sz="0" w:space="0" w:color="auto"/>
        <w:left w:val="none" w:sz="0" w:space="0" w:color="auto"/>
        <w:bottom w:val="none" w:sz="0" w:space="0" w:color="auto"/>
        <w:right w:val="none" w:sz="0" w:space="0" w:color="auto"/>
      </w:divBdr>
    </w:div>
    <w:div w:id="1200315057">
      <w:marLeft w:val="0"/>
      <w:marRight w:val="0"/>
      <w:marTop w:val="0"/>
      <w:marBottom w:val="0"/>
      <w:divBdr>
        <w:top w:val="none" w:sz="0" w:space="0" w:color="auto"/>
        <w:left w:val="none" w:sz="0" w:space="0" w:color="auto"/>
        <w:bottom w:val="none" w:sz="0" w:space="0" w:color="auto"/>
        <w:right w:val="none" w:sz="0" w:space="0" w:color="auto"/>
      </w:divBdr>
      <w:divsChild>
        <w:div w:id="1200315052">
          <w:marLeft w:val="0"/>
          <w:marRight w:val="0"/>
          <w:marTop w:val="0"/>
          <w:marBottom w:val="0"/>
          <w:divBdr>
            <w:top w:val="none" w:sz="0" w:space="0" w:color="auto"/>
            <w:left w:val="none" w:sz="0" w:space="0" w:color="auto"/>
            <w:bottom w:val="none" w:sz="0" w:space="0" w:color="auto"/>
            <w:right w:val="none" w:sz="0" w:space="0" w:color="auto"/>
          </w:divBdr>
          <w:divsChild>
            <w:div w:id="1200315071">
              <w:marLeft w:val="0"/>
              <w:marRight w:val="0"/>
              <w:marTop w:val="0"/>
              <w:marBottom w:val="0"/>
              <w:divBdr>
                <w:top w:val="none" w:sz="0" w:space="0" w:color="auto"/>
                <w:left w:val="none" w:sz="0" w:space="0" w:color="auto"/>
                <w:bottom w:val="none" w:sz="0" w:space="0" w:color="auto"/>
                <w:right w:val="none" w:sz="0" w:space="0" w:color="auto"/>
              </w:divBdr>
              <w:divsChild>
                <w:div w:id="1200314957">
                  <w:marLeft w:val="0"/>
                  <w:marRight w:val="0"/>
                  <w:marTop w:val="0"/>
                  <w:marBottom w:val="0"/>
                  <w:divBdr>
                    <w:top w:val="none" w:sz="0" w:space="0" w:color="auto"/>
                    <w:left w:val="none" w:sz="0" w:space="0" w:color="auto"/>
                    <w:bottom w:val="none" w:sz="0" w:space="0" w:color="auto"/>
                    <w:right w:val="none" w:sz="0" w:space="0" w:color="auto"/>
                  </w:divBdr>
                  <w:divsChild>
                    <w:div w:id="1200315077">
                      <w:marLeft w:val="0"/>
                      <w:marRight w:val="0"/>
                      <w:marTop w:val="0"/>
                      <w:marBottom w:val="0"/>
                      <w:divBdr>
                        <w:top w:val="none" w:sz="0" w:space="0" w:color="auto"/>
                        <w:left w:val="none" w:sz="0" w:space="0" w:color="auto"/>
                        <w:bottom w:val="none" w:sz="0" w:space="0" w:color="auto"/>
                        <w:right w:val="none" w:sz="0" w:space="0" w:color="auto"/>
                      </w:divBdr>
                      <w:divsChild>
                        <w:div w:id="1200315104">
                          <w:marLeft w:val="0"/>
                          <w:marRight w:val="0"/>
                          <w:marTop w:val="0"/>
                          <w:marBottom w:val="0"/>
                          <w:divBdr>
                            <w:top w:val="none" w:sz="0" w:space="0" w:color="auto"/>
                            <w:left w:val="none" w:sz="0" w:space="0" w:color="auto"/>
                            <w:bottom w:val="none" w:sz="0" w:space="0" w:color="auto"/>
                            <w:right w:val="none" w:sz="0" w:space="0" w:color="auto"/>
                          </w:divBdr>
                          <w:divsChild>
                            <w:div w:id="1200315025">
                              <w:marLeft w:val="0"/>
                              <w:marRight w:val="0"/>
                              <w:marTop w:val="0"/>
                              <w:marBottom w:val="0"/>
                              <w:divBdr>
                                <w:top w:val="none" w:sz="0" w:space="0" w:color="auto"/>
                                <w:left w:val="none" w:sz="0" w:space="0" w:color="auto"/>
                                <w:bottom w:val="none" w:sz="0" w:space="0" w:color="auto"/>
                                <w:right w:val="none" w:sz="0" w:space="0" w:color="auto"/>
                              </w:divBdr>
                              <w:divsChild>
                                <w:div w:id="1200314986">
                                  <w:marLeft w:val="0"/>
                                  <w:marRight w:val="0"/>
                                  <w:marTop w:val="0"/>
                                  <w:marBottom w:val="0"/>
                                  <w:divBdr>
                                    <w:top w:val="none" w:sz="0" w:space="0" w:color="auto"/>
                                    <w:left w:val="none" w:sz="0" w:space="0" w:color="auto"/>
                                    <w:bottom w:val="none" w:sz="0" w:space="0" w:color="auto"/>
                                    <w:right w:val="none" w:sz="0" w:space="0" w:color="auto"/>
                                  </w:divBdr>
                                  <w:divsChild>
                                    <w:div w:id="1200314942">
                                      <w:marLeft w:val="0"/>
                                      <w:marRight w:val="0"/>
                                      <w:marTop w:val="0"/>
                                      <w:marBottom w:val="0"/>
                                      <w:divBdr>
                                        <w:top w:val="none" w:sz="0" w:space="0" w:color="auto"/>
                                        <w:left w:val="none" w:sz="0" w:space="0" w:color="auto"/>
                                        <w:bottom w:val="none" w:sz="0" w:space="0" w:color="auto"/>
                                        <w:right w:val="none" w:sz="0" w:space="0" w:color="auto"/>
                                      </w:divBdr>
                                      <w:divsChild>
                                        <w:div w:id="1200314966">
                                          <w:marLeft w:val="0"/>
                                          <w:marRight w:val="0"/>
                                          <w:marTop w:val="0"/>
                                          <w:marBottom w:val="0"/>
                                          <w:divBdr>
                                            <w:top w:val="none" w:sz="0" w:space="0" w:color="auto"/>
                                            <w:left w:val="none" w:sz="0" w:space="0" w:color="auto"/>
                                            <w:bottom w:val="none" w:sz="0" w:space="0" w:color="auto"/>
                                            <w:right w:val="none" w:sz="0" w:space="0" w:color="auto"/>
                                          </w:divBdr>
                                          <w:divsChild>
                                            <w:div w:id="1200315090">
                                              <w:marLeft w:val="0"/>
                                              <w:marRight w:val="0"/>
                                              <w:marTop w:val="0"/>
                                              <w:marBottom w:val="0"/>
                                              <w:divBdr>
                                                <w:top w:val="none" w:sz="0" w:space="0" w:color="auto"/>
                                                <w:left w:val="none" w:sz="0" w:space="0" w:color="auto"/>
                                                <w:bottom w:val="none" w:sz="0" w:space="0" w:color="auto"/>
                                                <w:right w:val="none" w:sz="0" w:space="0" w:color="auto"/>
                                              </w:divBdr>
                                              <w:divsChild>
                                                <w:div w:id="1200314973">
                                                  <w:marLeft w:val="0"/>
                                                  <w:marRight w:val="90"/>
                                                  <w:marTop w:val="0"/>
                                                  <w:marBottom w:val="0"/>
                                                  <w:divBdr>
                                                    <w:top w:val="none" w:sz="0" w:space="0" w:color="auto"/>
                                                    <w:left w:val="none" w:sz="0" w:space="0" w:color="auto"/>
                                                    <w:bottom w:val="none" w:sz="0" w:space="0" w:color="auto"/>
                                                    <w:right w:val="none" w:sz="0" w:space="0" w:color="auto"/>
                                                  </w:divBdr>
                                                  <w:divsChild>
                                                    <w:div w:id="1200315115">
                                                      <w:marLeft w:val="0"/>
                                                      <w:marRight w:val="0"/>
                                                      <w:marTop w:val="0"/>
                                                      <w:marBottom w:val="0"/>
                                                      <w:divBdr>
                                                        <w:top w:val="none" w:sz="0" w:space="0" w:color="auto"/>
                                                        <w:left w:val="none" w:sz="0" w:space="0" w:color="auto"/>
                                                        <w:bottom w:val="none" w:sz="0" w:space="0" w:color="auto"/>
                                                        <w:right w:val="none" w:sz="0" w:space="0" w:color="auto"/>
                                                      </w:divBdr>
                                                      <w:divsChild>
                                                        <w:div w:id="1200314955">
                                                          <w:marLeft w:val="0"/>
                                                          <w:marRight w:val="0"/>
                                                          <w:marTop w:val="0"/>
                                                          <w:marBottom w:val="0"/>
                                                          <w:divBdr>
                                                            <w:top w:val="none" w:sz="0" w:space="0" w:color="auto"/>
                                                            <w:left w:val="none" w:sz="0" w:space="0" w:color="auto"/>
                                                            <w:bottom w:val="none" w:sz="0" w:space="0" w:color="auto"/>
                                                            <w:right w:val="none" w:sz="0" w:space="0" w:color="auto"/>
                                                          </w:divBdr>
                                                          <w:divsChild>
                                                            <w:div w:id="1200314954">
                                                              <w:marLeft w:val="0"/>
                                                              <w:marRight w:val="0"/>
                                                              <w:marTop w:val="0"/>
                                                              <w:marBottom w:val="0"/>
                                                              <w:divBdr>
                                                                <w:top w:val="none" w:sz="0" w:space="0" w:color="auto"/>
                                                                <w:left w:val="none" w:sz="0" w:space="0" w:color="auto"/>
                                                                <w:bottom w:val="none" w:sz="0" w:space="0" w:color="auto"/>
                                                                <w:right w:val="none" w:sz="0" w:space="0" w:color="auto"/>
                                                              </w:divBdr>
                                                              <w:divsChild>
                                                                <w:div w:id="1200315023">
                                                                  <w:marLeft w:val="0"/>
                                                                  <w:marRight w:val="0"/>
                                                                  <w:marTop w:val="0"/>
                                                                  <w:marBottom w:val="105"/>
                                                                  <w:divBdr>
                                                                    <w:top w:val="single" w:sz="6" w:space="0" w:color="EDEDED"/>
                                                                    <w:left w:val="single" w:sz="6" w:space="0" w:color="EDEDED"/>
                                                                    <w:bottom w:val="single" w:sz="6" w:space="0" w:color="EDEDED"/>
                                                                    <w:right w:val="single" w:sz="6" w:space="0" w:color="EDEDED"/>
                                                                  </w:divBdr>
                                                                  <w:divsChild>
                                                                    <w:div w:id="1200314937">
                                                                      <w:marLeft w:val="0"/>
                                                                      <w:marRight w:val="0"/>
                                                                      <w:marTop w:val="0"/>
                                                                      <w:marBottom w:val="0"/>
                                                                      <w:divBdr>
                                                                        <w:top w:val="none" w:sz="0" w:space="0" w:color="auto"/>
                                                                        <w:left w:val="none" w:sz="0" w:space="0" w:color="auto"/>
                                                                        <w:bottom w:val="none" w:sz="0" w:space="0" w:color="auto"/>
                                                                        <w:right w:val="none" w:sz="0" w:space="0" w:color="auto"/>
                                                                      </w:divBdr>
                                                                      <w:divsChild>
                                                                        <w:div w:id="1200315056">
                                                                          <w:marLeft w:val="0"/>
                                                                          <w:marRight w:val="0"/>
                                                                          <w:marTop w:val="0"/>
                                                                          <w:marBottom w:val="0"/>
                                                                          <w:divBdr>
                                                                            <w:top w:val="none" w:sz="0" w:space="0" w:color="auto"/>
                                                                            <w:left w:val="none" w:sz="0" w:space="0" w:color="auto"/>
                                                                            <w:bottom w:val="none" w:sz="0" w:space="0" w:color="auto"/>
                                                                            <w:right w:val="none" w:sz="0" w:space="0" w:color="auto"/>
                                                                          </w:divBdr>
                                                                          <w:divsChild>
                                                                            <w:div w:id="1200315072">
                                                                              <w:marLeft w:val="0"/>
                                                                              <w:marRight w:val="0"/>
                                                                              <w:marTop w:val="0"/>
                                                                              <w:marBottom w:val="0"/>
                                                                              <w:divBdr>
                                                                                <w:top w:val="none" w:sz="0" w:space="0" w:color="auto"/>
                                                                                <w:left w:val="none" w:sz="0" w:space="0" w:color="auto"/>
                                                                                <w:bottom w:val="none" w:sz="0" w:space="0" w:color="auto"/>
                                                                                <w:right w:val="none" w:sz="0" w:space="0" w:color="auto"/>
                                                                              </w:divBdr>
                                                                              <w:divsChild>
                                                                                <w:div w:id="1200314996">
                                                                                  <w:marLeft w:val="180"/>
                                                                                  <w:marRight w:val="180"/>
                                                                                  <w:marTop w:val="0"/>
                                                                                  <w:marBottom w:val="0"/>
                                                                                  <w:divBdr>
                                                                                    <w:top w:val="none" w:sz="0" w:space="0" w:color="auto"/>
                                                                                    <w:left w:val="none" w:sz="0" w:space="0" w:color="auto"/>
                                                                                    <w:bottom w:val="none" w:sz="0" w:space="0" w:color="auto"/>
                                                                                    <w:right w:val="none" w:sz="0" w:space="0" w:color="auto"/>
                                                                                  </w:divBdr>
                                                                                  <w:divsChild>
                                                                                    <w:div w:id="1200315062">
                                                                                      <w:marLeft w:val="0"/>
                                                                                      <w:marRight w:val="0"/>
                                                                                      <w:marTop w:val="0"/>
                                                                                      <w:marBottom w:val="0"/>
                                                                                      <w:divBdr>
                                                                                        <w:top w:val="none" w:sz="0" w:space="0" w:color="auto"/>
                                                                                        <w:left w:val="none" w:sz="0" w:space="0" w:color="auto"/>
                                                                                        <w:bottom w:val="none" w:sz="0" w:space="0" w:color="auto"/>
                                                                                        <w:right w:val="none" w:sz="0" w:space="0" w:color="auto"/>
                                                                                      </w:divBdr>
                                                                                      <w:divsChild>
                                                                                        <w:div w:id="1200315026">
                                                                                          <w:marLeft w:val="0"/>
                                                                                          <w:marRight w:val="0"/>
                                                                                          <w:marTop w:val="0"/>
                                                                                          <w:marBottom w:val="0"/>
                                                                                          <w:divBdr>
                                                                                            <w:top w:val="none" w:sz="0" w:space="0" w:color="auto"/>
                                                                                            <w:left w:val="none" w:sz="0" w:space="0" w:color="auto"/>
                                                                                            <w:bottom w:val="none" w:sz="0" w:space="0" w:color="auto"/>
                                                                                            <w:right w:val="none" w:sz="0" w:space="0" w:color="auto"/>
                                                                                          </w:divBdr>
                                                                                          <w:divsChild>
                                                                                            <w:div w:id="1200314980">
                                                                                              <w:marLeft w:val="0"/>
                                                                                              <w:marRight w:val="0"/>
                                                                                              <w:marTop w:val="0"/>
                                                                                              <w:marBottom w:val="0"/>
                                                                                              <w:divBdr>
                                                                                                <w:top w:val="none" w:sz="0" w:space="0" w:color="auto"/>
                                                                                                <w:left w:val="none" w:sz="0" w:space="0" w:color="auto"/>
                                                                                                <w:bottom w:val="none" w:sz="0" w:space="0" w:color="auto"/>
                                                                                                <w:right w:val="none" w:sz="0" w:space="0" w:color="auto"/>
                                                                                              </w:divBdr>
                                                                                              <w:divsChild>
                                                                                                <w:div w:id="1200314968">
                                                                                                  <w:marLeft w:val="0"/>
                                                                                                  <w:marRight w:val="0"/>
                                                                                                  <w:marTop w:val="0"/>
                                                                                                  <w:marBottom w:val="0"/>
                                                                                                  <w:divBdr>
                                                                                                    <w:top w:val="none" w:sz="0" w:space="0" w:color="auto"/>
                                                                                                    <w:left w:val="none" w:sz="0" w:space="0" w:color="auto"/>
                                                                                                    <w:bottom w:val="none" w:sz="0" w:space="0" w:color="auto"/>
                                                                                                    <w:right w:val="none" w:sz="0" w:space="0" w:color="auto"/>
                                                                                                  </w:divBdr>
                                                                                                  <w:divsChild>
                                                                                                    <w:div w:id="1200315095">
                                                                                                      <w:marLeft w:val="0"/>
                                                                                                      <w:marRight w:val="0"/>
                                                                                                      <w:marTop w:val="0"/>
                                                                                                      <w:marBottom w:val="0"/>
                                                                                                      <w:divBdr>
                                                                                                        <w:top w:val="none" w:sz="0" w:space="0" w:color="auto"/>
                                                                                                        <w:left w:val="none" w:sz="0" w:space="0" w:color="auto"/>
                                                                                                        <w:bottom w:val="none" w:sz="0" w:space="0" w:color="auto"/>
                                                                                                        <w:right w:val="none" w:sz="0" w:space="0" w:color="auto"/>
                                                                                                      </w:divBdr>
                                                                                                      <w:divsChild>
                                                                                                        <w:div w:id="120031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0315078">
      <w:marLeft w:val="0"/>
      <w:marRight w:val="0"/>
      <w:marTop w:val="0"/>
      <w:marBottom w:val="0"/>
      <w:divBdr>
        <w:top w:val="none" w:sz="0" w:space="0" w:color="auto"/>
        <w:left w:val="none" w:sz="0" w:space="0" w:color="auto"/>
        <w:bottom w:val="none" w:sz="0" w:space="0" w:color="auto"/>
        <w:right w:val="none" w:sz="0" w:space="0" w:color="auto"/>
      </w:divBdr>
      <w:divsChild>
        <w:div w:id="1200315105">
          <w:marLeft w:val="0"/>
          <w:marRight w:val="0"/>
          <w:marTop w:val="0"/>
          <w:marBottom w:val="0"/>
          <w:divBdr>
            <w:top w:val="none" w:sz="0" w:space="0" w:color="auto"/>
            <w:left w:val="none" w:sz="0" w:space="0" w:color="auto"/>
            <w:bottom w:val="none" w:sz="0" w:space="0" w:color="auto"/>
            <w:right w:val="none" w:sz="0" w:space="0" w:color="auto"/>
          </w:divBdr>
          <w:divsChild>
            <w:div w:id="1200314988">
              <w:marLeft w:val="0"/>
              <w:marRight w:val="0"/>
              <w:marTop w:val="0"/>
              <w:marBottom w:val="0"/>
              <w:divBdr>
                <w:top w:val="none" w:sz="0" w:space="0" w:color="auto"/>
                <w:left w:val="none" w:sz="0" w:space="0" w:color="auto"/>
                <w:bottom w:val="none" w:sz="0" w:space="0" w:color="auto"/>
                <w:right w:val="none" w:sz="0" w:space="0" w:color="auto"/>
              </w:divBdr>
              <w:divsChild>
                <w:div w:id="1200315114">
                  <w:marLeft w:val="0"/>
                  <w:marRight w:val="0"/>
                  <w:marTop w:val="0"/>
                  <w:marBottom w:val="0"/>
                  <w:divBdr>
                    <w:top w:val="none" w:sz="0" w:space="0" w:color="auto"/>
                    <w:left w:val="none" w:sz="0" w:space="0" w:color="auto"/>
                    <w:bottom w:val="none" w:sz="0" w:space="0" w:color="auto"/>
                    <w:right w:val="none" w:sz="0" w:space="0" w:color="auto"/>
                  </w:divBdr>
                  <w:divsChild>
                    <w:div w:id="1200314995">
                      <w:marLeft w:val="0"/>
                      <w:marRight w:val="0"/>
                      <w:marTop w:val="0"/>
                      <w:marBottom w:val="0"/>
                      <w:divBdr>
                        <w:top w:val="none" w:sz="0" w:space="0" w:color="auto"/>
                        <w:left w:val="none" w:sz="0" w:space="0" w:color="auto"/>
                        <w:bottom w:val="none" w:sz="0" w:space="0" w:color="auto"/>
                        <w:right w:val="none" w:sz="0" w:space="0" w:color="auto"/>
                      </w:divBdr>
                      <w:divsChild>
                        <w:div w:id="1200314958">
                          <w:marLeft w:val="0"/>
                          <w:marRight w:val="0"/>
                          <w:marTop w:val="0"/>
                          <w:marBottom w:val="0"/>
                          <w:divBdr>
                            <w:top w:val="none" w:sz="0" w:space="0" w:color="auto"/>
                            <w:left w:val="none" w:sz="0" w:space="0" w:color="auto"/>
                            <w:bottom w:val="none" w:sz="0" w:space="0" w:color="auto"/>
                            <w:right w:val="none" w:sz="0" w:space="0" w:color="auto"/>
                          </w:divBdr>
                          <w:divsChild>
                            <w:div w:id="1200315065">
                              <w:marLeft w:val="0"/>
                              <w:marRight w:val="0"/>
                              <w:marTop w:val="0"/>
                              <w:marBottom w:val="0"/>
                              <w:divBdr>
                                <w:top w:val="none" w:sz="0" w:space="0" w:color="auto"/>
                                <w:left w:val="none" w:sz="0" w:space="0" w:color="auto"/>
                                <w:bottom w:val="none" w:sz="0" w:space="0" w:color="auto"/>
                                <w:right w:val="none" w:sz="0" w:space="0" w:color="auto"/>
                              </w:divBdr>
                              <w:divsChild>
                                <w:div w:id="1200315067">
                                  <w:marLeft w:val="0"/>
                                  <w:marRight w:val="0"/>
                                  <w:marTop w:val="0"/>
                                  <w:marBottom w:val="0"/>
                                  <w:divBdr>
                                    <w:top w:val="none" w:sz="0" w:space="0" w:color="auto"/>
                                    <w:left w:val="none" w:sz="0" w:space="0" w:color="auto"/>
                                    <w:bottom w:val="none" w:sz="0" w:space="0" w:color="auto"/>
                                    <w:right w:val="none" w:sz="0" w:space="0" w:color="auto"/>
                                  </w:divBdr>
                                  <w:divsChild>
                                    <w:div w:id="1200315038">
                                      <w:marLeft w:val="0"/>
                                      <w:marRight w:val="0"/>
                                      <w:marTop w:val="0"/>
                                      <w:marBottom w:val="0"/>
                                      <w:divBdr>
                                        <w:top w:val="none" w:sz="0" w:space="0" w:color="auto"/>
                                        <w:left w:val="none" w:sz="0" w:space="0" w:color="auto"/>
                                        <w:bottom w:val="none" w:sz="0" w:space="0" w:color="auto"/>
                                        <w:right w:val="none" w:sz="0" w:space="0" w:color="auto"/>
                                      </w:divBdr>
                                      <w:divsChild>
                                        <w:div w:id="1200314979">
                                          <w:marLeft w:val="0"/>
                                          <w:marRight w:val="0"/>
                                          <w:marTop w:val="0"/>
                                          <w:marBottom w:val="0"/>
                                          <w:divBdr>
                                            <w:top w:val="none" w:sz="0" w:space="0" w:color="auto"/>
                                            <w:left w:val="none" w:sz="0" w:space="0" w:color="auto"/>
                                            <w:bottom w:val="none" w:sz="0" w:space="0" w:color="auto"/>
                                            <w:right w:val="none" w:sz="0" w:space="0" w:color="auto"/>
                                          </w:divBdr>
                                          <w:divsChild>
                                            <w:div w:id="1200315103">
                                              <w:marLeft w:val="0"/>
                                              <w:marRight w:val="0"/>
                                              <w:marTop w:val="0"/>
                                              <w:marBottom w:val="0"/>
                                              <w:divBdr>
                                                <w:top w:val="none" w:sz="0" w:space="0" w:color="auto"/>
                                                <w:left w:val="none" w:sz="0" w:space="0" w:color="auto"/>
                                                <w:bottom w:val="none" w:sz="0" w:space="0" w:color="auto"/>
                                                <w:right w:val="none" w:sz="0" w:space="0" w:color="auto"/>
                                              </w:divBdr>
                                              <w:divsChild>
                                                <w:div w:id="1200315043">
                                                  <w:marLeft w:val="0"/>
                                                  <w:marRight w:val="90"/>
                                                  <w:marTop w:val="0"/>
                                                  <w:marBottom w:val="0"/>
                                                  <w:divBdr>
                                                    <w:top w:val="none" w:sz="0" w:space="0" w:color="auto"/>
                                                    <w:left w:val="none" w:sz="0" w:space="0" w:color="auto"/>
                                                    <w:bottom w:val="none" w:sz="0" w:space="0" w:color="auto"/>
                                                    <w:right w:val="none" w:sz="0" w:space="0" w:color="auto"/>
                                                  </w:divBdr>
                                                  <w:divsChild>
                                                    <w:div w:id="1200315027">
                                                      <w:marLeft w:val="0"/>
                                                      <w:marRight w:val="0"/>
                                                      <w:marTop w:val="0"/>
                                                      <w:marBottom w:val="0"/>
                                                      <w:divBdr>
                                                        <w:top w:val="none" w:sz="0" w:space="0" w:color="auto"/>
                                                        <w:left w:val="none" w:sz="0" w:space="0" w:color="auto"/>
                                                        <w:bottom w:val="none" w:sz="0" w:space="0" w:color="auto"/>
                                                        <w:right w:val="none" w:sz="0" w:space="0" w:color="auto"/>
                                                      </w:divBdr>
                                                      <w:divsChild>
                                                        <w:div w:id="1200315079">
                                                          <w:marLeft w:val="0"/>
                                                          <w:marRight w:val="0"/>
                                                          <w:marTop w:val="0"/>
                                                          <w:marBottom w:val="0"/>
                                                          <w:divBdr>
                                                            <w:top w:val="none" w:sz="0" w:space="0" w:color="auto"/>
                                                            <w:left w:val="none" w:sz="0" w:space="0" w:color="auto"/>
                                                            <w:bottom w:val="none" w:sz="0" w:space="0" w:color="auto"/>
                                                            <w:right w:val="none" w:sz="0" w:space="0" w:color="auto"/>
                                                          </w:divBdr>
                                                          <w:divsChild>
                                                            <w:div w:id="1200315058">
                                                              <w:marLeft w:val="0"/>
                                                              <w:marRight w:val="0"/>
                                                              <w:marTop w:val="0"/>
                                                              <w:marBottom w:val="0"/>
                                                              <w:divBdr>
                                                                <w:top w:val="none" w:sz="0" w:space="0" w:color="auto"/>
                                                                <w:left w:val="none" w:sz="0" w:space="0" w:color="auto"/>
                                                                <w:bottom w:val="none" w:sz="0" w:space="0" w:color="auto"/>
                                                                <w:right w:val="none" w:sz="0" w:space="0" w:color="auto"/>
                                                              </w:divBdr>
                                                              <w:divsChild>
                                                                <w:div w:id="1200315098">
                                                                  <w:marLeft w:val="0"/>
                                                                  <w:marRight w:val="0"/>
                                                                  <w:marTop w:val="0"/>
                                                                  <w:marBottom w:val="105"/>
                                                                  <w:divBdr>
                                                                    <w:top w:val="single" w:sz="6" w:space="0" w:color="EDEDED"/>
                                                                    <w:left w:val="single" w:sz="6" w:space="0" w:color="EDEDED"/>
                                                                    <w:bottom w:val="single" w:sz="6" w:space="0" w:color="EDEDED"/>
                                                                    <w:right w:val="single" w:sz="6" w:space="0" w:color="EDEDED"/>
                                                                  </w:divBdr>
                                                                  <w:divsChild>
                                                                    <w:div w:id="1200314967">
                                                                      <w:marLeft w:val="0"/>
                                                                      <w:marRight w:val="0"/>
                                                                      <w:marTop w:val="0"/>
                                                                      <w:marBottom w:val="0"/>
                                                                      <w:divBdr>
                                                                        <w:top w:val="none" w:sz="0" w:space="0" w:color="auto"/>
                                                                        <w:left w:val="none" w:sz="0" w:space="0" w:color="auto"/>
                                                                        <w:bottom w:val="none" w:sz="0" w:space="0" w:color="auto"/>
                                                                        <w:right w:val="none" w:sz="0" w:space="0" w:color="auto"/>
                                                                      </w:divBdr>
                                                                      <w:divsChild>
                                                                        <w:div w:id="1200315069">
                                                                          <w:marLeft w:val="0"/>
                                                                          <w:marRight w:val="0"/>
                                                                          <w:marTop w:val="0"/>
                                                                          <w:marBottom w:val="0"/>
                                                                          <w:divBdr>
                                                                            <w:top w:val="none" w:sz="0" w:space="0" w:color="auto"/>
                                                                            <w:left w:val="none" w:sz="0" w:space="0" w:color="auto"/>
                                                                            <w:bottom w:val="none" w:sz="0" w:space="0" w:color="auto"/>
                                                                            <w:right w:val="none" w:sz="0" w:space="0" w:color="auto"/>
                                                                          </w:divBdr>
                                                                          <w:divsChild>
                                                                            <w:div w:id="1200315051">
                                                                              <w:marLeft w:val="0"/>
                                                                              <w:marRight w:val="0"/>
                                                                              <w:marTop w:val="0"/>
                                                                              <w:marBottom w:val="0"/>
                                                                              <w:divBdr>
                                                                                <w:top w:val="none" w:sz="0" w:space="0" w:color="auto"/>
                                                                                <w:left w:val="none" w:sz="0" w:space="0" w:color="auto"/>
                                                                                <w:bottom w:val="none" w:sz="0" w:space="0" w:color="auto"/>
                                                                                <w:right w:val="none" w:sz="0" w:space="0" w:color="auto"/>
                                                                              </w:divBdr>
                                                                              <w:divsChild>
                                                                                <w:div w:id="1200314969">
                                                                                  <w:marLeft w:val="180"/>
                                                                                  <w:marRight w:val="180"/>
                                                                                  <w:marTop w:val="0"/>
                                                                                  <w:marBottom w:val="0"/>
                                                                                  <w:divBdr>
                                                                                    <w:top w:val="none" w:sz="0" w:space="0" w:color="auto"/>
                                                                                    <w:left w:val="none" w:sz="0" w:space="0" w:color="auto"/>
                                                                                    <w:bottom w:val="none" w:sz="0" w:space="0" w:color="auto"/>
                                                                                    <w:right w:val="none" w:sz="0" w:space="0" w:color="auto"/>
                                                                                  </w:divBdr>
                                                                                  <w:divsChild>
                                                                                    <w:div w:id="1200314974">
                                                                                      <w:marLeft w:val="0"/>
                                                                                      <w:marRight w:val="0"/>
                                                                                      <w:marTop w:val="0"/>
                                                                                      <w:marBottom w:val="0"/>
                                                                                      <w:divBdr>
                                                                                        <w:top w:val="none" w:sz="0" w:space="0" w:color="auto"/>
                                                                                        <w:left w:val="none" w:sz="0" w:space="0" w:color="auto"/>
                                                                                        <w:bottom w:val="none" w:sz="0" w:space="0" w:color="auto"/>
                                                                                        <w:right w:val="none" w:sz="0" w:space="0" w:color="auto"/>
                                                                                      </w:divBdr>
                                                                                      <w:divsChild>
                                                                                        <w:div w:id="1200315047">
                                                                                          <w:marLeft w:val="0"/>
                                                                                          <w:marRight w:val="0"/>
                                                                                          <w:marTop w:val="0"/>
                                                                                          <w:marBottom w:val="0"/>
                                                                                          <w:divBdr>
                                                                                            <w:top w:val="none" w:sz="0" w:space="0" w:color="auto"/>
                                                                                            <w:left w:val="none" w:sz="0" w:space="0" w:color="auto"/>
                                                                                            <w:bottom w:val="none" w:sz="0" w:space="0" w:color="auto"/>
                                                                                            <w:right w:val="none" w:sz="0" w:space="0" w:color="auto"/>
                                                                                          </w:divBdr>
                                                                                          <w:divsChild>
                                                                                            <w:div w:id="1200314989">
                                                                                              <w:marLeft w:val="0"/>
                                                                                              <w:marRight w:val="0"/>
                                                                                              <w:marTop w:val="0"/>
                                                                                              <w:marBottom w:val="0"/>
                                                                                              <w:divBdr>
                                                                                                <w:top w:val="none" w:sz="0" w:space="0" w:color="auto"/>
                                                                                                <w:left w:val="none" w:sz="0" w:space="0" w:color="auto"/>
                                                                                                <w:bottom w:val="none" w:sz="0" w:space="0" w:color="auto"/>
                                                                                                <w:right w:val="none" w:sz="0" w:space="0" w:color="auto"/>
                                                                                              </w:divBdr>
                                                                                              <w:divsChild>
                                                                                                <w:div w:id="1200314947">
                                                                                                  <w:marLeft w:val="0"/>
                                                                                                  <w:marRight w:val="0"/>
                                                                                                  <w:marTop w:val="0"/>
                                                                                                  <w:marBottom w:val="0"/>
                                                                                                  <w:divBdr>
                                                                                                    <w:top w:val="none" w:sz="0" w:space="0" w:color="auto"/>
                                                                                                    <w:left w:val="none" w:sz="0" w:space="0" w:color="auto"/>
                                                                                                    <w:bottom w:val="none" w:sz="0" w:space="0" w:color="auto"/>
                                                                                                    <w:right w:val="none" w:sz="0" w:space="0" w:color="auto"/>
                                                                                                  </w:divBdr>
                                                                                                  <w:divsChild>
                                                                                                    <w:div w:id="1200314951">
                                                                                                      <w:marLeft w:val="0"/>
                                                                                                      <w:marRight w:val="0"/>
                                                                                                      <w:marTop w:val="0"/>
                                                                                                      <w:marBottom w:val="0"/>
                                                                                                      <w:divBdr>
                                                                                                        <w:top w:val="none" w:sz="0" w:space="0" w:color="auto"/>
                                                                                                        <w:left w:val="none" w:sz="0" w:space="0" w:color="auto"/>
                                                                                                        <w:bottom w:val="none" w:sz="0" w:space="0" w:color="auto"/>
                                                                                                        <w:right w:val="none" w:sz="0" w:space="0" w:color="auto"/>
                                                                                                      </w:divBdr>
                                                                                                      <w:divsChild>
                                                                                                        <w:div w:id="120031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0315099">
      <w:marLeft w:val="0"/>
      <w:marRight w:val="0"/>
      <w:marTop w:val="0"/>
      <w:marBottom w:val="0"/>
      <w:divBdr>
        <w:top w:val="none" w:sz="0" w:space="0" w:color="auto"/>
        <w:left w:val="none" w:sz="0" w:space="0" w:color="auto"/>
        <w:bottom w:val="none" w:sz="0" w:space="0" w:color="auto"/>
        <w:right w:val="none" w:sz="0" w:space="0" w:color="auto"/>
      </w:divBdr>
      <w:divsChild>
        <w:div w:id="1200314959">
          <w:marLeft w:val="0"/>
          <w:marRight w:val="0"/>
          <w:marTop w:val="0"/>
          <w:marBottom w:val="0"/>
          <w:divBdr>
            <w:top w:val="none" w:sz="0" w:space="0" w:color="auto"/>
            <w:left w:val="none" w:sz="0" w:space="0" w:color="auto"/>
            <w:bottom w:val="none" w:sz="0" w:space="0" w:color="auto"/>
            <w:right w:val="none" w:sz="0" w:space="0" w:color="auto"/>
          </w:divBdr>
          <w:divsChild>
            <w:div w:id="1200314983">
              <w:marLeft w:val="0"/>
              <w:marRight w:val="0"/>
              <w:marTop w:val="0"/>
              <w:marBottom w:val="0"/>
              <w:divBdr>
                <w:top w:val="none" w:sz="0" w:space="0" w:color="auto"/>
                <w:left w:val="none" w:sz="0" w:space="0" w:color="auto"/>
                <w:bottom w:val="none" w:sz="0" w:space="0" w:color="auto"/>
                <w:right w:val="none" w:sz="0" w:space="0" w:color="auto"/>
              </w:divBdr>
              <w:divsChild>
                <w:div w:id="1200315113">
                  <w:marLeft w:val="0"/>
                  <w:marRight w:val="0"/>
                  <w:marTop w:val="0"/>
                  <w:marBottom w:val="0"/>
                  <w:divBdr>
                    <w:top w:val="none" w:sz="0" w:space="0" w:color="auto"/>
                    <w:left w:val="none" w:sz="0" w:space="0" w:color="auto"/>
                    <w:bottom w:val="none" w:sz="0" w:space="0" w:color="auto"/>
                    <w:right w:val="none" w:sz="0" w:space="0" w:color="auto"/>
                  </w:divBdr>
                  <w:divsChild>
                    <w:div w:id="1200314997">
                      <w:marLeft w:val="0"/>
                      <w:marRight w:val="0"/>
                      <w:marTop w:val="0"/>
                      <w:marBottom w:val="0"/>
                      <w:divBdr>
                        <w:top w:val="none" w:sz="0" w:space="0" w:color="auto"/>
                        <w:left w:val="none" w:sz="0" w:space="0" w:color="auto"/>
                        <w:bottom w:val="none" w:sz="0" w:space="0" w:color="auto"/>
                        <w:right w:val="none" w:sz="0" w:space="0" w:color="auto"/>
                      </w:divBdr>
                      <w:divsChild>
                        <w:div w:id="1200314964">
                          <w:marLeft w:val="0"/>
                          <w:marRight w:val="0"/>
                          <w:marTop w:val="0"/>
                          <w:marBottom w:val="0"/>
                          <w:divBdr>
                            <w:top w:val="none" w:sz="0" w:space="0" w:color="auto"/>
                            <w:left w:val="none" w:sz="0" w:space="0" w:color="auto"/>
                            <w:bottom w:val="none" w:sz="0" w:space="0" w:color="auto"/>
                            <w:right w:val="none" w:sz="0" w:space="0" w:color="auto"/>
                          </w:divBdr>
                          <w:divsChild>
                            <w:div w:id="1200314939">
                              <w:marLeft w:val="0"/>
                              <w:marRight w:val="0"/>
                              <w:marTop w:val="0"/>
                              <w:marBottom w:val="0"/>
                              <w:divBdr>
                                <w:top w:val="none" w:sz="0" w:space="0" w:color="auto"/>
                                <w:left w:val="none" w:sz="0" w:space="0" w:color="auto"/>
                                <w:bottom w:val="none" w:sz="0" w:space="0" w:color="auto"/>
                                <w:right w:val="none" w:sz="0" w:space="0" w:color="auto"/>
                              </w:divBdr>
                              <w:divsChild>
                                <w:div w:id="1200315106">
                                  <w:marLeft w:val="0"/>
                                  <w:marRight w:val="0"/>
                                  <w:marTop w:val="0"/>
                                  <w:marBottom w:val="0"/>
                                  <w:divBdr>
                                    <w:top w:val="none" w:sz="0" w:space="0" w:color="auto"/>
                                    <w:left w:val="none" w:sz="0" w:space="0" w:color="auto"/>
                                    <w:bottom w:val="none" w:sz="0" w:space="0" w:color="auto"/>
                                    <w:right w:val="none" w:sz="0" w:space="0" w:color="auto"/>
                                  </w:divBdr>
                                  <w:divsChild>
                                    <w:div w:id="1200315029">
                                      <w:marLeft w:val="0"/>
                                      <w:marRight w:val="0"/>
                                      <w:marTop w:val="0"/>
                                      <w:marBottom w:val="0"/>
                                      <w:divBdr>
                                        <w:top w:val="none" w:sz="0" w:space="0" w:color="auto"/>
                                        <w:left w:val="none" w:sz="0" w:space="0" w:color="auto"/>
                                        <w:bottom w:val="none" w:sz="0" w:space="0" w:color="auto"/>
                                        <w:right w:val="none" w:sz="0" w:space="0" w:color="auto"/>
                                      </w:divBdr>
                                      <w:divsChild>
                                        <w:div w:id="1200314932">
                                          <w:marLeft w:val="0"/>
                                          <w:marRight w:val="0"/>
                                          <w:marTop w:val="0"/>
                                          <w:marBottom w:val="0"/>
                                          <w:divBdr>
                                            <w:top w:val="none" w:sz="0" w:space="0" w:color="auto"/>
                                            <w:left w:val="none" w:sz="0" w:space="0" w:color="auto"/>
                                            <w:bottom w:val="none" w:sz="0" w:space="0" w:color="auto"/>
                                            <w:right w:val="none" w:sz="0" w:space="0" w:color="auto"/>
                                          </w:divBdr>
                                          <w:divsChild>
                                            <w:div w:id="1200314943">
                                              <w:marLeft w:val="0"/>
                                              <w:marRight w:val="0"/>
                                              <w:marTop w:val="0"/>
                                              <w:marBottom w:val="0"/>
                                              <w:divBdr>
                                                <w:top w:val="none" w:sz="0" w:space="0" w:color="auto"/>
                                                <w:left w:val="none" w:sz="0" w:space="0" w:color="auto"/>
                                                <w:bottom w:val="none" w:sz="0" w:space="0" w:color="auto"/>
                                                <w:right w:val="none" w:sz="0" w:space="0" w:color="auto"/>
                                              </w:divBdr>
                                              <w:divsChild>
                                                <w:div w:id="1200315082">
                                                  <w:marLeft w:val="0"/>
                                                  <w:marRight w:val="90"/>
                                                  <w:marTop w:val="0"/>
                                                  <w:marBottom w:val="0"/>
                                                  <w:divBdr>
                                                    <w:top w:val="none" w:sz="0" w:space="0" w:color="auto"/>
                                                    <w:left w:val="none" w:sz="0" w:space="0" w:color="auto"/>
                                                    <w:bottom w:val="none" w:sz="0" w:space="0" w:color="auto"/>
                                                    <w:right w:val="none" w:sz="0" w:space="0" w:color="auto"/>
                                                  </w:divBdr>
                                                  <w:divsChild>
                                                    <w:div w:id="1200314928">
                                                      <w:marLeft w:val="0"/>
                                                      <w:marRight w:val="0"/>
                                                      <w:marTop w:val="0"/>
                                                      <w:marBottom w:val="0"/>
                                                      <w:divBdr>
                                                        <w:top w:val="none" w:sz="0" w:space="0" w:color="auto"/>
                                                        <w:left w:val="none" w:sz="0" w:space="0" w:color="auto"/>
                                                        <w:bottom w:val="none" w:sz="0" w:space="0" w:color="auto"/>
                                                        <w:right w:val="none" w:sz="0" w:space="0" w:color="auto"/>
                                                      </w:divBdr>
                                                      <w:divsChild>
                                                        <w:div w:id="1200315040">
                                                          <w:marLeft w:val="0"/>
                                                          <w:marRight w:val="0"/>
                                                          <w:marTop w:val="0"/>
                                                          <w:marBottom w:val="0"/>
                                                          <w:divBdr>
                                                            <w:top w:val="none" w:sz="0" w:space="0" w:color="auto"/>
                                                            <w:left w:val="none" w:sz="0" w:space="0" w:color="auto"/>
                                                            <w:bottom w:val="none" w:sz="0" w:space="0" w:color="auto"/>
                                                            <w:right w:val="none" w:sz="0" w:space="0" w:color="auto"/>
                                                          </w:divBdr>
                                                          <w:divsChild>
                                                            <w:div w:id="1200315085">
                                                              <w:marLeft w:val="0"/>
                                                              <w:marRight w:val="0"/>
                                                              <w:marTop w:val="0"/>
                                                              <w:marBottom w:val="0"/>
                                                              <w:divBdr>
                                                                <w:top w:val="none" w:sz="0" w:space="0" w:color="auto"/>
                                                                <w:left w:val="none" w:sz="0" w:space="0" w:color="auto"/>
                                                                <w:bottom w:val="none" w:sz="0" w:space="0" w:color="auto"/>
                                                                <w:right w:val="none" w:sz="0" w:space="0" w:color="auto"/>
                                                              </w:divBdr>
                                                              <w:divsChild>
                                                                <w:div w:id="1200314972">
                                                                  <w:marLeft w:val="0"/>
                                                                  <w:marRight w:val="0"/>
                                                                  <w:marTop w:val="0"/>
                                                                  <w:marBottom w:val="105"/>
                                                                  <w:divBdr>
                                                                    <w:top w:val="single" w:sz="6" w:space="0" w:color="EDEDED"/>
                                                                    <w:left w:val="single" w:sz="6" w:space="0" w:color="EDEDED"/>
                                                                    <w:bottom w:val="single" w:sz="6" w:space="0" w:color="EDEDED"/>
                                                                    <w:right w:val="single" w:sz="6" w:space="0" w:color="EDEDED"/>
                                                                  </w:divBdr>
                                                                  <w:divsChild>
                                                                    <w:div w:id="1200315091">
                                                                      <w:marLeft w:val="0"/>
                                                                      <w:marRight w:val="0"/>
                                                                      <w:marTop w:val="0"/>
                                                                      <w:marBottom w:val="0"/>
                                                                      <w:divBdr>
                                                                        <w:top w:val="none" w:sz="0" w:space="0" w:color="auto"/>
                                                                        <w:left w:val="none" w:sz="0" w:space="0" w:color="auto"/>
                                                                        <w:bottom w:val="none" w:sz="0" w:space="0" w:color="auto"/>
                                                                        <w:right w:val="none" w:sz="0" w:space="0" w:color="auto"/>
                                                                      </w:divBdr>
                                                                      <w:divsChild>
                                                                        <w:div w:id="1200314970">
                                                                          <w:marLeft w:val="0"/>
                                                                          <w:marRight w:val="0"/>
                                                                          <w:marTop w:val="0"/>
                                                                          <w:marBottom w:val="0"/>
                                                                          <w:divBdr>
                                                                            <w:top w:val="none" w:sz="0" w:space="0" w:color="auto"/>
                                                                            <w:left w:val="none" w:sz="0" w:space="0" w:color="auto"/>
                                                                            <w:bottom w:val="none" w:sz="0" w:space="0" w:color="auto"/>
                                                                            <w:right w:val="none" w:sz="0" w:space="0" w:color="auto"/>
                                                                          </w:divBdr>
                                                                          <w:divsChild>
                                                                            <w:div w:id="1200315112">
                                                                              <w:marLeft w:val="0"/>
                                                                              <w:marRight w:val="0"/>
                                                                              <w:marTop w:val="0"/>
                                                                              <w:marBottom w:val="0"/>
                                                                              <w:divBdr>
                                                                                <w:top w:val="none" w:sz="0" w:space="0" w:color="auto"/>
                                                                                <w:left w:val="none" w:sz="0" w:space="0" w:color="auto"/>
                                                                                <w:bottom w:val="none" w:sz="0" w:space="0" w:color="auto"/>
                                                                                <w:right w:val="none" w:sz="0" w:space="0" w:color="auto"/>
                                                                              </w:divBdr>
                                                                              <w:divsChild>
                                                                                <w:div w:id="1200315053">
                                                                                  <w:marLeft w:val="180"/>
                                                                                  <w:marRight w:val="180"/>
                                                                                  <w:marTop w:val="0"/>
                                                                                  <w:marBottom w:val="0"/>
                                                                                  <w:divBdr>
                                                                                    <w:top w:val="none" w:sz="0" w:space="0" w:color="auto"/>
                                                                                    <w:left w:val="none" w:sz="0" w:space="0" w:color="auto"/>
                                                                                    <w:bottom w:val="none" w:sz="0" w:space="0" w:color="auto"/>
                                                                                    <w:right w:val="none" w:sz="0" w:space="0" w:color="auto"/>
                                                                                  </w:divBdr>
                                                                                  <w:divsChild>
                                                                                    <w:div w:id="1200315042">
                                                                                      <w:marLeft w:val="0"/>
                                                                                      <w:marRight w:val="0"/>
                                                                                      <w:marTop w:val="0"/>
                                                                                      <w:marBottom w:val="0"/>
                                                                                      <w:divBdr>
                                                                                        <w:top w:val="none" w:sz="0" w:space="0" w:color="auto"/>
                                                                                        <w:left w:val="none" w:sz="0" w:space="0" w:color="auto"/>
                                                                                        <w:bottom w:val="none" w:sz="0" w:space="0" w:color="auto"/>
                                                                                        <w:right w:val="none" w:sz="0" w:space="0" w:color="auto"/>
                                                                                      </w:divBdr>
                                                                                      <w:divsChild>
                                                                                        <w:div w:id="1200315063">
                                                                                          <w:marLeft w:val="0"/>
                                                                                          <w:marRight w:val="0"/>
                                                                                          <w:marTop w:val="0"/>
                                                                                          <w:marBottom w:val="0"/>
                                                                                          <w:divBdr>
                                                                                            <w:top w:val="none" w:sz="0" w:space="0" w:color="auto"/>
                                                                                            <w:left w:val="none" w:sz="0" w:space="0" w:color="auto"/>
                                                                                            <w:bottom w:val="none" w:sz="0" w:space="0" w:color="auto"/>
                                                                                            <w:right w:val="none" w:sz="0" w:space="0" w:color="auto"/>
                                                                                          </w:divBdr>
                                                                                          <w:divsChild>
                                                                                            <w:div w:id="1200315088">
                                                                                              <w:marLeft w:val="0"/>
                                                                                              <w:marRight w:val="0"/>
                                                                                              <w:marTop w:val="0"/>
                                                                                              <w:marBottom w:val="0"/>
                                                                                              <w:divBdr>
                                                                                                <w:top w:val="none" w:sz="0" w:space="0" w:color="auto"/>
                                                                                                <w:left w:val="none" w:sz="0" w:space="0" w:color="auto"/>
                                                                                                <w:bottom w:val="none" w:sz="0" w:space="0" w:color="auto"/>
                                                                                                <w:right w:val="none" w:sz="0" w:space="0" w:color="auto"/>
                                                                                              </w:divBdr>
                                                                                              <w:divsChild>
                                                                                                <w:div w:id="1200315109">
                                                                                                  <w:marLeft w:val="0"/>
                                                                                                  <w:marRight w:val="0"/>
                                                                                                  <w:marTop w:val="0"/>
                                                                                                  <w:marBottom w:val="0"/>
                                                                                                  <w:divBdr>
                                                                                                    <w:top w:val="none" w:sz="0" w:space="0" w:color="auto"/>
                                                                                                    <w:left w:val="none" w:sz="0" w:space="0" w:color="auto"/>
                                                                                                    <w:bottom w:val="none" w:sz="0" w:space="0" w:color="auto"/>
                                                                                                    <w:right w:val="none" w:sz="0" w:space="0" w:color="auto"/>
                                                                                                  </w:divBdr>
                                                                                                  <w:divsChild>
                                                                                                    <w:div w:id="1200314931">
                                                                                                      <w:marLeft w:val="0"/>
                                                                                                      <w:marRight w:val="0"/>
                                                                                                      <w:marTop w:val="0"/>
                                                                                                      <w:marBottom w:val="0"/>
                                                                                                      <w:divBdr>
                                                                                                        <w:top w:val="none" w:sz="0" w:space="0" w:color="auto"/>
                                                                                                        <w:left w:val="none" w:sz="0" w:space="0" w:color="auto"/>
                                                                                                        <w:bottom w:val="none" w:sz="0" w:space="0" w:color="auto"/>
                                                                                                        <w:right w:val="none" w:sz="0" w:space="0" w:color="auto"/>
                                                                                                      </w:divBdr>
                                                                                                      <w:divsChild>
                                                                                                        <w:div w:id="120031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0315111">
      <w:marLeft w:val="0"/>
      <w:marRight w:val="0"/>
      <w:marTop w:val="0"/>
      <w:marBottom w:val="0"/>
      <w:divBdr>
        <w:top w:val="none" w:sz="0" w:space="0" w:color="auto"/>
        <w:left w:val="none" w:sz="0" w:space="0" w:color="auto"/>
        <w:bottom w:val="none" w:sz="0" w:space="0" w:color="auto"/>
        <w:right w:val="none" w:sz="0" w:space="0" w:color="auto"/>
      </w:divBdr>
      <w:divsChild>
        <w:div w:id="1200314962">
          <w:marLeft w:val="0"/>
          <w:marRight w:val="0"/>
          <w:marTop w:val="0"/>
          <w:marBottom w:val="0"/>
          <w:divBdr>
            <w:top w:val="none" w:sz="0" w:space="0" w:color="auto"/>
            <w:left w:val="none" w:sz="0" w:space="0" w:color="auto"/>
            <w:bottom w:val="none" w:sz="0" w:space="0" w:color="auto"/>
            <w:right w:val="none" w:sz="0" w:space="0" w:color="auto"/>
          </w:divBdr>
          <w:divsChild>
            <w:div w:id="1200315036">
              <w:marLeft w:val="0"/>
              <w:marRight w:val="0"/>
              <w:marTop w:val="0"/>
              <w:marBottom w:val="0"/>
              <w:divBdr>
                <w:top w:val="none" w:sz="0" w:space="0" w:color="auto"/>
                <w:left w:val="none" w:sz="0" w:space="0" w:color="auto"/>
                <w:bottom w:val="none" w:sz="0" w:space="0" w:color="auto"/>
                <w:right w:val="none" w:sz="0" w:space="0" w:color="auto"/>
              </w:divBdr>
              <w:divsChild>
                <w:div w:id="1200314950">
                  <w:marLeft w:val="0"/>
                  <w:marRight w:val="0"/>
                  <w:marTop w:val="0"/>
                  <w:marBottom w:val="0"/>
                  <w:divBdr>
                    <w:top w:val="none" w:sz="0" w:space="0" w:color="auto"/>
                    <w:left w:val="none" w:sz="0" w:space="0" w:color="auto"/>
                    <w:bottom w:val="none" w:sz="0" w:space="0" w:color="auto"/>
                    <w:right w:val="none" w:sz="0" w:space="0" w:color="auto"/>
                  </w:divBdr>
                  <w:divsChild>
                    <w:div w:id="1200314984">
                      <w:marLeft w:val="0"/>
                      <w:marRight w:val="0"/>
                      <w:marTop w:val="0"/>
                      <w:marBottom w:val="0"/>
                      <w:divBdr>
                        <w:top w:val="none" w:sz="0" w:space="0" w:color="auto"/>
                        <w:left w:val="none" w:sz="0" w:space="0" w:color="auto"/>
                        <w:bottom w:val="none" w:sz="0" w:space="0" w:color="auto"/>
                        <w:right w:val="none" w:sz="0" w:space="0" w:color="auto"/>
                      </w:divBdr>
                      <w:divsChild>
                        <w:div w:id="1200314992">
                          <w:marLeft w:val="495"/>
                          <w:marRight w:val="450"/>
                          <w:marTop w:val="420"/>
                          <w:marBottom w:val="0"/>
                          <w:divBdr>
                            <w:top w:val="none" w:sz="0" w:space="0" w:color="auto"/>
                            <w:left w:val="none" w:sz="0" w:space="0" w:color="auto"/>
                            <w:bottom w:val="none" w:sz="0" w:space="0" w:color="auto"/>
                            <w:right w:val="none" w:sz="0" w:space="0" w:color="auto"/>
                          </w:divBdr>
                          <w:divsChild>
                            <w:div w:id="1200314926">
                              <w:marLeft w:val="0"/>
                              <w:marRight w:val="0"/>
                              <w:marTop w:val="0"/>
                              <w:marBottom w:val="150"/>
                              <w:divBdr>
                                <w:top w:val="none" w:sz="0" w:space="0" w:color="auto"/>
                                <w:left w:val="none" w:sz="0" w:space="0" w:color="auto"/>
                                <w:bottom w:val="none" w:sz="0" w:space="0" w:color="auto"/>
                                <w:right w:val="none" w:sz="0" w:space="0" w:color="auto"/>
                              </w:divBdr>
                            </w:div>
                            <w:div w:id="1200314981">
                              <w:marLeft w:val="-1935"/>
                              <w:marRight w:val="75"/>
                              <w:marTop w:val="0"/>
                              <w:marBottom w:val="0"/>
                              <w:divBdr>
                                <w:top w:val="none" w:sz="0" w:space="0" w:color="auto"/>
                                <w:left w:val="none" w:sz="0" w:space="0" w:color="auto"/>
                                <w:bottom w:val="none" w:sz="0" w:space="0" w:color="auto"/>
                                <w:right w:val="none" w:sz="0" w:space="0" w:color="auto"/>
                              </w:divBdr>
                            </w:div>
                          </w:divsChild>
                        </w:div>
                        <w:div w:id="1200315059">
                          <w:marLeft w:val="0"/>
                          <w:marRight w:val="450"/>
                          <w:marTop w:val="420"/>
                          <w:marBottom w:val="0"/>
                          <w:divBdr>
                            <w:top w:val="none" w:sz="0" w:space="0" w:color="auto"/>
                            <w:left w:val="none" w:sz="0" w:space="0" w:color="auto"/>
                            <w:bottom w:val="none" w:sz="0" w:space="0" w:color="auto"/>
                            <w:right w:val="none" w:sz="0" w:space="0" w:color="auto"/>
                          </w:divBdr>
                          <w:divsChild>
                            <w:div w:id="1200314990">
                              <w:marLeft w:val="0"/>
                              <w:marRight w:val="0"/>
                              <w:marTop w:val="0"/>
                              <w:marBottom w:val="150"/>
                              <w:divBdr>
                                <w:top w:val="none" w:sz="0" w:space="0" w:color="auto"/>
                                <w:left w:val="none" w:sz="0" w:space="0" w:color="auto"/>
                                <w:bottom w:val="none" w:sz="0" w:space="0" w:color="auto"/>
                                <w:right w:val="none" w:sz="0" w:space="0" w:color="auto"/>
                              </w:divBdr>
                            </w:div>
                            <w:div w:id="1200315060">
                              <w:marLeft w:val="0"/>
                              <w:marRight w:val="0"/>
                              <w:marTop w:val="0"/>
                              <w:marBottom w:val="150"/>
                              <w:divBdr>
                                <w:top w:val="none" w:sz="0" w:space="0" w:color="auto"/>
                                <w:left w:val="none" w:sz="0" w:space="0" w:color="auto"/>
                                <w:bottom w:val="none" w:sz="0" w:space="0" w:color="auto"/>
                                <w:right w:val="none" w:sz="0" w:space="0" w:color="auto"/>
                              </w:divBdr>
                            </w:div>
                            <w:div w:id="120031510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1200901">
      <w:bodyDiv w:val="1"/>
      <w:marLeft w:val="0"/>
      <w:marRight w:val="0"/>
      <w:marTop w:val="0"/>
      <w:marBottom w:val="0"/>
      <w:divBdr>
        <w:top w:val="none" w:sz="0" w:space="0" w:color="auto"/>
        <w:left w:val="none" w:sz="0" w:space="0" w:color="auto"/>
        <w:bottom w:val="none" w:sz="0" w:space="0" w:color="auto"/>
        <w:right w:val="none" w:sz="0" w:space="0" w:color="auto"/>
      </w:divBdr>
    </w:div>
    <w:div w:id="1652713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urveypractice.org/index.php/SurveyPractice/article/view/45"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dementiaprevalencecalculator.org.uk"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gov.uk/government/news/prime-minister-s-challenge-on-dementi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areindustrynews.co.uk/2013/05/government-announces-drive-to-up-dementia-diagnosis-by-20-per-cent/" TargetMode="External"/><Relationship Id="rId5" Type="http://schemas.openxmlformats.org/officeDocument/2006/relationships/settings" Target="settings.xml"/><Relationship Id="rId15" Type="http://schemas.openxmlformats.org/officeDocument/2006/relationships/hyperlink" Target="http://www.nhsemployers.org/Aboutus/Publications/Documents/qof-2013-14.pdf" TargetMode="External"/><Relationship Id="rId10" Type="http://schemas.openxmlformats.org/officeDocument/2006/relationships/chart" Target="charts/chart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hyperlink" Target="http://www.dh.gov.uk/health/category/policy-areas/social-care/dementia/"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Macro-Enabled_Worksheet1.xlsm"/><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Macro-Enabled_Worksheet2.xlsm"/></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60192797996879377"/>
          <c:y val="4.2760095769250848E-2"/>
          <c:w val="0.29082102997851894"/>
          <c:h val="0.8597640758083881"/>
        </c:manualLayout>
      </c:layout>
      <c:barChart>
        <c:barDir val="bar"/>
        <c:grouping val="clustered"/>
        <c:varyColors val="0"/>
        <c:ser>
          <c:idx val="0"/>
          <c:order val="0"/>
          <c:tx>
            <c:strRef>
              <c:f>Sheet1!$B$1</c:f>
              <c:strCache>
                <c:ptCount val="1"/>
                <c:pt idx="0">
                  <c:v>Agree</c:v>
                </c:pt>
              </c:strCache>
            </c:strRef>
          </c:tx>
          <c:spPr>
            <a:solidFill>
              <a:srgbClr val="4F81BD"/>
            </a:solidFill>
            <a:ln w="25224">
              <a:noFill/>
            </a:ln>
          </c:spPr>
          <c:invertIfNegative val="0"/>
          <c:dLbls>
            <c:spPr>
              <a:noFill/>
              <a:ln w="25224">
                <a:noFill/>
              </a:ln>
            </c:spPr>
            <c:showLegendKey val="0"/>
            <c:showVal val="1"/>
            <c:showCatName val="0"/>
            <c:showSerName val="0"/>
            <c:showPercent val="0"/>
            <c:showBubbleSize val="0"/>
            <c:showLeaderLines val="0"/>
          </c:dLbls>
          <c:cat>
            <c:strRef>
              <c:f>Sheet1!$A$2:$A$8</c:f>
              <c:strCache>
                <c:ptCount val="7"/>
                <c:pt idx="0">
                  <c:v>There is little point diagnosing dementia as there is no clinical cure (113)</c:v>
                </c:pt>
                <c:pt idx="1">
                  <c:v>There is little point diagnosing dementia because the  required level of support is not available…..(112)</c:v>
                </c:pt>
                <c:pt idx="2">
                  <c:v>A satisfactory Memory Service is available in your area to diagnose patients with symptoms of dementia (113)</c:v>
                </c:pt>
                <c:pt idx="3">
                  <c:v>Providing a patient with a diagnosis of dementia is usually more helpful than harmful (112)</c:v>
                </c:pt>
                <c:pt idx="4">
                  <c:v>Families prefer to be told about their relative's dementia as early as possible (113)</c:v>
                </c:pt>
                <c:pt idx="5">
                  <c:v>I have received sufficient basic/post-qualifying training to identify possible cases of dementia for onward referral..(113)</c:v>
                </c:pt>
                <c:pt idx="6">
                  <c:v>It is beneficial to patients and their families to receive a timely diagnosis of dementia (113)</c:v>
                </c:pt>
              </c:strCache>
            </c:strRef>
          </c:cat>
          <c:val>
            <c:numRef>
              <c:f>Sheet1!$B$2:$B$8</c:f>
              <c:numCache>
                <c:formatCode>General</c:formatCode>
                <c:ptCount val="7"/>
                <c:pt idx="0">
                  <c:v>5</c:v>
                </c:pt>
                <c:pt idx="1">
                  <c:v>29</c:v>
                </c:pt>
                <c:pt idx="2">
                  <c:v>54</c:v>
                </c:pt>
                <c:pt idx="3">
                  <c:v>70</c:v>
                </c:pt>
                <c:pt idx="4">
                  <c:v>72</c:v>
                </c:pt>
                <c:pt idx="5">
                  <c:v>81</c:v>
                </c:pt>
                <c:pt idx="6">
                  <c:v>85</c:v>
                </c:pt>
              </c:numCache>
            </c:numRef>
          </c:val>
        </c:ser>
        <c:ser>
          <c:idx val="1"/>
          <c:order val="1"/>
          <c:tx>
            <c:strRef>
              <c:f>Sheet1!$C$1</c:f>
              <c:strCache>
                <c:ptCount val="1"/>
                <c:pt idx="0">
                  <c:v>Neither agree nor disagree</c:v>
                </c:pt>
              </c:strCache>
            </c:strRef>
          </c:tx>
          <c:spPr>
            <a:solidFill>
              <a:srgbClr val="C0504D"/>
            </a:solidFill>
            <a:ln w="25224">
              <a:noFill/>
            </a:ln>
          </c:spPr>
          <c:invertIfNegative val="0"/>
          <c:dLbls>
            <c:spPr>
              <a:noFill/>
              <a:ln w="25224">
                <a:noFill/>
              </a:ln>
            </c:spPr>
            <c:showLegendKey val="0"/>
            <c:showVal val="1"/>
            <c:showCatName val="0"/>
            <c:showSerName val="0"/>
            <c:showPercent val="0"/>
            <c:showBubbleSize val="0"/>
            <c:showLeaderLines val="0"/>
          </c:dLbls>
          <c:cat>
            <c:strRef>
              <c:f>Sheet1!$A$2:$A$8</c:f>
              <c:strCache>
                <c:ptCount val="7"/>
                <c:pt idx="0">
                  <c:v>There is little point diagnosing dementia as there is no clinical cure (113)</c:v>
                </c:pt>
                <c:pt idx="1">
                  <c:v>There is little point diagnosing dementia because the  required level of support is not available…..(112)</c:v>
                </c:pt>
                <c:pt idx="2">
                  <c:v>A satisfactory Memory Service is available in your area to diagnose patients with symptoms of dementia (113)</c:v>
                </c:pt>
                <c:pt idx="3">
                  <c:v>Providing a patient with a diagnosis of dementia is usually more helpful than harmful (112)</c:v>
                </c:pt>
                <c:pt idx="4">
                  <c:v>Families prefer to be told about their relative's dementia as early as possible (113)</c:v>
                </c:pt>
                <c:pt idx="5">
                  <c:v>I have received sufficient basic/post-qualifying training to identify possible cases of dementia for onward referral..(113)</c:v>
                </c:pt>
                <c:pt idx="6">
                  <c:v>It is beneficial to patients and their families to receive a timely diagnosis of dementia (113)</c:v>
                </c:pt>
              </c:strCache>
            </c:strRef>
          </c:cat>
          <c:val>
            <c:numRef>
              <c:f>Sheet1!$C$2:$C$8</c:f>
              <c:numCache>
                <c:formatCode>General</c:formatCode>
                <c:ptCount val="7"/>
                <c:pt idx="0">
                  <c:v>14</c:v>
                </c:pt>
                <c:pt idx="1">
                  <c:v>26</c:v>
                </c:pt>
                <c:pt idx="2">
                  <c:v>18</c:v>
                </c:pt>
                <c:pt idx="3">
                  <c:v>24</c:v>
                </c:pt>
                <c:pt idx="4">
                  <c:v>25</c:v>
                </c:pt>
                <c:pt idx="5">
                  <c:v>8</c:v>
                </c:pt>
                <c:pt idx="6">
                  <c:v>11</c:v>
                </c:pt>
              </c:numCache>
            </c:numRef>
          </c:val>
        </c:ser>
        <c:ser>
          <c:idx val="2"/>
          <c:order val="2"/>
          <c:tx>
            <c:strRef>
              <c:f>Sheet1!$D$1</c:f>
              <c:strCache>
                <c:ptCount val="1"/>
                <c:pt idx="0">
                  <c:v>Disagree</c:v>
                </c:pt>
              </c:strCache>
            </c:strRef>
          </c:tx>
          <c:invertIfNegative val="0"/>
          <c:dLbls>
            <c:showLegendKey val="0"/>
            <c:showVal val="1"/>
            <c:showCatName val="0"/>
            <c:showSerName val="0"/>
            <c:showPercent val="0"/>
            <c:showBubbleSize val="0"/>
            <c:showLeaderLines val="0"/>
          </c:dLbls>
          <c:cat>
            <c:strRef>
              <c:f>Sheet1!$A$2:$A$8</c:f>
              <c:strCache>
                <c:ptCount val="7"/>
                <c:pt idx="0">
                  <c:v>There is little point diagnosing dementia as there is no clinical cure (113)</c:v>
                </c:pt>
                <c:pt idx="1">
                  <c:v>There is little point diagnosing dementia because the  required level of support is not available…..(112)</c:v>
                </c:pt>
                <c:pt idx="2">
                  <c:v>A satisfactory Memory Service is available in your area to diagnose patients with symptoms of dementia (113)</c:v>
                </c:pt>
                <c:pt idx="3">
                  <c:v>Providing a patient with a diagnosis of dementia is usually more helpful than harmful (112)</c:v>
                </c:pt>
                <c:pt idx="4">
                  <c:v>Families prefer to be told about their relative's dementia as early as possible (113)</c:v>
                </c:pt>
                <c:pt idx="5">
                  <c:v>I have received sufficient basic/post-qualifying training to identify possible cases of dementia for onward referral..(113)</c:v>
                </c:pt>
                <c:pt idx="6">
                  <c:v>It is beneficial to patients and their families to receive a timely diagnosis of dementia (113)</c:v>
                </c:pt>
              </c:strCache>
            </c:strRef>
          </c:cat>
          <c:val>
            <c:numRef>
              <c:f>Sheet1!$D$2:$D$8</c:f>
              <c:numCache>
                <c:formatCode>General</c:formatCode>
                <c:ptCount val="7"/>
                <c:pt idx="0">
                  <c:v>81</c:v>
                </c:pt>
                <c:pt idx="1">
                  <c:v>45</c:v>
                </c:pt>
                <c:pt idx="2">
                  <c:v>28</c:v>
                </c:pt>
                <c:pt idx="3">
                  <c:v>6</c:v>
                </c:pt>
                <c:pt idx="4">
                  <c:v>3</c:v>
                </c:pt>
                <c:pt idx="5">
                  <c:v>11</c:v>
                </c:pt>
                <c:pt idx="6">
                  <c:v>4</c:v>
                </c:pt>
              </c:numCache>
            </c:numRef>
          </c:val>
        </c:ser>
        <c:dLbls>
          <c:showLegendKey val="0"/>
          <c:showVal val="0"/>
          <c:showCatName val="0"/>
          <c:showSerName val="0"/>
          <c:showPercent val="0"/>
          <c:showBubbleSize val="0"/>
        </c:dLbls>
        <c:gapWidth val="150"/>
        <c:axId val="71803264"/>
        <c:axId val="71804800"/>
      </c:barChart>
      <c:catAx>
        <c:axId val="71803264"/>
        <c:scaling>
          <c:orientation val="minMax"/>
        </c:scaling>
        <c:delete val="0"/>
        <c:axPos val="l"/>
        <c:numFmt formatCode="General" sourceLinked="1"/>
        <c:majorTickMark val="out"/>
        <c:minorTickMark val="none"/>
        <c:tickLblPos val="nextTo"/>
        <c:spPr>
          <a:ln w="3153">
            <a:solidFill>
              <a:srgbClr val="808080"/>
            </a:solidFill>
            <a:prstDash val="solid"/>
          </a:ln>
        </c:spPr>
        <c:crossAx val="71804800"/>
        <c:crosses val="autoZero"/>
        <c:auto val="1"/>
        <c:lblAlgn val="ctr"/>
        <c:lblOffset val="100"/>
        <c:noMultiLvlLbl val="0"/>
      </c:catAx>
      <c:valAx>
        <c:axId val="71804800"/>
        <c:scaling>
          <c:orientation val="minMax"/>
        </c:scaling>
        <c:delete val="0"/>
        <c:axPos val="b"/>
        <c:majorGridlines>
          <c:spPr>
            <a:ln w="3153">
              <a:noFill/>
              <a:prstDash val="solid"/>
            </a:ln>
          </c:spPr>
        </c:majorGridlines>
        <c:numFmt formatCode="General" sourceLinked="1"/>
        <c:majorTickMark val="out"/>
        <c:minorTickMark val="none"/>
        <c:tickLblPos val="nextTo"/>
        <c:spPr>
          <a:ln w="3153">
            <a:solidFill>
              <a:srgbClr val="808080"/>
            </a:solidFill>
            <a:prstDash val="solid"/>
          </a:ln>
        </c:spPr>
        <c:crossAx val="71803264"/>
        <c:crosses val="autoZero"/>
        <c:crossBetween val="between"/>
      </c:valAx>
      <c:spPr>
        <a:solidFill>
          <a:srgbClr val="FFFFFF"/>
        </a:solidFill>
        <a:ln w="25224">
          <a:noFill/>
        </a:ln>
      </c:spPr>
    </c:plotArea>
    <c:legend>
      <c:legendPos val="r"/>
      <c:layout>
        <c:manualLayout>
          <c:xMode val="edge"/>
          <c:yMode val="edge"/>
          <c:x val="0.83818877946848624"/>
          <c:y val="0.41769304459590822"/>
          <c:w val="0.16176348967682433"/>
          <c:h val="0.30907209723191731"/>
        </c:manualLayout>
      </c:layout>
      <c:overlay val="0"/>
      <c:spPr>
        <a:noFill/>
        <a:ln w="25224">
          <a:noFill/>
        </a:ln>
      </c:spPr>
    </c:legend>
    <c:plotVisOnly val="1"/>
    <c:dispBlanksAs val="gap"/>
    <c:showDLblsOverMax val="0"/>
  </c:chart>
  <c:spPr>
    <a:solidFill>
      <a:srgbClr val="FFFFFF"/>
    </a:solidFill>
    <a:ln w="3153">
      <a:solidFill>
        <a:srgbClr val="808080"/>
      </a:solidFill>
      <a:prstDash val="solid"/>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83202099737533"/>
          <c:y val="5.6603773584905599E-2"/>
          <c:w val="0.30971128608923898"/>
          <c:h val="0.76100628930817604"/>
        </c:manualLayout>
      </c:layout>
      <c:barChart>
        <c:barDir val="bar"/>
        <c:grouping val="clustered"/>
        <c:varyColors val="0"/>
        <c:ser>
          <c:idx val="0"/>
          <c:order val="0"/>
          <c:tx>
            <c:strRef>
              <c:f>Sheet1!$A$2</c:f>
              <c:strCache>
                <c:ptCount val="1"/>
                <c:pt idx="0">
                  <c:v>Not confident</c:v>
                </c:pt>
              </c:strCache>
            </c:strRef>
          </c:tx>
          <c:spPr>
            <a:solidFill>
              <a:srgbClr val="63AAFE"/>
            </a:solidFill>
            <a:ln w="12654">
              <a:solidFill>
                <a:srgbClr val="000000"/>
              </a:solidFill>
              <a:prstDash val="solid"/>
            </a:ln>
          </c:spPr>
          <c:invertIfNegative val="0"/>
          <c:dLbls>
            <c:spPr>
              <a:noFill/>
              <a:ln w="25309">
                <a:noFill/>
              </a:ln>
            </c:spPr>
            <c:txPr>
              <a:bodyPr/>
              <a:lstStyle/>
              <a:p>
                <a:pPr>
                  <a:defRPr sz="922" b="1"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Sheet1!$B$1:$D$1</c:f>
              <c:strCache>
                <c:ptCount val="3"/>
                <c:pt idx="0">
                  <c:v>Identifying possible cases for onward referal</c:v>
                </c:pt>
                <c:pt idx="1">
                  <c:v>Advising on the management of dementia symptoms</c:v>
                </c:pt>
                <c:pt idx="2">
                  <c:v>Advising on local support services available to people with dementia and their carers</c:v>
                </c:pt>
              </c:strCache>
            </c:strRef>
          </c:cat>
          <c:val>
            <c:numRef>
              <c:f>Sheet1!$B$2:$D$2</c:f>
              <c:numCache>
                <c:formatCode>General</c:formatCode>
                <c:ptCount val="3"/>
                <c:pt idx="0">
                  <c:v>1</c:v>
                </c:pt>
                <c:pt idx="1">
                  <c:v>14</c:v>
                </c:pt>
                <c:pt idx="2">
                  <c:v>37</c:v>
                </c:pt>
              </c:numCache>
            </c:numRef>
          </c:val>
        </c:ser>
        <c:ser>
          <c:idx val="1"/>
          <c:order val="1"/>
          <c:tx>
            <c:strRef>
              <c:f>Sheet1!$A$3</c:f>
              <c:strCache>
                <c:ptCount val="1"/>
                <c:pt idx="0">
                  <c:v>Somewhat confident</c:v>
                </c:pt>
              </c:strCache>
            </c:strRef>
          </c:tx>
          <c:spPr>
            <a:solidFill>
              <a:srgbClr val="DD2D32"/>
            </a:solidFill>
            <a:ln w="12654">
              <a:solidFill>
                <a:srgbClr val="000000"/>
              </a:solidFill>
              <a:prstDash val="solid"/>
            </a:ln>
          </c:spPr>
          <c:invertIfNegative val="0"/>
          <c:dLbls>
            <c:spPr>
              <a:noFill/>
              <a:ln w="25309">
                <a:noFill/>
              </a:ln>
            </c:spPr>
            <c:txPr>
              <a:bodyPr/>
              <a:lstStyle/>
              <a:p>
                <a:pPr>
                  <a:defRPr sz="922" b="1"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Sheet1!$B$1:$D$1</c:f>
              <c:strCache>
                <c:ptCount val="3"/>
                <c:pt idx="0">
                  <c:v>Identifying possible cases for onward referal</c:v>
                </c:pt>
                <c:pt idx="1">
                  <c:v>Advising on the management of dementia symptoms</c:v>
                </c:pt>
                <c:pt idx="2">
                  <c:v>Advising on local support services available to people with dementia and their carers</c:v>
                </c:pt>
              </c:strCache>
            </c:strRef>
          </c:cat>
          <c:val>
            <c:numRef>
              <c:f>Sheet1!$B$3:$D$3</c:f>
              <c:numCache>
                <c:formatCode>General</c:formatCode>
                <c:ptCount val="3"/>
                <c:pt idx="0">
                  <c:v>9</c:v>
                </c:pt>
                <c:pt idx="1">
                  <c:v>43</c:v>
                </c:pt>
                <c:pt idx="2">
                  <c:v>31</c:v>
                </c:pt>
              </c:numCache>
            </c:numRef>
          </c:val>
        </c:ser>
        <c:ser>
          <c:idx val="2"/>
          <c:order val="2"/>
          <c:tx>
            <c:strRef>
              <c:f>Sheet1!$A$4</c:f>
              <c:strCache>
                <c:ptCount val="1"/>
                <c:pt idx="0">
                  <c:v>Confident</c:v>
                </c:pt>
              </c:strCache>
            </c:strRef>
          </c:tx>
          <c:spPr>
            <a:solidFill>
              <a:srgbClr val="FFF58C"/>
            </a:solidFill>
            <a:ln w="12654">
              <a:solidFill>
                <a:srgbClr val="000000"/>
              </a:solidFill>
              <a:prstDash val="solid"/>
            </a:ln>
          </c:spPr>
          <c:invertIfNegative val="0"/>
          <c:dLbls>
            <c:spPr>
              <a:noFill/>
              <a:ln w="25309">
                <a:noFill/>
              </a:ln>
            </c:spPr>
            <c:txPr>
              <a:bodyPr/>
              <a:lstStyle/>
              <a:p>
                <a:pPr>
                  <a:defRPr sz="922" b="1"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Sheet1!$B$1:$D$1</c:f>
              <c:strCache>
                <c:ptCount val="3"/>
                <c:pt idx="0">
                  <c:v>Identifying possible cases for onward referal</c:v>
                </c:pt>
                <c:pt idx="1">
                  <c:v>Advising on the management of dementia symptoms</c:v>
                </c:pt>
                <c:pt idx="2">
                  <c:v>Advising on local support services available to people with dementia and their carers</c:v>
                </c:pt>
              </c:strCache>
            </c:strRef>
          </c:cat>
          <c:val>
            <c:numRef>
              <c:f>Sheet1!$B$4:$D$4</c:f>
              <c:numCache>
                <c:formatCode>General</c:formatCode>
                <c:ptCount val="3"/>
                <c:pt idx="0">
                  <c:v>90</c:v>
                </c:pt>
                <c:pt idx="1">
                  <c:v>43</c:v>
                </c:pt>
                <c:pt idx="2">
                  <c:v>19</c:v>
                </c:pt>
              </c:numCache>
            </c:numRef>
          </c:val>
        </c:ser>
        <c:dLbls>
          <c:showLegendKey val="0"/>
          <c:showVal val="0"/>
          <c:showCatName val="0"/>
          <c:showSerName val="0"/>
          <c:showPercent val="0"/>
          <c:showBubbleSize val="0"/>
        </c:dLbls>
        <c:gapWidth val="150"/>
        <c:axId val="72077696"/>
        <c:axId val="72079232"/>
      </c:barChart>
      <c:catAx>
        <c:axId val="72077696"/>
        <c:scaling>
          <c:orientation val="minMax"/>
        </c:scaling>
        <c:delete val="0"/>
        <c:axPos val="l"/>
        <c:numFmt formatCode="General" sourceLinked="1"/>
        <c:majorTickMark val="out"/>
        <c:minorTickMark val="none"/>
        <c:tickLblPos val="nextTo"/>
        <c:spPr>
          <a:ln w="3164">
            <a:solidFill>
              <a:srgbClr val="000000"/>
            </a:solidFill>
            <a:prstDash val="solid"/>
          </a:ln>
        </c:spPr>
        <c:txPr>
          <a:bodyPr rot="0" vert="horz"/>
          <a:lstStyle/>
          <a:p>
            <a:pPr>
              <a:defRPr sz="922" b="1" i="0" u="none" strike="noStrike" baseline="0">
                <a:solidFill>
                  <a:srgbClr val="000000"/>
                </a:solidFill>
                <a:latin typeface="Calibri"/>
                <a:ea typeface="Calibri"/>
                <a:cs typeface="Calibri"/>
              </a:defRPr>
            </a:pPr>
            <a:endParaRPr lang="en-US"/>
          </a:p>
        </c:txPr>
        <c:crossAx val="72079232"/>
        <c:crosses val="autoZero"/>
        <c:auto val="1"/>
        <c:lblAlgn val="ctr"/>
        <c:lblOffset val="100"/>
        <c:tickLblSkip val="1"/>
        <c:tickMarkSkip val="1"/>
        <c:noMultiLvlLbl val="0"/>
      </c:catAx>
      <c:valAx>
        <c:axId val="72079232"/>
        <c:scaling>
          <c:orientation val="minMax"/>
        </c:scaling>
        <c:delete val="0"/>
        <c:axPos val="b"/>
        <c:majorGridlines>
          <c:spPr>
            <a:ln w="3164">
              <a:solidFill>
                <a:srgbClr val="000000"/>
              </a:solidFill>
              <a:prstDash val="solid"/>
            </a:ln>
          </c:spPr>
        </c:majorGridlines>
        <c:numFmt formatCode="General" sourceLinked="1"/>
        <c:majorTickMark val="out"/>
        <c:minorTickMark val="none"/>
        <c:tickLblPos val="nextTo"/>
        <c:spPr>
          <a:ln w="3164">
            <a:solidFill>
              <a:srgbClr val="000000"/>
            </a:solidFill>
            <a:prstDash val="solid"/>
          </a:ln>
        </c:spPr>
        <c:txPr>
          <a:bodyPr rot="0" vert="horz"/>
          <a:lstStyle/>
          <a:p>
            <a:pPr>
              <a:defRPr sz="922" b="1" i="0" u="none" strike="noStrike" baseline="0">
                <a:solidFill>
                  <a:srgbClr val="000000"/>
                </a:solidFill>
                <a:latin typeface="Calibri"/>
                <a:ea typeface="Calibri"/>
                <a:cs typeface="Calibri"/>
              </a:defRPr>
            </a:pPr>
            <a:endParaRPr lang="en-US"/>
          </a:p>
        </c:txPr>
        <c:crossAx val="72077696"/>
        <c:crosses val="autoZero"/>
        <c:crossBetween val="between"/>
      </c:valAx>
      <c:spPr>
        <a:solidFill>
          <a:srgbClr val="C0C0C0"/>
        </a:solidFill>
        <a:ln w="12654">
          <a:solidFill>
            <a:srgbClr val="808080"/>
          </a:solidFill>
          <a:prstDash val="solid"/>
        </a:ln>
      </c:spPr>
    </c:plotArea>
    <c:legend>
      <c:legendPos val="r"/>
      <c:layout>
        <c:manualLayout>
          <c:xMode val="edge"/>
          <c:yMode val="edge"/>
          <c:x val="0.73490813648293996"/>
          <c:y val="0.30817610062893103"/>
          <c:w val="0.25459317585301799"/>
          <c:h val="0.25157232704402499"/>
        </c:manualLayout>
      </c:layout>
      <c:overlay val="0"/>
      <c:spPr>
        <a:noFill/>
        <a:ln w="3164">
          <a:solidFill>
            <a:srgbClr val="000000"/>
          </a:solidFill>
          <a:prstDash val="solid"/>
        </a:ln>
      </c:spPr>
      <c:txPr>
        <a:bodyPr/>
        <a:lstStyle/>
        <a:p>
          <a:pPr>
            <a:defRPr sz="847" b="1" i="0" u="none" strike="noStrike" baseline="0">
              <a:solidFill>
                <a:srgbClr val="000000"/>
              </a:solidFill>
              <a:latin typeface="Calibri"/>
              <a:ea typeface="Calibri"/>
              <a:cs typeface="Calibri"/>
            </a:defRPr>
          </a:pPr>
          <a:endParaRPr lang="en-US"/>
        </a:p>
      </c:txPr>
    </c:legend>
    <c:plotVisOnly val="1"/>
    <c:dispBlanksAs val="gap"/>
    <c:showDLblsOverMax val="0"/>
  </c:chart>
  <c:spPr>
    <a:noFill/>
    <a:ln>
      <a:noFill/>
    </a:ln>
  </c:spPr>
  <c:txPr>
    <a:bodyPr/>
    <a:lstStyle/>
    <a:p>
      <a:pPr>
        <a:defRPr sz="922" b="1" i="0" u="none" strike="noStrike" baseline="0">
          <a:solidFill>
            <a:srgbClr val="000000"/>
          </a:solidFill>
          <a:latin typeface="Calibri"/>
          <a:ea typeface="Calibri"/>
          <a:cs typeface="Calibri"/>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4BA7D3-E307-4917-B6CD-DD584ABCA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19</Pages>
  <Words>3845</Words>
  <Characters>21070</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Project Information</vt:lpstr>
    </vt:vector>
  </TitlesOfParts>
  <Company>The University of East Anglia</Company>
  <LinksUpToDate>false</LinksUpToDate>
  <CharactersWithSpaces>24866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dc:title>
  <dc:creator>Collier</dc:creator>
  <cp:lastModifiedBy>margaret</cp:lastModifiedBy>
  <cp:revision>6</cp:revision>
  <cp:lastPrinted>2014-02-14T13:50:00Z</cp:lastPrinted>
  <dcterms:created xsi:type="dcterms:W3CDTF">2014-02-14T13:26:00Z</dcterms:created>
  <dcterms:modified xsi:type="dcterms:W3CDTF">2014-02-14T16:38:00Z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1863978613</vt:i4>
  </property>
  <property fmtid="{D5CDD505-2E9C-101B-9397-08002B2CF9AE}" pid="3" name="_NewReviewCycle">
    <vt:lpwstr/>
  </property>
  <property fmtid="{D5CDD505-2E9C-101B-9397-08002B2CF9AE}" pid="4" name="_EmailSubject">
    <vt:lpwstr>Report for publication in Quality in Primary Care</vt:lpwstr>
  </property>
  <property fmtid="{D5CDD505-2E9C-101B-9397-08002B2CF9AE}" pid="5" name="_AuthorEmail">
    <vt:lpwstr>M.Fox@uea.ac.uk</vt:lpwstr>
  </property>
  <property fmtid="{D5CDD505-2E9C-101B-9397-08002B2CF9AE}" pid="6" name="_AuthorEmailDisplayName">
    <vt:lpwstr>Margaret Fox (RSC)</vt:lpwstr>
  </property>
  <property fmtid="{D5CDD505-2E9C-101B-9397-08002B2CF9AE}" pid="7" name="_PreviousAdHocReviewCycleID">
    <vt:i4>254271795</vt:i4>
  </property>
  <property fmtid="{D5CDD505-2E9C-101B-9397-08002B2CF9AE}" pid="8" name="_ReviewingToolsShownOnce">
    <vt:lpwstr/>
  </property>
</Properties>
</file>