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0E4321" w14:textId="77777777" w:rsidR="00D240DA" w:rsidRPr="00A47719" w:rsidRDefault="00D361DA">
      <w:pPr>
        <w:pStyle w:val="Title1"/>
        <w:spacing w:before="240" w:after="240" w:line="240" w:lineRule="atLeast"/>
        <w:jc w:val="both"/>
        <w:rPr>
          <w:rFonts w:cs="Arial"/>
          <w:szCs w:val="32"/>
          <w:lang w:val="en-US"/>
        </w:rPr>
      </w:pPr>
      <w:bookmarkStart w:id="0" w:name="_Hlk217546642"/>
      <w:bookmarkStart w:id="1" w:name="_Hlk109048647"/>
      <w:bookmarkStart w:id="2" w:name="_Hlk218547592"/>
      <w:bookmarkStart w:id="3" w:name="_Hlk189832887"/>
      <w:r w:rsidRPr="00A47719">
        <w:rPr>
          <w:rFonts w:cs="Arial"/>
          <w:szCs w:val="32"/>
          <w:lang w:val="en-US"/>
        </w:rPr>
        <w:t xml:space="preserve">Beyond the Sum of Its Parts: </w:t>
      </w:r>
      <w:r w:rsidRPr="00A47719">
        <w:rPr>
          <w:rFonts w:cs="Arial" w:hint="eastAsia"/>
          <w:szCs w:val="32"/>
          <w:lang w:val="en-US"/>
        </w:rPr>
        <w:t>A</w:t>
      </w:r>
      <w:r w:rsidRPr="00A47719">
        <w:rPr>
          <w:rFonts w:cs="Arial"/>
          <w:szCs w:val="32"/>
          <w:lang w:val="en-US"/>
        </w:rPr>
        <w:t>lkyl-</w:t>
      </w:r>
      <w:r w:rsidRPr="00A47719">
        <w:rPr>
          <w:rFonts w:cs="Arial" w:hint="eastAsia"/>
          <w:szCs w:val="32"/>
          <w:lang w:val="en-US"/>
        </w:rPr>
        <w:t>C</w:t>
      </w:r>
      <w:r w:rsidRPr="00A47719">
        <w:rPr>
          <w:rFonts w:cs="Arial"/>
          <w:szCs w:val="32"/>
          <w:lang w:val="en-US"/>
        </w:rPr>
        <w:t xml:space="preserve">hain </w:t>
      </w:r>
      <w:r w:rsidRPr="00A47719">
        <w:rPr>
          <w:rFonts w:cs="Arial" w:hint="eastAsia"/>
          <w:szCs w:val="32"/>
          <w:lang w:val="en-US"/>
        </w:rPr>
        <w:t>E</w:t>
      </w:r>
      <w:r w:rsidRPr="00A47719">
        <w:rPr>
          <w:rFonts w:cs="Arial"/>
          <w:szCs w:val="32"/>
          <w:lang w:val="en-US"/>
        </w:rPr>
        <w:t>ngineering</w:t>
      </w:r>
      <w:r w:rsidRPr="00A47719">
        <w:rPr>
          <w:rFonts w:cs="Arial" w:hint="eastAsia"/>
          <w:szCs w:val="32"/>
          <w:lang w:val="en-US"/>
        </w:rPr>
        <w:t xml:space="preserve"> Unlocks </w:t>
      </w:r>
      <w:r w:rsidRPr="00A47719">
        <w:rPr>
          <w:rFonts w:cs="Arial"/>
          <w:szCs w:val="32"/>
          <w:lang w:val="en-US"/>
        </w:rPr>
        <w:t>Dopant-free</w:t>
      </w:r>
      <w:r w:rsidRPr="00A47719">
        <w:rPr>
          <w:rFonts w:cs="Arial" w:hint="eastAsia"/>
          <w:szCs w:val="32"/>
          <w:lang w:val="en-US"/>
        </w:rPr>
        <w:t xml:space="preserve"> </w:t>
      </w:r>
      <w:r w:rsidRPr="00A47719">
        <w:rPr>
          <w:rFonts w:cs="Arial"/>
          <w:szCs w:val="32"/>
          <w:lang w:val="en-US"/>
        </w:rPr>
        <w:t>Pyrene</w:t>
      </w:r>
      <w:r w:rsidRPr="00A47719">
        <w:rPr>
          <w:rFonts w:cs="Arial" w:hint="eastAsia"/>
          <w:szCs w:val="32"/>
          <w:lang w:val="en-US"/>
        </w:rPr>
        <w:t>-based Antenna Molecules for</w:t>
      </w:r>
      <w:r w:rsidRPr="00A47719">
        <w:rPr>
          <w:rFonts w:cs="Arial"/>
          <w:szCs w:val="32"/>
          <w:lang w:val="en-US"/>
        </w:rPr>
        <w:t xml:space="preserve"> Efficient </w:t>
      </w:r>
      <w:bookmarkStart w:id="4" w:name="_Hlk217544323"/>
      <w:r w:rsidRPr="00A47719">
        <w:rPr>
          <w:rFonts w:cs="Arial"/>
          <w:szCs w:val="32"/>
          <w:lang w:val="en-US"/>
        </w:rPr>
        <w:t>Perovskite Solar Cells</w:t>
      </w:r>
      <w:r w:rsidRPr="00A47719">
        <w:rPr>
          <w:rFonts w:cs="Arial" w:hint="eastAsia"/>
          <w:szCs w:val="32"/>
          <w:lang w:val="en-US"/>
        </w:rPr>
        <w:t xml:space="preserve"> </w:t>
      </w:r>
      <w:bookmarkEnd w:id="0"/>
      <w:bookmarkEnd w:id="4"/>
    </w:p>
    <w:p w14:paraId="3D31EE14" w14:textId="4D6EFDE8" w:rsidR="00D240DA" w:rsidRPr="00A47719" w:rsidRDefault="00D361DA">
      <w:pPr>
        <w:pStyle w:val="Authors"/>
        <w:spacing w:before="240" w:line="240" w:lineRule="atLeast"/>
        <w:rPr>
          <w:rFonts w:cs="Arial"/>
          <w:iCs/>
          <w:sz w:val="20"/>
          <w:szCs w:val="20"/>
        </w:rPr>
      </w:pPr>
      <w:bookmarkStart w:id="5" w:name="_Hlk210404859"/>
      <w:bookmarkEnd w:id="1"/>
      <w:r w:rsidRPr="00A47719">
        <w:rPr>
          <w:rFonts w:cs="Arial"/>
          <w:iCs/>
          <w:sz w:val="20"/>
          <w:szCs w:val="20"/>
        </w:rPr>
        <w:t xml:space="preserve">Xing </w:t>
      </w:r>
      <w:proofErr w:type="gramStart"/>
      <w:r w:rsidRPr="00A47719">
        <w:rPr>
          <w:rFonts w:cs="Arial"/>
          <w:iCs/>
          <w:sz w:val="20"/>
          <w:szCs w:val="20"/>
        </w:rPr>
        <w:t>Feng</w:t>
      </w:r>
      <w:r w:rsidRPr="00A47719">
        <w:rPr>
          <w:rFonts w:cs="Arial" w:hint="eastAsia"/>
          <w:iCs/>
          <w:sz w:val="20"/>
          <w:szCs w:val="20"/>
        </w:rPr>
        <w:t>,</w:t>
      </w:r>
      <w:r w:rsidRPr="00A47719">
        <w:rPr>
          <w:rFonts w:cs="Arial"/>
          <w:iCs/>
          <w:sz w:val="20"/>
          <w:szCs w:val="20"/>
          <w:lang w:val="en-US"/>
        </w:rPr>
        <w:t>*</w:t>
      </w:r>
      <w:proofErr w:type="gramEnd"/>
      <w:r w:rsidRPr="00A47719">
        <w:rPr>
          <w:rFonts w:asciiTheme="minorEastAsia" w:eastAsiaTheme="minorEastAsia" w:hAnsiTheme="minorEastAsia" w:cs="Arial" w:hint="eastAsia"/>
          <w:iCs/>
          <w:sz w:val="20"/>
          <w:szCs w:val="20"/>
          <w:vertAlign w:val="superscript"/>
          <w:lang w:val="en-US" w:eastAsia="zh-CN"/>
        </w:rPr>
        <w:t>[</w:t>
      </w:r>
      <w:r w:rsidRPr="00A47719">
        <w:rPr>
          <w:rFonts w:cs="Arial"/>
          <w:iCs/>
          <w:sz w:val="20"/>
          <w:szCs w:val="20"/>
          <w:vertAlign w:val="superscript"/>
        </w:rPr>
        <w:t>a</w:t>
      </w:r>
      <w:r w:rsidRPr="00A47719">
        <w:rPr>
          <w:rFonts w:eastAsiaTheme="minorEastAsia" w:cs="Arial" w:hint="eastAsia"/>
          <w:iCs/>
          <w:sz w:val="20"/>
          <w:szCs w:val="20"/>
          <w:vertAlign w:val="superscript"/>
          <w:lang w:eastAsia="zh-CN"/>
        </w:rPr>
        <w:t>]</w:t>
      </w:r>
      <w:r w:rsidRPr="00A47719">
        <w:rPr>
          <w:rFonts w:cs="Arial" w:hint="eastAsia"/>
          <w:iCs/>
          <w:sz w:val="20"/>
          <w:szCs w:val="20"/>
        </w:rPr>
        <w:t xml:space="preserve"> </w:t>
      </w:r>
      <w:proofErr w:type="spellStart"/>
      <w:r w:rsidRPr="00A47719">
        <w:rPr>
          <w:rFonts w:cs="Arial"/>
          <w:iCs/>
          <w:sz w:val="20"/>
          <w:szCs w:val="20"/>
          <w:lang w:val="en-US"/>
        </w:rPr>
        <w:t>Shaoling</w:t>
      </w:r>
      <w:proofErr w:type="spellEnd"/>
      <w:r w:rsidRPr="00A47719">
        <w:rPr>
          <w:rFonts w:cs="Arial"/>
          <w:iCs/>
          <w:sz w:val="20"/>
          <w:szCs w:val="20"/>
          <w:lang w:val="en-US"/>
        </w:rPr>
        <w:t xml:space="preserve"> </w:t>
      </w:r>
      <w:proofErr w:type="gramStart"/>
      <w:r w:rsidRPr="00A47719">
        <w:rPr>
          <w:rFonts w:cs="Arial"/>
          <w:iCs/>
          <w:sz w:val="20"/>
          <w:szCs w:val="20"/>
          <w:lang w:val="en-US"/>
        </w:rPr>
        <w:t>Li,</w:t>
      </w:r>
      <w:r w:rsidRPr="00A47719">
        <w:rPr>
          <w:rFonts w:eastAsiaTheme="minorEastAsia" w:cs="Arial" w:hint="eastAsia"/>
          <w:iCs/>
          <w:sz w:val="20"/>
          <w:szCs w:val="20"/>
          <w:vertAlign w:val="superscript"/>
          <w:lang w:val="en-US" w:eastAsia="zh-CN"/>
        </w:rPr>
        <w:t>[</w:t>
      </w:r>
      <w:proofErr w:type="gramEnd"/>
      <w:r w:rsidRPr="00A47719">
        <w:rPr>
          <w:rFonts w:cs="Arial"/>
          <w:iCs/>
          <w:sz w:val="20"/>
          <w:szCs w:val="20"/>
          <w:vertAlign w:val="superscript"/>
          <w:lang w:val="en-US"/>
        </w:rPr>
        <w:t>a</w:t>
      </w:r>
      <w:r w:rsidRPr="00A47719">
        <w:rPr>
          <w:rFonts w:eastAsiaTheme="minorEastAsia" w:cs="Arial" w:hint="eastAsia"/>
          <w:iCs/>
          <w:sz w:val="20"/>
          <w:szCs w:val="20"/>
          <w:vertAlign w:val="superscript"/>
          <w:lang w:val="en-US" w:eastAsia="zh-CN"/>
        </w:rPr>
        <w:t>]</w:t>
      </w:r>
      <w:r w:rsidRPr="00A47719">
        <w:rPr>
          <w:rFonts w:cs="Arial"/>
          <w:iCs/>
          <w:sz w:val="20"/>
          <w:szCs w:val="20"/>
          <w:lang w:val="en-US"/>
        </w:rPr>
        <w:t xml:space="preserve"> Jialin </w:t>
      </w:r>
      <w:proofErr w:type="gramStart"/>
      <w:r w:rsidRPr="00A47719">
        <w:rPr>
          <w:rFonts w:cs="Arial"/>
          <w:iCs/>
          <w:sz w:val="20"/>
          <w:szCs w:val="20"/>
          <w:lang w:val="en-US"/>
        </w:rPr>
        <w:t>Li,</w:t>
      </w:r>
      <w:r w:rsidRPr="00A47719">
        <w:rPr>
          <w:rFonts w:eastAsiaTheme="minorEastAsia" w:cs="Arial" w:hint="eastAsia"/>
          <w:iCs/>
          <w:sz w:val="20"/>
          <w:szCs w:val="20"/>
          <w:vertAlign w:val="superscript"/>
          <w:lang w:val="en-US" w:eastAsia="zh-CN"/>
        </w:rPr>
        <w:t>[</w:t>
      </w:r>
      <w:proofErr w:type="gramEnd"/>
      <w:r w:rsidRPr="00A47719">
        <w:rPr>
          <w:rFonts w:cs="Arial"/>
          <w:iCs/>
          <w:sz w:val="20"/>
          <w:szCs w:val="20"/>
          <w:vertAlign w:val="superscript"/>
          <w:lang w:val="en-US"/>
        </w:rPr>
        <w:t>a</w:t>
      </w:r>
      <w:r w:rsidRPr="00A47719">
        <w:rPr>
          <w:rFonts w:eastAsiaTheme="minorEastAsia" w:cs="Arial" w:hint="eastAsia"/>
          <w:iCs/>
          <w:sz w:val="20"/>
          <w:szCs w:val="20"/>
          <w:vertAlign w:val="superscript"/>
          <w:lang w:val="en-US" w:eastAsia="zh-CN"/>
        </w:rPr>
        <w:t>]</w:t>
      </w:r>
      <w:r w:rsidRPr="00A47719">
        <w:rPr>
          <w:rFonts w:cs="Arial" w:hint="eastAsia"/>
          <w:iCs/>
          <w:sz w:val="20"/>
          <w:szCs w:val="20"/>
          <w:lang w:val="en-US"/>
        </w:rPr>
        <w:t xml:space="preserve"> </w:t>
      </w:r>
      <w:proofErr w:type="spellStart"/>
      <w:r w:rsidRPr="00A47719">
        <w:rPr>
          <w:rFonts w:cs="Arial"/>
          <w:iCs/>
          <w:sz w:val="20"/>
          <w:szCs w:val="20"/>
          <w:lang w:val="en-US"/>
        </w:rPr>
        <w:t>Zhehui</w:t>
      </w:r>
      <w:proofErr w:type="spellEnd"/>
      <w:r w:rsidRPr="00A47719">
        <w:rPr>
          <w:rFonts w:cs="Arial"/>
          <w:iCs/>
          <w:sz w:val="20"/>
          <w:szCs w:val="20"/>
          <w:lang w:val="en-US"/>
        </w:rPr>
        <w:t xml:space="preserve"> </w:t>
      </w:r>
      <w:proofErr w:type="gramStart"/>
      <w:r w:rsidRPr="00A47719">
        <w:rPr>
          <w:rFonts w:cs="Arial"/>
          <w:iCs/>
          <w:sz w:val="20"/>
          <w:szCs w:val="20"/>
          <w:lang w:val="en-US"/>
        </w:rPr>
        <w:t>Zhu,</w:t>
      </w:r>
      <w:r w:rsidRPr="00A47719">
        <w:rPr>
          <w:rFonts w:eastAsiaTheme="minorEastAsia" w:cs="Arial" w:hint="eastAsia"/>
          <w:iCs/>
          <w:sz w:val="20"/>
          <w:szCs w:val="20"/>
          <w:vertAlign w:val="superscript"/>
          <w:lang w:val="en-US" w:eastAsia="zh-CN"/>
        </w:rPr>
        <w:t>[</w:t>
      </w:r>
      <w:proofErr w:type="gramEnd"/>
      <w:r w:rsidRPr="00A47719">
        <w:rPr>
          <w:rFonts w:eastAsiaTheme="minorEastAsia" w:cs="Arial" w:hint="eastAsia"/>
          <w:iCs/>
          <w:sz w:val="20"/>
          <w:szCs w:val="20"/>
          <w:vertAlign w:val="superscript"/>
          <w:lang w:val="en-US" w:eastAsia="zh-CN"/>
        </w:rPr>
        <w:t>b]</w:t>
      </w:r>
      <w:r w:rsidRPr="00A47719">
        <w:rPr>
          <w:rFonts w:cs="Arial"/>
          <w:iCs/>
          <w:sz w:val="20"/>
          <w:szCs w:val="20"/>
          <w:lang w:val="en-US"/>
        </w:rPr>
        <w:t xml:space="preserve"> Wei </w:t>
      </w:r>
      <w:proofErr w:type="gramStart"/>
      <w:r w:rsidRPr="00A47719">
        <w:rPr>
          <w:rFonts w:cs="Arial"/>
          <w:iCs/>
          <w:sz w:val="20"/>
          <w:szCs w:val="20"/>
          <w:lang w:val="en-US"/>
        </w:rPr>
        <w:t>Liu,</w:t>
      </w:r>
      <w:r w:rsidRPr="00A47719">
        <w:rPr>
          <w:rFonts w:eastAsiaTheme="minorEastAsia" w:cs="Arial" w:hint="eastAsia"/>
          <w:iCs/>
          <w:sz w:val="20"/>
          <w:szCs w:val="20"/>
          <w:vertAlign w:val="superscript"/>
          <w:lang w:val="en-US" w:eastAsia="zh-CN"/>
        </w:rPr>
        <w:t>[</w:t>
      </w:r>
      <w:proofErr w:type="gramEnd"/>
      <w:r w:rsidRPr="00A47719">
        <w:rPr>
          <w:rFonts w:cs="Arial"/>
          <w:iCs/>
          <w:sz w:val="20"/>
          <w:szCs w:val="20"/>
          <w:vertAlign w:val="superscript"/>
          <w:lang w:val="en-US"/>
        </w:rPr>
        <w:t>a</w:t>
      </w:r>
      <w:r w:rsidRPr="00A47719">
        <w:rPr>
          <w:rFonts w:eastAsiaTheme="minorEastAsia" w:cs="Arial" w:hint="eastAsia"/>
          <w:iCs/>
          <w:sz w:val="20"/>
          <w:szCs w:val="20"/>
          <w:vertAlign w:val="superscript"/>
          <w:lang w:val="en-US" w:eastAsia="zh-CN"/>
        </w:rPr>
        <w:t>]</w:t>
      </w:r>
      <w:r w:rsidRPr="00A47719">
        <w:rPr>
          <w:rFonts w:cs="Arial"/>
          <w:iCs/>
          <w:sz w:val="20"/>
          <w:szCs w:val="20"/>
          <w:lang w:val="en-US"/>
        </w:rPr>
        <w:t xml:space="preserve"> Junru </w:t>
      </w:r>
      <w:proofErr w:type="gramStart"/>
      <w:r w:rsidRPr="00A47719">
        <w:rPr>
          <w:rFonts w:cs="Arial"/>
          <w:iCs/>
          <w:sz w:val="20"/>
          <w:szCs w:val="20"/>
          <w:lang w:val="en-US"/>
        </w:rPr>
        <w:t>Chen,*</w:t>
      </w:r>
      <w:proofErr w:type="gramEnd"/>
      <w:r w:rsidRPr="00A47719">
        <w:rPr>
          <w:rFonts w:eastAsiaTheme="minorEastAsia" w:cs="Arial" w:hint="eastAsia"/>
          <w:iCs/>
          <w:sz w:val="20"/>
          <w:szCs w:val="20"/>
          <w:vertAlign w:val="superscript"/>
          <w:lang w:val="en-US" w:eastAsia="zh-CN"/>
        </w:rPr>
        <w:t>[</w:t>
      </w:r>
      <w:r w:rsidRPr="00A47719">
        <w:rPr>
          <w:rFonts w:cs="Arial"/>
          <w:iCs/>
          <w:sz w:val="20"/>
          <w:szCs w:val="20"/>
          <w:vertAlign w:val="superscript"/>
          <w:lang w:val="en-US"/>
        </w:rPr>
        <w:t>a</w:t>
      </w:r>
      <w:r w:rsidRPr="00A47719">
        <w:rPr>
          <w:rFonts w:eastAsiaTheme="minorEastAsia" w:cs="Arial" w:hint="eastAsia"/>
          <w:iCs/>
          <w:sz w:val="20"/>
          <w:szCs w:val="20"/>
          <w:vertAlign w:val="superscript"/>
          <w:lang w:val="en-US" w:eastAsia="zh-CN"/>
        </w:rPr>
        <w:t>]</w:t>
      </w:r>
      <w:r w:rsidRPr="00A47719">
        <w:rPr>
          <w:rFonts w:cs="Arial"/>
          <w:iCs/>
          <w:sz w:val="20"/>
          <w:szCs w:val="20"/>
          <w:lang w:val="en-US"/>
        </w:rPr>
        <w:t xml:space="preserve"> Xiaohui </w:t>
      </w:r>
      <w:proofErr w:type="gramStart"/>
      <w:r w:rsidRPr="00A47719">
        <w:rPr>
          <w:rFonts w:cs="Arial"/>
          <w:iCs/>
          <w:sz w:val="20"/>
          <w:szCs w:val="20"/>
          <w:lang w:val="en-US"/>
        </w:rPr>
        <w:t>Wang,</w:t>
      </w:r>
      <w:r w:rsidRPr="00A47719">
        <w:rPr>
          <w:rFonts w:eastAsiaTheme="minorEastAsia" w:cs="Arial" w:hint="eastAsia"/>
          <w:iCs/>
          <w:sz w:val="20"/>
          <w:szCs w:val="20"/>
          <w:vertAlign w:val="superscript"/>
          <w:lang w:val="en-US" w:eastAsia="zh-CN"/>
        </w:rPr>
        <w:t>[</w:t>
      </w:r>
      <w:proofErr w:type="gramEnd"/>
      <w:r w:rsidRPr="00A47719">
        <w:rPr>
          <w:rFonts w:cs="Arial"/>
          <w:iCs/>
          <w:sz w:val="20"/>
          <w:szCs w:val="20"/>
          <w:vertAlign w:val="superscript"/>
          <w:lang w:val="en-US"/>
        </w:rPr>
        <w:t>a</w:t>
      </w:r>
      <w:r w:rsidRPr="00A47719">
        <w:rPr>
          <w:rFonts w:eastAsiaTheme="minorEastAsia" w:cs="Arial" w:hint="eastAsia"/>
          <w:iCs/>
          <w:sz w:val="20"/>
          <w:szCs w:val="20"/>
          <w:vertAlign w:val="superscript"/>
          <w:lang w:val="en-US" w:eastAsia="zh-CN"/>
        </w:rPr>
        <w:t>]</w:t>
      </w:r>
      <w:r w:rsidRPr="00A47719">
        <w:rPr>
          <w:rFonts w:cs="Arial"/>
          <w:iCs/>
          <w:sz w:val="20"/>
          <w:szCs w:val="20"/>
          <w:lang w:val="en-US"/>
        </w:rPr>
        <w:t xml:space="preserve"> Carl </w:t>
      </w:r>
      <w:proofErr w:type="gramStart"/>
      <w:r w:rsidRPr="00A47719">
        <w:rPr>
          <w:rFonts w:cs="Arial"/>
          <w:iCs/>
          <w:sz w:val="20"/>
          <w:szCs w:val="20"/>
          <w:lang w:val="en-US"/>
        </w:rPr>
        <w:t>Redshaw,</w:t>
      </w:r>
      <w:r w:rsidRPr="00A47719">
        <w:rPr>
          <w:rFonts w:eastAsiaTheme="minorEastAsia" w:cs="Arial" w:hint="eastAsia"/>
          <w:iCs/>
          <w:sz w:val="20"/>
          <w:szCs w:val="20"/>
          <w:vertAlign w:val="superscript"/>
          <w:lang w:val="en-US" w:eastAsia="zh-CN"/>
        </w:rPr>
        <w:t>[</w:t>
      </w:r>
      <w:proofErr w:type="gramEnd"/>
      <w:r w:rsidRPr="00A47719">
        <w:rPr>
          <w:rFonts w:eastAsiaTheme="minorEastAsia" w:cs="Arial" w:hint="eastAsia"/>
          <w:iCs/>
          <w:sz w:val="20"/>
          <w:szCs w:val="20"/>
          <w:vertAlign w:val="superscript"/>
          <w:lang w:val="en-US" w:eastAsia="zh-CN"/>
        </w:rPr>
        <w:t>c</w:t>
      </w:r>
      <w:proofErr w:type="gramStart"/>
      <w:r w:rsidRPr="00A47719">
        <w:rPr>
          <w:rFonts w:eastAsiaTheme="minorEastAsia" w:cs="Arial" w:hint="eastAsia"/>
          <w:iCs/>
          <w:sz w:val="20"/>
          <w:szCs w:val="20"/>
          <w:vertAlign w:val="superscript"/>
          <w:lang w:val="en-US" w:eastAsia="zh-CN"/>
        </w:rPr>
        <w:t>]</w:t>
      </w:r>
      <w:r w:rsidR="00D5488D" w:rsidRPr="00A47719">
        <w:rPr>
          <w:rFonts w:eastAsiaTheme="minorEastAsia" w:cs="Arial"/>
          <w:iCs/>
          <w:sz w:val="20"/>
          <w:szCs w:val="20"/>
          <w:vertAlign w:val="superscript"/>
          <w:lang w:val="en-US" w:eastAsia="zh-CN"/>
        </w:rPr>
        <w:t>,[</w:t>
      </w:r>
      <w:proofErr w:type="gramEnd"/>
      <w:r w:rsidR="00D5488D" w:rsidRPr="00A47719">
        <w:rPr>
          <w:rFonts w:eastAsiaTheme="minorEastAsia" w:cs="Arial"/>
          <w:iCs/>
          <w:sz w:val="20"/>
          <w:szCs w:val="20"/>
          <w:vertAlign w:val="superscript"/>
          <w:lang w:val="en-US" w:eastAsia="zh-CN"/>
        </w:rPr>
        <w:t>d]</w:t>
      </w:r>
      <w:r w:rsidRPr="00A47719">
        <w:rPr>
          <w:rFonts w:cs="Arial"/>
          <w:iCs/>
          <w:sz w:val="20"/>
          <w:szCs w:val="20"/>
          <w:lang w:val="en-US"/>
        </w:rPr>
        <w:t xml:space="preserve"> Xinhua Ouyang*</w:t>
      </w:r>
      <w:r w:rsidRPr="00A47719">
        <w:rPr>
          <w:rFonts w:eastAsiaTheme="minorEastAsia" w:cs="Arial" w:hint="eastAsia"/>
          <w:iCs/>
          <w:sz w:val="20"/>
          <w:szCs w:val="20"/>
          <w:vertAlign w:val="superscript"/>
          <w:lang w:val="en-US" w:eastAsia="zh-CN"/>
        </w:rPr>
        <w:t>[b]</w:t>
      </w:r>
    </w:p>
    <w:bookmarkEnd w:id="5"/>
    <w:p w14:paraId="3F874BBC" w14:textId="7358F94D" w:rsidR="00D240DA" w:rsidRPr="00A47719" w:rsidRDefault="00D361DA">
      <w:pPr>
        <w:pStyle w:val="Dedication"/>
        <w:spacing w:before="240" w:after="240" w:line="240" w:lineRule="atLeast"/>
        <w:rPr>
          <w:rFonts w:cs="Arial"/>
          <w:sz w:val="20"/>
          <w:szCs w:val="20"/>
          <w:lang w:val="en-US"/>
        </w:rPr>
      </w:pPr>
      <w:r w:rsidRPr="00A47719">
        <w:rPr>
          <w:rFonts w:cs="Arial"/>
          <w:sz w:val="20"/>
          <w:szCs w:val="20"/>
          <w:lang w:val="en-US"/>
        </w:rPr>
        <w:t>Dedicated to</w:t>
      </w:r>
      <w:r w:rsidRPr="00A47719">
        <w:rPr>
          <w:rFonts w:eastAsiaTheme="minorEastAsia" w:cs="Arial"/>
          <w:sz w:val="20"/>
          <w:szCs w:val="20"/>
          <w:lang w:val="en-US" w:eastAsia="zh-CN"/>
        </w:rPr>
        <w:t xml:space="preserve"> </w:t>
      </w:r>
      <w:r w:rsidRPr="00A47719">
        <w:rPr>
          <w:rFonts w:cs="Arial"/>
          <w:sz w:val="20"/>
          <w:szCs w:val="20"/>
          <w:lang w:val="en-US"/>
        </w:rPr>
        <w:t xml:space="preserve">Professor </w:t>
      </w:r>
      <w:r w:rsidRPr="00A47719">
        <w:rPr>
          <w:rFonts w:eastAsiaTheme="minorEastAsia" w:cs="Arial"/>
          <w:sz w:val="20"/>
          <w:szCs w:val="20"/>
          <w:lang w:val="en-US" w:eastAsia="zh-CN"/>
        </w:rPr>
        <w:t>Ben Zhong Tang</w:t>
      </w:r>
      <w:r w:rsidRPr="00A47719">
        <w:rPr>
          <w:rFonts w:cs="Arial"/>
          <w:sz w:val="20"/>
          <w:szCs w:val="20"/>
          <w:lang w:val="en-US"/>
        </w:rPr>
        <w:t xml:space="preserve"> </w:t>
      </w:r>
      <w:proofErr w:type="gramStart"/>
      <w:r w:rsidRPr="00A47719">
        <w:rPr>
          <w:rFonts w:cs="Arial"/>
          <w:sz w:val="20"/>
          <w:szCs w:val="20"/>
          <w:lang w:val="en-US"/>
        </w:rPr>
        <w:t>on the occasion of</w:t>
      </w:r>
      <w:proofErr w:type="gramEnd"/>
      <w:r w:rsidRPr="00A47719">
        <w:rPr>
          <w:rFonts w:cs="Arial"/>
          <w:sz w:val="20"/>
          <w:szCs w:val="20"/>
          <w:lang w:val="en-US"/>
        </w:rPr>
        <w:t xml:space="preserve"> his </w:t>
      </w:r>
      <w:r w:rsidRPr="00A47719">
        <w:rPr>
          <w:rFonts w:eastAsiaTheme="minorEastAsia" w:cs="Arial"/>
          <w:sz w:val="20"/>
          <w:szCs w:val="20"/>
          <w:lang w:val="en-US" w:eastAsia="zh-CN"/>
        </w:rPr>
        <w:t>70</w:t>
      </w:r>
      <w:r w:rsidRPr="00A47719">
        <w:rPr>
          <w:rFonts w:cs="Arial"/>
          <w:sz w:val="20"/>
          <w:szCs w:val="20"/>
          <w:lang w:val="en-US"/>
        </w:rPr>
        <w:t>th birthday</w:t>
      </w:r>
      <w:r w:rsidRPr="00A47719">
        <w:rPr>
          <w:rFonts w:eastAsiaTheme="minorEastAsia" w:cs="Arial"/>
          <w:sz w:val="20"/>
          <w:szCs w:val="20"/>
          <w:lang w:val="en-US" w:eastAsia="zh-CN"/>
        </w:rPr>
        <w:t>.</w:t>
      </w:r>
    </w:p>
    <w:p w14:paraId="4471364D" w14:textId="77777777" w:rsidR="00D240DA" w:rsidRPr="00A47719" w:rsidRDefault="00D361DA">
      <w:pPr>
        <w:pStyle w:val="Adress"/>
        <w:pBdr>
          <w:top w:val="single" w:sz="4" w:space="1" w:color="000000"/>
        </w:pBdr>
        <w:spacing w:before="240" w:after="240" w:line="276" w:lineRule="auto"/>
        <w:ind w:left="360" w:hangingChars="200" w:hanging="360"/>
        <w:rPr>
          <w:rFonts w:cs="Arial"/>
          <w:sz w:val="18"/>
          <w:szCs w:val="18"/>
          <w:lang w:val="en-US"/>
        </w:rPr>
      </w:pPr>
      <w:r w:rsidRPr="00A47719">
        <w:rPr>
          <w:rFonts w:cs="Arial"/>
          <w:sz w:val="18"/>
          <w:szCs w:val="18"/>
          <w:lang w:val="en-US"/>
        </w:rPr>
        <w:t>[a]</w:t>
      </w:r>
      <w:r w:rsidRPr="00A47719">
        <w:rPr>
          <w:rFonts w:cs="Arial"/>
          <w:sz w:val="18"/>
          <w:szCs w:val="18"/>
          <w:lang w:val="en-US"/>
        </w:rPr>
        <w:tab/>
      </w:r>
      <w:r w:rsidRPr="00A47719">
        <w:rPr>
          <w:rFonts w:eastAsiaTheme="minorEastAsia" w:cs="Arial" w:hint="eastAsia"/>
          <w:sz w:val="18"/>
          <w:szCs w:val="18"/>
          <w:lang w:val="en-US" w:eastAsia="zh-CN"/>
        </w:rPr>
        <w:t>Prof. X. Feng, S. Li, J. Li, W. Liu, J. Chen, X. Wang</w:t>
      </w:r>
      <w:r w:rsidRPr="00A47719">
        <w:rPr>
          <w:rFonts w:cs="Arial"/>
          <w:sz w:val="18"/>
          <w:szCs w:val="18"/>
          <w:lang w:val="en-US"/>
        </w:rPr>
        <w:br/>
        <w:t>Guangdong Provincial Key Laboratory of Functional Soft Condensed, Matter, School of Materials and Energy,</w:t>
      </w:r>
      <w:r w:rsidRPr="00A47719">
        <w:rPr>
          <w:rFonts w:cs="Arial"/>
          <w:sz w:val="18"/>
          <w:szCs w:val="18"/>
          <w:lang w:val="en-US"/>
        </w:rPr>
        <w:br/>
        <w:t>Guangdong University of Technology,</w:t>
      </w:r>
      <w:r w:rsidRPr="00A47719">
        <w:rPr>
          <w:rFonts w:cs="Arial"/>
          <w:sz w:val="18"/>
          <w:szCs w:val="18"/>
          <w:lang w:val="en-US"/>
        </w:rPr>
        <w:br/>
        <w:t>Guangzhou 510006, P. R. China.</w:t>
      </w:r>
      <w:r w:rsidRPr="00A47719">
        <w:rPr>
          <w:rFonts w:cs="Arial"/>
          <w:sz w:val="18"/>
          <w:szCs w:val="18"/>
          <w:lang w:val="en-US"/>
        </w:rPr>
        <w:br/>
        <w:t>E-mail:</w:t>
      </w:r>
      <w:bookmarkStart w:id="6" w:name="_Hlk108697847"/>
      <w:r w:rsidRPr="00A47719">
        <w:rPr>
          <w:rFonts w:cs="Arial"/>
          <w:sz w:val="18"/>
          <w:szCs w:val="18"/>
          <w:lang w:val="en-US"/>
        </w:rPr>
        <w:t xml:space="preserve"> </w:t>
      </w:r>
      <w:bookmarkEnd w:id="6"/>
      <w:r w:rsidRPr="00A47719">
        <w:rPr>
          <w:rFonts w:cs="Arial"/>
          <w:sz w:val="18"/>
          <w:szCs w:val="18"/>
          <w:lang w:val="en-US"/>
        </w:rPr>
        <w:t>hyxhn@sina.com (X.F), comecjr@gdut.edu.cn (J. C.)</w:t>
      </w:r>
    </w:p>
    <w:p w14:paraId="463CFAFE" w14:textId="77777777" w:rsidR="00D240DA" w:rsidRPr="00A47719" w:rsidRDefault="00D361DA">
      <w:pPr>
        <w:pStyle w:val="Adress"/>
        <w:spacing w:before="240" w:line="240" w:lineRule="auto"/>
        <w:ind w:left="360" w:hangingChars="200" w:hanging="360"/>
        <w:rPr>
          <w:rFonts w:eastAsiaTheme="minorEastAsia" w:cs="Arial"/>
          <w:sz w:val="18"/>
          <w:szCs w:val="18"/>
          <w:lang w:val="en-US" w:eastAsia="zh-CN"/>
        </w:rPr>
      </w:pPr>
      <w:r w:rsidRPr="00A47719">
        <w:rPr>
          <w:rFonts w:cs="Arial"/>
          <w:sz w:val="18"/>
          <w:szCs w:val="18"/>
          <w:lang w:val="en-US"/>
        </w:rPr>
        <w:t>[b]</w:t>
      </w:r>
      <w:r w:rsidRPr="00A47719">
        <w:rPr>
          <w:rFonts w:cs="Arial"/>
          <w:sz w:val="18"/>
          <w:szCs w:val="18"/>
          <w:lang w:val="en-US"/>
        </w:rPr>
        <w:tab/>
      </w:r>
      <w:r w:rsidRPr="00A47719">
        <w:rPr>
          <w:rFonts w:eastAsiaTheme="minorEastAsia" w:cs="Arial" w:hint="eastAsia"/>
          <w:sz w:val="18"/>
          <w:szCs w:val="18"/>
          <w:lang w:val="en-US" w:eastAsia="zh-CN"/>
        </w:rPr>
        <w:t>Z. Zhu and Prof. X. Ouyang</w:t>
      </w:r>
      <w:r w:rsidRPr="00A47719">
        <w:rPr>
          <w:rFonts w:cs="Arial"/>
          <w:sz w:val="18"/>
          <w:szCs w:val="18"/>
          <w:lang w:val="en-US"/>
        </w:rPr>
        <w:br/>
        <w:t>Laboratory for Green Photoelectronic Devices and Energy Storage Batteries</w:t>
      </w:r>
      <w:r w:rsidRPr="00A47719">
        <w:rPr>
          <w:rFonts w:cs="Arial"/>
          <w:sz w:val="18"/>
          <w:szCs w:val="18"/>
          <w:lang w:val="en-US"/>
        </w:rPr>
        <w:br/>
        <w:t>Fujian Agriculture and Forestry University</w:t>
      </w:r>
      <w:r w:rsidRPr="00A47719">
        <w:rPr>
          <w:rFonts w:cs="Arial"/>
          <w:sz w:val="18"/>
          <w:szCs w:val="18"/>
          <w:lang w:val="en-US"/>
        </w:rPr>
        <w:br/>
        <w:t>Fuzhou 350002, P. R. China</w:t>
      </w:r>
    </w:p>
    <w:p w14:paraId="2C75C601" w14:textId="77777777" w:rsidR="00D240DA" w:rsidRPr="00A47719" w:rsidRDefault="00D361DA">
      <w:pPr>
        <w:pStyle w:val="Adress"/>
        <w:spacing w:after="240" w:line="240" w:lineRule="auto"/>
        <w:ind w:left="0" w:firstLineChars="200" w:firstLine="360"/>
        <w:rPr>
          <w:rFonts w:eastAsiaTheme="minorEastAsia" w:cs="Arial"/>
          <w:sz w:val="18"/>
          <w:szCs w:val="18"/>
          <w:lang w:val="en-US" w:eastAsia="zh-CN"/>
        </w:rPr>
      </w:pPr>
      <w:r w:rsidRPr="00A47719">
        <w:rPr>
          <w:rFonts w:eastAsiaTheme="minorEastAsia" w:cs="Arial"/>
          <w:sz w:val="18"/>
          <w:szCs w:val="18"/>
          <w:lang w:val="en-US" w:eastAsia="zh-CN"/>
        </w:rPr>
        <w:t>E-mail:  ouyangxh@fafu.edu.cn (X.O.)</w:t>
      </w:r>
    </w:p>
    <w:p w14:paraId="3D39E523" w14:textId="77777777" w:rsidR="00D240DA" w:rsidRPr="00A47719" w:rsidRDefault="00D361DA">
      <w:pPr>
        <w:pStyle w:val="Adress"/>
        <w:spacing w:before="240" w:line="240" w:lineRule="auto"/>
        <w:ind w:left="360" w:hangingChars="200" w:hanging="360"/>
        <w:rPr>
          <w:rFonts w:cs="Arial"/>
          <w:sz w:val="18"/>
          <w:szCs w:val="18"/>
        </w:rPr>
      </w:pPr>
      <w:r w:rsidRPr="00A47719">
        <w:rPr>
          <w:rFonts w:eastAsiaTheme="minorEastAsia" w:cs="Arial" w:hint="eastAsia"/>
          <w:sz w:val="18"/>
          <w:szCs w:val="18"/>
          <w:lang w:val="en-US" w:eastAsia="zh-CN"/>
        </w:rPr>
        <w:t>[c]</w:t>
      </w:r>
      <w:r w:rsidRPr="00A47719">
        <w:rPr>
          <w:rFonts w:cs="Arial"/>
          <w:sz w:val="18"/>
          <w:szCs w:val="18"/>
          <w:lang w:val="en-US"/>
        </w:rPr>
        <w:tab/>
        <w:t xml:space="preserve">Prof. C. </w:t>
      </w:r>
      <w:r w:rsidRPr="00A47719">
        <w:rPr>
          <w:rFonts w:cs="Arial"/>
          <w:iCs/>
          <w:sz w:val="18"/>
          <w:szCs w:val="18"/>
          <w:lang w:val="en-US"/>
        </w:rPr>
        <w:t>Redshaw</w:t>
      </w:r>
      <w:r w:rsidRPr="00A47719">
        <w:rPr>
          <w:rFonts w:cs="Arial"/>
          <w:sz w:val="18"/>
          <w:szCs w:val="18"/>
          <w:lang w:val="en-US"/>
        </w:rPr>
        <w:br/>
      </w:r>
      <w:r w:rsidRPr="00A47719">
        <w:rPr>
          <w:rFonts w:cs="Arial"/>
          <w:sz w:val="18"/>
          <w:szCs w:val="18"/>
        </w:rPr>
        <w:t>Department of Chemistry, Graduate School of Science, Tokyo Metropolitan University, 1-1 Minami Osawa, Hachioji, Tokyo 1920397, Japan.</w:t>
      </w:r>
    </w:p>
    <w:p w14:paraId="513B7FD6" w14:textId="2EE0A87B" w:rsidR="000143B9" w:rsidRPr="00A47719" w:rsidRDefault="000143B9" w:rsidP="000143B9">
      <w:pPr>
        <w:pStyle w:val="Adress"/>
        <w:spacing w:before="240" w:line="240" w:lineRule="auto"/>
        <w:ind w:left="360" w:hangingChars="200" w:hanging="360"/>
        <w:rPr>
          <w:rFonts w:cs="Arial"/>
          <w:sz w:val="18"/>
          <w:szCs w:val="18"/>
        </w:rPr>
      </w:pPr>
      <w:r w:rsidRPr="009A4CCB">
        <w:rPr>
          <w:rFonts w:eastAsiaTheme="minorEastAsia" w:cs="Arial" w:hint="eastAsia"/>
          <w:color w:val="0000FF"/>
          <w:sz w:val="18"/>
          <w:szCs w:val="18"/>
          <w:lang w:val="en-US" w:eastAsia="zh-CN"/>
        </w:rPr>
        <w:t>[d]</w:t>
      </w:r>
      <w:r w:rsidRPr="009A4CCB">
        <w:rPr>
          <w:rFonts w:cs="Arial"/>
          <w:color w:val="0000FF"/>
          <w:sz w:val="18"/>
          <w:szCs w:val="18"/>
          <w:lang w:val="en-US"/>
        </w:rPr>
        <w:tab/>
        <w:t xml:space="preserve">Prof. C. </w:t>
      </w:r>
      <w:r w:rsidRPr="009A4CCB">
        <w:rPr>
          <w:rFonts w:cs="Arial"/>
          <w:iCs/>
          <w:color w:val="0000FF"/>
          <w:sz w:val="18"/>
          <w:szCs w:val="18"/>
          <w:lang w:val="en-US"/>
        </w:rPr>
        <w:t>Redshaw</w:t>
      </w:r>
      <w:r w:rsidRPr="00A47719">
        <w:rPr>
          <w:rFonts w:cs="Arial"/>
          <w:sz w:val="18"/>
          <w:szCs w:val="18"/>
          <w:lang w:val="en-US"/>
        </w:rPr>
        <w:br/>
      </w:r>
      <w:r w:rsidRPr="00A47719">
        <w:rPr>
          <w:rFonts w:cs="Arial"/>
          <w:sz w:val="18"/>
          <w:szCs w:val="18"/>
        </w:rPr>
        <w:t>School of Chemistry and Pharmacy, University of East Anglia, Norwich, NR4 7TJ, U.K.</w:t>
      </w:r>
    </w:p>
    <w:bookmarkEnd w:id="2"/>
    <w:p w14:paraId="71184235" w14:textId="77777777" w:rsidR="00D240DA" w:rsidRPr="00A47719" w:rsidRDefault="00D361DA">
      <w:pPr>
        <w:pStyle w:val="Footnote"/>
        <w:spacing w:before="240" w:after="240" w:line="276" w:lineRule="auto"/>
        <w:ind w:firstLine="0"/>
        <w:rPr>
          <w:rFonts w:cs="Arial"/>
          <w:sz w:val="18"/>
          <w:szCs w:val="18"/>
          <w:lang w:val="en-US"/>
        </w:rPr>
      </w:pPr>
      <w:r w:rsidRPr="00A47719">
        <w:rPr>
          <w:rFonts w:cs="Arial"/>
          <w:sz w:val="18"/>
          <w:szCs w:val="18"/>
          <w:lang w:val="en-US"/>
        </w:rPr>
        <w:t>Supporting information for this article is given via a link at the end of the document. ((Please delete this text if not appropriate.))</w:t>
      </w:r>
    </w:p>
    <w:p w14:paraId="4AB0EAEE" w14:textId="011BE40C" w:rsidR="00D240DA" w:rsidRPr="00A47719" w:rsidRDefault="00D361DA">
      <w:pPr>
        <w:pStyle w:val="Abstract"/>
        <w:spacing w:before="240" w:after="240" w:line="240" w:lineRule="atLeast"/>
        <w:rPr>
          <w:rFonts w:eastAsiaTheme="minorEastAsia" w:cs="Arial"/>
          <w:sz w:val="20"/>
          <w:lang w:val="en-US" w:eastAsia="zh-CN"/>
        </w:rPr>
      </w:pPr>
      <w:r w:rsidRPr="00A47719">
        <w:rPr>
          <w:rFonts w:cs="Arial"/>
          <w:b/>
          <w:sz w:val="20"/>
          <w:lang w:val="en-US"/>
        </w:rPr>
        <w:t>Abstract:</w:t>
      </w:r>
      <w:r w:rsidRPr="00A47719">
        <w:rPr>
          <w:rFonts w:cs="Arial"/>
          <w:sz w:val="20"/>
          <w:lang w:val="en-US"/>
        </w:rPr>
        <w:t xml:space="preserve"> </w:t>
      </w:r>
      <w:r w:rsidRPr="00A47719">
        <w:rPr>
          <w:rFonts w:cs="Arial" w:hint="eastAsia"/>
          <w:sz w:val="20"/>
          <w:lang w:val="en-US"/>
        </w:rPr>
        <w:t>The pursuit of h</w:t>
      </w:r>
      <w:r w:rsidRPr="00A47719">
        <w:rPr>
          <w:rFonts w:cs="Arial"/>
          <w:sz w:val="20"/>
          <w:lang w:val="en-US"/>
        </w:rPr>
        <w:t>igh-performance</w:t>
      </w:r>
      <w:r w:rsidRPr="00A47719">
        <w:rPr>
          <w:rFonts w:cs="Arial" w:hint="eastAsia"/>
          <w:sz w:val="20"/>
          <w:lang w:val="en-US"/>
        </w:rPr>
        <w:t>,</w:t>
      </w:r>
      <w:r w:rsidRPr="00A47719">
        <w:rPr>
          <w:rFonts w:cs="Arial"/>
          <w:sz w:val="20"/>
          <w:lang w:val="en-US"/>
        </w:rPr>
        <w:t xml:space="preserve"> dopant-free hole-transporting materials (HTMs) is c</w:t>
      </w:r>
      <w:r w:rsidRPr="00A47719">
        <w:rPr>
          <w:rFonts w:cs="Arial" w:hint="eastAsia"/>
          <w:sz w:val="20"/>
          <w:lang w:val="en-US"/>
        </w:rPr>
        <w:t>entral to</w:t>
      </w:r>
      <w:r w:rsidRPr="00A47719">
        <w:rPr>
          <w:rFonts w:cs="Arial"/>
          <w:sz w:val="20"/>
          <w:lang w:val="en-US"/>
        </w:rPr>
        <w:t xml:space="preserve"> advancing</w:t>
      </w:r>
      <w:r w:rsidRPr="00A47719">
        <w:rPr>
          <w:rFonts w:cs="Arial" w:hint="eastAsia"/>
          <w:sz w:val="20"/>
          <w:lang w:val="en-US"/>
        </w:rPr>
        <w:t xml:space="preserve"> </w:t>
      </w:r>
      <w:r w:rsidRPr="00A47719">
        <w:rPr>
          <w:rFonts w:cs="Arial"/>
          <w:sz w:val="20"/>
          <w:lang w:val="en-US"/>
        </w:rPr>
        <w:t xml:space="preserve">the efficiency and stability of perovskite solar cells (PSCs). </w:t>
      </w:r>
      <w:r w:rsidR="00533C2C" w:rsidRPr="00A47719">
        <w:rPr>
          <w:rFonts w:eastAsiaTheme="minorEastAsia" w:cs="Arial" w:hint="eastAsia"/>
          <w:sz w:val="20"/>
          <w:lang w:val="en-US" w:eastAsia="zh-CN"/>
        </w:rPr>
        <w:t>Herein,</w:t>
      </w:r>
      <w:r w:rsidRPr="00A47719">
        <w:rPr>
          <w:rFonts w:cs="Arial"/>
          <w:sz w:val="20"/>
          <w:lang w:val="en-US"/>
        </w:rPr>
        <w:t xml:space="preserve"> </w:t>
      </w:r>
      <w:r w:rsidR="005B141A" w:rsidRPr="00A47719">
        <w:rPr>
          <w:rFonts w:eastAsiaTheme="minorEastAsia" w:cs="Arial" w:hint="eastAsia"/>
          <w:sz w:val="20"/>
          <w:lang w:val="en-US" w:eastAsia="zh-CN"/>
        </w:rPr>
        <w:t>three</w:t>
      </w:r>
      <w:r w:rsidRPr="00A47719">
        <w:rPr>
          <w:rFonts w:cs="Arial" w:hint="eastAsia"/>
          <w:sz w:val="20"/>
          <w:lang w:val="en-US"/>
        </w:rPr>
        <w:t xml:space="preserve"> pyrene-based HTMs </w:t>
      </w:r>
      <w:r w:rsidRPr="00A47719">
        <w:rPr>
          <w:rFonts w:cs="Arial"/>
          <w:sz w:val="20"/>
          <w:lang w:val="en-US"/>
        </w:rPr>
        <w:t>(</w:t>
      </w:r>
      <w:r w:rsidRPr="00A47719">
        <w:rPr>
          <w:rFonts w:cs="Arial"/>
          <w:b/>
          <w:bCs/>
          <w:sz w:val="20"/>
          <w:lang w:val="en-US"/>
        </w:rPr>
        <w:t>PyTPA-9C</w:t>
      </w:r>
      <w:r w:rsidRPr="00A47719">
        <w:rPr>
          <w:rFonts w:cs="Arial"/>
          <w:sz w:val="20"/>
          <w:lang w:val="en-US"/>
        </w:rPr>
        <w:t xml:space="preserve">, </w:t>
      </w:r>
      <w:r w:rsidRPr="00A47719">
        <w:rPr>
          <w:rFonts w:cs="Arial"/>
          <w:b/>
          <w:bCs/>
          <w:sz w:val="20"/>
          <w:lang w:val="en-US"/>
        </w:rPr>
        <w:t>PyTPA-10C</w:t>
      </w:r>
      <w:r w:rsidRPr="00A47719">
        <w:rPr>
          <w:rFonts w:cs="Arial"/>
          <w:sz w:val="20"/>
          <w:lang w:val="en-US"/>
        </w:rPr>
        <w:t xml:space="preserve">, and </w:t>
      </w:r>
      <w:r w:rsidRPr="00A47719">
        <w:rPr>
          <w:rFonts w:cs="Arial"/>
          <w:b/>
          <w:bCs/>
          <w:sz w:val="20"/>
          <w:lang w:val="en-US"/>
        </w:rPr>
        <w:t>PyTPA-13C</w:t>
      </w:r>
      <w:r w:rsidRPr="00A47719">
        <w:rPr>
          <w:rFonts w:cs="Arial"/>
          <w:sz w:val="20"/>
          <w:lang w:val="en-US"/>
        </w:rPr>
        <w:t xml:space="preserve">) </w:t>
      </w:r>
      <w:r w:rsidR="00533C2C" w:rsidRPr="00A47719">
        <w:rPr>
          <w:rFonts w:cs="Arial"/>
          <w:sz w:val="20"/>
          <w:lang w:val="en-US"/>
        </w:rPr>
        <w:t>were</w:t>
      </w:r>
      <w:r w:rsidR="00533C2C" w:rsidRPr="00A47719">
        <w:rPr>
          <w:rFonts w:cs="Arial" w:hint="eastAsia"/>
          <w:sz w:val="20"/>
          <w:lang w:val="en-US"/>
        </w:rPr>
        <w:t xml:space="preserve"> </w:t>
      </w:r>
      <w:r w:rsidRPr="00A47719">
        <w:rPr>
          <w:rFonts w:cs="Arial" w:hint="eastAsia"/>
          <w:sz w:val="20"/>
          <w:lang w:val="en-US"/>
        </w:rPr>
        <w:t xml:space="preserve">synthesized </w:t>
      </w:r>
      <w:r w:rsidRPr="00A47719">
        <w:rPr>
          <w:rFonts w:cs="Arial"/>
          <w:sz w:val="20"/>
          <w:lang w:val="en-US"/>
        </w:rPr>
        <w:t>by covalently linking two pyrene-triphenylamine</w:t>
      </w:r>
      <w:r w:rsidRPr="00A47719">
        <w:rPr>
          <w:rFonts w:cs="Arial" w:hint="eastAsia"/>
          <w:sz w:val="20"/>
          <w:lang w:val="en-US"/>
        </w:rPr>
        <w:t xml:space="preserve"> </w:t>
      </w:r>
      <w:r w:rsidRPr="00A47719">
        <w:rPr>
          <w:rFonts w:cs="Arial"/>
          <w:sz w:val="20"/>
          <w:lang w:val="en-US"/>
        </w:rPr>
        <w:t>precursor units</w:t>
      </w:r>
      <w:r w:rsidR="005B141A" w:rsidRPr="00A47719">
        <w:rPr>
          <w:rFonts w:eastAsiaTheme="minorEastAsia" w:cs="Arial" w:hint="eastAsia"/>
          <w:sz w:val="20"/>
          <w:lang w:val="en-US" w:eastAsia="zh-CN"/>
        </w:rPr>
        <w:t>,</w:t>
      </w:r>
      <w:r w:rsidR="005B141A" w:rsidRPr="00A47719">
        <w:rPr>
          <w:rFonts w:cs="Arial"/>
          <w:sz w:val="20"/>
          <w:lang w:val="en-US"/>
        </w:rPr>
        <w:t xml:space="preserve"> </w:t>
      </w:r>
      <w:r w:rsidR="005B141A" w:rsidRPr="00A47719">
        <w:rPr>
          <w:rFonts w:eastAsiaTheme="minorEastAsia" w:cs="Arial" w:hint="eastAsia"/>
          <w:sz w:val="20"/>
          <w:lang w:val="en-US" w:eastAsia="zh-CN"/>
        </w:rPr>
        <w:t xml:space="preserve">which display </w:t>
      </w:r>
      <w:r w:rsidR="005B141A" w:rsidRPr="00A47719">
        <w:rPr>
          <w:rFonts w:cs="Arial"/>
          <w:sz w:val="20"/>
          <w:lang w:val="en-US"/>
        </w:rPr>
        <w:t>pronounced antenna effect analogous to the precursor</w:t>
      </w:r>
      <w:r w:rsidR="005B141A" w:rsidRPr="00A47719">
        <w:rPr>
          <w:rFonts w:eastAsiaTheme="minorEastAsia" w:cs="Arial" w:hint="eastAsia"/>
          <w:sz w:val="20"/>
          <w:lang w:val="en-US" w:eastAsia="zh-CN"/>
        </w:rPr>
        <w:t xml:space="preserve"> with</w:t>
      </w:r>
      <w:r w:rsidRPr="00A47719">
        <w:rPr>
          <w:rFonts w:cs="Arial"/>
          <w:sz w:val="20"/>
          <w:lang w:val="en-US"/>
        </w:rPr>
        <w:t xml:space="preserve"> </w:t>
      </w:r>
      <w:r w:rsidR="005B141A" w:rsidRPr="00A47719">
        <w:rPr>
          <w:rFonts w:eastAsiaTheme="minorEastAsia" w:cs="Arial"/>
          <w:sz w:val="20"/>
          <w:lang w:eastAsia="zh-CN"/>
        </w:rPr>
        <w:t>quantitatively defined by a positive correlation between the number of TPA antenna moieties and key photophysical parameters</w:t>
      </w:r>
      <w:r w:rsidR="005B141A" w:rsidRPr="00A47719">
        <w:rPr>
          <w:rFonts w:eastAsiaTheme="minorEastAsia" w:cs="Arial" w:hint="eastAsia"/>
          <w:sz w:val="20"/>
          <w:lang w:eastAsia="zh-CN"/>
        </w:rPr>
        <w:t xml:space="preserve"> (such as </w:t>
      </w:r>
      <w:r w:rsidR="005B141A" w:rsidRPr="00A47719">
        <w:rPr>
          <w:rFonts w:cs="Arial"/>
          <w:sz w:val="20"/>
          <w:lang w:val="en-US"/>
        </w:rPr>
        <w:t>molar absorption coefficient and fluorescence quantum yield</w:t>
      </w:r>
      <w:r w:rsidR="005B141A" w:rsidRPr="00A47719">
        <w:rPr>
          <w:rFonts w:eastAsiaTheme="minorEastAsia" w:cs="Arial" w:hint="eastAsia"/>
          <w:sz w:val="20"/>
          <w:lang w:eastAsia="zh-CN"/>
        </w:rPr>
        <w:t>).</w:t>
      </w:r>
      <w:r w:rsidR="005B141A" w:rsidRPr="00A47719">
        <w:rPr>
          <w:rFonts w:eastAsiaTheme="minorEastAsia" w:cs="Arial"/>
          <w:sz w:val="20"/>
          <w:lang w:eastAsia="zh-CN"/>
        </w:rPr>
        <w:t xml:space="preserve"> </w:t>
      </w:r>
      <w:r w:rsidRPr="00A47719">
        <w:rPr>
          <w:rFonts w:cs="Arial" w:hint="eastAsia"/>
          <w:sz w:val="20"/>
          <w:lang w:val="en-US"/>
        </w:rPr>
        <w:t xml:space="preserve">Critically, the odd-even </w:t>
      </w:r>
      <w:r w:rsidR="005B141A" w:rsidRPr="00A47719">
        <w:rPr>
          <w:rFonts w:eastAsiaTheme="minorEastAsia" w:cs="Arial" w:hint="eastAsia"/>
          <w:sz w:val="20"/>
          <w:lang w:val="en-US" w:eastAsia="zh-CN"/>
        </w:rPr>
        <w:t>effect</w:t>
      </w:r>
      <w:r w:rsidR="005B141A" w:rsidRPr="00A47719">
        <w:rPr>
          <w:rFonts w:cs="Arial" w:hint="eastAsia"/>
          <w:sz w:val="20"/>
          <w:lang w:val="en-US"/>
        </w:rPr>
        <w:t xml:space="preserve"> </w:t>
      </w:r>
      <w:r w:rsidRPr="00A47719">
        <w:rPr>
          <w:rFonts w:cs="Arial" w:hint="eastAsia"/>
          <w:sz w:val="20"/>
          <w:lang w:val="en-US"/>
        </w:rPr>
        <w:t xml:space="preserve">of </w:t>
      </w:r>
      <w:r w:rsidRPr="00A47719">
        <w:rPr>
          <w:rFonts w:cs="Arial"/>
          <w:sz w:val="20"/>
          <w:lang w:val="en-US"/>
        </w:rPr>
        <w:t>the alkyl</w:t>
      </w:r>
      <w:r w:rsidRPr="00A47719">
        <w:rPr>
          <w:rFonts w:cs="Arial" w:hint="eastAsia"/>
          <w:sz w:val="20"/>
          <w:lang w:val="en-US"/>
        </w:rPr>
        <w:t xml:space="preserve"> spacer </w:t>
      </w:r>
      <w:r w:rsidR="005B141A" w:rsidRPr="00A47719">
        <w:rPr>
          <w:rFonts w:eastAsiaTheme="minorEastAsia" w:cs="Arial" w:hint="eastAsia"/>
          <w:sz w:val="20"/>
          <w:lang w:val="en-US" w:eastAsia="zh-CN"/>
        </w:rPr>
        <w:t xml:space="preserve">plays a </w:t>
      </w:r>
      <w:r w:rsidR="005B141A" w:rsidRPr="00A47719">
        <w:rPr>
          <w:rFonts w:eastAsiaTheme="minorEastAsia" w:cs="Arial"/>
          <w:sz w:val="20"/>
          <w:lang w:val="en-US" w:eastAsia="zh-CN"/>
        </w:rPr>
        <w:t>significant</w:t>
      </w:r>
      <w:r w:rsidR="005B141A" w:rsidRPr="00A47719">
        <w:rPr>
          <w:rFonts w:eastAsiaTheme="minorEastAsia" w:cs="Arial" w:hint="eastAsia"/>
          <w:sz w:val="20"/>
          <w:lang w:val="en-US" w:eastAsia="zh-CN"/>
        </w:rPr>
        <w:t xml:space="preserve"> role </w:t>
      </w:r>
      <w:r w:rsidR="005B141A" w:rsidRPr="00A47719">
        <w:rPr>
          <w:rFonts w:eastAsiaTheme="minorEastAsia" w:cs="Arial"/>
          <w:sz w:val="20"/>
          <w:lang w:val="en-US" w:eastAsia="zh-CN"/>
        </w:rPr>
        <w:t xml:space="preserve">in </w:t>
      </w:r>
      <w:r w:rsidR="005B141A" w:rsidRPr="00A47719">
        <w:rPr>
          <w:rFonts w:eastAsiaTheme="minorEastAsia" w:cs="Arial" w:hint="eastAsia"/>
          <w:sz w:val="20"/>
          <w:lang w:val="en-US" w:eastAsia="zh-CN"/>
        </w:rPr>
        <w:t>modulating the molecular conformation and electronic structure. Moreover,</w:t>
      </w:r>
      <w:r w:rsidRPr="00A47719">
        <w:rPr>
          <w:rFonts w:cs="Arial" w:hint="eastAsia"/>
          <w:sz w:val="20"/>
          <w:lang w:val="en-US"/>
        </w:rPr>
        <w:t xml:space="preserve"> </w:t>
      </w:r>
      <w:r w:rsidRPr="00A47719">
        <w:rPr>
          <w:rFonts w:cs="Arial"/>
          <w:b/>
          <w:bCs/>
          <w:sz w:val="20"/>
          <w:lang w:val="en-US"/>
        </w:rPr>
        <w:t>PyTPA-10C</w:t>
      </w:r>
      <w:r w:rsidRPr="00A47719">
        <w:rPr>
          <w:rFonts w:cs="Arial"/>
          <w:sz w:val="20"/>
          <w:lang w:val="en-US"/>
        </w:rPr>
        <w:t>, featuring an even-carbon decyl chain</w:t>
      </w:r>
      <w:r w:rsidR="005B141A" w:rsidRPr="00A47719">
        <w:rPr>
          <w:rFonts w:eastAsiaTheme="minorEastAsia" w:cs="Arial" w:hint="eastAsia"/>
          <w:sz w:val="20"/>
          <w:lang w:val="en-US" w:eastAsia="zh-CN"/>
        </w:rPr>
        <w:t xml:space="preserve"> </w:t>
      </w:r>
      <w:r w:rsidR="005B141A" w:rsidRPr="00A47719">
        <w:rPr>
          <w:rFonts w:cs="Arial"/>
          <w:sz w:val="20"/>
          <w:lang w:val="en-US"/>
        </w:rPr>
        <w:t>as dopant-free HTMs in n-</w:t>
      </w:r>
      <w:proofErr w:type="spellStart"/>
      <w:r w:rsidR="005B141A" w:rsidRPr="00A47719">
        <w:rPr>
          <w:rFonts w:cs="Arial"/>
          <w:sz w:val="20"/>
          <w:lang w:val="en-US"/>
        </w:rPr>
        <w:t>i</w:t>
      </w:r>
      <w:proofErr w:type="spellEnd"/>
      <w:r w:rsidR="005B141A" w:rsidRPr="00A47719">
        <w:rPr>
          <w:rFonts w:cs="Arial"/>
          <w:sz w:val="20"/>
          <w:lang w:val="en-US"/>
        </w:rPr>
        <w:t xml:space="preserve">-p </w:t>
      </w:r>
      <w:r w:rsidR="005B141A" w:rsidRPr="00A47719">
        <w:rPr>
          <w:rFonts w:cs="Arial" w:hint="eastAsia"/>
          <w:sz w:val="20"/>
          <w:lang w:val="en-US"/>
        </w:rPr>
        <w:t xml:space="preserve">structured </w:t>
      </w:r>
      <w:r w:rsidR="005B141A" w:rsidRPr="00A47719">
        <w:rPr>
          <w:rFonts w:cs="Arial"/>
          <w:sz w:val="20"/>
          <w:lang w:val="en-US"/>
        </w:rPr>
        <w:t>PSCs,</w:t>
      </w:r>
      <w:r w:rsidRPr="00A47719">
        <w:rPr>
          <w:rFonts w:cs="Arial"/>
          <w:sz w:val="20"/>
          <w:lang w:val="en-US"/>
        </w:rPr>
        <w:t xml:space="preserve"> </w:t>
      </w:r>
      <w:r w:rsidRPr="00A47719">
        <w:rPr>
          <w:rFonts w:cs="Arial" w:hint="eastAsia"/>
          <w:sz w:val="20"/>
          <w:lang w:val="en-US"/>
        </w:rPr>
        <w:t>achieves</w:t>
      </w:r>
      <w:r w:rsidRPr="00A47719">
        <w:rPr>
          <w:rFonts w:cs="Arial"/>
          <w:sz w:val="20"/>
          <w:lang w:val="en-US"/>
        </w:rPr>
        <w:t xml:space="preserve"> </w:t>
      </w:r>
      <w:r w:rsidRPr="00A47719">
        <w:rPr>
          <w:rFonts w:eastAsiaTheme="minorEastAsia" w:cs="Arial" w:hint="eastAsia"/>
          <w:sz w:val="20"/>
          <w:lang w:val="en-US" w:eastAsia="zh-CN"/>
        </w:rPr>
        <w:t xml:space="preserve">a champion </w:t>
      </w:r>
      <w:r w:rsidRPr="00A47719">
        <w:rPr>
          <w:rFonts w:cs="Arial"/>
          <w:sz w:val="20"/>
          <w:lang w:val="en-US"/>
        </w:rPr>
        <w:t>power conversion efficiency (PCE) of 25.47%</w:t>
      </w:r>
      <w:r w:rsidRPr="00A47719">
        <w:rPr>
          <w:rFonts w:cs="Arial" w:hint="eastAsia"/>
          <w:sz w:val="20"/>
          <w:lang w:val="en-US"/>
        </w:rPr>
        <w:t xml:space="preserve">, </w:t>
      </w:r>
      <w:r w:rsidRPr="00A47719">
        <w:rPr>
          <w:rFonts w:cs="Arial"/>
          <w:sz w:val="20"/>
          <w:lang w:val="en-US"/>
        </w:rPr>
        <w:t xml:space="preserve">representing </w:t>
      </w:r>
      <w:r w:rsidRPr="00A47719">
        <w:rPr>
          <w:rFonts w:eastAsiaTheme="minorEastAsia" w:cs="Arial"/>
          <w:sz w:val="20"/>
          <w:lang w:val="en-US" w:eastAsia="zh-CN"/>
        </w:rPr>
        <w:t xml:space="preserve">the highest reported values for </w:t>
      </w:r>
      <w:r w:rsidRPr="00A47719">
        <w:rPr>
          <w:rFonts w:cs="Arial"/>
          <w:sz w:val="20"/>
          <w:lang w:val="en-US"/>
        </w:rPr>
        <w:t>n-</w:t>
      </w:r>
      <w:proofErr w:type="spellStart"/>
      <w:r w:rsidRPr="00A47719">
        <w:rPr>
          <w:rFonts w:cs="Arial"/>
          <w:sz w:val="20"/>
          <w:lang w:val="en-US"/>
        </w:rPr>
        <w:t>i</w:t>
      </w:r>
      <w:proofErr w:type="spellEnd"/>
      <w:r w:rsidRPr="00A47719">
        <w:rPr>
          <w:rFonts w:cs="Arial"/>
          <w:sz w:val="20"/>
          <w:lang w:val="en-US"/>
        </w:rPr>
        <w:t>-p PSCs employing dopant-free,</w:t>
      </w:r>
      <w:r w:rsidRPr="00A47719">
        <w:rPr>
          <w:rFonts w:eastAsiaTheme="minorEastAsia" w:cs="Arial"/>
          <w:sz w:val="20"/>
          <w:lang w:val="en-US" w:eastAsia="zh-CN"/>
        </w:rPr>
        <w:t xml:space="preserve"> </w:t>
      </w:r>
      <w:r w:rsidRPr="00A47719">
        <w:rPr>
          <w:rFonts w:cs="Arial"/>
          <w:sz w:val="20"/>
          <w:lang w:val="en-US"/>
        </w:rPr>
        <w:t xml:space="preserve">organic small-molecule HTMs. </w:t>
      </w:r>
      <w:r w:rsidRPr="00A47719">
        <w:rPr>
          <w:rFonts w:cs="Arial" w:hint="eastAsia"/>
          <w:sz w:val="20"/>
          <w:lang w:val="en-US"/>
        </w:rPr>
        <w:t xml:space="preserve">Comprehensive analysis </w:t>
      </w:r>
      <w:r w:rsidRPr="00A47719">
        <w:rPr>
          <w:rFonts w:cs="Arial"/>
          <w:sz w:val="20"/>
          <w:lang w:val="en-US"/>
        </w:rPr>
        <w:t xml:space="preserve">reveals that </w:t>
      </w:r>
      <w:r w:rsidRPr="00A47719">
        <w:rPr>
          <w:rFonts w:cs="Arial"/>
          <w:b/>
          <w:bCs/>
          <w:sz w:val="20"/>
          <w:lang w:val="en-US"/>
        </w:rPr>
        <w:t>PyTPA-10C</w:t>
      </w:r>
      <w:r w:rsidRPr="00A47719">
        <w:rPr>
          <w:rFonts w:cs="Arial"/>
          <w:sz w:val="20"/>
          <w:lang w:val="en-US"/>
        </w:rPr>
        <w:t xml:space="preserve"> </w:t>
      </w:r>
      <w:r w:rsidRPr="00A47719">
        <w:rPr>
          <w:rFonts w:cs="Arial" w:hint="eastAsia"/>
          <w:sz w:val="20"/>
          <w:lang w:val="en-US"/>
        </w:rPr>
        <w:t>enables</w:t>
      </w:r>
      <w:r w:rsidRPr="00A47719">
        <w:rPr>
          <w:rFonts w:cs="Arial"/>
          <w:sz w:val="20"/>
          <w:lang w:val="en-US"/>
        </w:rPr>
        <w:t xml:space="preserve"> superior</w:t>
      </w:r>
      <w:r w:rsidRPr="00A47719">
        <w:rPr>
          <w:rFonts w:cs="Arial" w:hint="eastAsia"/>
          <w:sz w:val="20"/>
          <w:lang w:val="en-US"/>
        </w:rPr>
        <w:t xml:space="preserve"> </w:t>
      </w:r>
      <w:r w:rsidRPr="00A47719">
        <w:rPr>
          <w:rFonts w:cs="Arial"/>
          <w:sz w:val="20"/>
          <w:lang w:val="en-US"/>
        </w:rPr>
        <w:t>hole extraction</w:t>
      </w:r>
      <w:r w:rsidRPr="00A47719">
        <w:rPr>
          <w:rFonts w:cs="Arial" w:hint="eastAsia"/>
          <w:sz w:val="20"/>
          <w:lang w:val="en-US"/>
        </w:rPr>
        <w:t>/</w:t>
      </w:r>
      <w:r w:rsidRPr="00A47719">
        <w:rPr>
          <w:rFonts w:cs="Arial"/>
          <w:sz w:val="20"/>
          <w:lang w:val="en-US"/>
        </w:rPr>
        <w:t xml:space="preserve">transport, </w:t>
      </w:r>
      <w:r w:rsidRPr="00A47719">
        <w:rPr>
          <w:rFonts w:cs="Arial" w:hint="eastAsia"/>
          <w:sz w:val="20"/>
          <w:lang w:val="en-US"/>
        </w:rPr>
        <w:t xml:space="preserve">effectively </w:t>
      </w:r>
      <w:r w:rsidRPr="00A47719">
        <w:rPr>
          <w:rFonts w:cs="Arial"/>
          <w:sz w:val="20"/>
          <w:lang w:val="en-US"/>
        </w:rPr>
        <w:t xml:space="preserve">suppresses charge recombination, and passivates interfacial defects. Consequently, </w:t>
      </w:r>
      <w:r w:rsidRPr="00A47719">
        <w:rPr>
          <w:rFonts w:cs="Arial" w:hint="eastAsia"/>
          <w:sz w:val="20"/>
          <w:lang w:val="en-US"/>
        </w:rPr>
        <w:t xml:space="preserve">unencapsulated </w:t>
      </w:r>
      <w:r w:rsidRPr="00A47719">
        <w:rPr>
          <w:rFonts w:cs="Arial"/>
          <w:sz w:val="20"/>
          <w:lang w:val="en-US"/>
        </w:rPr>
        <w:t>device</w:t>
      </w:r>
      <w:r w:rsidRPr="00A47719">
        <w:rPr>
          <w:rFonts w:cs="Arial" w:hint="eastAsia"/>
          <w:sz w:val="20"/>
          <w:lang w:val="en-US"/>
        </w:rPr>
        <w:t xml:space="preserve">s retain over </w:t>
      </w:r>
      <w:r w:rsidRPr="00A47719">
        <w:rPr>
          <w:rFonts w:cs="Arial"/>
          <w:sz w:val="20"/>
          <w:lang w:val="en-US"/>
        </w:rPr>
        <w:t xml:space="preserve">90% of </w:t>
      </w:r>
      <w:r w:rsidRPr="00A47719">
        <w:rPr>
          <w:rFonts w:cs="Arial" w:hint="eastAsia"/>
          <w:sz w:val="20"/>
          <w:lang w:val="en-US"/>
        </w:rPr>
        <w:t>their</w:t>
      </w:r>
      <w:r w:rsidRPr="00A47719">
        <w:rPr>
          <w:rFonts w:cs="Arial"/>
          <w:sz w:val="20"/>
          <w:lang w:val="en-US"/>
        </w:rPr>
        <w:t xml:space="preserve"> initial PCE after 1000 h under continuous heating and illumination</w:t>
      </w:r>
      <w:r w:rsidRPr="00A47719">
        <w:rPr>
          <w:rFonts w:eastAsiaTheme="minorEastAsia" w:cs="Arial"/>
          <w:sz w:val="20"/>
          <w:lang w:val="en-US" w:eastAsia="zh-CN"/>
        </w:rPr>
        <w:t xml:space="preserve"> </w:t>
      </w:r>
      <w:r w:rsidRPr="00A47719">
        <w:rPr>
          <w:rFonts w:eastAsiaTheme="minorEastAsia" w:cs="Arial"/>
          <w:bCs/>
          <w:sz w:val="20"/>
          <w:lang w:eastAsia="zh-CN"/>
        </w:rPr>
        <w:t>at 65 °C and 50-60% relative humidity</w:t>
      </w:r>
      <w:r w:rsidRPr="00A47719">
        <w:rPr>
          <w:rFonts w:cs="Arial"/>
          <w:sz w:val="20"/>
          <w:lang w:val="en-US"/>
        </w:rPr>
        <w:t xml:space="preserve">. This </w:t>
      </w:r>
      <w:r w:rsidRPr="00A47719">
        <w:rPr>
          <w:rFonts w:cs="Arial" w:hint="eastAsia"/>
          <w:sz w:val="20"/>
          <w:lang w:val="en-US"/>
        </w:rPr>
        <w:t>study not only presents</w:t>
      </w:r>
      <w:r w:rsidRPr="00A47719">
        <w:rPr>
          <w:rFonts w:cs="Arial"/>
          <w:sz w:val="20"/>
          <w:lang w:val="en-US"/>
        </w:rPr>
        <w:t xml:space="preserve"> </w:t>
      </w:r>
      <w:r w:rsidRPr="00A47719">
        <w:rPr>
          <w:rFonts w:cs="Arial" w:hint="eastAsia"/>
          <w:sz w:val="20"/>
          <w:lang w:val="en-US"/>
        </w:rPr>
        <w:t xml:space="preserve">high-performing materials but also establishes a general molecular design strategy: the </w:t>
      </w:r>
      <w:r w:rsidRPr="00A47719">
        <w:rPr>
          <w:rFonts w:cs="Arial"/>
          <w:sz w:val="20"/>
          <w:lang w:val="en-US"/>
        </w:rPr>
        <w:t>integration</w:t>
      </w:r>
      <w:r w:rsidRPr="00A47719">
        <w:rPr>
          <w:rFonts w:cs="Arial" w:hint="eastAsia"/>
          <w:sz w:val="20"/>
          <w:lang w:val="en-US"/>
        </w:rPr>
        <w:t xml:space="preserve"> of an </w:t>
      </w:r>
      <w:r w:rsidRPr="00A47719">
        <w:rPr>
          <w:rFonts w:cs="Arial"/>
          <w:sz w:val="20"/>
          <w:lang w:val="en-US"/>
        </w:rPr>
        <w:t>“</w:t>
      </w:r>
      <w:r w:rsidRPr="00A47719">
        <w:rPr>
          <w:rFonts w:cs="Arial" w:hint="eastAsia"/>
          <w:sz w:val="20"/>
          <w:lang w:val="en-US"/>
        </w:rPr>
        <w:t>antenna effect</w:t>
      </w:r>
      <w:r w:rsidRPr="00A47719">
        <w:rPr>
          <w:rFonts w:cs="Arial"/>
          <w:sz w:val="20"/>
          <w:lang w:val="en-US"/>
        </w:rPr>
        <w:t>”</w:t>
      </w:r>
      <w:r w:rsidRPr="00A47719">
        <w:rPr>
          <w:rFonts w:cs="Arial" w:hint="eastAsia"/>
          <w:sz w:val="20"/>
          <w:lang w:val="en-US"/>
        </w:rPr>
        <w:t xml:space="preserve"> with </w:t>
      </w:r>
      <w:r w:rsidRPr="00A47719">
        <w:rPr>
          <w:rFonts w:cs="Arial"/>
          <w:sz w:val="20"/>
          <w:lang w:val="en-US"/>
        </w:rPr>
        <w:t>precise alkyl-chain engineering</w:t>
      </w:r>
      <w:r w:rsidRPr="00A47719">
        <w:rPr>
          <w:rFonts w:cs="Arial" w:hint="eastAsia"/>
          <w:sz w:val="20"/>
          <w:lang w:val="en-US"/>
        </w:rPr>
        <w:t>.</w:t>
      </w:r>
      <w:r w:rsidRPr="00A47719">
        <w:rPr>
          <w:rFonts w:cs="Arial"/>
          <w:sz w:val="20"/>
          <w:lang w:val="en-US"/>
        </w:rPr>
        <w:t xml:space="preserve"> </w:t>
      </w:r>
    </w:p>
    <w:p w14:paraId="00319A16" w14:textId="77777777" w:rsidR="00D240DA" w:rsidRPr="00A47719" w:rsidRDefault="00D361DA">
      <w:pPr>
        <w:pStyle w:val="H1"/>
        <w:spacing w:before="240" w:after="240" w:line="240" w:lineRule="atLeast"/>
        <w:rPr>
          <w:rFonts w:cs="Arial"/>
          <w:szCs w:val="22"/>
          <w:lang w:val="en-US"/>
        </w:rPr>
      </w:pPr>
      <w:r w:rsidRPr="00A47719">
        <w:rPr>
          <w:rFonts w:cs="Arial"/>
          <w:szCs w:val="22"/>
          <w:lang w:val="en-US"/>
        </w:rPr>
        <w:t>Introduction</w:t>
      </w:r>
    </w:p>
    <w:p w14:paraId="09F0E782" w14:textId="77777777" w:rsidR="00D240DA" w:rsidRPr="00A47719" w:rsidRDefault="00D361DA">
      <w:pPr>
        <w:pStyle w:val="P1"/>
        <w:spacing w:line="240" w:lineRule="atLeast"/>
        <w:ind w:firstLineChars="200" w:firstLine="400"/>
        <w:rPr>
          <w:rFonts w:eastAsiaTheme="minorEastAsia" w:cs="Arial"/>
          <w:sz w:val="20"/>
          <w:szCs w:val="20"/>
          <w:lang w:eastAsia="zh-CN"/>
        </w:rPr>
      </w:pPr>
      <w:bookmarkStart w:id="7" w:name="_Hlk217546695"/>
      <w:bookmarkStart w:id="8" w:name="_Hlk109303027"/>
      <w:bookmarkStart w:id="9" w:name="_Hlk189833056"/>
      <w:bookmarkEnd w:id="3"/>
      <w:r w:rsidRPr="00A47719">
        <w:rPr>
          <w:rFonts w:eastAsiaTheme="minorEastAsia" w:cs="Arial"/>
          <w:sz w:val="20"/>
          <w:szCs w:val="20"/>
          <w:lang w:eastAsia="zh-CN"/>
        </w:rPr>
        <w:t>Perovskite solar cells (PSCs) have emerged as a promising next-generation photovoltaic technology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,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achieving a remarkable surge in certified </w:t>
      </w:r>
      <w:r w:rsidRPr="00A47719">
        <w:rPr>
          <w:rFonts w:eastAsiaTheme="minorEastAsia" w:cs="Arial"/>
          <w:sz w:val="20"/>
          <w:szCs w:val="20"/>
          <w:lang w:eastAsia="zh-CN"/>
        </w:rPr>
        <w:t>power conversion efficiency (PCE) from 3.8%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[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1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]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to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over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27% within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just a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decade.</w:t>
      </w:r>
      <w:bookmarkEnd w:id="7"/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[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2-4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]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This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rapid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progress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is attributed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not only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to refined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device fabrication but also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to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the continuous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innovation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of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key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functional materials.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[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5-7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]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Among them, </w:t>
      </w:r>
      <w:bookmarkStart w:id="10" w:name="_Hlk217546877"/>
      <w:r w:rsidRPr="00A47719">
        <w:rPr>
          <w:rFonts w:eastAsiaTheme="minorEastAsia" w:cs="Arial"/>
          <w:sz w:val="20"/>
          <w:szCs w:val="20"/>
          <w:lang w:eastAsia="zh-CN"/>
        </w:rPr>
        <w:t xml:space="preserve">hole-transporting materials (HTMs)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are particularly critical, as they govern efficient </w:t>
      </w:r>
      <w:r w:rsidRPr="00A47719">
        <w:rPr>
          <w:rFonts w:eastAsiaTheme="minorEastAsia" w:cs="Arial"/>
          <w:sz w:val="20"/>
          <w:szCs w:val="20"/>
          <w:lang w:eastAsia="zh-CN"/>
        </w:rPr>
        <w:t>hole extraction and transport, ultimately contributing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significantly to both the performance and operational stability of PSCs</w:t>
      </w:r>
      <w:r w:rsidRPr="00A47719">
        <w:rPr>
          <w:rFonts w:eastAsiaTheme="minorEastAsia" w:cs="Arial"/>
          <w:sz w:val="20"/>
          <w:szCs w:val="20"/>
          <w:lang w:eastAsia="zh-CN"/>
        </w:rPr>
        <w:t>.</w:t>
      </w:r>
      <w:bookmarkEnd w:id="10"/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[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8,9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]</w:t>
      </w:r>
    </w:p>
    <w:p w14:paraId="79EE0B77" w14:textId="133E75E6" w:rsidR="00D240DA" w:rsidRPr="00A47719" w:rsidRDefault="00D361DA">
      <w:pPr>
        <w:pStyle w:val="P1"/>
        <w:spacing w:line="240" w:lineRule="atLeast"/>
        <w:ind w:firstLineChars="200" w:firstLine="400"/>
        <w:rPr>
          <w:rFonts w:eastAsiaTheme="minorEastAsia" w:cs="Arial"/>
          <w:sz w:val="20"/>
          <w:szCs w:val="20"/>
          <w:lang w:eastAsia="zh-CN"/>
        </w:rPr>
      </w:pPr>
      <w:r w:rsidRPr="00A47719">
        <w:rPr>
          <w:rFonts w:eastAsiaTheme="minorEastAsia" w:cs="Arial" w:hint="eastAsia"/>
          <w:sz w:val="20"/>
          <w:szCs w:val="20"/>
          <w:lang w:eastAsia="zh-CN"/>
        </w:rPr>
        <w:t>Currently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,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state-of-the-art n-</w:t>
      </w:r>
      <w:proofErr w:type="spellStart"/>
      <w:r w:rsidRPr="00A47719">
        <w:rPr>
          <w:rFonts w:eastAsiaTheme="minorEastAsia" w:cs="Arial" w:hint="eastAsia"/>
          <w:sz w:val="20"/>
          <w:szCs w:val="20"/>
          <w:lang w:eastAsia="zh-CN"/>
        </w:rPr>
        <w:t>i</w:t>
      </w:r>
      <w:proofErr w:type="spellEnd"/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-p PSCs predominantly employ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benchmark HTMs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such as </w:t>
      </w:r>
      <w:r w:rsidRPr="00A47719">
        <w:rPr>
          <w:rFonts w:eastAsiaTheme="minorEastAsia" w:cs="Arial"/>
          <w:sz w:val="20"/>
          <w:szCs w:val="20"/>
          <w:lang w:eastAsia="zh-CN"/>
        </w:rPr>
        <w:t>2,2’,7,7’-tetrakis[</w:t>
      </w:r>
      <w:proofErr w:type="gramStart"/>
      <w:r w:rsidRPr="00A47719">
        <w:rPr>
          <w:rFonts w:eastAsiaTheme="minorEastAsia" w:cs="Arial"/>
          <w:i/>
          <w:iCs/>
          <w:sz w:val="20"/>
          <w:szCs w:val="20"/>
          <w:lang w:eastAsia="zh-CN"/>
        </w:rPr>
        <w:t>N</w:t>
      </w:r>
      <w:r w:rsidRPr="00A47719">
        <w:rPr>
          <w:rFonts w:eastAsiaTheme="minorEastAsia" w:cs="Arial"/>
          <w:sz w:val="20"/>
          <w:szCs w:val="20"/>
          <w:lang w:eastAsia="zh-CN"/>
        </w:rPr>
        <w:t>,</w:t>
      </w:r>
      <w:r w:rsidRPr="00A47719">
        <w:rPr>
          <w:rFonts w:eastAsiaTheme="minorEastAsia" w:cs="Arial"/>
          <w:i/>
          <w:iCs/>
          <w:sz w:val="20"/>
          <w:szCs w:val="20"/>
          <w:lang w:eastAsia="zh-CN"/>
        </w:rPr>
        <w:t>N</w:t>
      </w:r>
      <w:proofErr w:type="gramEnd"/>
      <w:r w:rsidRPr="00A47719">
        <w:rPr>
          <w:rFonts w:eastAsiaTheme="minorEastAsia" w:cs="Arial"/>
          <w:sz w:val="20"/>
          <w:szCs w:val="20"/>
          <w:lang w:eastAsia="zh-CN"/>
        </w:rPr>
        <w:t>-di(4-methoxyphenyl)-amino]-9,9’-spiro-bifluorene (Spiro-</w:t>
      </w:r>
      <w:proofErr w:type="spellStart"/>
      <w:r w:rsidRPr="00A47719">
        <w:rPr>
          <w:rFonts w:eastAsiaTheme="minorEastAsia" w:cs="Arial"/>
          <w:sz w:val="20"/>
          <w:szCs w:val="20"/>
          <w:lang w:eastAsia="zh-CN"/>
        </w:rPr>
        <w:t>OMeTAD</w:t>
      </w:r>
      <w:proofErr w:type="spellEnd"/>
      <w:r w:rsidRPr="00A47719">
        <w:rPr>
          <w:rFonts w:eastAsiaTheme="minorEastAsia" w:cs="Arial"/>
          <w:sz w:val="20"/>
          <w:szCs w:val="20"/>
          <w:lang w:eastAsia="zh-CN"/>
        </w:rPr>
        <w:t>) and poly[bis(4-</w:t>
      </w:r>
      <w:proofErr w:type="gramStart"/>
      <w:r w:rsidRPr="00A47719">
        <w:rPr>
          <w:rFonts w:eastAsiaTheme="minorEastAsia" w:cs="Arial"/>
          <w:sz w:val="20"/>
          <w:szCs w:val="20"/>
          <w:lang w:eastAsia="zh-CN"/>
        </w:rPr>
        <w:t>phenyl)(</w:t>
      </w:r>
      <w:proofErr w:type="gramEnd"/>
      <w:r w:rsidRPr="00A47719">
        <w:rPr>
          <w:rFonts w:eastAsiaTheme="minorEastAsia" w:cs="Arial"/>
          <w:sz w:val="20"/>
          <w:szCs w:val="20"/>
          <w:lang w:eastAsia="zh-CN"/>
        </w:rPr>
        <w:t>2,4,6-</w:t>
      </w:r>
      <w:proofErr w:type="gramStart"/>
      <w:r w:rsidRPr="00A47719">
        <w:rPr>
          <w:rFonts w:eastAsiaTheme="minorEastAsia" w:cs="Arial"/>
          <w:sz w:val="20"/>
          <w:szCs w:val="20"/>
          <w:lang w:eastAsia="zh-CN"/>
        </w:rPr>
        <w:lastRenderedPageBreak/>
        <w:t>trimethylphenyl)amine</w:t>
      </w:r>
      <w:proofErr w:type="gramEnd"/>
      <w:r w:rsidRPr="00A47719">
        <w:rPr>
          <w:rFonts w:eastAsiaTheme="minorEastAsia" w:cs="Arial"/>
          <w:sz w:val="20"/>
          <w:szCs w:val="20"/>
          <w:lang w:eastAsia="zh-CN"/>
        </w:rPr>
        <w:t xml:space="preserve">] (PTAA).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To attain the high conductivity and effective </w:t>
      </w:r>
      <w:r w:rsidRPr="00A47719">
        <w:rPr>
          <w:rFonts w:eastAsiaTheme="minorEastAsia" w:cs="Arial"/>
          <w:sz w:val="20"/>
          <w:szCs w:val="20"/>
          <w:lang w:eastAsia="zh-CN"/>
        </w:rPr>
        <w:t>hole extraction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required for peak </w:t>
      </w:r>
      <w:r w:rsidRPr="00A47719">
        <w:rPr>
          <w:rFonts w:eastAsiaTheme="minorEastAsia" w:cs="Arial"/>
          <w:sz w:val="20"/>
          <w:szCs w:val="20"/>
          <w:lang w:eastAsia="zh-CN"/>
        </w:rPr>
        <w:t>performance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, these materials must be heavily doped with hygroscopic and migratory additives (e. g., </w:t>
      </w:r>
      <w:r w:rsidRPr="00A47719">
        <w:rPr>
          <w:rFonts w:eastAsiaTheme="minorEastAsia" w:cs="Arial"/>
          <w:sz w:val="20"/>
          <w:szCs w:val="20"/>
          <w:lang w:eastAsia="zh-CN"/>
        </w:rPr>
        <w:t>lithium bis(</w:t>
      </w:r>
      <w:proofErr w:type="spellStart"/>
      <w:r w:rsidRPr="00A47719">
        <w:rPr>
          <w:rFonts w:eastAsiaTheme="minorEastAsia" w:cs="Arial"/>
          <w:sz w:val="20"/>
          <w:szCs w:val="20"/>
          <w:lang w:eastAsia="zh-CN"/>
        </w:rPr>
        <w:t>trifluoromethanesulfonyl</w:t>
      </w:r>
      <w:proofErr w:type="spellEnd"/>
      <w:r w:rsidRPr="00A47719">
        <w:rPr>
          <w:rFonts w:eastAsiaTheme="minorEastAsia" w:cs="Arial"/>
          <w:sz w:val="20"/>
          <w:szCs w:val="20"/>
          <w:lang w:eastAsia="zh-CN"/>
        </w:rPr>
        <w:t>)imide salt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(Li-TFSI) and </w:t>
      </w:r>
      <w:r w:rsidRPr="00A47719">
        <w:rPr>
          <w:rFonts w:eastAsiaTheme="minorEastAsia" w:cs="Arial"/>
          <w:i/>
          <w:iCs/>
          <w:sz w:val="20"/>
          <w:szCs w:val="20"/>
          <w:lang w:eastAsia="zh-CN"/>
        </w:rPr>
        <w:t>tert</w:t>
      </w:r>
      <w:r w:rsidRPr="00A47719">
        <w:rPr>
          <w:rFonts w:eastAsiaTheme="minorEastAsia" w:cs="Arial"/>
          <w:sz w:val="20"/>
          <w:szCs w:val="20"/>
          <w:lang w:eastAsia="zh-CN"/>
        </w:rPr>
        <w:t>-</w:t>
      </w:r>
      <w:proofErr w:type="spellStart"/>
      <w:r w:rsidRPr="00A47719">
        <w:rPr>
          <w:rFonts w:eastAsiaTheme="minorEastAsia" w:cs="Arial"/>
          <w:sz w:val="20"/>
          <w:szCs w:val="20"/>
          <w:lang w:eastAsia="zh-CN"/>
        </w:rPr>
        <w:t>butylpyridine</w:t>
      </w:r>
      <w:proofErr w:type="spellEnd"/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(TBP)</w:t>
      </w:r>
      <w:proofErr w:type="gramStart"/>
      <w:r w:rsidRPr="00A47719">
        <w:rPr>
          <w:rFonts w:eastAsiaTheme="minorEastAsia" w:cs="Arial" w:hint="eastAsia"/>
          <w:sz w:val="20"/>
          <w:szCs w:val="20"/>
          <w:lang w:eastAsia="zh-CN"/>
        </w:rPr>
        <w:t>).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[</w:t>
      </w:r>
      <w:proofErr w:type="gramEnd"/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10-13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]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This reliance on chemical doping introduces a fundamental compromise, while enabling high efficiencies</w:t>
      </w:r>
      <w:r w:rsidR="00D5488D" w:rsidRPr="00A47719">
        <w:rPr>
          <w:rFonts w:eastAsiaTheme="minorEastAsia" w:cs="Arial"/>
          <w:sz w:val="20"/>
          <w:szCs w:val="20"/>
          <w:lang w:eastAsia="zh-CN"/>
        </w:rPr>
        <w:t>.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</w:t>
      </w:r>
      <w:r w:rsidR="00D5488D" w:rsidRPr="00A47719">
        <w:rPr>
          <w:rFonts w:eastAsiaTheme="minorEastAsia" w:cs="Arial"/>
          <w:sz w:val="20"/>
          <w:szCs w:val="20"/>
          <w:lang w:eastAsia="zh-CN"/>
        </w:rPr>
        <w:t>T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he additives inevitably accelerate device degradation by promoting moisture ingress and interfacial reactions, thereby posing a major obstacle to long-term stability and commercial viability</w:t>
      </w:r>
      <w:r w:rsidRPr="00A47719">
        <w:rPr>
          <w:rFonts w:eastAsiaTheme="minorEastAsia" w:cs="Arial"/>
          <w:sz w:val="20"/>
          <w:szCs w:val="20"/>
          <w:lang w:eastAsia="zh-CN"/>
        </w:rPr>
        <w:t>. Consequently, the development of dopant-free HTMs that can deliver both high performance and intrinsic stability has become a paramount research frontier. Such materials present a direct pathway to circumvent the stability limitations of doped systems, offering a promising route to realize efficient, durable, and commercially feasible PSCs.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[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14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]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</w:p>
    <w:p w14:paraId="3C3AC703" w14:textId="5E3DB4DF" w:rsidR="00D240DA" w:rsidRPr="00A47719" w:rsidRDefault="00D361DA">
      <w:pPr>
        <w:pStyle w:val="P1"/>
        <w:spacing w:line="240" w:lineRule="atLeast"/>
        <w:ind w:firstLineChars="200" w:firstLine="400"/>
        <w:rPr>
          <w:rFonts w:eastAsiaTheme="minorEastAsia" w:cs="Arial"/>
          <w:sz w:val="20"/>
          <w:szCs w:val="20"/>
          <w:lang w:eastAsia="zh-CN"/>
        </w:rPr>
      </w:pPr>
      <w:r w:rsidRPr="00A47719">
        <w:rPr>
          <w:rFonts w:eastAsiaTheme="minorEastAsia" w:cs="Arial"/>
          <w:sz w:val="20"/>
          <w:szCs w:val="20"/>
          <w:lang w:eastAsia="zh-CN"/>
        </w:rPr>
        <w:t>Especially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attractive as alternative HTMs for PSCs are </w:t>
      </w:r>
      <w:r w:rsidRPr="00A47719">
        <w:rPr>
          <w:rFonts w:eastAsiaTheme="minorEastAsia" w:cs="Arial"/>
          <w:sz w:val="20"/>
          <w:szCs w:val="20"/>
          <w:lang w:eastAsia="zh-CN"/>
        </w:rPr>
        <w:t>organic small-molecule materials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, which benefit from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well-defined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structures,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tunable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molecular design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, and tailorable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optoelectronic </w:t>
      </w:r>
      <w:r w:rsidRPr="00A47719">
        <w:rPr>
          <w:rFonts w:eastAsiaTheme="minorEastAsia" w:cs="Arial"/>
          <w:sz w:val="20"/>
          <w:szCs w:val="20"/>
          <w:lang w:eastAsia="zh-CN"/>
        </w:rPr>
        <w:t>properties.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[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15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]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Impressively, the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efficiencies of PSCs employing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dopant-free small-molecule HTMs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have now </w:t>
      </w:r>
      <w:r w:rsidRPr="00A47719">
        <w:rPr>
          <w:rFonts w:eastAsiaTheme="minorEastAsia" w:cs="Arial"/>
          <w:sz w:val="20"/>
          <w:szCs w:val="20"/>
          <w:lang w:eastAsia="zh-CN"/>
        </w:rPr>
        <w:t>surpassed th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ose using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dopant-free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S</w:t>
      </w:r>
      <w:r w:rsidRPr="00A47719">
        <w:rPr>
          <w:rFonts w:eastAsiaTheme="minorEastAsia" w:cs="Arial"/>
          <w:sz w:val="20"/>
          <w:szCs w:val="20"/>
          <w:lang w:eastAsia="zh-CN"/>
        </w:rPr>
        <w:t>piro-</w:t>
      </w:r>
      <w:proofErr w:type="spellStart"/>
      <w:r w:rsidRPr="00A47719">
        <w:rPr>
          <w:rFonts w:eastAsiaTheme="minorEastAsia" w:cs="Arial"/>
          <w:sz w:val="20"/>
          <w:szCs w:val="20"/>
          <w:lang w:eastAsia="zh-CN"/>
        </w:rPr>
        <w:t>OMeTAD</w:t>
      </w:r>
      <w:proofErr w:type="spellEnd"/>
      <w:r w:rsidRPr="00A47719">
        <w:rPr>
          <w:rFonts w:eastAsiaTheme="minorEastAsia" w:cs="Arial"/>
          <w:sz w:val="20"/>
          <w:szCs w:val="20"/>
          <w:lang w:eastAsia="zh-CN"/>
        </w:rPr>
        <w:t>.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[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9,16-18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]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For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instance,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Matsushima </w:t>
      </w:r>
      <w:r w:rsidRPr="00A47719">
        <w:rPr>
          <w:rFonts w:eastAsiaTheme="minorEastAsia" w:cs="Arial"/>
          <w:i/>
          <w:iCs/>
          <w:sz w:val="20"/>
          <w:szCs w:val="20"/>
          <w:lang w:eastAsia="zh-CN"/>
        </w:rPr>
        <w:t>et al</w:t>
      </w:r>
      <w:r w:rsidRPr="00A47719">
        <w:rPr>
          <w:rFonts w:eastAsiaTheme="minorEastAsia" w:cs="Arial"/>
          <w:sz w:val="20"/>
          <w:szCs w:val="20"/>
          <w:lang w:eastAsia="zh-CN"/>
        </w:rPr>
        <w:t>. achiev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ed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a PCE of 20.7%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using </w:t>
      </w:r>
      <w:proofErr w:type="spellStart"/>
      <w:r w:rsidRPr="00A47719">
        <w:rPr>
          <w:rFonts w:eastAsiaTheme="minorEastAsia" w:cs="Arial"/>
          <w:sz w:val="20"/>
          <w:szCs w:val="20"/>
          <w:lang w:eastAsia="zh-CN"/>
        </w:rPr>
        <w:t>phenanthro</w:t>
      </w:r>
      <w:proofErr w:type="spellEnd"/>
      <w:r w:rsidRPr="00A47719">
        <w:rPr>
          <w:rFonts w:eastAsiaTheme="minorEastAsia" w:cs="Arial"/>
          <w:sz w:val="20"/>
          <w:szCs w:val="20"/>
          <w:lang w:eastAsia="zh-CN"/>
        </w:rPr>
        <w:t xml:space="preserve">[9,10-d]imidazole-based </w:t>
      </w:r>
      <w:bookmarkStart w:id="11" w:name="_Hlk217164715"/>
      <w:r w:rsidRPr="00A47719">
        <w:rPr>
          <w:rFonts w:eastAsiaTheme="minorEastAsia" w:cs="Arial"/>
          <w:sz w:val="20"/>
          <w:szCs w:val="20"/>
          <w:lang w:eastAsia="zh-CN"/>
        </w:rPr>
        <w:t>dopant-free</w:t>
      </w:r>
      <w:bookmarkEnd w:id="11"/>
      <w:r w:rsidRPr="00A47719">
        <w:rPr>
          <w:rFonts w:eastAsiaTheme="minorEastAsia" w:cs="Arial"/>
          <w:sz w:val="20"/>
          <w:szCs w:val="20"/>
          <w:lang w:eastAsia="zh-CN"/>
        </w:rPr>
        <w:t xml:space="preserve"> HTMs,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[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19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]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This was further advanced by </w:t>
      </w:r>
      <w:r w:rsidRPr="00A47719">
        <w:rPr>
          <w:rFonts w:eastAsiaTheme="minorEastAsia" w:cs="Arial"/>
          <w:sz w:val="20"/>
          <w:szCs w:val="20"/>
          <w:lang w:eastAsia="zh-CN"/>
        </w:rPr>
        <w:t>Li and coworkers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with a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PCE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of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21% in CsPbI</w:t>
      </w:r>
      <w:r w:rsidRPr="00A47719">
        <w:rPr>
          <w:rFonts w:eastAsiaTheme="minorEastAsia" w:cs="Arial"/>
          <w:sz w:val="20"/>
          <w:szCs w:val="20"/>
          <w:vertAlign w:val="subscript"/>
          <w:lang w:eastAsia="zh-CN"/>
        </w:rPr>
        <w:t>3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-based PSCs by employing </w:t>
      </w:r>
      <w:proofErr w:type="spellStart"/>
      <w:r w:rsidRPr="00A47719">
        <w:rPr>
          <w:rFonts w:eastAsiaTheme="minorEastAsia" w:cs="Arial"/>
          <w:sz w:val="20"/>
          <w:szCs w:val="20"/>
          <w:lang w:eastAsia="zh-CN"/>
        </w:rPr>
        <w:t>indacenodithieno</w:t>
      </w:r>
      <w:proofErr w:type="spellEnd"/>
      <w:r w:rsidRPr="00A47719">
        <w:rPr>
          <w:rFonts w:eastAsiaTheme="minorEastAsia" w:cs="Arial"/>
          <w:sz w:val="20"/>
          <w:szCs w:val="20"/>
          <w:lang w:eastAsia="zh-CN"/>
        </w:rPr>
        <w:t>[3,2-b]thiophene-based D-A-D’-A-D-type HTM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s</w:t>
      </w:r>
      <w:r w:rsidRPr="00A47719">
        <w:rPr>
          <w:rFonts w:eastAsiaTheme="minorEastAsia" w:cs="Arial"/>
          <w:sz w:val="20"/>
          <w:szCs w:val="20"/>
          <w:lang w:eastAsia="zh-CN"/>
        </w:rPr>
        <w:t>.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[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20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]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More recently, Chen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and coworkers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demonstrated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that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a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heterocyclic lactam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-based small molecule HTM, with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enhanced backbone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planarity </w:t>
      </w:r>
      <w:r w:rsidRPr="00A47719">
        <w:rPr>
          <w:rFonts w:eastAsiaTheme="minorEastAsia" w:cs="Arial"/>
          <w:sz w:val="20"/>
          <w:szCs w:val="20"/>
          <w:lang w:eastAsia="zh-CN"/>
        </w:rPr>
        <w:t>enforced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by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F···S non</w:t>
      </w:r>
      <w:r w:rsidR="00103032" w:rsidRPr="00A47719">
        <w:rPr>
          <w:rFonts w:eastAsiaTheme="minorEastAsia" w:cs="Arial"/>
          <w:sz w:val="20"/>
          <w:szCs w:val="20"/>
          <w:lang w:eastAsia="zh-CN"/>
        </w:rPr>
        <w:t>-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covalent bonds,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yielded a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PCE of 24.28%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in n-</w:t>
      </w:r>
      <w:proofErr w:type="spellStart"/>
      <w:r w:rsidRPr="00A47719">
        <w:rPr>
          <w:rFonts w:eastAsiaTheme="minorEastAsia" w:cs="Arial" w:hint="eastAsia"/>
          <w:sz w:val="20"/>
          <w:szCs w:val="20"/>
          <w:lang w:eastAsia="zh-CN"/>
        </w:rPr>
        <w:t>i</w:t>
      </w:r>
      <w:proofErr w:type="spellEnd"/>
      <w:r w:rsidRPr="00A47719">
        <w:rPr>
          <w:rFonts w:eastAsiaTheme="minorEastAsia" w:cs="Arial" w:hint="eastAsia"/>
          <w:sz w:val="20"/>
          <w:szCs w:val="20"/>
          <w:lang w:eastAsia="zh-CN"/>
        </w:rPr>
        <w:t>-p devices</w:t>
      </w:r>
      <w:r w:rsidRPr="00A47719">
        <w:rPr>
          <w:rFonts w:eastAsiaTheme="minorEastAsia" w:cs="Arial"/>
          <w:sz w:val="20"/>
          <w:szCs w:val="20"/>
          <w:lang w:eastAsia="zh-CN"/>
        </w:rPr>
        <w:t>.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[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21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]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A common design principle among these high-performing,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dopant-free HTMs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is a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molecular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architecture combining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a large π-conjugated planar core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with peripheral </w:t>
      </w:r>
      <w:r w:rsidRPr="00A47719">
        <w:rPr>
          <w:rFonts w:eastAsiaTheme="minorEastAsia" w:cs="Arial"/>
          <w:sz w:val="20"/>
          <w:szCs w:val="20"/>
          <w:lang w:eastAsia="zh-CN"/>
        </w:rPr>
        <w:t>arylamine units (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e. g.,  </w:t>
      </w:r>
      <w:r w:rsidRPr="00A47719">
        <w:rPr>
          <w:rFonts w:eastAsiaTheme="minorEastAsia" w:cs="Arial"/>
          <w:sz w:val="20"/>
          <w:szCs w:val="20"/>
          <w:lang w:eastAsia="zh-CN"/>
        </w:rPr>
        <w:t>carbazole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or triphenylamine).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T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he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planar core is crucial for promoting strong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π-π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stacking in the solid state, which facilitates </w:t>
      </w:r>
      <w:r w:rsidRPr="00A47719">
        <w:rPr>
          <w:rFonts w:eastAsiaTheme="minorEastAsia" w:cs="Arial"/>
          <w:sz w:val="20"/>
          <w:szCs w:val="20"/>
          <w:lang w:eastAsia="zh-CN"/>
        </w:rPr>
        <w:t>charge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transport by enhancing </w:t>
      </w:r>
      <w:r w:rsidRPr="00A47719">
        <w:rPr>
          <w:rFonts w:eastAsiaTheme="minorEastAsia" w:cs="Arial"/>
          <w:sz w:val="20"/>
          <w:szCs w:val="20"/>
          <w:lang w:eastAsia="zh-CN"/>
        </w:rPr>
        <w:t>orbital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overlap and reducing reorganization energy.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[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24-27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]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Concurrently, the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arylamine units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serve multiple functions,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namely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they aid in interfacial defect </w:t>
      </w:r>
      <w:r w:rsidRPr="00A47719">
        <w:rPr>
          <w:rFonts w:eastAsiaTheme="minorEastAsia" w:cs="Arial"/>
          <w:sz w:val="20"/>
          <w:szCs w:val="20"/>
          <w:lang w:eastAsia="zh-CN"/>
        </w:rPr>
        <w:t>passivat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ion, improve hole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transport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, and can enhance the materials</w:t>
      </w:r>
      <w:r w:rsidRPr="00A47719">
        <w:rPr>
          <w:rFonts w:eastAsiaTheme="minorEastAsia" w:cs="Arial"/>
          <w:sz w:val="20"/>
          <w:szCs w:val="20"/>
          <w:lang w:eastAsia="zh-CN"/>
        </w:rPr>
        <w:t>’ light-harvesting capability,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[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22-23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]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This synergistic structure-property relationship underscores the power of rational molecular design in developing next-generation HTMs.</w:t>
      </w:r>
    </w:p>
    <w:p w14:paraId="35F19349" w14:textId="7B8B9DEB" w:rsidR="00D240DA" w:rsidRPr="00A47719" w:rsidRDefault="00D361DA">
      <w:pPr>
        <w:pStyle w:val="P1"/>
        <w:spacing w:line="240" w:lineRule="atLeast"/>
        <w:ind w:firstLineChars="200" w:firstLine="400"/>
        <w:rPr>
          <w:rFonts w:eastAsiaTheme="minorEastAsia" w:cs="Arial"/>
          <w:sz w:val="20"/>
          <w:szCs w:val="20"/>
          <w:lang w:eastAsia="zh-CN"/>
        </w:rPr>
      </w:pPr>
      <w:bookmarkStart w:id="12" w:name="_Hlk217547495"/>
      <w:r w:rsidRPr="00A47719">
        <w:rPr>
          <w:rFonts w:eastAsiaTheme="minorEastAsia" w:cs="Arial"/>
          <w:sz w:val="20"/>
          <w:szCs w:val="20"/>
          <w:lang w:eastAsia="zh-CN"/>
        </w:rPr>
        <w:t xml:space="preserve">Pyrene, a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planar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polycyclic aromatic hydrocarbon (PAH)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with a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four-benzene-ring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fused backbone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,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serves as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a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classical building block in organic electronics due to its extended </w:t>
      </w:r>
      <w:r w:rsidRPr="00A47719">
        <w:rPr>
          <w:rFonts w:eastAsiaTheme="minorEastAsia" w:cs="Arial"/>
          <w:sz w:val="20"/>
          <w:szCs w:val="20"/>
          <w:lang w:eastAsia="zh-CN"/>
        </w:rPr>
        <w:t>π-conjugation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, strong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blue fluorescence and high carrier mobility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.</w:t>
      </w:r>
      <w:bookmarkEnd w:id="12"/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[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28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-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29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]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When functionalized with arylamine units, pyrene-based structures have demonstrated particular promise as dopant-free HTMs, showing enhanced hole transport and yielding high-performance PSCs.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[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30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-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31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]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Early foundational work by the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Seok group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in 2013 revealed a clear positive correlation between device efficiency and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the number of diamine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substituents </w:t>
      </w:r>
      <w:r w:rsidR="00C07811" w:rsidRPr="00A47719">
        <w:rPr>
          <w:rFonts w:eastAsiaTheme="minorEastAsia" w:cs="Arial"/>
          <w:sz w:val="20"/>
          <w:szCs w:val="20"/>
          <w:lang w:eastAsia="zh-CN"/>
        </w:rPr>
        <w:t>at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the pyrene core</w:t>
      </w:r>
      <w:r w:rsidRPr="00A47719">
        <w:rPr>
          <w:rFonts w:eastAsiaTheme="minorEastAsia" w:cs="Arial"/>
          <w:sz w:val="20"/>
          <w:szCs w:val="20"/>
          <w:lang w:eastAsia="zh-CN"/>
        </w:rPr>
        <w:t>.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[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32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]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Subsequent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design </w:t>
      </w:r>
      <w:r w:rsidRPr="00A47719">
        <w:rPr>
          <w:rFonts w:eastAsiaTheme="minorEastAsia" w:cs="Arial"/>
          <w:sz w:val="20"/>
          <w:szCs w:val="20"/>
          <w:lang w:eastAsia="zh-CN"/>
        </w:rPr>
        <w:t>optimization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ha</w:t>
      </w:r>
      <w:r w:rsidR="00C07811" w:rsidRPr="00A47719">
        <w:rPr>
          <w:rFonts w:eastAsiaTheme="minorEastAsia" w:cs="Arial"/>
          <w:sz w:val="20"/>
          <w:szCs w:val="20"/>
          <w:lang w:eastAsia="zh-CN"/>
        </w:rPr>
        <w:t>s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led to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significant </w:t>
      </w:r>
      <w:r w:rsidRPr="00A47719">
        <w:rPr>
          <w:rFonts w:eastAsiaTheme="minorEastAsia" w:cs="Arial"/>
          <w:sz w:val="20"/>
          <w:szCs w:val="20"/>
          <w:lang w:eastAsia="zh-CN"/>
        </w:rPr>
        <w:t>advances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, with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Ding </w:t>
      </w:r>
      <w:r w:rsidRPr="00A47719">
        <w:rPr>
          <w:rFonts w:eastAsiaTheme="minorEastAsia" w:cs="Arial"/>
          <w:i/>
          <w:iCs/>
          <w:sz w:val="20"/>
          <w:szCs w:val="20"/>
          <w:lang w:eastAsia="zh-CN"/>
        </w:rPr>
        <w:t>et al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., for example, </w:t>
      </w:r>
      <w:r w:rsidRPr="00A47719">
        <w:rPr>
          <w:rFonts w:eastAsiaTheme="minorEastAsia" w:cs="Arial"/>
          <w:sz w:val="20"/>
          <w:szCs w:val="20"/>
          <w:lang w:eastAsia="zh-CN"/>
        </w:rPr>
        <w:t>report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ing </w:t>
      </w:r>
      <w:r w:rsidRPr="00A47719">
        <w:rPr>
          <w:rFonts w:eastAsiaTheme="minorEastAsia" w:cs="Arial"/>
          <w:sz w:val="20"/>
          <w:szCs w:val="20"/>
          <w:lang w:eastAsia="zh-CN"/>
        </w:rPr>
        <w:t>a dopant-free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,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pyrene-based HTM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that achieved a notable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PCE of 24.33%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while maintaining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over 90%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of its initial performance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after 1000 h under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damp heat</w:t>
      </w:r>
      <w:r w:rsidRPr="00A47719">
        <w:rPr>
          <w:rFonts w:eastAsiaTheme="minorEastAsia" w:cs="Arial"/>
          <w:sz w:val="20"/>
          <w:szCs w:val="20"/>
          <w:lang w:eastAsia="zh-CN"/>
        </w:rPr>
        <w:t>.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[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17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]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Building on this </w:t>
      </w:r>
      <w:r w:rsidRPr="00A47719">
        <w:rPr>
          <w:rFonts w:eastAsiaTheme="minorEastAsia" w:cs="Arial"/>
          <w:sz w:val="20"/>
          <w:szCs w:val="20"/>
          <w:lang w:eastAsia="zh-CN"/>
        </w:rPr>
        <w:t>progress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, o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ur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recent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work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has further elucidated the unique photophysical advantages of </w:t>
      </w:r>
      <w:bookmarkStart w:id="13" w:name="_Hlk217547468"/>
      <w:r w:rsidRPr="00A47719">
        <w:rPr>
          <w:rFonts w:eastAsiaTheme="minorEastAsia" w:cs="Arial" w:hint="eastAsia"/>
          <w:sz w:val="20"/>
          <w:szCs w:val="20"/>
          <w:lang w:eastAsia="zh-CN"/>
        </w:rPr>
        <w:t>triphenylamine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bookmarkEnd w:id="13"/>
      <w:r w:rsidRPr="00A47719">
        <w:rPr>
          <w:rFonts w:eastAsiaTheme="minorEastAsia" w:cs="Arial" w:hint="eastAsia"/>
          <w:sz w:val="20"/>
          <w:szCs w:val="20"/>
          <w:lang w:eastAsia="zh-CN"/>
        </w:rPr>
        <w:t>(</w:t>
      </w:r>
      <w:r w:rsidRPr="00A47719">
        <w:rPr>
          <w:rFonts w:eastAsiaTheme="minorEastAsia" w:cs="Arial"/>
          <w:sz w:val="20"/>
          <w:szCs w:val="20"/>
          <w:lang w:eastAsia="zh-CN"/>
        </w:rPr>
        <w:t>TPA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)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decorated pyrene systems. </w:t>
      </w:r>
      <w:r w:rsidRPr="00A47719">
        <w:rPr>
          <w:rFonts w:eastAsiaTheme="minorEastAsia" w:cs="Arial"/>
          <w:sz w:val="20"/>
          <w:szCs w:val="20"/>
          <w:lang w:eastAsia="zh-CN"/>
        </w:rPr>
        <w:t>These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materials </w:t>
      </w:r>
      <w:bookmarkStart w:id="14" w:name="_Hlk217547526"/>
      <w:r w:rsidRPr="00A47719">
        <w:rPr>
          <w:rFonts w:eastAsiaTheme="minorEastAsia" w:cs="Arial"/>
          <w:sz w:val="20"/>
          <w:szCs w:val="20"/>
          <w:lang w:eastAsia="zh-CN"/>
        </w:rPr>
        <w:t xml:space="preserve">exhibit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a </w:t>
      </w:r>
      <w:r w:rsidRPr="00A47719">
        <w:rPr>
          <w:rFonts w:eastAsiaTheme="minorEastAsia" w:cs="Arial"/>
          <w:sz w:val="20"/>
          <w:szCs w:val="20"/>
          <w:lang w:eastAsia="zh-CN"/>
        </w:rPr>
        <w:t>pronounced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“antenna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effect</w:t>
      </w:r>
      <w:r w:rsidRPr="00A47719">
        <w:rPr>
          <w:rFonts w:eastAsiaTheme="minorEastAsia" w:cs="Arial"/>
          <w:sz w:val="20"/>
          <w:szCs w:val="20"/>
          <w:lang w:eastAsia="zh-CN"/>
        </w:rPr>
        <w:t>”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, </w:t>
      </w:r>
      <w:r w:rsidRPr="00A47719">
        <w:rPr>
          <w:rFonts w:eastAsiaTheme="minorEastAsia" w:cs="Arial"/>
          <w:sz w:val="20"/>
          <w:szCs w:val="20"/>
          <w:lang w:eastAsia="zh-CN"/>
        </w:rPr>
        <w:t>wh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ere increasing the number of TPA-OMe moieties enhances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the molar absorption coefficient (ε),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improves </w:t>
      </w:r>
      <w:r w:rsidR="00C07811" w:rsidRPr="00A47719">
        <w:rPr>
          <w:rFonts w:eastAsiaTheme="minorEastAsia" w:cs="Arial"/>
          <w:sz w:val="20"/>
          <w:szCs w:val="20"/>
          <w:lang w:eastAsia="zh-CN"/>
        </w:rPr>
        <w:t xml:space="preserve">the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photoluminescence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quantum yield, </w:t>
      </w:r>
      <w:r w:rsidR="006727AE" w:rsidRPr="00A47719">
        <w:rPr>
          <w:rFonts w:eastAsiaTheme="minorEastAsia" w:cs="Arial"/>
          <w:sz w:val="20"/>
          <w:szCs w:val="20"/>
          <w:lang w:eastAsia="zh-CN"/>
        </w:rPr>
        <w:t xml:space="preserve">and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increases </w:t>
      </w:r>
      <w:r w:rsidR="00C07811" w:rsidRPr="00A47719">
        <w:rPr>
          <w:rFonts w:eastAsiaTheme="minorEastAsia" w:cs="Arial"/>
          <w:sz w:val="20"/>
          <w:szCs w:val="20"/>
          <w:lang w:eastAsia="zh-CN"/>
        </w:rPr>
        <w:t xml:space="preserve">the </w:t>
      </w:r>
      <w:r w:rsidRPr="00A47719">
        <w:rPr>
          <w:rFonts w:eastAsiaTheme="minorEastAsia" w:cs="Arial"/>
          <w:sz w:val="20"/>
          <w:szCs w:val="20"/>
          <w:lang w:eastAsia="zh-CN"/>
        </w:rPr>
        <w:t>two-photon absorption cross-section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, all without shifting the emission peak.</w:t>
      </w:r>
      <w:bookmarkEnd w:id="14"/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[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22,33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]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When implemented as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dopant-free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HTMs in PSCs, these engineered molecules delivered </w:t>
      </w:r>
      <w:r w:rsidRPr="00A47719">
        <w:rPr>
          <w:rFonts w:eastAsiaTheme="minorEastAsia" w:cs="Arial"/>
          <w:sz w:val="20"/>
          <w:szCs w:val="20"/>
          <w:lang w:eastAsia="zh-CN"/>
        </w:rPr>
        <w:t>an average PCE of 23.44%.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[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18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]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These results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collectively underscore that </w:t>
      </w:r>
      <w:r w:rsidRPr="00A47719">
        <w:rPr>
          <w:rFonts w:eastAsiaTheme="minorEastAsia" w:cs="Arial"/>
          <w:sz w:val="20"/>
          <w:szCs w:val="20"/>
          <w:lang w:eastAsia="zh-CN"/>
        </w:rPr>
        <w:t>the TPA-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functionalized </w:t>
      </w:r>
      <w:r w:rsidRPr="00A47719">
        <w:rPr>
          <w:rFonts w:eastAsiaTheme="minorEastAsia" w:cs="Arial"/>
          <w:sz w:val="20"/>
          <w:szCs w:val="20"/>
          <w:lang w:eastAsia="zh-CN"/>
        </w:rPr>
        <w:t>pyrene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core represent</w:t>
      </w:r>
      <w:r w:rsidR="00C07811" w:rsidRPr="00A47719">
        <w:rPr>
          <w:rFonts w:eastAsiaTheme="minorEastAsia" w:cs="Arial"/>
          <w:sz w:val="20"/>
          <w:szCs w:val="20"/>
          <w:lang w:eastAsia="zh-CN"/>
        </w:rPr>
        <w:t>s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a highly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promising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molecular platform for developing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efficient and stable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HTMs</w:t>
      </w:r>
      <w:r w:rsidRPr="00A47719">
        <w:rPr>
          <w:rFonts w:eastAsiaTheme="minorEastAsia" w:cs="Arial"/>
          <w:sz w:val="20"/>
          <w:szCs w:val="20"/>
          <w:lang w:eastAsia="zh-CN"/>
        </w:rPr>
        <w:t>.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[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17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]</w:t>
      </w:r>
    </w:p>
    <w:p w14:paraId="0FAC1F27" w14:textId="2D21DF13" w:rsidR="00D240DA" w:rsidRPr="00A47719" w:rsidRDefault="00D361DA">
      <w:pPr>
        <w:pStyle w:val="P1"/>
        <w:spacing w:line="240" w:lineRule="atLeast"/>
        <w:ind w:firstLineChars="200" w:firstLine="400"/>
        <w:rPr>
          <w:rFonts w:eastAsiaTheme="minorEastAsia" w:cs="Arial"/>
          <w:bCs/>
          <w:sz w:val="20"/>
          <w:szCs w:val="20"/>
          <w:lang w:eastAsia="zh-CN"/>
        </w:rPr>
      </w:pPr>
      <w:bookmarkStart w:id="15" w:name="_Hlk217547423"/>
      <w:r w:rsidRPr="00A47719">
        <w:rPr>
          <w:rFonts w:eastAsiaTheme="minorEastAsia" w:cs="Arial" w:hint="eastAsia"/>
          <w:sz w:val="20"/>
          <w:szCs w:val="20"/>
          <w:lang w:eastAsia="zh-CN"/>
        </w:rPr>
        <w:t>An a</w:t>
      </w:r>
      <w:r w:rsidRPr="00A47719">
        <w:rPr>
          <w:rFonts w:eastAsiaTheme="minorEastAsia" w:cs="Arial"/>
          <w:sz w:val="20"/>
          <w:szCs w:val="20"/>
          <w:lang w:eastAsia="zh-CN"/>
        </w:rPr>
        <w:t>ntenna molecule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, </w:t>
      </w:r>
      <w:r w:rsidRPr="00A47719">
        <w:rPr>
          <w:rFonts w:eastAsiaTheme="minorEastAsia" w:cs="Arial"/>
          <w:sz w:val="20"/>
          <w:szCs w:val="20"/>
          <w:lang w:eastAsia="zh-CN"/>
        </w:rPr>
        <w:t>also known as a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>light-harvesting molecule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, </w:t>
      </w:r>
      <w:r w:rsidRPr="00A47719">
        <w:rPr>
          <w:rFonts w:eastAsiaTheme="minorEastAsia" w:cs="Arial"/>
          <w:sz w:val="20"/>
          <w:szCs w:val="20"/>
          <w:lang w:eastAsia="zh-CN"/>
        </w:rPr>
        <w:t>absorb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s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photons and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efficiently </w:t>
      </w:r>
      <w:r w:rsidRPr="00A47719">
        <w:rPr>
          <w:rFonts w:eastAsiaTheme="minorEastAsia" w:cs="Arial"/>
          <w:sz w:val="20"/>
          <w:szCs w:val="20"/>
          <w:lang w:eastAsia="zh-CN"/>
        </w:rPr>
        <w:t>transfers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the excitation </w:t>
      </w:r>
      <w:r w:rsidRPr="00A47719">
        <w:rPr>
          <w:rFonts w:eastAsiaTheme="minorEastAsia" w:cs="Arial"/>
          <w:sz w:val="20"/>
          <w:szCs w:val="20"/>
          <w:lang w:eastAsia="zh-CN"/>
        </w:rPr>
        <w:t>energy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between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donor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and </w:t>
      </w:r>
      <w:r w:rsidRPr="00A47719">
        <w:rPr>
          <w:rFonts w:eastAsiaTheme="minorEastAsia" w:cs="Arial"/>
          <w:sz w:val="20"/>
          <w:szCs w:val="20"/>
          <w:lang w:eastAsia="zh-CN"/>
        </w:rPr>
        <w:t>acceptor chromophores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.</w:t>
      </w:r>
      <w:bookmarkEnd w:id="15"/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[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34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]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Given the strong electron-donating and hole-</w:t>
      </w:r>
      <w:r w:rsidRPr="00A47719">
        <w:rPr>
          <w:rFonts w:eastAsiaTheme="minorEastAsia" w:cs="Arial"/>
          <w:sz w:val="20"/>
          <w:szCs w:val="20"/>
          <w:lang w:eastAsia="zh-CN"/>
        </w:rPr>
        <w:t>transport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>capability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of </w:t>
      </w:r>
      <w:r w:rsidR="00C07811" w:rsidRPr="00A47719">
        <w:rPr>
          <w:rFonts w:eastAsiaTheme="minorEastAsia" w:cs="Arial"/>
          <w:sz w:val="20"/>
          <w:szCs w:val="20"/>
          <w:lang w:eastAsia="zh-CN"/>
        </w:rPr>
        <w:t xml:space="preserve">the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TPA unit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[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35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]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and building on the observed </w:t>
      </w:r>
      <w:r w:rsidRPr="00A47719">
        <w:rPr>
          <w:rFonts w:eastAsiaTheme="minorEastAsia" w:cs="Arial"/>
          <w:sz w:val="20"/>
          <w:szCs w:val="20"/>
          <w:lang w:eastAsia="zh-CN"/>
        </w:rPr>
        <w:t>“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a</w:t>
      </w:r>
      <w:r w:rsidRPr="00A47719">
        <w:rPr>
          <w:rFonts w:eastAsiaTheme="minorEastAsia" w:cs="Arial"/>
          <w:sz w:val="20"/>
          <w:szCs w:val="20"/>
          <w:lang w:eastAsia="zh-CN"/>
        </w:rPr>
        <w:t>ntenna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effect</w:t>
      </w:r>
      <w:r w:rsidRPr="00A47719">
        <w:rPr>
          <w:rFonts w:eastAsiaTheme="minorEastAsia" w:cs="Arial"/>
          <w:sz w:val="20"/>
          <w:szCs w:val="20"/>
          <w:lang w:eastAsia="zh-CN"/>
        </w:rPr>
        <w:t>”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in TPA-functionalized pyrene systems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[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22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]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,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a key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design is addressed to further enhance the photovoltaic performance </w:t>
      </w:r>
      <w:r w:rsidRPr="00A47719">
        <w:rPr>
          <w:rFonts w:eastAsiaTheme="minorEastAsia" w:cs="Arial"/>
          <w:sz w:val="20"/>
          <w:szCs w:val="20"/>
          <w:lang w:eastAsia="zh-CN"/>
        </w:rPr>
        <w:t>by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>incorporating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more TPA units into a pyrene-based antenna scaffold. To explore this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, we have designed a series of pyrene-based HTMs,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PyTPA-9C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,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PyTPA-10C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, and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PyTPA-13C</w:t>
      </w:r>
      <w:r w:rsidRPr="00A47719">
        <w:rPr>
          <w:rFonts w:eastAsiaTheme="minorEastAsia" w:cs="Arial"/>
          <w:sz w:val="20"/>
          <w:szCs w:val="20"/>
          <w:lang w:eastAsia="zh-CN"/>
        </w:rPr>
        <w:t>,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by covalently linking two </w:t>
      </w:r>
      <w:proofErr w:type="spellStart"/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</w:t>
      </w:r>
      <w:proofErr w:type="spellEnd"/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-OH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precursors with alkyl bridges of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varying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lengths. These materials exhibit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distinct </w:t>
      </w:r>
      <w:r w:rsidRPr="00A47719">
        <w:rPr>
          <w:rFonts w:eastAsiaTheme="minorEastAsia" w:cs="Arial"/>
          <w:sz w:val="20"/>
          <w:szCs w:val="20"/>
          <w:lang w:eastAsia="zh-CN"/>
        </w:rPr>
        <w:t>structure-dependent optical properties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: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(1)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they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retain a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pronounced </w:t>
      </w:r>
      <w:r w:rsidRPr="00A47719">
        <w:rPr>
          <w:rFonts w:eastAsiaTheme="minorEastAsia" w:cs="Arial"/>
          <w:sz w:val="20"/>
          <w:szCs w:val="20"/>
          <w:lang w:eastAsia="zh-CN"/>
        </w:rPr>
        <w:t>antenna effect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,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with absorption and emission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profiles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r w:rsidR="006727AE" w:rsidRPr="00A47719">
        <w:rPr>
          <w:rFonts w:eastAsiaTheme="minorEastAsia" w:cs="Arial"/>
          <w:sz w:val="20"/>
          <w:szCs w:val="20"/>
          <w:lang w:eastAsia="zh-CN"/>
        </w:rPr>
        <w:t>like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the precursor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;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(2)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a</w:t>
      </w:r>
      <w:r w:rsidRPr="00A47719">
        <w:rPr>
          <w:rFonts w:eastAsiaTheme="minorEastAsia" w:cs="Arial"/>
          <w:sz w:val="20"/>
          <w:szCs w:val="20"/>
          <w:lang w:eastAsia="zh-CN"/>
        </w:rPr>
        <w:t>s the alkyl chain lengthens, the increase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d </w:t>
      </w:r>
      <w:r w:rsidRPr="00A47719">
        <w:rPr>
          <w:rFonts w:eastAsiaTheme="minorEastAsia" w:cs="Arial"/>
          <w:sz w:val="20"/>
          <w:szCs w:val="20"/>
          <w:lang w:eastAsia="zh-CN"/>
        </w:rPr>
        <w:t>molecul</w:t>
      </w:r>
      <w:r w:rsidR="00C07811" w:rsidRPr="00A47719">
        <w:rPr>
          <w:rFonts w:eastAsiaTheme="minorEastAsia" w:cs="Arial"/>
          <w:sz w:val="20"/>
          <w:szCs w:val="20"/>
          <w:lang w:eastAsia="zh-CN"/>
        </w:rPr>
        <w:t>ar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flexibility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leads to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an initial rise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followed by </w:t>
      </w:r>
      <w:r w:rsidRPr="00A47719">
        <w:rPr>
          <w:rFonts w:eastAsiaTheme="minorEastAsia" w:cs="Arial"/>
          <w:sz w:val="20"/>
          <w:szCs w:val="20"/>
          <w:lang w:eastAsia="zh-CN"/>
        </w:rPr>
        <w:t>a slight decrease in both ε and fluorescence quantum yield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;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and (3) the odd-even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parity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of the alkyl spacer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critically </w:t>
      </w:r>
      <w:r w:rsidRPr="00A47719">
        <w:rPr>
          <w:rFonts w:eastAsiaTheme="minorEastAsia" w:cs="Arial"/>
          <w:sz w:val="20"/>
          <w:szCs w:val="20"/>
          <w:lang w:eastAsia="zh-CN"/>
        </w:rPr>
        <w:t>modulat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es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the optical properties and electronic structure. When employed as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a dopant-free HTM in PSC devices, the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optimized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derivative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 xml:space="preserve">PyTPA-10C,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featuring </w:t>
      </w:r>
      <w:r w:rsidRPr="00A47719">
        <w:rPr>
          <w:rFonts w:eastAsiaTheme="minorEastAsia" w:cs="Arial"/>
          <w:sz w:val="20"/>
          <w:szCs w:val="20"/>
          <w:lang w:eastAsia="zh-CN"/>
        </w:rPr>
        <w:t>an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even-carbon decyl chain, achieves a champion PCE of 25.47%, 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>a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record 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 xml:space="preserve">value for PSCs using 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>organic small-molecul</w:t>
      </w:r>
      <w:r w:rsidR="00C07811" w:rsidRPr="00A47719">
        <w:rPr>
          <w:rFonts w:eastAsiaTheme="minorEastAsia" w:cs="Arial"/>
          <w:bCs/>
          <w:sz w:val="20"/>
          <w:szCs w:val="20"/>
          <w:lang w:eastAsia="zh-CN"/>
        </w:rPr>
        <w:t>e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HTMs. 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>Detailed c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>harge</w:t>
      </w:r>
      <w:r w:rsidRPr="00A47719">
        <w:rPr>
          <w:rFonts w:ascii="MS Mincho" w:hAnsi="MS Mincho" w:cs="MS Mincho" w:hint="eastAsia"/>
          <w:bCs/>
          <w:sz w:val="20"/>
          <w:szCs w:val="20"/>
          <w:lang w:eastAsia="zh-CN"/>
        </w:rPr>
        <w:t>‑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dynamics analysis 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 xml:space="preserve">reveals 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that 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t>PyTPA-10C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>promotes efficient h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ole extraction, enhances 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>charge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transport, suppresses 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>non-radiative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recombination, and passivates interface defect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>s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>. Consequently,</w:t>
      </w:r>
      <w:r w:rsidR="00C07811" w:rsidRPr="00A47719">
        <w:rPr>
          <w:rFonts w:eastAsiaTheme="minorEastAsia" w:cs="Arial"/>
          <w:bCs/>
          <w:sz w:val="20"/>
          <w:szCs w:val="20"/>
          <w:lang w:eastAsia="zh-CN"/>
        </w:rPr>
        <w:t xml:space="preserve"> the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t>PyTPA-10C-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>based device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>s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 xml:space="preserve">exhibit remarkable 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and operational stability, retaining 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>~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90.6% of the initial 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>PCE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after 1000 h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 xml:space="preserve"> under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>damp-heat conditions (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65 </w:t>
      </w:r>
      <w:proofErr w:type="spellStart"/>
      <w:r w:rsidRPr="00A47719">
        <w:rPr>
          <w:rFonts w:eastAsiaTheme="minorEastAsia" w:cs="Arial"/>
          <w:bCs/>
          <w:sz w:val="20"/>
          <w:szCs w:val="20"/>
          <w:vertAlign w:val="superscript"/>
          <w:lang w:eastAsia="zh-CN"/>
        </w:rPr>
        <w:t>o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>C</w:t>
      </w:r>
      <w:proofErr w:type="spellEnd"/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/50-60% 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>RH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in air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>)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and 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>~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84.02% after 500 h of maximum power point (MPP) tracking at 65 </w:t>
      </w:r>
      <w:proofErr w:type="spellStart"/>
      <w:r w:rsidRPr="00A47719">
        <w:rPr>
          <w:rFonts w:eastAsiaTheme="minorEastAsia" w:cs="Arial"/>
          <w:bCs/>
          <w:sz w:val="20"/>
          <w:szCs w:val="20"/>
          <w:vertAlign w:val="superscript"/>
          <w:lang w:eastAsia="zh-CN"/>
        </w:rPr>
        <w:t>o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>C.</w:t>
      </w:r>
      <w:proofErr w:type="spellEnd"/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This work 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 xml:space="preserve">therefore 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demonstrates the 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 xml:space="preserve">significant potential 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of 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 xml:space="preserve">rationally engineering 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>antenna molecules as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 xml:space="preserve"> high-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>performance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>,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dopant-free HTM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>s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for 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 xml:space="preserve">achieving both efficiency and stability in 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>PSCs.</w:t>
      </w:r>
    </w:p>
    <w:bookmarkEnd w:id="8"/>
    <w:p w14:paraId="087DF121" w14:textId="11EC6098" w:rsidR="00D240DA" w:rsidRPr="00A47719" w:rsidRDefault="006727AE">
      <w:pPr>
        <w:pStyle w:val="H1"/>
        <w:spacing w:before="240" w:after="240" w:line="240" w:lineRule="atLeast"/>
        <w:rPr>
          <w:rFonts w:cs="Arial"/>
          <w:szCs w:val="22"/>
          <w:lang w:val="en-US"/>
        </w:rPr>
      </w:pPr>
      <w:r w:rsidRPr="00A47719">
        <w:rPr>
          <w:rFonts w:cs="Arial"/>
          <w:szCs w:val="22"/>
          <w:lang w:val="en-US"/>
        </w:rPr>
        <w:lastRenderedPageBreak/>
        <w:t>Results</w:t>
      </w:r>
      <w:r w:rsidR="00D361DA" w:rsidRPr="00A47719">
        <w:rPr>
          <w:rFonts w:cs="Arial"/>
          <w:szCs w:val="22"/>
          <w:lang w:val="en-US"/>
        </w:rPr>
        <w:t xml:space="preserve"> and Discussion</w:t>
      </w:r>
    </w:p>
    <w:p w14:paraId="62983024" w14:textId="77777777" w:rsidR="00D240DA" w:rsidRPr="00A47719" w:rsidRDefault="00D361DA">
      <w:pPr>
        <w:pStyle w:val="H2"/>
        <w:shd w:val="clear" w:color="000000" w:fill="auto"/>
        <w:spacing w:after="240" w:line="240" w:lineRule="atLeast"/>
        <w:rPr>
          <w:rFonts w:ascii="Arial" w:hAnsi="Arial" w:cs="Arial"/>
          <w:bCs/>
          <w:sz w:val="20"/>
          <w:szCs w:val="20"/>
          <w:lang w:val="en-US"/>
        </w:rPr>
      </w:pPr>
      <w:r w:rsidRPr="00A47719">
        <w:rPr>
          <w:rFonts w:ascii="Arial" w:hAnsi="Arial" w:cs="Arial" w:hint="eastAsia"/>
          <w:bCs/>
          <w:sz w:val="20"/>
          <w:szCs w:val="20"/>
          <w:lang w:val="en-US"/>
        </w:rPr>
        <w:t>Synthesis and Characterization</w:t>
      </w:r>
    </w:p>
    <w:p w14:paraId="037BB4EA" w14:textId="344257C6" w:rsidR="00D240DA" w:rsidRPr="00A47719" w:rsidRDefault="00D361DA" w:rsidP="006727AE">
      <w:pPr>
        <w:pStyle w:val="P1"/>
        <w:spacing w:before="240" w:line="240" w:lineRule="atLeast"/>
        <w:ind w:firstLineChars="200" w:firstLine="400"/>
        <w:rPr>
          <w:rFonts w:eastAsiaTheme="minorEastAsia" w:cs="Arial"/>
          <w:sz w:val="20"/>
          <w:szCs w:val="20"/>
          <w:lang w:eastAsia="zh-CN"/>
        </w:rPr>
      </w:pPr>
      <w:r w:rsidRPr="00A47719">
        <w:rPr>
          <w:rFonts w:eastAsiaTheme="minorEastAsia" w:cs="Arial"/>
          <w:sz w:val="20"/>
          <w:szCs w:val="20"/>
          <w:lang w:eastAsia="zh-CN"/>
        </w:rPr>
        <w:t xml:space="preserve">The synthesis of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the target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compounds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PyTPA-9C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,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PyTPA-10C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and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PyTPA-13C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is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summarized in Scheme S1,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with </w:t>
      </w:r>
      <w:r w:rsidRPr="00A47719">
        <w:rPr>
          <w:rFonts w:eastAsiaTheme="minorEastAsia" w:cs="Arial"/>
          <w:sz w:val="20"/>
          <w:szCs w:val="20"/>
          <w:lang w:eastAsia="zh-CN"/>
        </w:rPr>
        <w:t>the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ir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molecular structures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depicted </w:t>
      </w:r>
      <w:r w:rsidRPr="00A47719">
        <w:rPr>
          <w:rFonts w:eastAsiaTheme="minorEastAsia" w:cs="Arial"/>
          <w:sz w:val="20"/>
          <w:szCs w:val="20"/>
          <w:lang w:eastAsia="zh-CN"/>
        </w:rPr>
        <w:t>in Figure 1. The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se materials were synthesized by linking two units of the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precursor </w:t>
      </w:r>
      <w:proofErr w:type="spellStart"/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</w:t>
      </w:r>
      <w:proofErr w:type="spellEnd"/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-OH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,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which </w:t>
      </w:r>
      <w:r w:rsidRPr="00A47719">
        <w:rPr>
          <w:rFonts w:eastAsiaTheme="minorEastAsia" w:cs="Arial"/>
          <w:sz w:val="20"/>
          <w:szCs w:val="20"/>
          <w:lang w:eastAsia="zh-CN"/>
        </w:rPr>
        <w:t>was prepared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according to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our previously reported method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via an alkyl-bridge substitution reaction with the </w:t>
      </w:r>
      <w:r w:rsidRPr="00A47719">
        <w:rPr>
          <w:rFonts w:eastAsiaTheme="minorEastAsia" w:cs="Arial"/>
          <w:sz w:val="20"/>
          <w:szCs w:val="20"/>
          <w:lang w:eastAsia="zh-CN"/>
        </w:rPr>
        <w:t>corresponding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</w:t>
      </w:r>
      <w:proofErr w:type="spellStart"/>
      <w:proofErr w:type="gramStart"/>
      <w:r w:rsidRPr="00A47719">
        <w:rPr>
          <w:rFonts w:eastAsiaTheme="minorEastAsia" w:cs="Arial" w:hint="eastAsia"/>
          <w:sz w:val="20"/>
          <w:szCs w:val="20"/>
          <w:lang w:eastAsia="zh-CN"/>
        </w:rPr>
        <w:t>bromoalkane</w:t>
      </w:r>
      <w:proofErr w:type="spellEnd"/>
      <w:r w:rsidRPr="00A47719">
        <w:rPr>
          <w:rFonts w:eastAsiaTheme="minorEastAsia" w:cs="Arial"/>
          <w:sz w:val="20"/>
          <w:szCs w:val="20"/>
          <w:lang w:eastAsia="zh-CN"/>
        </w:rPr>
        <w:t>,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[</w:t>
      </w:r>
      <w:proofErr w:type="gramEnd"/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18,22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]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The reactions proceeded in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good yield (63~70%).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It is worth noting that under similar conditions, alkyl chains shorter than six carbon</w:t>
      </w:r>
      <w:r w:rsidR="00C07811" w:rsidRPr="00A47719">
        <w:rPr>
          <w:rFonts w:eastAsiaTheme="minorEastAsia" w:cs="Arial"/>
          <w:sz w:val="20"/>
          <w:szCs w:val="20"/>
          <w:lang w:eastAsia="zh-CN"/>
        </w:rPr>
        <w:t>s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failed to link two </w:t>
      </w:r>
      <w:proofErr w:type="spellStart"/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</w:t>
      </w:r>
      <w:proofErr w:type="spellEnd"/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-OH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molecules, likely due to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the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increased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steric hindrance. All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final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compounds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exhibit excellent </w:t>
      </w:r>
      <w:r w:rsidRPr="00A47719">
        <w:rPr>
          <w:rFonts w:eastAsiaTheme="minorEastAsia" w:cs="Arial"/>
          <w:sz w:val="20"/>
          <w:szCs w:val="20"/>
          <w:lang w:eastAsia="zh-CN"/>
        </w:rPr>
        <w:t>solubility (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e.g. </w:t>
      </w:r>
      <w:r w:rsidRPr="00A47719">
        <w:rPr>
          <w:rFonts w:eastAsiaTheme="minorEastAsia" w:cs="Arial"/>
          <w:sz w:val="20"/>
          <w:szCs w:val="20"/>
          <w:lang w:eastAsia="zh-CN"/>
        </w:rPr>
        <w:t>30 mg/mL in DCM, 40 mg/mL in DMSO)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, ensuring good solution </w:t>
      </w:r>
      <w:r w:rsidRPr="00A47719">
        <w:rPr>
          <w:rFonts w:eastAsiaTheme="minorEastAsia" w:cs="Arial"/>
          <w:sz w:val="20"/>
          <w:szCs w:val="20"/>
          <w:lang w:eastAsia="zh-CN"/>
        </w:rPr>
        <w:t>processability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for</w:t>
      </w:r>
      <w:r w:rsidR="00C07811" w:rsidRPr="00A47719">
        <w:rPr>
          <w:rFonts w:eastAsiaTheme="minorEastAsia" w:cs="Arial"/>
          <w:sz w:val="20"/>
          <w:szCs w:val="20"/>
          <w:lang w:eastAsia="zh-CN"/>
        </w:rPr>
        <w:t xml:space="preserve"> subsequent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device fabrication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. The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chemical structures of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PyTPA-9C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,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PyTPA-10C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and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PyTPA-13C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were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confirmed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by 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1</w:t>
      </w:r>
      <w:r w:rsidRPr="00A47719">
        <w:rPr>
          <w:rFonts w:eastAsiaTheme="minorEastAsia" w:cs="Arial"/>
          <w:sz w:val="20"/>
          <w:szCs w:val="20"/>
          <w:lang w:eastAsia="zh-CN"/>
        </w:rPr>
        <w:t>H/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13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C NMR spectroscopy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(</w:t>
      </w:r>
      <w:r w:rsidRPr="00A47719">
        <w:rPr>
          <w:rFonts w:eastAsiaTheme="minorEastAsia" w:cs="Arial"/>
          <w:sz w:val="20"/>
          <w:szCs w:val="20"/>
          <w:lang w:eastAsia="zh-CN"/>
        </w:rPr>
        <w:t>Figures S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1</w:t>
      </w:r>
      <w:r w:rsidRPr="00A47719">
        <w:rPr>
          <w:rFonts w:eastAsiaTheme="minorEastAsia" w:cs="Arial"/>
          <w:sz w:val="20"/>
          <w:szCs w:val="20"/>
          <w:lang w:eastAsia="zh-CN"/>
        </w:rPr>
        <w:t>-S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6</w:t>
      </w:r>
      <w:r w:rsidRPr="00A47719">
        <w:rPr>
          <w:rFonts w:eastAsiaTheme="minorEastAsia" w:cs="Arial"/>
          <w:sz w:val="20"/>
          <w:szCs w:val="20"/>
          <w:lang w:eastAsia="zh-CN"/>
        </w:rPr>
        <w:t>)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>and high-resolution mass spectrometry (HRMS) (Figures S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7</w:t>
      </w:r>
      <w:r w:rsidRPr="00A47719">
        <w:rPr>
          <w:rFonts w:eastAsiaTheme="minorEastAsia" w:cs="Arial"/>
          <w:sz w:val="20"/>
          <w:szCs w:val="20"/>
          <w:lang w:eastAsia="zh-CN"/>
        </w:rPr>
        <w:t>-S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9</w:t>
      </w:r>
      <w:r w:rsidRPr="00A47719">
        <w:rPr>
          <w:rFonts w:eastAsiaTheme="minorEastAsia" w:cs="Arial"/>
          <w:sz w:val="20"/>
          <w:szCs w:val="20"/>
          <w:lang w:eastAsia="zh-CN"/>
        </w:rPr>
        <w:t>). Therm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al stability was assessed by therm</w:t>
      </w:r>
      <w:r w:rsidRPr="00A47719">
        <w:rPr>
          <w:rFonts w:eastAsiaTheme="minorEastAsia" w:cs="Arial"/>
          <w:sz w:val="20"/>
          <w:szCs w:val="20"/>
          <w:lang w:eastAsia="zh-CN"/>
        </w:rPr>
        <w:t>ogravimetric analysis (TGA)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,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revealing high </w:t>
      </w:r>
      <w:r w:rsidRPr="00A47719">
        <w:rPr>
          <w:rFonts w:eastAsiaTheme="minorEastAsia" w:cs="Arial"/>
          <w:sz w:val="20"/>
          <w:szCs w:val="20"/>
          <w:lang w:eastAsia="zh-CN"/>
        </w:rPr>
        <w:t>decomposition temperatures (T</w:t>
      </w:r>
      <w:r w:rsidRPr="00A47719">
        <w:rPr>
          <w:rFonts w:eastAsiaTheme="minorEastAsia" w:cs="Arial"/>
          <w:sz w:val="20"/>
          <w:szCs w:val="20"/>
          <w:vertAlign w:val="subscript"/>
          <w:lang w:eastAsia="zh-CN"/>
        </w:rPr>
        <w:t>d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, 5% weight loss) above 435 </w:t>
      </w:r>
      <w:proofErr w:type="spellStart"/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o</w:t>
      </w:r>
      <w:r w:rsidRPr="00A47719">
        <w:rPr>
          <w:rFonts w:eastAsiaTheme="minorEastAsia" w:cs="Arial"/>
          <w:sz w:val="20"/>
          <w:szCs w:val="20"/>
          <w:lang w:eastAsia="zh-CN"/>
        </w:rPr>
        <w:t>C</w:t>
      </w:r>
      <w:proofErr w:type="spellEnd"/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for all three compounds </w:t>
      </w:r>
      <w:r w:rsidRPr="00A47719">
        <w:rPr>
          <w:rFonts w:eastAsiaTheme="minorEastAsia" w:cs="Arial"/>
          <w:sz w:val="20"/>
          <w:szCs w:val="20"/>
          <w:lang w:eastAsia="zh-CN"/>
        </w:rPr>
        <w:t>(Figure S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10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).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Furthermore, differential scanning calorimetry (DSC) measurements showed that </w:t>
      </w:r>
      <w:r w:rsidRPr="00A47719">
        <w:rPr>
          <w:rFonts w:eastAsiaTheme="minorEastAsia" w:cs="Arial"/>
          <w:sz w:val="20"/>
          <w:szCs w:val="20"/>
          <w:lang w:eastAsia="zh-CN"/>
        </w:rPr>
        <w:t>the crystallization temperature (T</w:t>
      </w:r>
      <w:r w:rsidRPr="00A47719">
        <w:rPr>
          <w:rFonts w:eastAsiaTheme="minorEastAsia" w:cs="Arial"/>
          <w:sz w:val="20"/>
          <w:szCs w:val="20"/>
          <w:vertAlign w:val="subscript"/>
          <w:lang w:eastAsia="zh-CN"/>
        </w:rPr>
        <w:t>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)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increased systematically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from 98 </w:t>
      </w:r>
      <w:proofErr w:type="spellStart"/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o</w:t>
      </w:r>
      <w:r w:rsidRPr="00A47719">
        <w:rPr>
          <w:rFonts w:eastAsiaTheme="minorEastAsia" w:cs="Arial"/>
          <w:sz w:val="20"/>
          <w:szCs w:val="20"/>
          <w:lang w:eastAsia="zh-CN"/>
        </w:rPr>
        <w:t>C</w:t>
      </w:r>
      <w:proofErr w:type="spellEnd"/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for the precursor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Py-TPA-OH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to 235 </w:t>
      </w:r>
      <w:proofErr w:type="spellStart"/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o</w:t>
      </w:r>
      <w:r w:rsidRPr="00A47719">
        <w:rPr>
          <w:rFonts w:eastAsiaTheme="minorEastAsia" w:cs="Arial"/>
          <w:sz w:val="20"/>
          <w:szCs w:val="20"/>
          <w:lang w:eastAsia="zh-CN"/>
        </w:rPr>
        <w:t>C</w:t>
      </w:r>
      <w:proofErr w:type="spellEnd"/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for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Py-TPA-13C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as the alkyl chain lengthened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(Figure S11).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This trend </w:t>
      </w:r>
      <w:r w:rsidRPr="00A47719">
        <w:rPr>
          <w:rFonts w:eastAsiaTheme="minorEastAsia" w:cs="Arial"/>
          <w:sz w:val="20"/>
          <w:szCs w:val="20"/>
          <w:lang w:eastAsia="zh-CN"/>
        </w:rPr>
        <w:t>indicat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es enhanced thermal stability and potentially improved structural ordering in the solid state, which is favorable for hole-transport layer formation with reduced </w:t>
      </w:r>
      <w:r w:rsidRPr="00A47719">
        <w:rPr>
          <w:rFonts w:eastAsiaTheme="minorEastAsia" w:cs="Arial"/>
          <w:sz w:val="20"/>
          <w:szCs w:val="20"/>
          <w:lang w:eastAsia="zh-CN"/>
        </w:rPr>
        <w:t>defects.</w:t>
      </w:r>
    </w:p>
    <w:p w14:paraId="3BD834B3" w14:textId="77777777" w:rsidR="00D240DA" w:rsidRPr="00A47719" w:rsidRDefault="00D361DA" w:rsidP="006727AE">
      <w:pPr>
        <w:pStyle w:val="P1"/>
        <w:spacing w:line="240" w:lineRule="atLeast"/>
        <w:jc w:val="center"/>
        <w:rPr>
          <w:rFonts w:eastAsiaTheme="minorEastAsia" w:cs="Arial"/>
          <w:sz w:val="20"/>
          <w:szCs w:val="20"/>
          <w:lang w:eastAsia="zh-CN"/>
        </w:rPr>
      </w:pPr>
      <w:r w:rsidRPr="00A47719">
        <w:rPr>
          <w:rFonts w:eastAsiaTheme="minorEastAsia" w:cs="Arial"/>
          <w:sz w:val="20"/>
          <w:szCs w:val="20"/>
          <w:lang w:eastAsia="zh-CN"/>
        </w:rPr>
        <w:object w:dxaOrig="8853" w:dyaOrig="8733" w14:anchorId="23ADF7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pt;height:436pt" o:ole="">
            <v:imagedata r:id="rId9" o:title=""/>
          </v:shape>
          <o:OLEObject Type="Embed" ProgID="ChemDraw.Document.6.0" ShapeID="_x0000_i1025" DrawAspect="Content" ObjectID="_1845030204" r:id="rId10"/>
        </w:object>
      </w:r>
    </w:p>
    <w:p w14:paraId="706A79A3" w14:textId="2D31933B" w:rsidR="00D240DA" w:rsidRPr="00A47719" w:rsidRDefault="00D361DA">
      <w:pPr>
        <w:pStyle w:val="P1"/>
        <w:spacing w:line="240" w:lineRule="atLeast"/>
        <w:jc w:val="center"/>
        <w:rPr>
          <w:rFonts w:eastAsiaTheme="minorEastAsia" w:cs="Arial"/>
          <w:b/>
          <w:bCs/>
          <w:sz w:val="16"/>
          <w:szCs w:val="16"/>
          <w:lang w:eastAsia="zh-CN"/>
        </w:rPr>
      </w:pPr>
      <w:r w:rsidRPr="00A47719">
        <w:rPr>
          <w:rFonts w:eastAsiaTheme="minorEastAsia" w:cs="Arial"/>
          <w:b/>
          <w:bCs/>
          <w:sz w:val="16"/>
          <w:szCs w:val="16"/>
          <w:lang w:eastAsia="zh-CN"/>
        </w:rPr>
        <w:t>Figure 1</w:t>
      </w:r>
      <w:r w:rsidRPr="00A47719">
        <w:rPr>
          <w:rFonts w:eastAsiaTheme="minorEastAsia" w:cs="Arial"/>
          <w:sz w:val="16"/>
          <w:szCs w:val="16"/>
          <w:lang w:eastAsia="zh-CN"/>
        </w:rPr>
        <w:t>. Molecular structure</w:t>
      </w:r>
      <w:r w:rsidR="00C07811" w:rsidRPr="00A47719">
        <w:rPr>
          <w:rFonts w:eastAsiaTheme="minorEastAsia" w:cs="Arial"/>
          <w:sz w:val="16"/>
          <w:szCs w:val="16"/>
          <w:lang w:eastAsia="zh-CN"/>
        </w:rPr>
        <w:t>s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 of </w:t>
      </w:r>
      <w:r w:rsidR="00C07811" w:rsidRPr="00A47719">
        <w:rPr>
          <w:rFonts w:eastAsiaTheme="minorEastAsia" w:cs="Arial"/>
          <w:sz w:val="16"/>
          <w:szCs w:val="16"/>
          <w:lang w:eastAsia="zh-CN"/>
        </w:rPr>
        <w:t xml:space="preserve">the 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pyrene-based TPA derivatives </w:t>
      </w:r>
      <w:proofErr w:type="spellStart"/>
      <w:r w:rsidRPr="00A47719">
        <w:rPr>
          <w:rFonts w:eastAsiaTheme="minorEastAsia" w:cs="Arial"/>
          <w:b/>
          <w:bCs/>
          <w:sz w:val="16"/>
          <w:szCs w:val="16"/>
          <w:lang w:eastAsia="zh-CN"/>
        </w:rPr>
        <w:t>PyTPA</w:t>
      </w:r>
      <w:proofErr w:type="spellEnd"/>
      <w:r w:rsidRPr="00A47719">
        <w:rPr>
          <w:rFonts w:eastAsiaTheme="minorEastAsia" w:cs="Arial"/>
          <w:b/>
          <w:bCs/>
          <w:sz w:val="16"/>
          <w:szCs w:val="16"/>
          <w:lang w:eastAsia="zh-CN"/>
        </w:rPr>
        <w:t>-OH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, </w:t>
      </w:r>
      <w:r w:rsidRPr="00A47719">
        <w:rPr>
          <w:rFonts w:eastAsiaTheme="minorEastAsia" w:cs="Arial"/>
          <w:b/>
          <w:bCs/>
          <w:sz w:val="16"/>
          <w:szCs w:val="16"/>
          <w:lang w:eastAsia="zh-CN"/>
        </w:rPr>
        <w:t>PyTPA-9C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, </w:t>
      </w:r>
      <w:r w:rsidRPr="00A47719">
        <w:rPr>
          <w:rFonts w:eastAsiaTheme="minorEastAsia" w:cs="Arial"/>
          <w:b/>
          <w:bCs/>
          <w:sz w:val="16"/>
          <w:szCs w:val="16"/>
          <w:lang w:eastAsia="zh-CN"/>
        </w:rPr>
        <w:t>PyTPA-10C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 and </w:t>
      </w:r>
      <w:r w:rsidRPr="00A47719">
        <w:rPr>
          <w:rFonts w:eastAsiaTheme="minorEastAsia" w:cs="Arial"/>
          <w:b/>
          <w:bCs/>
          <w:sz w:val="16"/>
          <w:szCs w:val="16"/>
          <w:lang w:eastAsia="zh-CN"/>
        </w:rPr>
        <w:t>PyTPA-13C.</w:t>
      </w:r>
    </w:p>
    <w:p w14:paraId="3FC94E69" w14:textId="77777777" w:rsidR="00D240DA" w:rsidRPr="00A47719" w:rsidRDefault="00D361DA">
      <w:pPr>
        <w:pStyle w:val="H2"/>
        <w:shd w:val="clear" w:color="000000" w:fill="auto"/>
        <w:spacing w:after="240" w:line="240" w:lineRule="atLeast"/>
        <w:ind w:left="0" w:firstLine="0"/>
        <w:rPr>
          <w:rFonts w:ascii="Arial" w:hAnsi="Arial" w:cs="Arial"/>
          <w:bCs/>
          <w:lang w:val="en-GB"/>
        </w:rPr>
      </w:pPr>
      <w:r w:rsidRPr="00A47719">
        <w:rPr>
          <w:rFonts w:ascii="Arial" w:hAnsi="Arial" w:cs="Arial"/>
          <w:bCs/>
          <w:lang w:val="en-GB"/>
        </w:rPr>
        <w:lastRenderedPageBreak/>
        <w:t>Density Functional Calculations</w:t>
      </w:r>
      <w:r w:rsidRPr="00A47719">
        <w:rPr>
          <w:rFonts w:ascii="Arial" w:hAnsi="Arial" w:cs="Arial" w:hint="eastAsia"/>
          <w:bCs/>
          <w:lang w:val="en-GB"/>
        </w:rPr>
        <w:t xml:space="preserve"> and </w:t>
      </w:r>
      <w:r w:rsidRPr="00A47719">
        <w:rPr>
          <w:rFonts w:ascii="Arial" w:hAnsi="Arial" w:cs="Arial"/>
          <w:bCs/>
          <w:lang w:val="en-GB"/>
        </w:rPr>
        <w:t>Electrochemical</w:t>
      </w:r>
      <w:r w:rsidRPr="00A47719">
        <w:rPr>
          <w:rFonts w:ascii="Arial" w:hAnsi="Arial" w:cs="Arial" w:hint="eastAsia"/>
          <w:bCs/>
          <w:lang w:val="en-GB"/>
        </w:rPr>
        <w:t xml:space="preserve"> Properties</w:t>
      </w:r>
    </w:p>
    <w:p w14:paraId="28D1F713" w14:textId="32F70AE6" w:rsidR="00D240DA" w:rsidRPr="00A47719" w:rsidRDefault="00D361DA">
      <w:pPr>
        <w:pStyle w:val="P1"/>
        <w:spacing w:line="240" w:lineRule="atLeast"/>
        <w:ind w:firstLineChars="200" w:firstLine="400"/>
        <w:rPr>
          <w:rFonts w:eastAsiaTheme="minorEastAsia" w:cs="Arial"/>
          <w:sz w:val="20"/>
          <w:szCs w:val="20"/>
          <w:lang w:eastAsia="zh-CN"/>
        </w:rPr>
      </w:pPr>
      <w:r w:rsidRPr="00A47719">
        <w:rPr>
          <w:rFonts w:eastAsiaTheme="minorEastAsia" w:cs="Arial"/>
          <w:sz w:val="20"/>
          <w:szCs w:val="20"/>
          <w:lang w:eastAsia="zh-CN"/>
        </w:rPr>
        <w:t xml:space="preserve">The optimized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ground-state </w:t>
      </w:r>
      <w:r w:rsidRPr="00A47719">
        <w:rPr>
          <w:rFonts w:eastAsiaTheme="minorEastAsia" w:cs="Arial"/>
          <w:sz w:val="20"/>
          <w:szCs w:val="20"/>
          <w:lang w:eastAsia="zh-CN"/>
        </w:rPr>
        <w:t>geometr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ies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and frontier orbital distribution of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PyTPA-9C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,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PyTPA-10C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and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PyTPA-13C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were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investigated using </w:t>
      </w:r>
      <w:bookmarkStart w:id="16" w:name="_Hlk217247369"/>
      <w:r w:rsidRPr="00A47719">
        <w:rPr>
          <w:rFonts w:eastAsiaTheme="minorEastAsia" w:cs="Arial"/>
          <w:sz w:val="20"/>
          <w:szCs w:val="20"/>
          <w:lang w:eastAsia="zh-CN"/>
        </w:rPr>
        <w:t>density functional theory (DFT) calculations</w:t>
      </w:r>
      <w:bookmarkEnd w:id="16"/>
      <w:r w:rsidRPr="00A47719">
        <w:rPr>
          <w:rFonts w:eastAsiaTheme="minorEastAsia" w:cs="Arial"/>
          <w:sz w:val="20"/>
          <w:szCs w:val="20"/>
          <w:lang w:eastAsia="zh-CN"/>
        </w:rPr>
        <w:t xml:space="preserve"> at the B3LYP/6-31G*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level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. As shown in Figure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S1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2,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the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two </w:t>
      </w:r>
      <w:proofErr w:type="spellStart"/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</w:t>
      </w:r>
      <w:proofErr w:type="spellEnd"/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-OH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units are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connected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by a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flexible a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lkyl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bridge</w:t>
      </w:r>
      <w:r w:rsidRPr="00A47719">
        <w:rPr>
          <w:rFonts w:eastAsiaTheme="minorEastAsia" w:cs="Arial"/>
          <w:sz w:val="20"/>
          <w:szCs w:val="20"/>
          <w:lang w:eastAsia="zh-CN"/>
        </w:rPr>
        <w:t>. D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riven by the interplay of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alkyl chain length and the steric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bulk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of the TPA-OMe moiety, the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se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compounds adopt distinct molecular conformations in the ground state.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Specifically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,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PyTPA-9C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exhibit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s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a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W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-shaped structure,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PyTPA-10C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forms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a ladder-type conformation with a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span </w:t>
      </w:r>
      <w:r w:rsidRPr="00A47719">
        <w:rPr>
          <w:rFonts w:eastAsiaTheme="minorEastAsia" w:cs="Arial"/>
          <w:sz w:val="20"/>
          <w:szCs w:val="20"/>
          <w:lang w:eastAsia="zh-CN"/>
        </w:rPr>
        <w:t>of 29.09 Å, and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the longer-chain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 xml:space="preserve">PyTPA-13C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adopts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a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folded, nearly perpendicular arrangement between </w:t>
      </w:r>
      <w:r w:rsidRPr="00A47719">
        <w:rPr>
          <w:rFonts w:eastAsiaTheme="minorEastAsia" w:cs="Arial"/>
          <w:sz w:val="20"/>
          <w:szCs w:val="20"/>
          <w:lang w:eastAsia="zh-CN"/>
        </w:rPr>
        <w:t>its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two </w:t>
      </w:r>
      <w:proofErr w:type="spellStart"/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</w:t>
      </w:r>
      <w:proofErr w:type="spellEnd"/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 xml:space="preserve">-OH </w:t>
      </w:r>
      <w:r w:rsidRPr="00A47719">
        <w:rPr>
          <w:rFonts w:eastAsiaTheme="minorEastAsia" w:cs="Arial"/>
          <w:sz w:val="20"/>
          <w:szCs w:val="20"/>
          <w:lang w:eastAsia="zh-CN"/>
        </w:rPr>
        <w:t>units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, resulting in a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more sterically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hindered geometry</w:t>
      </w:r>
      <w:r w:rsidRPr="00A47719">
        <w:rPr>
          <w:rFonts w:eastAsiaTheme="minorEastAsia" w:cs="Arial"/>
          <w:sz w:val="20"/>
          <w:szCs w:val="20"/>
          <w:lang w:eastAsia="zh-CN"/>
        </w:rPr>
        <w:t>.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The calculated d</w:t>
      </w:r>
      <w:r w:rsidRPr="00A47719">
        <w:rPr>
          <w:rFonts w:eastAsiaTheme="minorEastAsia" w:cs="Arial"/>
          <w:sz w:val="20"/>
          <w:szCs w:val="20"/>
          <w:lang w:eastAsia="zh-CN"/>
        </w:rPr>
        <w:t>ipole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>moment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s reflect these structural differences, </w:t>
      </w:r>
      <w:r w:rsidR="0026733A" w:rsidRPr="00A47719">
        <w:rPr>
          <w:rFonts w:eastAsiaTheme="minorEastAsia" w:cs="Arial"/>
          <w:sz w:val="20"/>
          <w:szCs w:val="20"/>
          <w:lang w:eastAsia="zh-CN"/>
        </w:rPr>
        <w:t>with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7.67 D for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</w:t>
      </w:r>
      <w:r w:rsidRPr="00A47719">
        <w:rPr>
          <w:rFonts w:eastAsiaTheme="minorEastAsia" w:cs="Arial" w:hint="eastAsia"/>
          <w:b/>
          <w:bCs/>
          <w:sz w:val="20"/>
          <w:szCs w:val="20"/>
          <w:lang w:eastAsia="zh-CN"/>
        </w:rPr>
        <w:t>9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C</w:t>
      </w:r>
      <w:r w:rsidRPr="00A47719">
        <w:rPr>
          <w:rFonts w:eastAsiaTheme="minorEastAsia" w:cs="Arial" w:hint="eastAsia"/>
          <w:b/>
          <w:bCs/>
          <w:sz w:val="20"/>
          <w:szCs w:val="20"/>
          <w:lang w:eastAsia="zh-CN"/>
        </w:rPr>
        <w:t xml:space="preserve">,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2.81 D for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PyTPA-10C</w:t>
      </w:r>
      <w:r w:rsidRPr="00A47719">
        <w:rPr>
          <w:rFonts w:eastAsiaTheme="minorEastAsia" w:cs="Arial" w:hint="eastAsia"/>
          <w:b/>
          <w:bCs/>
          <w:sz w:val="20"/>
          <w:szCs w:val="20"/>
          <w:lang w:eastAsia="zh-CN"/>
        </w:rPr>
        <w:t xml:space="preserve">, </w:t>
      </w:r>
      <w:r w:rsidRPr="00A47719">
        <w:rPr>
          <w:rFonts w:eastAsiaTheme="minorEastAsia" w:cs="Arial"/>
          <w:sz w:val="20"/>
          <w:szCs w:val="20"/>
          <w:lang w:eastAsia="zh-CN"/>
        </w:rPr>
        <w:t>and</w:t>
      </w:r>
      <w:r w:rsidRPr="00A47719">
        <w:rPr>
          <w:rFonts w:eastAsiaTheme="minorEastAsia" w:cs="Arial" w:hint="eastAsia"/>
          <w:b/>
          <w:bCs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9.92 D for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PyTPA-13C</w:t>
      </w:r>
      <w:r w:rsidRPr="00A47719">
        <w:rPr>
          <w:rFonts w:eastAsiaTheme="minorEastAsia" w:cs="Arial"/>
          <w:sz w:val="20"/>
          <w:szCs w:val="20"/>
          <w:lang w:eastAsia="zh-CN"/>
        </w:rPr>
        <w:t>.</w:t>
      </w:r>
    </w:p>
    <w:p w14:paraId="1A006115" w14:textId="5527AF20" w:rsidR="00D240DA" w:rsidRPr="00A47719" w:rsidRDefault="00D361DA">
      <w:pPr>
        <w:pStyle w:val="P1"/>
        <w:spacing w:line="240" w:lineRule="atLeast"/>
        <w:ind w:firstLineChars="200" w:firstLine="400"/>
        <w:rPr>
          <w:rFonts w:eastAsiaTheme="minorEastAsia" w:cs="Arial"/>
          <w:sz w:val="20"/>
          <w:szCs w:val="20"/>
          <w:lang w:val="de-DE" w:eastAsia="zh-CN"/>
        </w:rPr>
      </w:pPr>
      <w:r w:rsidRPr="00A47719">
        <w:rPr>
          <w:rFonts w:eastAsiaTheme="minorEastAsia" w:cs="Arial"/>
          <w:sz w:val="20"/>
          <w:szCs w:val="20"/>
          <w:lang w:eastAsia="zh-CN"/>
        </w:rPr>
        <w:t xml:space="preserve"> The highest occupied and lowest unoccupied molecular orbital (HOMO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/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LUMO)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and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energy levels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are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summarized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in Figure 2.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In all three compounds,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the HOMO is primarily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localized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on one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of </w:t>
      </w:r>
      <w:proofErr w:type="spellStart"/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</w:t>
      </w:r>
      <w:proofErr w:type="spellEnd"/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 xml:space="preserve">-OH </w:t>
      </w:r>
      <w:r w:rsidRPr="00A47719">
        <w:rPr>
          <w:rFonts w:eastAsiaTheme="minorEastAsia" w:cs="Arial"/>
          <w:sz w:val="20"/>
          <w:szCs w:val="20"/>
          <w:lang w:eastAsia="zh-CN"/>
        </w:rPr>
        <w:t>unit</w:t>
      </w:r>
      <w:r w:rsidR="0026733A" w:rsidRPr="00A47719">
        <w:rPr>
          <w:rFonts w:eastAsiaTheme="minorEastAsia" w:cs="Arial"/>
          <w:sz w:val="20"/>
          <w:szCs w:val="20"/>
          <w:lang w:eastAsia="zh-CN"/>
        </w:rPr>
        <w:t>s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, whereas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the LUMO is predominantly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distributed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on the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other unit.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The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spatial </w:t>
      </w:r>
      <w:r w:rsidRPr="00A47719">
        <w:rPr>
          <w:rFonts w:eastAsiaTheme="minorEastAsia" w:cs="Arial"/>
          <w:sz w:val="20"/>
          <w:szCs w:val="20"/>
          <w:lang w:eastAsia="zh-CN"/>
        </w:rPr>
        <w:t>separat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ion of frontier orbitals facilitates efficient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intramolecular charge transfer (ICT). The HOMO energy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levels range from </w:t>
      </w:r>
      <w:r w:rsidRPr="00A47719">
        <w:rPr>
          <w:rFonts w:eastAsiaTheme="minorEastAsia" w:cs="Arial"/>
          <w:sz w:val="20"/>
          <w:szCs w:val="20"/>
          <w:lang w:val="de-DE" w:eastAsia="zh-CN"/>
        </w:rPr>
        <w:t>-4.48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to </w:t>
      </w:r>
      <w:r w:rsidRPr="00A47719">
        <w:rPr>
          <w:rFonts w:eastAsiaTheme="minorEastAsia" w:cs="Arial"/>
          <w:sz w:val="20"/>
          <w:szCs w:val="20"/>
          <w:lang w:val="de-DE" w:eastAsia="zh-CN"/>
        </w:rPr>
        <w:t>-4.35 eV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, and the LUMO levels from </w:t>
      </w:r>
      <w:r w:rsidRPr="00A47719">
        <w:rPr>
          <w:rFonts w:eastAsiaTheme="minorEastAsia" w:cs="Arial"/>
          <w:sz w:val="20"/>
          <w:szCs w:val="20"/>
          <w:lang w:val="de-DE" w:eastAsia="zh-CN"/>
        </w:rPr>
        <w:t>-1.55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to </w:t>
      </w:r>
      <w:r w:rsidRPr="00A47719">
        <w:rPr>
          <w:rFonts w:eastAsiaTheme="minorEastAsia" w:cs="Arial"/>
          <w:sz w:val="20"/>
          <w:szCs w:val="20"/>
          <w:lang w:val="de-DE" w:eastAsia="zh-CN"/>
        </w:rPr>
        <w:t>-1.47 eV. Owing</w:t>
      </w:r>
      <w:r w:rsidRPr="00A47719">
        <w:rPr>
          <w:rFonts w:eastAsiaTheme="minorEastAsia" w:cs="Arial" w:hint="eastAsia"/>
          <w:sz w:val="20"/>
          <w:szCs w:val="20"/>
          <w:lang w:val="de-DE" w:eastAsia="zh-CN"/>
        </w:rPr>
        <w:t xml:space="preserve"> to the conformation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al</w:t>
      </w:r>
      <w:r w:rsidRPr="00A47719">
        <w:rPr>
          <w:rFonts w:eastAsiaTheme="minorEastAsia" w:cs="Arial" w:hint="eastAsia"/>
          <w:sz w:val="20"/>
          <w:szCs w:val="20"/>
          <w:lang w:val="de-DE"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variations imposed </w:t>
      </w:r>
      <w:r w:rsidRPr="00A47719">
        <w:rPr>
          <w:rFonts w:eastAsiaTheme="minorEastAsia" w:cs="Arial" w:hint="eastAsia"/>
          <w:sz w:val="20"/>
          <w:szCs w:val="20"/>
          <w:lang w:val="de-DE" w:eastAsia="zh-CN"/>
        </w:rPr>
        <w:t xml:space="preserve">by the 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alkyl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linkers</w:t>
      </w:r>
      <w:r w:rsidRPr="00A47719">
        <w:rPr>
          <w:rFonts w:eastAsiaTheme="minorEastAsia" w:cs="Arial" w:hint="eastAsia"/>
          <w:sz w:val="20"/>
          <w:szCs w:val="20"/>
          <w:lang w:val="de-DE" w:eastAsia="zh-CN"/>
        </w:rPr>
        <w:t xml:space="preserve">, the energy gap follows the order of </w:t>
      </w:r>
      <w:r w:rsidRPr="00A47719">
        <w:rPr>
          <w:rFonts w:eastAsiaTheme="minorEastAsia" w:cs="Arial"/>
          <w:b/>
          <w:bCs/>
          <w:sz w:val="20"/>
          <w:szCs w:val="20"/>
          <w:lang w:val="de-DE" w:eastAsia="zh-CN"/>
        </w:rPr>
        <w:t>PyTPA-10C</w:t>
      </w:r>
      <w:r w:rsidRPr="00A47719">
        <w:rPr>
          <w:rFonts w:eastAsiaTheme="minorEastAsia" w:cs="Arial" w:hint="eastAsia"/>
          <w:sz w:val="20"/>
          <w:szCs w:val="20"/>
          <w:lang w:val="de-DE" w:eastAsia="zh-CN"/>
        </w:rPr>
        <w:t xml:space="preserve"> (2.94 eV) </w:t>
      </w:r>
      <w:r w:rsidRPr="00A47719">
        <w:rPr>
          <w:rFonts w:eastAsiaTheme="minorEastAsia" w:cs="Arial" w:hint="eastAsia"/>
          <w:b/>
          <w:bCs/>
          <w:sz w:val="20"/>
          <w:szCs w:val="20"/>
          <w:lang w:val="de-DE" w:eastAsia="zh-CN"/>
        </w:rPr>
        <w:t xml:space="preserve">&gt; </w:t>
      </w:r>
      <w:r w:rsidRPr="00A47719">
        <w:rPr>
          <w:rFonts w:eastAsiaTheme="minorEastAsia" w:cs="Arial" w:hint="eastAsia"/>
          <w:sz w:val="20"/>
          <w:szCs w:val="20"/>
          <w:lang w:val="de-DE" w:eastAsia="zh-CN"/>
        </w:rPr>
        <w:t xml:space="preserve"> </w:t>
      </w:r>
      <w:r w:rsidRPr="00A47719">
        <w:rPr>
          <w:rFonts w:eastAsiaTheme="minorEastAsia" w:cs="Arial"/>
          <w:b/>
          <w:bCs/>
          <w:sz w:val="20"/>
          <w:szCs w:val="20"/>
          <w:lang w:val="de-DE" w:eastAsia="zh-CN"/>
        </w:rPr>
        <w:t>PyTPA-1</w:t>
      </w:r>
      <w:r w:rsidRPr="00A47719">
        <w:rPr>
          <w:rFonts w:eastAsiaTheme="minorEastAsia" w:cs="Arial" w:hint="eastAsia"/>
          <w:b/>
          <w:bCs/>
          <w:sz w:val="20"/>
          <w:szCs w:val="20"/>
          <w:lang w:val="de-DE" w:eastAsia="zh-CN"/>
        </w:rPr>
        <w:t>3</w:t>
      </w:r>
      <w:r w:rsidRPr="00A47719">
        <w:rPr>
          <w:rFonts w:eastAsiaTheme="minorEastAsia" w:cs="Arial"/>
          <w:b/>
          <w:bCs/>
          <w:sz w:val="20"/>
          <w:szCs w:val="20"/>
          <w:lang w:val="de-DE" w:eastAsia="zh-CN"/>
        </w:rPr>
        <w:t>C</w:t>
      </w:r>
      <w:r w:rsidRPr="00A47719">
        <w:rPr>
          <w:rFonts w:eastAsiaTheme="minorEastAsia" w:cs="Arial" w:hint="eastAsia"/>
          <w:sz w:val="20"/>
          <w:szCs w:val="20"/>
          <w:lang w:val="de-DE" w:eastAsia="zh-CN"/>
        </w:rPr>
        <w:t xml:space="preserve"> (2.88 eV) &gt;</w:t>
      </w:r>
      <w:r w:rsidRPr="00A47719">
        <w:rPr>
          <w:rFonts w:eastAsiaTheme="minorEastAsia" w:cs="Arial" w:hint="eastAsia"/>
          <w:b/>
          <w:bCs/>
          <w:sz w:val="20"/>
          <w:szCs w:val="20"/>
          <w:lang w:val="de-DE"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val="de-DE" w:eastAsia="zh-CN"/>
        </w:rPr>
        <w:t xml:space="preserve"> </w:t>
      </w:r>
      <w:r w:rsidRPr="00A47719">
        <w:rPr>
          <w:rFonts w:eastAsiaTheme="minorEastAsia" w:cs="Arial"/>
          <w:b/>
          <w:bCs/>
          <w:sz w:val="20"/>
          <w:szCs w:val="20"/>
          <w:lang w:val="de-DE" w:eastAsia="zh-CN"/>
        </w:rPr>
        <w:t>PyTPA-</w:t>
      </w:r>
      <w:r w:rsidRPr="00A47719">
        <w:rPr>
          <w:rFonts w:eastAsiaTheme="minorEastAsia" w:cs="Arial" w:hint="eastAsia"/>
          <w:b/>
          <w:bCs/>
          <w:sz w:val="20"/>
          <w:szCs w:val="20"/>
          <w:lang w:val="de-DE" w:eastAsia="zh-CN"/>
        </w:rPr>
        <w:t>9</w:t>
      </w:r>
      <w:r w:rsidRPr="00A47719">
        <w:rPr>
          <w:rFonts w:eastAsiaTheme="minorEastAsia" w:cs="Arial"/>
          <w:b/>
          <w:bCs/>
          <w:sz w:val="20"/>
          <w:szCs w:val="20"/>
          <w:lang w:val="de-DE" w:eastAsia="zh-CN"/>
        </w:rPr>
        <w:t>C</w:t>
      </w:r>
      <w:r w:rsidRPr="00A47719">
        <w:rPr>
          <w:rFonts w:eastAsiaTheme="minorEastAsia" w:cs="Arial" w:hint="eastAsia"/>
          <w:sz w:val="20"/>
          <w:szCs w:val="20"/>
          <w:lang w:val="de-DE" w:eastAsia="zh-CN"/>
        </w:rPr>
        <w:t xml:space="preserve"> (2.86 eV)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. </w:t>
      </w:r>
      <w:r w:rsidRPr="00A47719">
        <w:rPr>
          <w:rFonts w:eastAsiaTheme="minorEastAsia" w:cs="Arial"/>
          <w:sz w:val="20"/>
          <w:szCs w:val="20"/>
          <w:lang w:eastAsia="zh-CN"/>
        </w:rPr>
        <w:t>Notably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, </w:t>
      </w:r>
      <w:r w:rsidRPr="00A47719">
        <w:rPr>
          <w:rFonts w:eastAsiaTheme="minorEastAsia" w:cs="Arial"/>
          <w:b/>
          <w:bCs/>
          <w:sz w:val="20"/>
          <w:szCs w:val="20"/>
          <w:lang w:val="de-DE" w:eastAsia="zh-CN"/>
        </w:rPr>
        <w:t>PyTPA-10C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possesses 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the largest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band 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gap and the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deepest 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HOMO level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within 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the series. This </w:t>
      </w:r>
      <w:r w:rsidRPr="00A47719">
        <w:rPr>
          <w:rFonts w:eastAsiaTheme="minorEastAsia" w:cs="Arial"/>
          <w:sz w:val="20"/>
          <w:szCs w:val="20"/>
          <w:lang w:eastAsia="zh-CN"/>
        </w:rPr>
        <w:t>optimal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 energy</w:t>
      </w:r>
      <w:r w:rsidRPr="00A47719">
        <w:rPr>
          <w:rFonts w:eastAsiaTheme="minorEastAsia" w:cs="Arial"/>
          <w:sz w:val="20"/>
          <w:szCs w:val="20"/>
          <w:lang w:eastAsia="zh-CN"/>
        </w:rPr>
        <w:t>-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level alignment, originating from its ladder-type conformation, is anticipated to minmize the energy barrier for hole injection and </w:t>
      </w:r>
      <w:r w:rsidRPr="00A47719">
        <w:rPr>
          <w:rFonts w:eastAsia="DengXian"/>
          <w:sz w:val="20"/>
          <w:szCs w:val="20"/>
        </w:rPr>
        <w:t>hole extraction</w:t>
      </w:r>
      <w:r w:rsidRPr="00A47719">
        <w:rPr>
          <w:rFonts w:eastAsia="DengXian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val="de-DE" w:eastAsia="zh-CN"/>
        </w:rPr>
        <w:t>at the perovskite/HTM interface.</w:t>
      </w:r>
    </w:p>
    <w:p w14:paraId="5B761588" w14:textId="51A96A0F" w:rsidR="00D240DA" w:rsidRPr="00A47719" w:rsidRDefault="00D361DA">
      <w:pPr>
        <w:pStyle w:val="P1"/>
        <w:spacing w:line="240" w:lineRule="atLeast"/>
        <w:ind w:firstLineChars="200" w:firstLine="400"/>
        <w:rPr>
          <w:rFonts w:eastAsiaTheme="minorEastAsia" w:cs="Arial"/>
          <w:sz w:val="20"/>
          <w:szCs w:val="20"/>
          <w:lang w:eastAsia="zh-CN"/>
        </w:rPr>
      </w:pPr>
      <w:r w:rsidRPr="00A47719">
        <w:rPr>
          <w:rFonts w:eastAsiaTheme="minorEastAsia" w:cs="Arial"/>
          <w:sz w:val="20"/>
          <w:szCs w:val="20"/>
          <w:lang w:val="de-DE" w:eastAsia="zh-CN"/>
        </w:rPr>
        <w:t>The electrochemical properties and energy levels of the compounds were investigated by cyclic voltammetry (CV) in acetonitrile (</w:t>
      </w:r>
      <w:r w:rsidR="006727AE" w:rsidRPr="00A47719">
        <w:rPr>
          <w:rFonts w:eastAsiaTheme="minorEastAsia" w:cs="Arial" w:hint="eastAsia"/>
          <w:sz w:val="20"/>
          <w:szCs w:val="20"/>
          <w:lang w:val="de-DE" w:eastAsia="zh-CN"/>
        </w:rPr>
        <w:t>ACN</w:t>
      </w:r>
      <w:r w:rsidRPr="00A47719">
        <w:rPr>
          <w:rFonts w:eastAsiaTheme="minorEastAsia" w:cs="Arial"/>
          <w:sz w:val="20"/>
          <w:szCs w:val="20"/>
          <w:lang w:val="de-DE" w:eastAsia="zh-CN"/>
        </w:rPr>
        <w:t>)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,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 using tetrabutylammonium hexafluorophosphate (TBAPF</w:t>
      </w:r>
      <w:r w:rsidRPr="00A47719">
        <w:rPr>
          <w:rFonts w:eastAsiaTheme="minorEastAsia" w:cs="Arial"/>
          <w:sz w:val="20"/>
          <w:szCs w:val="20"/>
          <w:vertAlign w:val="subscript"/>
          <w:lang w:val="de-DE" w:eastAsia="zh-CN"/>
        </w:rPr>
        <w:t>6</w:t>
      </w:r>
      <w:r w:rsidRPr="00A47719">
        <w:rPr>
          <w:rFonts w:eastAsiaTheme="minorEastAsia" w:cs="Arial"/>
          <w:sz w:val="20"/>
          <w:szCs w:val="20"/>
          <w:lang w:val="de-DE" w:eastAsia="zh-CN"/>
        </w:rPr>
        <w:t>) as the supporting electrolyte</w:t>
      </w:r>
      <w:r w:rsidR="00B20D5B">
        <w:rPr>
          <w:rFonts w:eastAsiaTheme="minorEastAsia" w:cs="Arial" w:hint="eastAsia"/>
          <w:sz w:val="20"/>
          <w:szCs w:val="20"/>
          <w:lang w:val="de-DE" w:eastAsia="zh-CN"/>
        </w:rPr>
        <w:t xml:space="preserve"> </w:t>
      </w:r>
      <w:r w:rsidR="00B20D5B" w:rsidRPr="00B20D5B">
        <w:rPr>
          <w:rFonts w:eastAsiaTheme="minorEastAsia" w:cs="Arial" w:hint="eastAsia"/>
          <w:color w:val="0000FF"/>
          <w:sz w:val="20"/>
          <w:szCs w:val="20"/>
          <w:lang w:val="de-DE" w:eastAsia="zh-CN"/>
        </w:rPr>
        <w:t>(Figure S13)</w:t>
      </w:r>
      <w:r w:rsidRPr="00A47719">
        <w:rPr>
          <w:rFonts w:eastAsiaTheme="minorEastAsia" w:cs="Arial"/>
          <w:sz w:val="20"/>
          <w:szCs w:val="20"/>
          <w:lang w:val="de-DE" w:eastAsia="zh-CN"/>
        </w:rPr>
        <w:t>. All compounds exhibit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ed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 reversible or quasi-reversible oxidation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waves. Their first 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oxidation potentials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were measured 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at 0.83 V for </w:t>
      </w:r>
      <w:r w:rsidRPr="00A47719">
        <w:rPr>
          <w:rFonts w:eastAsiaTheme="minorEastAsia" w:cs="Arial"/>
          <w:b/>
          <w:bCs/>
          <w:sz w:val="20"/>
          <w:szCs w:val="20"/>
          <w:lang w:val="de-DE" w:eastAsia="zh-CN"/>
        </w:rPr>
        <w:t>PyTPA-9C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, 0.91 V for </w:t>
      </w:r>
      <w:bookmarkStart w:id="17" w:name="_Hlk217250836"/>
      <w:r w:rsidRPr="00A47719">
        <w:rPr>
          <w:rFonts w:eastAsiaTheme="minorEastAsia" w:cs="Arial"/>
          <w:b/>
          <w:bCs/>
          <w:sz w:val="20"/>
          <w:szCs w:val="20"/>
          <w:lang w:val="de-DE" w:eastAsia="zh-CN"/>
        </w:rPr>
        <w:t>PyTPA-10C,</w:t>
      </w:r>
      <w:bookmarkEnd w:id="17"/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 and 0.87 V for </w:t>
      </w:r>
      <w:r w:rsidRPr="00A47719">
        <w:rPr>
          <w:rFonts w:eastAsiaTheme="minorEastAsia" w:cs="Arial"/>
          <w:b/>
          <w:bCs/>
          <w:sz w:val="20"/>
          <w:szCs w:val="20"/>
          <w:lang w:val="de-DE" w:eastAsia="zh-CN"/>
        </w:rPr>
        <w:t>PyTPA-13C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, with t</w:t>
      </w:r>
      <w:r w:rsidRPr="00A47719">
        <w:rPr>
          <w:rFonts w:eastAsiaTheme="minorEastAsia" w:cs="Arial"/>
          <w:sz w:val="20"/>
          <w:szCs w:val="20"/>
          <w:lang w:val="de-DE" w:eastAsia="zh-CN"/>
        </w:rPr>
        <w:t>he corresponding onset oxidation potential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s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 (E</w:t>
      </w:r>
      <w:r w:rsidRPr="00A47719">
        <w:rPr>
          <w:rFonts w:eastAsiaTheme="minorEastAsia" w:cs="Arial"/>
          <w:sz w:val="20"/>
          <w:szCs w:val="20"/>
          <w:vertAlign w:val="subscript"/>
          <w:lang w:val="de-DE" w:eastAsia="zh-CN"/>
        </w:rPr>
        <w:t>onset</w:t>
      </w:r>
      <w:r w:rsidRPr="00A47719">
        <w:rPr>
          <w:rFonts w:eastAsiaTheme="minorEastAsia" w:cs="Arial"/>
          <w:sz w:val="20"/>
          <w:szCs w:val="20"/>
          <w:lang w:val="de-DE" w:eastAsia="zh-CN"/>
        </w:rPr>
        <w:t>) be</w:t>
      </w:r>
      <w:proofErr w:type="spellStart"/>
      <w:r w:rsidRPr="00A47719">
        <w:rPr>
          <w:rFonts w:eastAsiaTheme="minorEastAsia" w:cs="Arial" w:hint="eastAsia"/>
          <w:sz w:val="20"/>
          <w:szCs w:val="20"/>
          <w:lang w:eastAsia="zh-CN"/>
        </w:rPr>
        <w:t>ing</w:t>
      </w:r>
      <w:proofErr w:type="spellEnd"/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 0.62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V, </w:t>
      </w:r>
      <w:r w:rsidRPr="00A47719">
        <w:rPr>
          <w:rFonts w:eastAsiaTheme="minorEastAsia" w:cs="Arial"/>
          <w:sz w:val="20"/>
          <w:szCs w:val="20"/>
          <w:lang w:val="de-DE" w:eastAsia="zh-CN"/>
        </w:rPr>
        <w:t>0.66 V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a</w:t>
      </w:r>
      <w:r w:rsidRPr="00A47719">
        <w:rPr>
          <w:rFonts w:eastAsiaTheme="minorEastAsia" w:cs="Arial"/>
          <w:sz w:val="20"/>
          <w:szCs w:val="20"/>
          <w:lang w:val="de-DE" w:eastAsia="zh-CN"/>
        </w:rPr>
        <w:t>nd 0.69 V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, respectively. </w:t>
      </w:r>
      <w:r w:rsidRPr="00A47719">
        <w:rPr>
          <w:rFonts w:eastAsiaTheme="minorEastAsia" w:cs="Arial"/>
          <w:sz w:val="20"/>
          <w:szCs w:val="20"/>
          <w:lang w:val="de-DE" w:eastAsia="zh-CN"/>
        </w:rPr>
        <w:t>The HOMO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energy levels were estimated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using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 the empirical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relation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 E</w:t>
      </w:r>
      <w:r w:rsidRPr="00A47719">
        <w:rPr>
          <w:rFonts w:eastAsiaTheme="minorEastAsia" w:cs="Arial"/>
          <w:sz w:val="20"/>
          <w:szCs w:val="20"/>
          <w:vertAlign w:val="subscript"/>
          <w:lang w:val="de-DE" w:eastAsia="zh-CN"/>
        </w:rPr>
        <w:t>HOMO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 = -(E</w:t>
      </w:r>
      <w:r w:rsidRPr="00A47719">
        <w:rPr>
          <w:rFonts w:eastAsiaTheme="minorEastAsia" w:cs="Arial"/>
          <w:sz w:val="20"/>
          <w:szCs w:val="20"/>
          <w:vertAlign w:val="subscript"/>
          <w:lang w:val="de-DE" w:eastAsia="zh-CN"/>
        </w:rPr>
        <w:t>onset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 + 4.40),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and the LUMO levels were derived from </w:t>
      </w:r>
      <w:r w:rsidRPr="00A47719">
        <w:rPr>
          <w:rFonts w:eastAsiaTheme="minorEastAsia" w:cs="Arial"/>
          <w:sz w:val="20"/>
          <w:szCs w:val="20"/>
          <w:lang w:val="de-DE" w:eastAsia="zh-CN"/>
        </w:rPr>
        <w:t>E</w:t>
      </w:r>
      <w:r w:rsidRPr="00A47719">
        <w:rPr>
          <w:rFonts w:eastAsiaTheme="minorEastAsia" w:cs="Arial" w:hint="eastAsia"/>
          <w:sz w:val="20"/>
          <w:szCs w:val="20"/>
          <w:vertAlign w:val="subscript"/>
          <w:lang w:eastAsia="zh-CN"/>
        </w:rPr>
        <w:t>LU</w:t>
      </w:r>
      <w:r w:rsidRPr="00A47719">
        <w:rPr>
          <w:rFonts w:eastAsiaTheme="minorEastAsia" w:cs="Arial"/>
          <w:sz w:val="20"/>
          <w:szCs w:val="20"/>
          <w:vertAlign w:val="subscript"/>
          <w:lang w:val="de-DE" w:eastAsia="zh-CN"/>
        </w:rPr>
        <w:t>MO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 =</w:t>
      </w:r>
      <w:r w:rsidRPr="00A47719">
        <w:rPr>
          <w:rFonts w:eastAsiaTheme="minorEastAsia" w:cs="Arial" w:hint="eastAsia"/>
          <w:sz w:val="20"/>
          <w:szCs w:val="20"/>
          <w:lang w:val="de-DE"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val="de-DE" w:eastAsia="zh-CN"/>
        </w:rPr>
        <w:t>E</w:t>
      </w:r>
      <w:r w:rsidRPr="00A47719">
        <w:rPr>
          <w:rFonts w:eastAsiaTheme="minorEastAsia" w:cs="Arial"/>
          <w:sz w:val="20"/>
          <w:szCs w:val="20"/>
          <w:vertAlign w:val="subscript"/>
          <w:lang w:val="de-DE" w:eastAsia="zh-CN"/>
        </w:rPr>
        <w:t>HOMO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+ </w:t>
      </w:r>
      <w:r w:rsidRPr="00A47719">
        <w:rPr>
          <w:rFonts w:eastAsiaTheme="minorEastAsia" w:cs="Arial"/>
          <w:sz w:val="20"/>
          <w:szCs w:val="20"/>
          <w:lang w:val="de-DE" w:eastAsia="zh-CN"/>
        </w:rPr>
        <w:t>E</w:t>
      </w:r>
      <w:r w:rsidRPr="00A47719">
        <w:rPr>
          <w:rFonts w:eastAsiaTheme="minorEastAsia" w:cs="Arial"/>
          <w:sz w:val="20"/>
          <w:szCs w:val="20"/>
          <w:vertAlign w:val="subscript"/>
          <w:lang w:val="de-DE" w:eastAsia="zh-CN"/>
        </w:rPr>
        <w:t>g</w:t>
      </w:r>
      <w:r w:rsidRPr="00A47719">
        <w:rPr>
          <w:rFonts w:eastAsiaTheme="minorEastAsia" w:cs="Arial"/>
          <w:sz w:val="20"/>
          <w:szCs w:val="20"/>
          <w:vertAlign w:val="superscript"/>
          <w:lang w:val="de-DE" w:eastAsia="zh-CN"/>
        </w:rPr>
        <w:t>opt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, where </w:t>
      </w:r>
      <w:r w:rsidRPr="00A47719">
        <w:rPr>
          <w:rFonts w:eastAsiaTheme="minorEastAsia" w:cs="Arial"/>
          <w:sz w:val="20"/>
          <w:szCs w:val="20"/>
          <w:lang w:val="de-DE" w:eastAsia="zh-CN"/>
        </w:rPr>
        <w:t>E</w:t>
      </w:r>
      <w:r w:rsidRPr="00A47719">
        <w:rPr>
          <w:rFonts w:eastAsiaTheme="minorEastAsia" w:cs="Arial"/>
          <w:sz w:val="20"/>
          <w:szCs w:val="20"/>
          <w:vertAlign w:val="subscript"/>
          <w:lang w:val="de-DE" w:eastAsia="zh-CN"/>
        </w:rPr>
        <w:t>g</w:t>
      </w:r>
      <w:r w:rsidRPr="00A47719">
        <w:rPr>
          <w:rFonts w:eastAsiaTheme="minorEastAsia" w:cs="Arial"/>
          <w:sz w:val="20"/>
          <w:szCs w:val="20"/>
          <w:vertAlign w:val="superscript"/>
          <w:lang w:val="de-DE" w:eastAsia="zh-CN"/>
        </w:rPr>
        <w:t>opt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is the optical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band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gap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obtained 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from absorption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onset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.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The resulting 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HOMO/LUMO energies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are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 -5.02 / -2.33 eV for </w:t>
      </w:r>
      <w:r w:rsidRPr="00A47719">
        <w:rPr>
          <w:rFonts w:eastAsiaTheme="minorEastAsia" w:cs="Arial"/>
          <w:b/>
          <w:bCs/>
          <w:sz w:val="20"/>
          <w:szCs w:val="20"/>
          <w:lang w:val="de-DE" w:eastAsia="zh-CN"/>
        </w:rPr>
        <w:t>PyTPA-9C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, -5.06 / -2.36 eV for </w:t>
      </w:r>
      <w:r w:rsidRPr="00A47719">
        <w:rPr>
          <w:rFonts w:eastAsiaTheme="minorEastAsia" w:cs="Arial"/>
          <w:b/>
          <w:bCs/>
          <w:sz w:val="20"/>
          <w:szCs w:val="20"/>
          <w:lang w:val="de-DE" w:eastAsia="zh-CN"/>
        </w:rPr>
        <w:t>PyTPA-10C,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 and -5.09 / -2.41 eV for </w:t>
      </w:r>
      <w:r w:rsidRPr="00A47719">
        <w:rPr>
          <w:rFonts w:eastAsiaTheme="minorEastAsia" w:cs="Arial"/>
          <w:b/>
          <w:bCs/>
          <w:sz w:val="20"/>
          <w:szCs w:val="20"/>
          <w:lang w:val="de-DE" w:eastAsia="zh-CN"/>
        </w:rPr>
        <w:t>PyTPA-13C</w:t>
      </w:r>
      <w:r w:rsidRPr="00A47719">
        <w:rPr>
          <w:rFonts w:eastAsiaTheme="minorEastAsia" w:cs="Arial" w:hint="eastAsia"/>
          <w:sz w:val="20"/>
          <w:szCs w:val="20"/>
          <w:lang w:val="de-DE" w:eastAsia="zh-CN"/>
        </w:rPr>
        <w:t xml:space="preserve"> (Table S1)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. Compared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with 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the parent molecule </w:t>
      </w:r>
      <w:r w:rsidRPr="00A47719">
        <w:rPr>
          <w:rFonts w:eastAsiaTheme="minorEastAsia" w:cs="Arial"/>
          <w:b/>
          <w:bCs/>
          <w:sz w:val="20"/>
          <w:szCs w:val="20"/>
          <w:lang w:val="de-DE" w:eastAsia="zh-CN"/>
        </w:rPr>
        <w:t>PyTPA-OH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, the introduction of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extended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 alkyl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bridge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s effectively lowers both the HOMO and LUMO levels. This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downshift </w:t>
      </w:r>
      <w:r w:rsidRPr="00A47719">
        <w:rPr>
          <w:rFonts w:eastAsiaTheme="minorEastAsia" w:cs="Arial"/>
          <w:sz w:val="20"/>
          <w:szCs w:val="20"/>
          <w:lang w:val="de-DE" w:eastAsia="zh-CN"/>
        </w:rPr>
        <w:t>leads to improved energy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-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level alignment with </w:t>
      </w:r>
      <w:r w:rsidR="0026733A" w:rsidRPr="00A47719">
        <w:rPr>
          <w:rFonts w:eastAsiaTheme="minorEastAsia" w:cs="Arial"/>
          <w:sz w:val="20"/>
          <w:szCs w:val="20"/>
          <w:lang w:val="de-DE" w:eastAsia="zh-CN"/>
        </w:rPr>
        <w:t xml:space="preserve">the 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perovskite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absorber</w:t>
      </w:r>
      <w:r w:rsidRPr="00A47719">
        <w:rPr>
          <w:rFonts w:eastAsiaTheme="minorEastAsia" w:cs="Arial"/>
          <w:sz w:val="20"/>
          <w:szCs w:val="20"/>
          <w:lang w:val="de-DE" w:eastAsia="zh-CN"/>
        </w:rPr>
        <w:t xml:space="preserve">,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underscoring the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promis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e of these derivatives as efficient HTMs </w:t>
      </w:r>
      <w:r w:rsidRPr="00A47719">
        <w:rPr>
          <w:rFonts w:eastAsiaTheme="minorEastAsia" w:cs="Arial"/>
          <w:sz w:val="20"/>
          <w:szCs w:val="20"/>
          <w:lang w:eastAsia="zh-CN"/>
        </w:rPr>
        <w:t>fo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r </w:t>
      </w:r>
      <w:r w:rsidRPr="00A47719">
        <w:rPr>
          <w:rFonts w:eastAsiaTheme="minorEastAsia" w:cs="Arial"/>
          <w:sz w:val="20"/>
          <w:szCs w:val="20"/>
          <w:lang w:eastAsia="zh-CN"/>
        </w:rPr>
        <w:t>PSCs.</w:t>
      </w:r>
    </w:p>
    <w:p w14:paraId="5C24DE0B" w14:textId="77777777" w:rsidR="00D240DA" w:rsidRPr="00A47719" w:rsidRDefault="00D361DA">
      <w:pPr>
        <w:pStyle w:val="P1"/>
        <w:spacing w:line="240" w:lineRule="atLeast"/>
        <w:jc w:val="center"/>
        <w:rPr>
          <w:rFonts w:eastAsiaTheme="minorEastAsia" w:cs="Arial"/>
          <w:b/>
          <w:bCs/>
          <w:sz w:val="20"/>
          <w:szCs w:val="20"/>
          <w:lang w:eastAsia="zh-CN"/>
        </w:rPr>
      </w:pPr>
      <w:r w:rsidRPr="00A47719">
        <w:rPr>
          <w:rFonts w:eastAsiaTheme="minorEastAsia" w:cs="Arial"/>
          <w:noProof/>
          <w:sz w:val="20"/>
          <w:szCs w:val="20"/>
          <w:lang w:eastAsia="zh-CN"/>
        </w:rPr>
        <w:drawing>
          <wp:inline distT="0" distB="0" distL="0" distR="0" wp14:anchorId="63F61480" wp14:editId="727D5B2C">
            <wp:extent cx="5736590" cy="2958465"/>
            <wp:effectExtent l="0" t="0" r="0" b="0"/>
            <wp:docPr id="2083595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59516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0" t="12758" r="11634" b="13285"/>
                    <a:stretch>
                      <a:fillRect/>
                    </a:stretch>
                  </pic:blipFill>
                  <pic:spPr>
                    <a:xfrm>
                      <a:off x="0" y="0"/>
                      <a:ext cx="5758477" cy="297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72B75" w14:textId="7457126D" w:rsidR="00D240DA" w:rsidRPr="00A47719" w:rsidRDefault="00D361DA">
      <w:pPr>
        <w:pStyle w:val="P1"/>
        <w:spacing w:line="240" w:lineRule="atLeast"/>
        <w:jc w:val="left"/>
        <w:rPr>
          <w:rFonts w:eastAsiaTheme="minorEastAsia" w:cs="Arial"/>
          <w:sz w:val="16"/>
          <w:szCs w:val="16"/>
          <w:lang w:eastAsia="zh-CN"/>
        </w:rPr>
      </w:pPr>
      <w:r w:rsidRPr="00A47719">
        <w:rPr>
          <w:rFonts w:eastAsiaTheme="minorEastAsia" w:cs="Arial"/>
          <w:b/>
          <w:bCs/>
          <w:sz w:val="16"/>
          <w:szCs w:val="16"/>
          <w:lang w:eastAsia="zh-CN"/>
        </w:rPr>
        <w:t>Figure 2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. Frontier orbital amplitude plots of </w:t>
      </w:r>
      <w:r w:rsidR="0026733A" w:rsidRPr="00A47719">
        <w:rPr>
          <w:rFonts w:eastAsiaTheme="minorEastAsia" w:cs="Arial"/>
          <w:sz w:val="16"/>
          <w:szCs w:val="16"/>
          <w:lang w:eastAsia="zh-CN"/>
        </w:rPr>
        <w:t xml:space="preserve">the 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compounds </w:t>
      </w:r>
      <w:r w:rsidRPr="00A47719">
        <w:rPr>
          <w:rFonts w:eastAsiaTheme="minorEastAsia" w:cs="Arial"/>
          <w:b/>
          <w:bCs/>
          <w:sz w:val="16"/>
          <w:szCs w:val="16"/>
          <w:lang w:eastAsia="zh-CN"/>
        </w:rPr>
        <w:t>PyTPA-9C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, </w:t>
      </w:r>
      <w:r w:rsidRPr="00A47719">
        <w:rPr>
          <w:rFonts w:eastAsiaTheme="minorEastAsia" w:cs="Arial"/>
          <w:b/>
          <w:bCs/>
          <w:sz w:val="16"/>
          <w:szCs w:val="16"/>
          <w:lang w:eastAsia="zh-CN"/>
        </w:rPr>
        <w:t>PyTPA-10C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 and </w:t>
      </w:r>
      <w:r w:rsidRPr="00A47719">
        <w:rPr>
          <w:rFonts w:eastAsiaTheme="minorEastAsia" w:cs="Arial"/>
          <w:b/>
          <w:bCs/>
          <w:sz w:val="16"/>
          <w:szCs w:val="16"/>
          <w:lang w:eastAsia="zh-CN"/>
        </w:rPr>
        <w:t xml:space="preserve">PyTPA-13C 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calculated by using DFT Gaussian09/ B3LYP/6-31G* method </w:t>
      </w:r>
      <w:r w:rsidR="0026733A" w:rsidRPr="00A47719">
        <w:rPr>
          <w:rFonts w:eastAsiaTheme="minorEastAsia" w:cs="Arial"/>
          <w:sz w:val="16"/>
          <w:szCs w:val="16"/>
          <w:lang w:eastAsia="zh-CN"/>
        </w:rPr>
        <w:t>in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 the ground state</w:t>
      </w:r>
      <w:r w:rsidR="0026733A" w:rsidRPr="00A47719">
        <w:rPr>
          <w:rFonts w:eastAsiaTheme="minorEastAsia" w:cs="Arial"/>
          <w:sz w:val="16"/>
          <w:szCs w:val="16"/>
          <w:lang w:eastAsia="zh-CN"/>
        </w:rPr>
        <w:t>.</w:t>
      </w:r>
    </w:p>
    <w:p w14:paraId="49FAEAB7" w14:textId="77777777" w:rsidR="00D240DA" w:rsidRPr="00A47719" w:rsidRDefault="00D240DA">
      <w:pPr>
        <w:pStyle w:val="P1"/>
        <w:spacing w:line="240" w:lineRule="atLeast"/>
        <w:jc w:val="left"/>
        <w:rPr>
          <w:rFonts w:eastAsiaTheme="minorEastAsia" w:cs="Arial"/>
          <w:sz w:val="16"/>
          <w:szCs w:val="16"/>
          <w:lang w:eastAsia="zh-CN"/>
        </w:rPr>
      </w:pPr>
    </w:p>
    <w:p w14:paraId="3A0B45B3" w14:textId="77777777" w:rsidR="00D240DA" w:rsidRPr="00A47719" w:rsidRDefault="00D240DA">
      <w:pPr>
        <w:pStyle w:val="P1"/>
        <w:spacing w:line="240" w:lineRule="atLeast"/>
        <w:jc w:val="left"/>
        <w:rPr>
          <w:rFonts w:eastAsiaTheme="minorEastAsia" w:cs="Arial"/>
          <w:sz w:val="16"/>
          <w:szCs w:val="16"/>
          <w:lang w:eastAsia="zh-CN"/>
        </w:rPr>
      </w:pPr>
    </w:p>
    <w:p w14:paraId="5D7DA7FC" w14:textId="77777777" w:rsidR="00D240DA" w:rsidRPr="00A47719" w:rsidRDefault="00D361DA">
      <w:pPr>
        <w:pStyle w:val="H2"/>
        <w:shd w:val="clear" w:color="000000" w:fill="auto"/>
        <w:spacing w:after="240" w:line="240" w:lineRule="atLeast"/>
        <w:ind w:left="0" w:firstLine="0"/>
        <w:rPr>
          <w:rFonts w:ascii="Arial" w:hAnsi="Arial" w:cs="Arial"/>
          <w:bCs/>
          <w:lang w:val="en-GB"/>
        </w:rPr>
      </w:pPr>
      <w:r w:rsidRPr="00A47719">
        <w:rPr>
          <w:rFonts w:ascii="Arial" w:hAnsi="Arial" w:cs="Arial" w:hint="eastAsia"/>
          <w:bCs/>
          <w:lang w:val="en-GB"/>
        </w:rPr>
        <w:t>Photophysical Properties</w:t>
      </w:r>
    </w:p>
    <w:p w14:paraId="38A26516" w14:textId="1976E0CB" w:rsidR="00D240DA" w:rsidRPr="00A47719" w:rsidRDefault="00D361DA">
      <w:pPr>
        <w:pStyle w:val="P1"/>
        <w:spacing w:line="240" w:lineRule="atLeast"/>
        <w:ind w:firstLineChars="200" w:firstLine="400"/>
        <w:rPr>
          <w:rFonts w:eastAsiaTheme="minorEastAsia" w:cs="Arial"/>
          <w:sz w:val="20"/>
          <w:szCs w:val="20"/>
          <w:lang w:eastAsia="zh-CN"/>
        </w:rPr>
      </w:pPr>
      <w:r w:rsidRPr="00A47719">
        <w:rPr>
          <w:rFonts w:eastAsiaTheme="minorEastAsia" w:cs="Arial"/>
          <w:sz w:val="20"/>
          <w:szCs w:val="20"/>
          <w:lang w:eastAsia="zh-CN"/>
        </w:rPr>
        <w:lastRenderedPageBreak/>
        <w:t>The pronounced antenna effect in pyrene-based TPA molecules arises when TPA units occupy the active 1-, 3-, 6-, and 8-positions along with the K-region (5,9-positions) of the pyrene core.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[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22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]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This effect is characterized by a strong correlation between the number of TPA antenna moieties and key photophysical parameters, including the ε, emission profiles, photoluminescence quantum yield (Φ</w:t>
      </w:r>
      <w:r w:rsidRPr="00A47719">
        <w:rPr>
          <w:rFonts w:eastAsiaTheme="minorEastAsia" w:cs="Arial"/>
          <w:sz w:val="20"/>
          <w:szCs w:val="20"/>
          <w:vertAlign w:val="subscript"/>
          <w:lang w:eastAsia="zh-CN"/>
        </w:rPr>
        <w:t>PL</w:t>
      </w:r>
      <w:r w:rsidRPr="00A47719">
        <w:rPr>
          <w:rFonts w:eastAsiaTheme="minorEastAsia" w:cs="Arial"/>
          <w:sz w:val="20"/>
          <w:szCs w:val="20"/>
          <w:lang w:eastAsia="zh-CN"/>
        </w:rPr>
        <w:t>), and two-photon absorption cross-section in solution.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[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22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]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To elucidate the antenna effect in these TPA-decorated pyrene derivatives</w:t>
      </w:r>
      <w:r w:rsidR="00BB073A" w:rsidRPr="00A47719">
        <w:rPr>
          <w:rFonts w:eastAsiaTheme="minorEastAsia" w:cs="Arial"/>
          <w:sz w:val="20"/>
          <w:szCs w:val="20"/>
          <w:lang w:eastAsia="zh-CN"/>
        </w:rPr>
        <w:t>, namely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PyTPA-9C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,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PyTPA-10C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and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PyTPA-13C</w:t>
      </w:r>
      <w:r w:rsidRPr="00A47719">
        <w:rPr>
          <w:rFonts w:eastAsiaTheme="minorEastAsia" w:cs="Arial"/>
          <w:sz w:val="20"/>
          <w:szCs w:val="20"/>
          <w:lang w:eastAsia="zh-CN"/>
        </w:rPr>
        <w:t>, their UV-vis absorption and PL spectra were recorded in THF solution (10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-5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M) and in the solid-state (Figure 3).  </w:t>
      </w:r>
      <w:proofErr w:type="gramStart"/>
      <w:r w:rsidRPr="00A47719">
        <w:rPr>
          <w:rFonts w:eastAsiaTheme="minorEastAsia" w:cs="Arial"/>
          <w:sz w:val="20"/>
          <w:szCs w:val="20"/>
          <w:lang w:eastAsia="zh-CN"/>
        </w:rPr>
        <w:t>Similar to</w:t>
      </w:r>
      <w:proofErr w:type="gramEnd"/>
      <w:r w:rsidRPr="00A47719">
        <w:rPr>
          <w:rFonts w:eastAsiaTheme="minorEastAsia" w:cs="Arial"/>
          <w:sz w:val="20"/>
          <w:szCs w:val="20"/>
          <w:lang w:eastAsia="zh-CN"/>
        </w:rPr>
        <w:t xml:space="preserve"> the precursor </w:t>
      </w:r>
      <w:proofErr w:type="spellStart"/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</w:t>
      </w:r>
      <w:proofErr w:type="spellEnd"/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-</w:t>
      </w:r>
      <w:proofErr w:type="gramStart"/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OH</w:t>
      </w:r>
      <w:r w:rsidRPr="00A47719">
        <w:rPr>
          <w:rFonts w:eastAsiaTheme="minorEastAsia" w:cs="Arial"/>
          <w:sz w:val="20"/>
          <w:szCs w:val="20"/>
          <w:lang w:eastAsia="zh-CN"/>
        </w:rPr>
        <w:t>,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[</w:t>
      </w:r>
      <w:proofErr w:type="gramEnd"/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18,22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]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all </w:t>
      </w:r>
      <w:r w:rsidR="00BB073A" w:rsidRPr="00A47719">
        <w:rPr>
          <w:rFonts w:eastAsiaTheme="minorEastAsia" w:cs="Arial"/>
          <w:sz w:val="20"/>
          <w:szCs w:val="20"/>
          <w:lang w:eastAsia="zh-CN"/>
        </w:rPr>
        <w:t xml:space="preserve">the </w:t>
      </w:r>
      <w:r w:rsidRPr="00A47719">
        <w:rPr>
          <w:rFonts w:eastAsiaTheme="minorEastAsia" w:cs="Arial"/>
          <w:sz w:val="20"/>
          <w:szCs w:val="20"/>
          <w:lang w:eastAsia="zh-CN"/>
        </w:rPr>
        <w:t>TPA-decorated pyrenes exhibit two characteristic absorption bands at 260-320 nm and 380-430 nm, with near identical maxima at 304-305 nm and 411-414 nm, respectively. A near-linear coefficient (ε, R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2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= 0.919) is observed for the molar absorption coefficient, which increases in the order: </w:t>
      </w:r>
      <w:proofErr w:type="spellStart"/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</w:t>
      </w:r>
      <w:proofErr w:type="spellEnd"/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 xml:space="preserve">-OH </w:t>
      </w:r>
      <w:r w:rsidRPr="00A47719">
        <w:rPr>
          <w:rFonts w:eastAsiaTheme="minorEastAsia" w:cs="Arial"/>
          <w:sz w:val="20"/>
          <w:szCs w:val="20"/>
          <w:lang w:eastAsia="zh-CN"/>
        </w:rPr>
        <w:t>(81000 M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−1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cm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−1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) &lt;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PyTPA-9C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(187000 M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−1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cm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−1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) &lt;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PyTPA-13C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(231000 M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−1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cm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−1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) &lt;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 xml:space="preserve">PyTPA-10C </w:t>
      </w:r>
      <w:r w:rsidRPr="00A47719">
        <w:rPr>
          <w:rFonts w:eastAsiaTheme="minorEastAsia" w:cs="Arial"/>
          <w:sz w:val="20"/>
          <w:szCs w:val="20"/>
          <w:lang w:eastAsia="zh-CN"/>
        </w:rPr>
        <w:t>(240000 M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−1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cm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−1</w:t>
      </w:r>
      <w:r w:rsidRPr="00A47719">
        <w:rPr>
          <w:rFonts w:eastAsiaTheme="minorEastAsia" w:cs="Arial"/>
          <w:sz w:val="20"/>
          <w:szCs w:val="20"/>
          <w:lang w:eastAsia="zh-CN"/>
        </w:rPr>
        <w:t>). The slightly reduced ε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>value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>for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 xml:space="preserve"> PyTPA-13C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is likely due to the increased configurational flexibility induced by its long </w:t>
      </w:r>
      <w:r w:rsidRPr="00A47719">
        <w:rPr>
          <w:rFonts w:eastAsiaTheme="minorEastAsia" w:cs="Arial"/>
          <w:i/>
          <w:iCs/>
          <w:sz w:val="20"/>
          <w:szCs w:val="20"/>
          <w:lang w:eastAsia="zh-CN"/>
        </w:rPr>
        <w:t>n</w:t>
      </w:r>
      <w:r w:rsidRPr="00A47719">
        <w:rPr>
          <w:rFonts w:eastAsiaTheme="minorEastAsia" w:cs="Arial"/>
          <w:sz w:val="20"/>
          <w:szCs w:val="20"/>
          <w:lang w:eastAsia="zh-CN"/>
        </w:rPr>
        <w:t>-</w:t>
      </w:r>
      <w:proofErr w:type="spellStart"/>
      <w:r w:rsidRPr="00A47719">
        <w:rPr>
          <w:rFonts w:eastAsiaTheme="minorEastAsia" w:cs="Arial"/>
          <w:sz w:val="20"/>
          <w:szCs w:val="20"/>
          <w:lang w:eastAsia="zh-CN"/>
        </w:rPr>
        <w:t>tridecanyl</w:t>
      </w:r>
      <w:proofErr w:type="spellEnd"/>
      <w:r w:rsidRPr="00A47719">
        <w:rPr>
          <w:rFonts w:eastAsiaTheme="minorEastAsia" w:cs="Arial"/>
          <w:sz w:val="20"/>
          <w:szCs w:val="20"/>
          <w:lang w:eastAsia="zh-CN"/>
        </w:rPr>
        <w:t xml:space="preserve"> bridge. </w:t>
      </w:r>
    </w:p>
    <w:p w14:paraId="490CBE1B" w14:textId="7E5D7737" w:rsidR="00D240DA" w:rsidRPr="00A47719" w:rsidRDefault="00D361DA">
      <w:pPr>
        <w:pStyle w:val="P1"/>
        <w:spacing w:line="240" w:lineRule="atLeast"/>
        <w:ind w:firstLineChars="200" w:firstLine="400"/>
        <w:rPr>
          <w:rFonts w:eastAsiaTheme="minorEastAsia" w:cs="Arial"/>
          <w:sz w:val="20"/>
          <w:szCs w:val="20"/>
          <w:lang w:eastAsia="zh-CN"/>
        </w:rPr>
      </w:pPr>
      <w:r w:rsidRPr="00A47719">
        <w:rPr>
          <w:rFonts w:eastAsiaTheme="minorEastAsia" w:cs="Arial"/>
          <w:sz w:val="20"/>
          <w:szCs w:val="20"/>
          <w:lang w:eastAsia="zh-CN"/>
        </w:rPr>
        <w:t xml:space="preserve">Upon excitation in THF solution, these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compounds exhibit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bright green emission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,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with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peak wavelengths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at 507 nm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(</w:t>
      </w:r>
      <w:proofErr w:type="spellStart"/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</w:t>
      </w:r>
      <w:proofErr w:type="spellEnd"/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-OH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),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509 nm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(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PyTPA-9C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),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512 nm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(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PyTPA-10C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),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and 510 nm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(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PyTPA-13C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)</w:t>
      </w:r>
      <w:r w:rsidRPr="00A47719">
        <w:rPr>
          <w:rFonts w:eastAsiaTheme="minorEastAsia" w:cs="Arial"/>
          <w:sz w:val="20"/>
          <w:szCs w:val="20"/>
          <w:lang w:eastAsia="zh-CN"/>
        </w:rPr>
        <w:t>. Th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e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Φ</w:t>
      </w:r>
      <w:r w:rsidRPr="00A47719">
        <w:rPr>
          <w:rFonts w:eastAsiaTheme="minorEastAsia" w:cs="Arial" w:hint="eastAsia"/>
          <w:sz w:val="20"/>
          <w:szCs w:val="20"/>
          <w:vertAlign w:val="subscript"/>
          <w:lang w:eastAsia="zh-CN"/>
        </w:rPr>
        <w:t>P</w:t>
      </w:r>
      <w:r w:rsidRPr="00A47719">
        <w:rPr>
          <w:rFonts w:eastAsiaTheme="minorEastAsia" w:cs="Arial"/>
          <w:sz w:val="20"/>
          <w:szCs w:val="20"/>
          <w:vertAlign w:val="subscript"/>
          <w:lang w:eastAsia="zh-CN"/>
        </w:rPr>
        <w:t>L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increas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es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from 0.74 for </w:t>
      </w:r>
      <w:proofErr w:type="spellStart"/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</w:t>
      </w:r>
      <w:proofErr w:type="spellEnd"/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 xml:space="preserve">-OH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to 0.82 for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PyTPA-13C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. These results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confirm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that the alkyl chain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functionalization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at the 2-position of pyrene does not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disrupt the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inherent antenna properties. Following the brightness equation (</w:t>
      </w:r>
      <w:bookmarkStart w:id="18" w:name="_Hlk218547434"/>
      <w:r w:rsidRPr="00A47719">
        <w:rPr>
          <w:rFonts w:eastAsiaTheme="minorEastAsia" w:cs="Arial"/>
          <w:sz w:val="20"/>
          <w:szCs w:val="20"/>
          <w:lang w:eastAsia="zh-CN"/>
        </w:rPr>
        <w:t>B = Φ</w:t>
      </w:r>
      <w:r w:rsidRPr="00A47719">
        <w:rPr>
          <w:rFonts w:eastAsiaTheme="minorEastAsia" w:cs="Arial"/>
          <w:sz w:val="20"/>
          <w:szCs w:val="20"/>
          <w:vertAlign w:val="subscript"/>
          <w:lang w:eastAsia="zh-CN"/>
        </w:rPr>
        <w:t>PL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sym w:font="Symbol" w:char="F0B4"/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ε</w:t>
      </w:r>
      <w:bookmarkEnd w:id="18"/>
      <w:r w:rsidRPr="00A47719">
        <w:rPr>
          <w:rFonts w:eastAsiaTheme="minorEastAsia" w:cs="Arial"/>
          <w:sz w:val="20"/>
          <w:szCs w:val="20"/>
          <w:lang w:eastAsia="zh-CN"/>
        </w:rPr>
        <w:t>),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[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36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]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the overall brightness of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the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series generally rises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with the number of TPA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units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. </w:t>
      </w:r>
      <w:r w:rsidRPr="00A47719">
        <w:rPr>
          <w:rFonts w:eastAsiaTheme="minorEastAsia" w:cs="Arial"/>
          <w:sz w:val="20"/>
          <w:szCs w:val="20"/>
          <w:lang w:eastAsia="zh-CN"/>
        </w:rPr>
        <w:t>Enhancing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>molecular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planarity further contributes to a higher brightness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value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, achieving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the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maximum brightness </w:t>
      </w:r>
      <w:r w:rsidRPr="00A47719">
        <w:rPr>
          <w:rFonts w:eastAsiaTheme="minorEastAsia" w:cs="Arial"/>
          <w:sz w:val="20"/>
          <w:szCs w:val="20"/>
          <w:lang w:eastAsia="zh-CN"/>
        </w:rPr>
        <w:t>of 121,180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for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PyTPA-10C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(Table 1)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, </w:t>
      </w:r>
      <w:r w:rsidRPr="00A47719">
        <w:rPr>
          <w:rFonts w:eastAsiaTheme="minorEastAsia" w:cs="Arial"/>
          <w:sz w:val="20"/>
          <w:szCs w:val="20"/>
          <w:lang w:eastAsia="zh-CN"/>
        </w:rPr>
        <w:t>directly quantifying its optimal light-harvesting capacity.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</w:t>
      </w:r>
      <w:r w:rsidR="00B20D5B" w:rsidRPr="00B20D5B">
        <w:rPr>
          <w:rFonts w:eastAsiaTheme="minorEastAsia" w:cs="Arial"/>
          <w:color w:val="0000FF"/>
          <w:sz w:val="20"/>
          <w:szCs w:val="20"/>
          <w:lang w:eastAsia="zh-CN"/>
        </w:rPr>
        <w:t xml:space="preserve">Additionally, these three compounds exhibit a </w:t>
      </w:r>
      <w:proofErr w:type="spellStart"/>
      <w:r w:rsidR="00B20D5B" w:rsidRPr="00B20D5B">
        <w:rPr>
          <w:rFonts w:eastAsiaTheme="minorEastAsia" w:cs="Arial"/>
          <w:color w:val="0000FF"/>
          <w:sz w:val="20"/>
          <w:szCs w:val="20"/>
          <w:lang w:eastAsia="zh-CN"/>
        </w:rPr>
        <w:t>solvatochromic</w:t>
      </w:r>
      <w:proofErr w:type="spellEnd"/>
      <w:r w:rsidR="00B20D5B" w:rsidRPr="00B20D5B">
        <w:rPr>
          <w:rFonts w:eastAsiaTheme="minorEastAsia" w:cs="Arial"/>
          <w:color w:val="0000FF"/>
          <w:sz w:val="20"/>
          <w:szCs w:val="20"/>
          <w:lang w:eastAsia="zh-CN"/>
        </w:rPr>
        <w:t xml:space="preserve"> trend </w:t>
      </w:r>
      <w:proofErr w:type="gramStart"/>
      <w:r w:rsidR="00B20D5B" w:rsidRPr="00B20D5B">
        <w:rPr>
          <w:rFonts w:eastAsiaTheme="minorEastAsia" w:cs="Arial"/>
          <w:color w:val="0000FF"/>
          <w:sz w:val="20"/>
          <w:szCs w:val="20"/>
          <w:lang w:eastAsia="zh-CN"/>
        </w:rPr>
        <w:t>similar to</w:t>
      </w:r>
      <w:proofErr w:type="gramEnd"/>
      <w:r w:rsidR="00B20D5B" w:rsidRPr="00B20D5B">
        <w:rPr>
          <w:rFonts w:eastAsiaTheme="minorEastAsia" w:cs="Arial"/>
          <w:color w:val="0000FF"/>
          <w:sz w:val="20"/>
          <w:szCs w:val="20"/>
          <w:lang w:eastAsia="zh-CN"/>
        </w:rPr>
        <w:t xml:space="preserve"> that of their precursor, </w:t>
      </w:r>
      <w:proofErr w:type="spellStart"/>
      <w:r w:rsidR="00B20D5B" w:rsidRPr="00B20D5B">
        <w:rPr>
          <w:rFonts w:eastAsiaTheme="minorEastAsia" w:cs="Arial"/>
          <w:b/>
          <w:bCs/>
          <w:color w:val="0000FF"/>
          <w:sz w:val="20"/>
          <w:szCs w:val="20"/>
          <w:lang w:eastAsia="zh-CN"/>
        </w:rPr>
        <w:t>PyTPA</w:t>
      </w:r>
      <w:proofErr w:type="spellEnd"/>
      <w:r w:rsidR="00B20D5B" w:rsidRPr="00B20D5B">
        <w:rPr>
          <w:rFonts w:eastAsiaTheme="minorEastAsia" w:cs="Arial"/>
          <w:b/>
          <w:bCs/>
          <w:color w:val="0000FF"/>
          <w:sz w:val="20"/>
          <w:szCs w:val="20"/>
          <w:lang w:eastAsia="zh-CN"/>
        </w:rPr>
        <w:t>-</w:t>
      </w:r>
      <w:proofErr w:type="gramStart"/>
      <w:r w:rsidR="00B20D5B" w:rsidRPr="00B20D5B">
        <w:rPr>
          <w:rFonts w:eastAsiaTheme="minorEastAsia" w:cs="Arial"/>
          <w:b/>
          <w:bCs/>
          <w:color w:val="0000FF"/>
          <w:sz w:val="20"/>
          <w:szCs w:val="20"/>
          <w:lang w:eastAsia="zh-CN"/>
        </w:rPr>
        <w:t>OH</w:t>
      </w:r>
      <w:r w:rsidR="00B20D5B" w:rsidRPr="00B20D5B">
        <w:rPr>
          <w:rFonts w:eastAsiaTheme="minorEastAsia" w:cs="Arial" w:hint="eastAsia"/>
          <w:color w:val="0000FF"/>
          <w:sz w:val="20"/>
          <w:szCs w:val="20"/>
          <w:vertAlign w:val="superscript"/>
          <w:lang w:eastAsia="zh-CN"/>
        </w:rPr>
        <w:t>[</w:t>
      </w:r>
      <w:proofErr w:type="gramEnd"/>
      <w:r w:rsidR="00B20D5B" w:rsidRPr="00B20D5B">
        <w:rPr>
          <w:rFonts w:eastAsiaTheme="minorEastAsia" w:cs="Arial" w:hint="eastAsia"/>
          <w:color w:val="0000FF"/>
          <w:sz w:val="20"/>
          <w:szCs w:val="20"/>
          <w:vertAlign w:val="superscript"/>
          <w:lang w:eastAsia="zh-CN"/>
        </w:rPr>
        <w:t>18,22]</w:t>
      </w:r>
      <w:r w:rsidR="00B20D5B" w:rsidRPr="00B20D5B">
        <w:rPr>
          <w:rFonts w:eastAsiaTheme="minorEastAsia" w:cs="Arial" w:hint="eastAsia"/>
          <w:b/>
          <w:bCs/>
          <w:color w:val="0000FF"/>
          <w:sz w:val="20"/>
          <w:szCs w:val="20"/>
          <w:lang w:eastAsia="zh-CN"/>
        </w:rPr>
        <w:t xml:space="preserve"> </w:t>
      </w:r>
      <w:r w:rsidR="00B20D5B" w:rsidRPr="00B20D5B">
        <w:rPr>
          <w:rFonts w:eastAsiaTheme="minorEastAsia" w:cs="Arial" w:hint="eastAsia"/>
          <w:color w:val="0000FF"/>
          <w:sz w:val="20"/>
          <w:szCs w:val="20"/>
          <w:lang w:eastAsia="zh-CN"/>
        </w:rPr>
        <w:t>(Figure S14-S16, Table S2)</w:t>
      </w:r>
      <w:r w:rsidR="00B20D5B" w:rsidRPr="00B20D5B">
        <w:rPr>
          <w:rFonts w:eastAsiaTheme="minorEastAsia" w:cs="Arial"/>
          <w:color w:val="0000FF"/>
          <w:sz w:val="20"/>
          <w:szCs w:val="20"/>
          <w:lang w:eastAsia="zh-CN"/>
        </w:rPr>
        <w:t>.</w:t>
      </w:r>
      <w:r w:rsidR="00B20D5B">
        <w:rPr>
          <w:rFonts w:eastAsiaTheme="minorEastAsia" w:cs="Arial" w:hint="eastAsia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>The above results indicate that the pronounced antenna effect in these TPA-decorated pyrene derivatives is quantitatively defined by a positive correlation between the number of TPA antenna moieties and key photophysical parameters, which offers a quantitative foundation</w:t>
      </w:r>
      <w:r w:rsidR="00BB073A" w:rsidRPr="00A47719">
        <w:rPr>
          <w:rFonts w:eastAsiaTheme="minorEastAsia" w:cs="Arial"/>
          <w:sz w:val="20"/>
          <w:szCs w:val="20"/>
          <w:lang w:eastAsia="zh-CN"/>
        </w:rPr>
        <w:t xml:space="preserve"> for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linking the molecular design to</w:t>
      </w:r>
      <w:r w:rsidR="00BB073A" w:rsidRPr="00A47719">
        <w:rPr>
          <w:rFonts w:eastAsiaTheme="minorEastAsia" w:cs="Arial"/>
          <w:sz w:val="20"/>
          <w:szCs w:val="20"/>
          <w:lang w:eastAsia="zh-CN"/>
        </w:rPr>
        <w:t xml:space="preserve"> the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intrinsic optoelectronic properties via </w:t>
      </w:r>
      <w:r w:rsidR="00BB073A" w:rsidRPr="00A47719">
        <w:rPr>
          <w:rFonts w:eastAsiaTheme="minorEastAsia" w:cs="Arial"/>
          <w:sz w:val="20"/>
          <w:szCs w:val="20"/>
          <w:lang w:eastAsia="zh-CN"/>
        </w:rPr>
        <w:t xml:space="preserve">the </w:t>
      </w:r>
      <w:r w:rsidRPr="00A47719">
        <w:rPr>
          <w:rFonts w:eastAsiaTheme="minorEastAsia" w:cs="Arial"/>
          <w:sz w:val="20"/>
          <w:szCs w:val="20"/>
          <w:lang w:eastAsia="zh-CN"/>
        </w:rPr>
        <w:t>antenna effect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.</w:t>
      </w:r>
      <w:r w:rsidR="00B20D5B">
        <w:rPr>
          <w:rFonts w:eastAsiaTheme="minorEastAsia" w:cs="Arial" w:hint="eastAsia"/>
          <w:sz w:val="20"/>
          <w:szCs w:val="20"/>
          <w:lang w:eastAsia="zh-CN"/>
        </w:rPr>
        <w:t xml:space="preserve"> </w:t>
      </w:r>
    </w:p>
    <w:p w14:paraId="08E5E5BB" w14:textId="77777777" w:rsidR="00D240DA" w:rsidRPr="00A47719" w:rsidRDefault="00D361DA">
      <w:pPr>
        <w:pStyle w:val="P1"/>
        <w:spacing w:before="240" w:after="240" w:line="240" w:lineRule="atLeast"/>
        <w:jc w:val="center"/>
        <w:rPr>
          <w:rFonts w:eastAsiaTheme="minorEastAsia" w:cs="Arial"/>
          <w:sz w:val="20"/>
          <w:szCs w:val="20"/>
          <w:lang w:eastAsia="zh-CN"/>
        </w:rPr>
      </w:pPr>
      <w:r w:rsidRPr="00A47719">
        <w:rPr>
          <w:rFonts w:eastAsiaTheme="minorEastAsia" w:cs="Arial"/>
          <w:noProof/>
          <w:sz w:val="20"/>
          <w:szCs w:val="20"/>
          <w:lang w:eastAsia="zh-CN"/>
        </w:rPr>
        <w:drawing>
          <wp:inline distT="0" distB="0" distL="0" distR="0" wp14:anchorId="4E1F9DAC" wp14:editId="2DF09E89">
            <wp:extent cx="4800600" cy="4392930"/>
            <wp:effectExtent l="0" t="0" r="0" b="7620"/>
            <wp:docPr id="16160403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040353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7725" cy="440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AFB31" w14:textId="77777777" w:rsidR="00D240DA" w:rsidRPr="00A47719" w:rsidRDefault="00D361DA">
      <w:pPr>
        <w:pStyle w:val="P1"/>
        <w:spacing w:before="240" w:after="240" w:line="240" w:lineRule="atLeast"/>
        <w:rPr>
          <w:rFonts w:eastAsiaTheme="minorEastAsia" w:cs="Arial"/>
          <w:sz w:val="20"/>
          <w:szCs w:val="20"/>
          <w:lang w:eastAsia="zh-CN"/>
        </w:rPr>
      </w:pPr>
      <w:r w:rsidRPr="00A47719">
        <w:rPr>
          <w:rFonts w:eastAsiaTheme="minorEastAsia" w:cs="Arial" w:hint="eastAsia"/>
          <w:b/>
          <w:bCs/>
          <w:sz w:val="16"/>
          <w:szCs w:val="16"/>
          <w:lang w:eastAsia="zh-CN"/>
        </w:rPr>
        <w:t>Figure 3</w:t>
      </w:r>
      <w:r w:rsidRPr="00A47719">
        <w:rPr>
          <w:rFonts w:eastAsiaTheme="minorEastAsia" w:cs="Arial" w:hint="eastAsia"/>
          <w:sz w:val="16"/>
          <w:szCs w:val="16"/>
          <w:lang w:eastAsia="zh-CN"/>
        </w:rPr>
        <w:t xml:space="preserve">. 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(A) UV−vis absorption </w:t>
      </w:r>
      <w:r w:rsidRPr="00A47719">
        <w:rPr>
          <w:rFonts w:eastAsiaTheme="minorEastAsia" w:cs="Arial" w:hint="eastAsia"/>
          <w:sz w:val="16"/>
          <w:szCs w:val="16"/>
          <w:lang w:eastAsia="zh-CN"/>
        </w:rPr>
        <w:t xml:space="preserve">and emission </w:t>
      </w:r>
      <w:r w:rsidRPr="00A47719">
        <w:rPr>
          <w:rFonts w:eastAsiaTheme="minorEastAsia" w:cs="Arial"/>
          <w:sz w:val="16"/>
          <w:szCs w:val="16"/>
          <w:lang w:eastAsia="zh-CN"/>
        </w:rPr>
        <w:t>spectra</w:t>
      </w:r>
      <w:r w:rsidRPr="00A47719">
        <w:rPr>
          <w:rFonts w:eastAsiaTheme="minorEastAsia" w:cs="Arial" w:hint="eastAsia"/>
          <w:sz w:val="16"/>
          <w:szCs w:val="16"/>
          <w:lang w:eastAsia="zh-CN"/>
        </w:rPr>
        <w:t xml:space="preserve"> of </w:t>
      </w:r>
      <w:bookmarkStart w:id="19" w:name="_Hlk217421930"/>
      <w:r w:rsidRPr="00A47719">
        <w:rPr>
          <w:rFonts w:eastAsiaTheme="minorEastAsia" w:cs="Arial" w:hint="eastAsia"/>
          <w:sz w:val="16"/>
          <w:szCs w:val="16"/>
          <w:lang w:eastAsia="zh-CN"/>
        </w:rPr>
        <w:t xml:space="preserve">pyrene-based </w:t>
      </w:r>
      <w:r w:rsidRPr="00A47719">
        <w:rPr>
          <w:rFonts w:eastAsiaTheme="minorEastAsia" w:cs="Arial"/>
          <w:sz w:val="16"/>
          <w:szCs w:val="16"/>
          <w:lang w:eastAsia="zh-CN"/>
        </w:rPr>
        <w:t>antenna molecules</w:t>
      </w:r>
      <w:bookmarkEnd w:id="19"/>
      <w:r w:rsidRPr="00A47719">
        <w:rPr>
          <w:rFonts w:eastAsiaTheme="minorEastAsia" w:cs="Arial" w:hint="eastAsia"/>
          <w:sz w:val="16"/>
          <w:szCs w:val="16"/>
          <w:lang w:eastAsia="zh-CN"/>
        </w:rPr>
        <w:t xml:space="preserve"> </w:t>
      </w:r>
      <w:r w:rsidRPr="00A47719">
        <w:rPr>
          <w:rFonts w:eastAsiaTheme="minorEastAsia" w:cs="Arial" w:hint="eastAsia"/>
          <w:b/>
          <w:bCs/>
          <w:sz w:val="16"/>
          <w:szCs w:val="16"/>
          <w:lang w:eastAsia="zh-CN"/>
        </w:rPr>
        <w:t>Py-TPA-OH</w:t>
      </w:r>
      <w:r w:rsidRPr="00A47719">
        <w:rPr>
          <w:rFonts w:eastAsiaTheme="minorEastAsia" w:cs="Arial" w:hint="eastAsia"/>
          <w:sz w:val="16"/>
          <w:szCs w:val="16"/>
          <w:lang w:eastAsia="zh-CN"/>
        </w:rPr>
        <w:t xml:space="preserve">, </w:t>
      </w:r>
      <w:r w:rsidRPr="00A47719">
        <w:rPr>
          <w:rFonts w:eastAsiaTheme="minorEastAsia" w:cs="Arial"/>
          <w:b/>
          <w:bCs/>
          <w:sz w:val="16"/>
          <w:szCs w:val="16"/>
          <w:lang w:eastAsia="zh-CN"/>
        </w:rPr>
        <w:t>PyTPA-9C</w:t>
      </w:r>
      <w:r w:rsidRPr="00A47719">
        <w:rPr>
          <w:rFonts w:eastAsiaTheme="minorEastAsia" w:cs="Arial" w:hint="eastAsia"/>
          <w:b/>
          <w:bCs/>
          <w:sz w:val="16"/>
          <w:szCs w:val="16"/>
          <w:lang w:eastAsia="zh-CN"/>
        </w:rPr>
        <w:t xml:space="preserve">, </w:t>
      </w:r>
      <w:r w:rsidRPr="00A47719">
        <w:rPr>
          <w:rFonts w:eastAsiaTheme="minorEastAsia" w:cs="Arial"/>
          <w:b/>
          <w:bCs/>
          <w:sz w:val="16"/>
          <w:szCs w:val="16"/>
          <w:lang w:eastAsia="zh-CN"/>
        </w:rPr>
        <w:t>PyTPA-13C</w:t>
      </w:r>
      <w:r w:rsidRPr="00A47719">
        <w:rPr>
          <w:rFonts w:eastAsiaTheme="minorEastAsia" w:cs="Arial" w:hint="eastAsia"/>
          <w:sz w:val="16"/>
          <w:szCs w:val="16"/>
          <w:lang w:eastAsia="zh-CN"/>
        </w:rPr>
        <w:t xml:space="preserve"> and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 </w:t>
      </w:r>
      <w:r w:rsidRPr="00A47719">
        <w:rPr>
          <w:rFonts w:eastAsiaTheme="minorEastAsia" w:cs="Arial"/>
          <w:b/>
          <w:bCs/>
          <w:sz w:val="16"/>
          <w:szCs w:val="16"/>
          <w:lang w:eastAsia="zh-CN"/>
        </w:rPr>
        <w:t>PyTPA-10C</w:t>
      </w:r>
      <w:r w:rsidRPr="00A47719">
        <w:rPr>
          <w:rFonts w:eastAsiaTheme="minorEastAsia" w:cs="Arial" w:hint="eastAsia"/>
          <w:b/>
          <w:bCs/>
          <w:sz w:val="16"/>
          <w:szCs w:val="16"/>
          <w:lang w:eastAsia="zh-CN"/>
        </w:rPr>
        <w:t xml:space="preserve"> 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in THF solution, (B) </w:t>
      </w:r>
      <w:r w:rsidRPr="00A47719">
        <w:rPr>
          <w:rFonts w:eastAsiaTheme="minorEastAsia" w:cs="Arial" w:hint="eastAsia"/>
          <w:sz w:val="16"/>
          <w:szCs w:val="16"/>
          <w:lang w:eastAsia="zh-CN"/>
        </w:rPr>
        <w:t xml:space="preserve">in the </w:t>
      </w:r>
      <w:r w:rsidRPr="00A47719">
        <w:rPr>
          <w:rFonts w:eastAsiaTheme="minorEastAsia" w:cs="Arial"/>
          <w:sz w:val="16"/>
          <w:szCs w:val="16"/>
          <w:lang w:eastAsia="zh-CN"/>
        </w:rPr>
        <w:t>solid</w:t>
      </w:r>
      <w:r w:rsidRPr="00A47719">
        <w:rPr>
          <w:rFonts w:eastAsiaTheme="minorEastAsia" w:cs="Arial" w:hint="eastAsia"/>
          <w:sz w:val="16"/>
          <w:szCs w:val="16"/>
          <w:lang w:eastAsia="zh-CN"/>
        </w:rPr>
        <w:t xml:space="preserve"> state, (C)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 emission spectra of compound </w:t>
      </w:r>
      <w:r w:rsidRPr="00A47719">
        <w:rPr>
          <w:rFonts w:eastAsiaTheme="minorEastAsia" w:cs="Arial"/>
          <w:b/>
          <w:bCs/>
          <w:sz w:val="16"/>
          <w:szCs w:val="16"/>
          <w:lang w:eastAsia="zh-CN"/>
        </w:rPr>
        <w:t>PyTPA-</w:t>
      </w:r>
      <w:r w:rsidRPr="00A47719">
        <w:rPr>
          <w:rFonts w:eastAsiaTheme="minorEastAsia" w:cs="Arial" w:hint="eastAsia"/>
          <w:b/>
          <w:bCs/>
          <w:sz w:val="16"/>
          <w:szCs w:val="16"/>
          <w:lang w:eastAsia="zh-CN"/>
        </w:rPr>
        <w:t>10</w:t>
      </w:r>
      <w:r w:rsidRPr="00A47719">
        <w:rPr>
          <w:rFonts w:eastAsiaTheme="minorEastAsia" w:cs="Arial"/>
          <w:b/>
          <w:bCs/>
          <w:sz w:val="16"/>
          <w:szCs w:val="16"/>
          <w:lang w:eastAsia="zh-CN"/>
        </w:rPr>
        <w:t>C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 in different polarity solvents</w:t>
      </w:r>
      <w:r w:rsidRPr="00A47719">
        <w:rPr>
          <w:rFonts w:eastAsiaTheme="minorEastAsia" w:cs="Arial" w:hint="eastAsia"/>
          <w:sz w:val="16"/>
          <w:szCs w:val="16"/>
          <w:lang w:eastAsia="zh-CN"/>
        </w:rPr>
        <w:t xml:space="preserve"> </w:t>
      </w:r>
      <w:r w:rsidRPr="00A47719">
        <w:rPr>
          <w:rFonts w:eastAsiaTheme="minorEastAsia" w:cs="Arial"/>
          <w:sz w:val="16"/>
          <w:szCs w:val="16"/>
          <w:lang w:eastAsia="zh-CN"/>
        </w:rPr>
        <w:t>(cyclohexane</w:t>
      </w:r>
      <w:r w:rsidRPr="00A47719">
        <w:rPr>
          <w:rFonts w:eastAsiaTheme="minorEastAsia" w:cs="Arial" w:hint="eastAsia"/>
          <w:sz w:val="16"/>
          <w:szCs w:val="16"/>
          <w:lang w:eastAsia="zh-CN"/>
        </w:rPr>
        <w:t xml:space="preserve"> </w:t>
      </w:r>
      <w:r w:rsidRPr="00A47719">
        <w:rPr>
          <w:rFonts w:eastAsiaTheme="minorEastAsia" w:cs="Arial"/>
          <w:sz w:val="16"/>
          <w:szCs w:val="16"/>
          <w:lang w:eastAsia="zh-CN"/>
        </w:rPr>
        <w:t>(Cy), 1,4-dioxane, THF, DMF, ACN, and DMSO, respectively)</w:t>
      </w:r>
      <w:r w:rsidRPr="00A47719">
        <w:rPr>
          <w:rFonts w:eastAsiaTheme="minorEastAsia" w:cs="Arial" w:hint="eastAsia"/>
          <w:sz w:val="16"/>
          <w:szCs w:val="16"/>
          <w:lang w:eastAsia="zh-CN"/>
        </w:rPr>
        <w:t xml:space="preserve"> (D) fluorescence quantum yield.</w:t>
      </w:r>
    </w:p>
    <w:p w14:paraId="2009C5FA" w14:textId="13B0D3A2" w:rsidR="00D240DA" w:rsidRPr="00A47719" w:rsidRDefault="00D361DA">
      <w:pPr>
        <w:pStyle w:val="P1"/>
        <w:spacing w:before="240" w:after="240" w:line="240" w:lineRule="atLeast"/>
        <w:ind w:firstLineChars="200" w:firstLine="400"/>
        <w:rPr>
          <w:rFonts w:eastAsiaTheme="minorEastAsia" w:cs="Arial"/>
          <w:sz w:val="20"/>
          <w:szCs w:val="20"/>
          <w:lang w:eastAsia="zh-CN"/>
        </w:rPr>
      </w:pPr>
      <w:r w:rsidRPr="00A47719">
        <w:rPr>
          <w:rFonts w:eastAsiaTheme="minorEastAsia" w:cs="Arial"/>
          <w:sz w:val="20"/>
          <w:szCs w:val="20"/>
          <w:lang w:eastAsia="zh-CN"/>
        </w:rPr>
        <w:lastRenderedPageBreak/>
        <w:t xml:space="preserve">Upon aggregation,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all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compounds exhibit a red-shifted emission (&lt; 20 nm) relative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to their emission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spectra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, with peak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maxima </w:t>
      </w:r>
      <w:r w:rsidRPr="00A47719">
        <w:rPr>
          <w:rFonts w:eastAsiaTheme="minorEastAsia" w:cs="Arial"/>
          <w:sz w:val="20"/>
          <w:szCs w:val="20"/>
          <w:lang w:eastAsia="zh-CN"/>
        </w:rPr>
        <w:t>at 522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nm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(</w:t>
      </w:r>
      <w:bookmarkStart w:id="20" w:name="_Hlk203579995"/>
      <w:proofErr w:type="spellStart"/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</w:t>
      </w:r>
      <w:proofErr w:type="spellEnd"/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-OH</w:t>
      </w:r>
      <w:bookmarkEnd w:id="20"/>
      <w:r w:rsidRPr="00A47719">
        <w:rPr>
          <w:rFonts w:eastAsiaTheme="minorEastAsia" w:cs="Arial" w:hint="eastAsia"/>
          <w:sz w:val="20"/>
          <w:szCs w:val="20"/>
          <w:lang w:eastAsia="zh-CN"/>
        </w:rPr>
        <w:t>),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528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nm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(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PyTPA-9C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)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512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nm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(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PyTPA-10C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),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and 520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nm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(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PyTPA-13C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)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.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This spectral shift is accompanied by a pronounced decrease in </w:t>
      </w:r>
      <w:r w:rsidRPr="00A47719">
        <w:rPr>
          <w:rFonts w:eastAsiaTheme="minorEastAsia" w:cs="Arial"/>
          <w:sz w:val="20"/>
          <w:szCs w:val="20"/>
          <w:lang w:eastAsia="zh-CN"/>
        </w:rPr>
        <w:t>Φ</w:t>
      </w:r>
      <w:r w:rsidRPr="00A47719">
        <w:rPr>
          <w:rFonts w:eastAsiaTheme="minorEastAsia" w:cs="Arial" w:hint="eastAsia"/>
          <w:sz w:val="20"/>
          <w:szCs w:val="20"/>
          <w:vertAlign w:val="subscript"/>
          <w:lang w:eastAsia="zh-CN"/>
        </w:rPr>
        <w:t>P</w:t>
      </w:r>
      <w:r w:rsidRPr="00A47719">
        <w:rPr>
          <w:rFonts w:eastAsiaTheme="minorEastAsia" w:cs="Arial"/>
          <w:sz w:val="20"/>
          <w:szCs w:val="20"/>
          <w:vertAlign w:val="subscript"/>
          <w:lang w:eastAsia="zh-CN"/>
        </w:rPr>
        <w:t>L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, and </w:t>
      </w:r>
      <w:r w:rsidR="00BB073A" w:rsidRPr="00A47719">
        <w:rPr>
          <w:rFonts w:eastAsiaTheme="minorEastAsia" w:cs="Arial"/>
          <w:sz w:val="20"/>
          <w:szCs w:val="20"/>
          <w:lang w:eastAsia="zh-CN"/>
        </w:rPr>
        <w:t>a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significantly lower solid-state Φ</w:t>
      </w:r>
      <w:r w:rsidRPr="00A47719">
        <w:rPr>
          <w:rFonts w:eastAsiaTheme="minorEastAsia" w:cs="Arial"/>
          <w:sz w:val="20"/>
          <w:szCs w:val="20"/>
          <w:vertAlign w:val="subscript"/>
          <w:lang w:eastAsia="zh-CN"/>
        </w:rPr>
        <w:t xml:space="preserve">PL </w:t>
      </w:r>
      <w:r w:rsidR="00BB073A" w:rsidRPr="00A47719">
        <w:rPr>
          <w:rFonts w:eastAsiaTheme="minorEastAsia" w:cs="Arial"/>
          <w:sz w:val="20"/>
          <w:szCs w:val="20"/>
          <w:lang w:eastAsia="zh-CN"/>
        </w:rPr>
        <w:t>for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PyTPA-10C</w:t>
      </w:r>
      <w:r w:rsidRPr="00A47719">
        <w:rPr>
          <w:rFonts w:eastAsiaTheme="minorEastAsia" w:cs="Arial" w:hint="eastAsia"/>
          <w:b/>
          <w:bCs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(0.11) compared to others compounds (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featuring an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odd</w:t>
      </w:r>
      <w:r w:rsidRPr="00A47719">
        <w:rPr>
          <w:rFonts w:eastAsiaTheme="minorEastAsia" w:cs="Arial"/>
          <w:sz w:val="20"/>
          <w:szCs w:val="20"/>
          <w:lang w:eastAsia="zh-CN"/>
        </w:rPr>
        <w:t>-carbon decyl chain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).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X-ray diffraction (XRD) </w:t>
      </w:r>
      <w:r w:rsidR="00BB073A" w:rsidRPr="00A47719">
        <w:rPr>
          <w:rFonts w:eastAsiaTheme="minorEastAsia" w:cs="Arial"/>
          <w:sz w:val="20"/>
          <w:szCs w:val="20"/>
          <w:lang w:eastAsia="zh-CN"/>
        </w:rPr>
        <w:t>studies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on thin films of the three compounds have been </w:t>
      </w:r>
      <w:r w:rsidR="00BB073A" w:rsidRPr="00A47719">
        <w:rPr>
          <w:rFonts w:eastAsiaTheme="minorEastAsia" w:cs="Arial"/>
          <w:sz w:val="20"/>
          <w:szCs w:val="20"/>
          <w:lang w:eastAsia="zh-CN"/>
        </w:rPr>
        <w:t>conduct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ed. As shown in Figure S20, the data indicate that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PyTPA-9C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,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PyTPA-10C</w:t>
      </w:r>
      <w:r w:rsidRPr="00A47719">
        <w:rPr>
          <w:rFonts w:eastAsiaTheme="minorEastAsia" w:cs="Arial"/>
          <w:sz w:val="20"/>
          <w:szCs w:val="20"/>
          <w:lang w:eastAsia="zh-CN"/>
        </w:rPr>
        <w:t>, and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 xml:space="preserve"> PyTPA-13C </w:t>
      </w:r>
      <w:r w:rsidRPr="00A47719">
        <w:rPr>
          <w:rFonts w:eastAsiaTheme="minorEastAsia" w:cs="Arial"/>
          <w:sz w:val="20"/>
          <w:szCs w:val="20"/>
          <w:lang w:eastAsia="zh-CN"/>
        </w:rPr>
        <w:t>predominantly adopt an amorphous state in thin films, reflecting a disordered molecular packing. Concentration-dependent PL spectra (Figure S17) indicate that these compounds exhibit a less than 20 nm red-shifted emission as the concentration increased from 10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-7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to 10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-3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M, reflecting that the decreased Φ</w:t>
      </w:r>
      <w:r w:rsidRPr="00A47719">
        <w:rPr>
          <w:rFonts w:eastAsiaTheme="minorEastAsia" w:cs="Arial"/>
          <w:sz w:val="20"/>
          <w:szCs w:val="20"/>
          <w:vertAlign w:val="subscript"/>
          <w:lang w:eastAsia="zh-CN"/>
        </w:rPr>
        <w:t>PL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is not ascrib</w:t>
      </w:r>
      <w:r w:rsidR="00BB073A" w:rsidRPr="00A47719">
        <w:rPr>
          <w:rFonts w:eastAsiaTheme="minorEastAsia" w:cs="Arial"/>
          <w:sz w:val="20"/>
          <w:szCs w:val="20"/>
          <w:lang w:eastAsia="zh-CN"/>
        </w:rPr>
        <w:t>ed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to the intermolecular π-π stacking, Instead, it is consistent with strong intermolecular coupling and efficient non-radiative energy transfer pathways facilitated by its unique ladder-type packing and packing in the amorphous matrix (Figure S20)</w:t>
      </w:r>
      <w:r w:rsidR="00BB073A" w:rsidRPr="00A47719">
        <w:rPr>
          <w:rFonts w:eastAsiaTheme="minorEastAsia" w:cs="Arial"/>
          <w:sz w:val="20"/>
          <w:szCs w:val="20"/>
          <w:lang w:eastAsia="zh-CN"/>
        </w:rPr>
        <w:t xml:space="preserve">. This type </w:t>
      </w:r>
      <w:r w:rsidR="00B20D5B" w:rsidRPr="00A47719">
        <w:rPr>
          <w:rFonts w:eastAsiaTheme="minorEastAsia" w:cs="Arial"/>
          <w:sz w:val="20"/>
          <w:szCs w:val="20"/>
          <w:lang w:eastAsia="zh-CN"/>
        </w:rPr>
        <w:t>of typical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molecular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conformation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could promote hole transport in PSC device</w:t>
      </w:r>
      <w:r w:rsidR="00BB073A" w:rsidRPr="00A47719">
        <w:rPr>
          <w:rFonts w:eastAsiaTheme="minorEastAsia" w:cs="Arial"/>
          <w:sz w:val="20"/>
          <w:szCs w:val="20"/>
          <w:lang w:eastAsia="zh-CN"/>
        </w:rPr>
        <w:t>s</w:t>
      </w:r>
      <w:r w:rsidRPr="00A47719">
        <w:rPr>
          <w:rFonts w:eastAsiaTheme="minorEastAsia" w:cs="Arial"/>
          <w:sz w:val="20"/>
          <w:szCs w:val="20"/>
          <w:lang w:eastAsia="zh-CN"/>
        </w:rPr>
        <w:t>.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9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This favorable configuration is crucial, as it facilitates reduced defect density at the perovskite/HTM interface, thereby contributing to the superior performance of the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PyTPA-10C</w:t>
      </w:r>
      <w:r w:rsidRPr="00A47719">
        <w:rPr>
          <w:rFonts w:eastAsiaTheme="minorEastAsia" w:cs="Arial"/>
          <w:sz w:val="20"/>
          <w:szCs w:val="20"/>
          <w:lang w:eastAsia="zh-CN"/>
        </w:rPr>
        <w:t>-based PSC devices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(see below)</w:t>
      </w:r>
      <w:r w:rsidRPr="00A47719">
        <w:rPr>
          <w:rFonts w:eastAsiaTheme="minorEastAsia" w:cs="Arial"/>
          <w:sz w:val="20"/>
          <w:szCs w:val="20"/>
          <w:lang w:eastAsia="zh-CN"/>
        </w:rPr>
        <w:t>. The emission lifetime (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τ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) was investigated by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T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ime-resolved photoluminescent (TRPL)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measurements </w:t>
      </w:r>
      <w:r w:rsidRPr="00A47719">
        <w:rPr>
          <w:rFonts w:eastAsiaTheme="minorEastAsia" w:cs="Arial"/>
          <w:sz w:val="20"/>
          <w:szCs w:val="20"/>
          <w:lang w:eastAsia="zh-CN"/>
        </w:rPr>
        <w:t>in THF, which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reveal </w:t>
      </w:r>
      <w:r w:rsidRPr="00A47719">
        <w:rPr>
          <w:rFonts w:eastAsiaTheme="minorEastAsia" w:cs="Arial"/>
          <w:sz w:val="20"/>
          <w:szCs w:val="20"/>
          <w:lang w:eastAsia="zh-CN"/>
        </w:rPr>
        <w:t>mono-exponential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decay with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3.92-4.05 ns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upon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390 nm excitation.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In contrast, </w:t>
      </w:r>
      <w:r w:rsidRPr="00A47719">
        <w:rPr>
          <w:rFonts w:eastAsiaTheme="minorEastAsia" w:cs="Arial"/>
          <w:sz w:val="20"/>
          <w:szCs w:val="20"/>
          <w:lang w:eastAsia="zh-CN"/>
        </w:rPr>
        <w:t>the solid-state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lifetimes are reduced 1~3 fold (Figure S18)</w:t>
      </w:r>
      <w:r w:rsidRPr="00A47719">
        <w:rPr>
          <w:rFonts w:eastAsiaTheme="minorEastAsia" w:cs="Arial"/>
          <w:sz w:val="20"/>
          <w:szCs w:val="20"/>
          <w:lang w:eastAsia="zh-CN"/>
        </w:rPr>
        <w:t>. This marked shortening of the excited</w:t>
      </w:r>
      <w:r w:rsidRPr="00A47719">
        <w:rPr>
          <w:rFonts w:eastAsiaTheme="minorEastAsia" w:cs="Arial"/>
          <w:sz w:val="20"/>
          <w:szCs w:val="20"/>
          <w:lang w:eastAsia="zh-CN"/>
        </w:rPr>
        <w:noBreakHyphen/>
        <w:t>state lifetime further supports the presence of efficient non-radiative decay pathways in the aggregated state.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</w:t>
      </w:r>
    </w:p>
    <w:p w14:paraId="31FCC4D0" w14:textId="045D14DC" w:rsidR="00D240DA" w:rsidRPr="00A47719" w:rsidRDefault="00D361DA">
      <w:pPr>
        <w:pStyle w:val="P1"/>
        <w:spacing w:before="240" w:after="240" w:line="240" w:lineRule="atLeast"/>
        <w:jc w:val="center"/>
        <w:rPr>
          <w:rFonts w:eastAsiaTheme="minorEastAsia" w:cs="Arial"/>
          <w:sz w:val="16"/>
          <w:szCs w:val="16"/>
          <w:lang w:eastAsia="zh-CN"/>
        </w:rPr>
      </w:pPr>
      <w:r w:rsidRPr="00A47719">
        <w:rPr>
          <w:rFonts w:eastAsiaTheme="minorEastAsia" w:cs="Arial" w:hint="eastAsia"/>
          <w:b/>
          <w:bCs/>
          <w:sz w:val="16"/>
          <w:szCs w:val="16"/>
          <w:lang w:eastAsia="zh-CN"/>
        </w:rPr>
        <w:t>Table 1</w:t>
      </w:r>
      <w:r w:rsidR="00BB073A" w:rsidRPr="00A47719">
        <w:rPr>
          <w:rFonts w:eastAsiaTheme="minorEastAsia" w:cs="Arial"/>
          <w:b/>
          <w:bCs/>
          <w:sz w:val="16"/>
          <w:szCs w:val="16"/>
          <w:lang w:eastAsia="zh-CN"/>
        </w:rPr>
        <w:t>.</w:t>
      </w:r>
      <w:r w:rsidRPr="00A47719">
        <w:rPr>
          <w:rFonts w:eastAsiaTheme="minorEastAsia" w:cs="Arial" w:hint="eastAsia"/>
          <w:sz w:val="16"/>
          <w:szCs w:val="16"/>
          <w:lang w:eastAsia="zh-CN"/>
        </w:rPr>
        <w:t xml:space="preserve"> 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Summary of the electrochemical and optical properties of </w:t>
      </w:r>
      <w:proofErr w:type="spellStart"/>
      <w:r w:rsidRPr="00A47719">
        <w:rPr>
          <w:rFonts w:eastAsiaTheme="minorEastAsia" w:cs="Arial"/>
          <w:b/>
          <w:bCs/>
          <w:sz w:val="16"/>
          <w:szCs w:val="16"/>
          <w:lang w:eastAsia="zh-CN"/>
        </w:rPr>
        <w:t>PyTPA</w:t>
      </w:r>
      <w:proofErr w:type="spellEnd"/>
      <w:r w:rsidRPr="00A47719">
        <w:rPr>
          <w:rFonts w:eastAsiaTheme="minorEastAsia" w:cs="Arial"/>
          <w:b/>
          <w:bCs/>
          <w:sz w:val="16"/>
          <w:szCs w:val="16"/>
          <w:lang w:eastAsia="zh-CN"/>
        </w:rPr>
        <w:t>-OH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, </w:t>
      </w:r>
      <w:r w:rsidRPr="00A47719">
        <w:rPr>
          <w:rFonts w:eastAsiaTheme="minorEastAsia" w:cs="Arial"/>
          <w:b/>
          <w:bCs/>
          <w:sz w:val="16"/>
          <w:szCs w:val="16"/>
          <w:lang w:eastAsia="zh-CN"/>
        </w:rPr>
        <w:t>PyTPA-9C</w:t>
      </w:r>
      <w:r w:rsidRPr="00A47719">
        <w:rPr>
          <w:rFonts w:eastAsiaTheme="minorEastAsia" w:cs="Arial" w:hint="eastAsia"/>
          <w:sz w:val="16"/>
          <w:szCs w:val="16"/>
          <w:lang w:eastAsia="zh-CN"/>
        </w:rPr>
        <w:t xml:space="preserve">, </w:t>
      </w:r>
      <w:r w:rsidRPr="00A47719">
        <w:rPr>
          <w:rFonts w:eastAsiaTheme="minorEastAsia" w:cs="Arial"/>
          <w:b/>
          <w:bCs/>
          <w:sz w:val="16"/>
          <w:szCs w:val="16"/>
          <w:lang w:eastAsia="zh-CN"/>
        </w:rPr>
        <w:t>PyTPA-10C</w:t>
      </w:r>
      <w:r w:rsidRPr="00A47719">
        <w:rPr>
          <w:rFonts w:eastAsiaTheme="minorEastAsia" w:cs="Arial" w:hint="eastAsia"/>
          <w:sz w:val="16"/>
          <w:szCs w:val="16"/>
          <w:lang w:eastAsia="zh-CN"/>
        </w:rPr>
        <w:t xml:space="preserve">, and </w:t>
      </w:r>
      <w:r w:rsidRPr="00A47719">
        <w:rPr>
          <w:rFonts w:eastAsiaTheme="minorEastAsia" w:cs="Arial"/>
          <w:b/>
          <w:bCs/>
          <w:sz w:val="16"/>
          <w:szCs w:val="16"/>
          <w:lang w:eastAsia="zh-CN"/>
        </w:rPr>
        <w:t>PyTPA-13C</w:t>
      </w:r>
      <w:r w:rsidR="00BB073A" w:rsidRPr="00A47719">
        <w:rPr>
          <w:rFonts w:eastAsiaTheme="minorEastAsia" w:cs="Arial"/>
          <w:sz w:val="16"/>
          <w:szCs w:val="16"/>
          <w:lang w:eastAsia="zh-CN"/>
        </w:rPr>
        <w:t>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53"/>
        <w:gridCol w:w="1453"/>
        <w:gridCol w:w="1284"/>
        <w:gridCol w:w="1299"/>
        <w:gridCol w:w="1330"/>
        <w:gridCol w:w="1330"/>
        <w:gridCol w:w="905"/>
        <w:gridCol w:w="981"/>
      </w:tblGrid>
      <w:tr w:rsidR="00A47719" w:rsidRPr="00A47719" w14:paraId="24946D79" w14:textId="77777777">
        <w:trPr>
          <w:jc w:val="center"/>
        </w:trPr>
        <w:tc>
          <w:tcPr>
            <w:tcW w:w="13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91733DB" w14:textId="77777777" w:rsidR="00D240DA" w:rsidRPr="00A47719" w:rsidRDefault="00D361DA">
            <w:pPr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A47719">
              <w:rPr>
                <w:rFonts w:ascii="Arial" w:hAnsi="Arial" w:cs="Arial"/>
                <w:sz w:val="16"/>
                <w:szCs w:val="16"/>
              </w:rPr>
              <w:t>HTMs</w:t>
            </w:r>
          </w:p>
        </w:tc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14:paraId="1A2D3FAA" w14:textId="5605A320" w:rsidR="00D240DA" w:rsidRPr="00A47719" w:rsidRDefault="00D361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7719">
              <w:rPr>
                <w:rFonts w:ascii="Arial" w:hAnsi="Arial" w:cs="Arial"/>
                <w:sz w:val="16"/>
                <w:szCs w:val="16"/>
              </w:rPr>
              <w:t>λ</w:t>
            </w:r>
            <w:r w:rsidRPr="00A4771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A47719"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 abs</w:t>
            </w:r>
            <w:r w:rsidRPr="00A47719"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  <w:t xml:space="preserve"> (nm)</w:t>
            </w:r>
          </w:p>
          <w:p w14:paraId="54F00DD6" w14:textId="77777777" w:rsidR="00D240DA" w:rsidRPr="00A47719" w:rsidRDefault="00D361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7719">
              <w:rPr>
                <w:rFonts w:ascii="Arial" w:hAnsi="Arial" w:cs="Arial"/>
                <w:sz w:val="16"/>
                <w:szCs w:val="16"/>
              </w:rPr>
              <w:t>(</w:t>
            </w:r>
            <w:r w:rsidRPr="00A47719">
              <w:rPr>
                <w:rFonts w:ascii="Arial" w:hAnsi="Arial" w:cs="Arial"/>
                <w:i/>
                <w:iCs/>
                <w:sz w:val="16"/>
                <w:szCs w:val="16"/>
              </w:rPr>
              <w:t>ε</w:t>
            </w:r>
            <w:r w:rsidRPr="00A47719">
              <w:rPr>
                <w:rFonts w:ascii="Arial" w:eastAsiaTheme="minorEastAsia" w:hAnsi="Arial" w:cs="Arial" w:hint="eastAsia"/>
                <w:i/>
                <w:iCs/>
                <w:sz w:val="16"/>
                <w:szCs w:val="16"/>
                <w:lang w:eastAsia="zh-CN"/>
              </w:rPr>
              <w:t>,</w:t>
            </w:r>
            <w:r w:rsidRPr="00A47719">
              <w:rPr>
                <w:rFonts w:ascii="Arial" w:hAnsi="Arial" w:cs="Arial"/>
                <w:sz w:val="16"/>
                <w:szCs w:val="16"/>
              </w:rPr>
              <w:t xml:space="preserve"> M</w:t>
            </w:r>
            <w:r w:rsidRPr="00A47719">
              <w:rPr>
                <w:rFonts w:ascii="Arial" w:hAnsi="Arial" w:cs="Arial"/>
                <w:sz w:val="16"/>
                <w:szCs w:val="16"/>
                <w:vertAlign w:val="superscript"/>
              </w:rPr>
              <w:t>-1</w:t>
            </w:r>
            <w:r w:rsidRPr="00A47719">
              <w:rPr>
                <w:rFonts w:ascii="Arial" w:hAnsi="Arial" w:cs="Arial"/>
                <w:sz w:val="16"/>
                <w:szCs w:val="16"/>
              </w:rPr>
              <w:t xml:space="preserve"> cm</w:t>
            </w:r>
            <w:r w:rsidRPr="00A47719">
              <w:rPr>
                <w:rFonts w:ascii="Arial" w:hAnsi="Arial" w:cs="Arial"/>
                <w:sz w:val="16"/>
                <w:szCs w:val="16"/>
                <w:vertAlign w:val="superscript"/>
              </w:rPr>
              <w:t>-1</w:t>
            </w:r>
            <w:r w:rsidRPr="00A47719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28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14:paraId="184FA39C" w14:textId="314FD499" w:rsidR="00D240DA" w:rsidRPr="00A47719" w:rsidRDefault="00D361DA">
            <w:pPr>
              <w:jc w:val="center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A47719">
              <w:rPr>
                <w:rFonts w:ascii="Arial" w:hAnsi="Arial" w:cs="Arial" w:hint="eastAsia"/>
                <w:sz w:val="16"/>
                <w:szCs w:val="16"/>
                <w:u w:val="single"/>
              </w:rPr>
              <w:t>λ</w:t>
            </w:r>
            <w:r w:rsidRPr="00A47719">
              <w:rPr>
                <w:rFonts w:ascii="Arial" w:hAnsi="Arial" w:cs="Arial"/>
                <w:sz w:val="16"/>
                <w:szCs w:val="16"/>
                <w:u w:val="single"/>
                <w:vertAlign w:val="subscript"/>
              </w:rPr>
              <w:t>max</w:t>
            </w:r>
            <w:r w:rsidRPr="00A47719">
              <w:rPr>
                <w:rFonts w:ascii="Arial" w:hAnsi="Arial" w:cs="Arial"/>
                <w:sz w:val="16"/>
                <w:szCs w:val="16"/>
                <w:u w:val="single"/>
                <w:vertAlign w:val="superscript"/>
              </w:rPr>
              <w:t>PL</w:t>
            </w:r>
            <w:r w:rsidRPr="00A47719">
              <w:rPr>
                <w:rFonts w:ascii="Arial" w:hAnsi="Arial" w:cs="Arial"/>
                <w:sz w:val="16"/>
                <w:szCs w:val="16"/>
                <w:u w:val="single"/>
              </w:rPr>
              <w:t xml:space="preserve"> (nm)</w:t>
            </w:r>
          </w:p>
          <w:p w14:paraId="42445B7B" w14:textId="77777777" w:rsidR="00D240DA" w:rsidRPr="00A47719" w:rsidRDefault="00D361DA">
            <w:pPr>
              <w:jc w:val="center"/>
              <w:rPr>
                <w:rFonts w:ascii="Arial" w:hAnsi="Arial" w:cs="Arial"/>
                <w:i/>
                <w:sz w:val="16"/>
                <w:szCs w:val="16"/>
                <w:u w:val="single"/>
                <w:vertAlign w:val="superscript"/>
              </w:rPr>
            </w:pPr>
            <w:r w:rsidRPr="00A47719">
              <w:rPr>
                <w:rFonts w:ascii="Arial" w:eastAsia="Yu Mincho" w:hAnsi="Arial" w:cs="Arial"/>
                <w:iCs/>
                <w:sz w:val="16"/>
                <w:szCs w:val="16"/>
              </w:rPr>
              <w:t>soln</w:t>
            </w:r>
            <w:r w:rsidRPr="00A47719">
              <w:rPr>
                <w:rFonts w:ascii="Arial" w:eastAsia="Yu Mincho" w:hAnsi="Arial" w:cs="Arial"/>
                <w:i/>
                <w:sz w:val="16"/>
                <w:szCs w:val="16"/>
                <w:vertAlign w:val="superscript"/>
              </w:rPr>
              <w:t>a</w:t>
            </w:r>
            <w:r w:rsidRPr="00A47719">
              <w:rPr>
                <w:rFonts w:ascii="Arial" w:eastAsia="Yu Mincho" w:hAnsi="Arial" w:cs="Arial"/>
                <w:iCs/>
                <w:sz w:val="16"/>
                <w:szCs w:val="16"/>
              </w:rPr>
              <w:t>/solid</w:t>
            </w:r>
            <w:r w:rsidRPr="00A47719">
              <w:rPr>
                <w:rFonts w:ascii="Arial" w:eastAsia="Yu Mincho" w:hAnsi="Arial" w:cs="Arial"/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9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3766648" w14:textId="5E9BC07B" w:rsidR="00D240DA" w:rsidRPr="00A47719" w:rsidRDefault="00D361DA">
            <w:pPr>
              <w:jc w:val="center"/>
              <w:rPr>
                <w:rFonts w:ascii="Arial" w:eastAsiaTheme="minorEastAsia" w:hAnsi="Arial" w:cs="Arial"/>
                <w:iCs/>
                <w:sz w:val="16"/>
                <w:szCs w:val="16"/>
                <w:lang w:eastAsia="zh-CN"/>
              </w:rPr>
            </w:pPr>
            <w:r w:rsidRPr="00A47719">
              <w:rPr>
                <w:rFonts w:ascii="Arial" w:hAnsi="Arial" w:cs="Arial"/>
                <w:i/>
                <w:sz w:val="16"/>
                <w:szCs w:val="16"/>
                <w:u w:val="single"/>
              </w:rPr>
              <w:t>Ф</w:t>
            </w:r>
            <w:r w:rsidRPr="00A47719">
              <w:rPr>
                <w:rFonts w:ascii="Arial" w:eastAsiaTheme="minorEastAsia" w:hAnsi="Arial" w:cs="Arial" w:hint="eastAsia"/>
                <w:i/>
                <w:sz w:val="16"/>
                <w:szCs w:val="16"/>
                <w:u w:val="single"/>
                <w:vertAlign w:val="subscript"/>
                <w:lang w:eastAsia="zh-CN"/>
              </w:rPr>
              <w:t>PL</w:t>
            </w:r>
          </w:p>
          <w:p w14:paraId="003EC7E1" w14:textId="77777777" w:rsidR="00D240DA" w:rsidRPr="00A47719" w:rsidRDefault="00D361DA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 w:rsidRPr="00A47719">
              <w:rPr>
                <w:rFonts w:ascii="Arial" w:eastAsia="Yu Mincho" w:hAnsi="Arial" w:cs="Arial"/>
                <w:iCs/>
                <w:sz w:val="16"/>
                <w:szCs w:val="16"/>
              </w:rPr>
              <w:t>soln</w:t>
            </w:r>
            <w:r w:rsidRPr="00A47719">
              <w:rPr>
                <w:rFonts w:ascii="Arial" w:eastAsia="Yu Mincho" w:hAnsi="Arial" w:cs="Arial"/>
                <w:i/>
                <w:sz w:val="16"/>
                <w:szCs w:val="16"/>
                <w:vertAlign w:val="superscript"/>
              </w:rPr>
              <w:t>a</w:t>
            </w:r>
            <w:r w:rsidRPr="00A47719">
              <w:rPr>
                <w:rFonts w:ascii="Arial" w:eastAsia="Yu Mincho" w:hAnsi="Arial" w:cs="Arial"/>
                <w:iCs/>
                <w:sz w:val="16"/>
                <w:szCs w:val="16"/>
              </w:rPr>
              <w:t>/</w:t>
            </w:r>
            <w:r w:rsidRPr="00A47719">
              <w:rPr>
                <w:rFonts w:ascii="Arial" w:hAnsi="Arial" w:cs="Arial"/>
                <w:iCs/>
                <w:sz w:val="16"/>
                <w:szCs w:val="16"/>
              </w:rPr>
              <w:t>solid</w:t>
            </w:r>
            <w:r w:rsidRPr="00A47719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33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14:paraId="0386AF8D" w14:textId="77777777" w:rsidR="00D240DA" w:rsidRPr="00A47719" w:rsidRDefault="00D361DA">
            <w:pPr>
              <w:jc w:val="center"/>
              <w:rPr>
                <w:rFonts w:ascii="Arial" w:hAnsi="Arial" w:cs="Arial"/>
                <w:i/>
                <w:sz w:val="16"/>
                <w:szCs w:val="16"/>
                <w:u w:val="single"/>
              </w:rPr>
            </w:pPr>
            <w:r w:rsidRPr="00A47719"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  <w:t>B</w:t>
            </w:r>
            <w:r w:rsidRPr="00A47719">
              <w:rPr>
                <w:rFonts w:ascii="Arial" w:hAnsi="Arial" w:cs="Arial"/>
                <w:sz w:val="16"/>
                <w:szCs w:val="16"/>
                <w:vertAlign w:val="superscript"/>
                <w:lang w:eastAsia="zh-CN"/>
              </w:rPr>
              <w:t>c</w:t>
            </w:r>
          </w:p>
        </w:tc>
        <w:tc>
          <w:tcPr>
            <w:tcW w:w="133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14:paraId="61095929" w14:textId="183412CA" w:rsidR="00D240DA" w:rsidRPr="00A47719" w:rsidRDefault="00D361DA">
            <w:pPr>
              <w:jc w:val="center"/>
              <w:rPr>
                <w:rFonts w:ascii="Arial" w:hAnsi="Arial" w:cs="Arial"/>
                <w:iCs/>
                <w:sz w:val="16"/>
                <w:szCs w:val="16"/>
                <w:u w:val="single"/>
              </w:rPr>
            </w:pPr>
            <w:r w:rsidRPr="00A47719">
              <w:rPr>
                <w:rFonts w:ascii="Trebuchet MS" w:eastAsia="DengXian" w:hAnsi="Trebuchet MS" w:cs="Arial"/>
                <w:sz w:val="20"/>
                <w:szCs w:val="20"/>
                <w:lang w:eastAsia="zh-CN"/>
              </w:rPr>
              <w:t>τ</w:t>
            </w:r>
            <w:r w:rsidRPr="00A47719">
              <w:rPr>
                <w:rFonts w:ascii="Arial" w:hAnsi="Arial" w:cs="Arial"/>
                <w:i/>
                <w:sz w:val="16"/>
                <w:szCs w:val="16"/>
                <w:u w:val="single"/>
              </w:rPr>
              <w:t xml:space="preserve"> </w:t>
            </w:r>
            <w:r w:rsidRPr="00A47719">
              <w:rPr>
                <w:rFonts w:ascii="Arial" w:hAnsi="Arial" w:cs="Arial"/>
                <w:iCs/>
                <w:sz w:val="16"/>
                <w:szCs w:val="16"/>
                <w:u w:val="single"/>
              </w:rPr>
              <w:t>(ns)</w:t>
            </w:r>
          </w:p>
          <w:p w14:paraId="3EAE7729" w14:textId="77777777" w:rsidR="00D240DA" w:rsidRPr="00A47719" w:rsidRDefault="00D361DA">
            <w:pPr>
              <w:jc w:val="center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A47719">
              <w:rPr>
                <w:rFonts w:ascii="Arial" w:hAnsi="Arial" w:cs="Arial"/>
                <w:iCs/>
                <w:sz w:val="16"/>
                <w:szCs w:val="16"/>
              </w:rPr>
              <w:t>soln</w:t>
            </w:r>
            <w:r w:rsidRPr="00A47719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a</w:t>
            </w:r>
            <w:r w:rsidRPr="00A47719">
              <w:rPr>
                <w:rFonts w:ascii="Arial" w:hAnsi="Arial" w:cs="Arial"/>
                <w:iCs/>
                <w:sz w:val="16"/>
                <w:szCs w:val="16"/>
              </w:rPr>
              <w:t>/solid</w:t>
            </w:r>
            <w:r w:rsidRPr="00A47719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90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14:paraId="461E3DDB" w14:textId="77777777" w:rsidR="00D240DA" w:rsidRPr="00A47719" w:rsidRDefault="00D361DA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 w:rsidRPr="00A47719">
              <w:rPr>
                <w:rFonts w:ascii="Arial" w:hAnsi="Arial" w:cs="Arial"/>
                <w:iCs/>
                <w:sz w:val="16"/>
                <w:szCs w:val="16"/>
              </w:rPr>
              <w:t>T</w:t>
            </w:r>
            <w:r w:rsidRPr="00A47719">
              <w:rPr>
                <w:rFonts w:ascii="Arial" w:hAnsi="Arial" w:cs="Arial"/>
                <w:iCs/>
                <w:sz w:val="16"/>
                <w:szCs w:val="16"/>
                <w:vertAlign w:val="subscript"/>
              </w:rPr>
              <w:t xml:space="preserve">d </w:t>
            </w:r>
            <w:r w:rsidRPr="00A47719">
              <w:rPr>
                <w:rFonts w:ascii="Arial" w:hAnsi="Arial" w:cs="Arial"/>
                <w:iCs/>
                <w:sz w:val="16"/>
                <w:szCs w:val="16"/>
              </w:rPr>
              <w:t>(</w:t>
            </w:r>
            <w:r w:rsidRPr="00A47719">
              <w:rPr>
                <w:rFonts w:ascii="SimSun" w:eastAsia="SimSun" w:hAnsi="SimSun" w:cs="SimSun" w:hint="eastAsia"/>
                <w:iCs/>
                <w:sz w:val="16"/>
                <w:szCs w:val="16"/>
              </w:rPr>
              <w:t>℃</w:t>
            </w:r>
            <w:r w:rsidRPr="00A47719">
              <w:rPr>
                <w:rFonts w:ascii="Arial" w:hAnsi="Arial" w:cs="Arial"/>
                <w:iCs/>
                <w:sz w:val="16"/>
                <w:szCs w:val="16"/>
              </w:rPr>
              <w:t>)</w:t>
            </w:r>
          </w:p>
        </w:tc>
        <w:tc>
          <w:tcPr>
            <w:tcW w:w="98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14:paraId="1137CBDC" w14:textId="77777777" w:rsidR="00D240DA" w:rsidRPr="00A47719" w:rsidRDefault="00D361DA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 w:rsidRPr="00A47719">
              <w:rPr>
                <w:rFonts w:ascii="Arial" w:hAnsi="Arial" w:cs="Arial"/>
                <w:iCs/>
                <w:sz w:val="16"/>
                <w:szCs w:val="16"/>
              </w:rPr>
              <w:t>T</w:t>
            </w:r>
            <w:r w:rsidRPr="00A47719">
              <w:rPr>
                <w:rFonts w:ascii="Arial" w:eastAsiaTheme="minorEastAsia" w:hAnsi="Arial" w:cs="Arial"/>
                <w:iCs/>
                <w:sz w:val="16"/>
                <w:szCs w:val="16"/>
                <w:vertAlign w:val="subscript"/>
                <w:lang w:eastAsia="zh-CN"/>
              </w:rPr>
              <w:t>c</w:t>
            </w:r>
            <w:r w:rsidRPr="00A47719">
              <w:rPr>
                <w:rFonts w:ascii="Arial" w:hAnsi="Arial" w:cs="Arial"/>
                <w:iCs/>
                <w:sz w:val="16"/>
                <w:szCs w:val="16"/>
                <w:vertAlign w:val="subscript"/>
              </w:rPr>
              <w:t xml:space="preserve"> </w:t>
            </w:r>
            <w:r w:rsidRPr="00A47719">
              <w:rPr>
                <w:rFonts w:ascii="Arial" w:hAnsi="Arial" w:cs="Arial"/>
                <w:iCs/>
                <w:sz w:val="16"/>
                <w:szCs w:val="16"/>
              </w:rPr>
              <w:t>(</w:t>
            </w:r>
            <w:r w:rsidRPr="00A47719">
              <w:rPr>
                <w:rFonts w:ascii="SimSun" w:eastAsia="SimSun" w:hAnsi="SimSun" w:cs="SimSun" w:hint="eastAsia"/>
                <w:iCs/>
                <w:sz w:val="16"/>
                <w:szCs w:val="16"/>
              </w:rPr>
              <w:t>℃</w:t>
            </w:r>
            <w:r w:rsidRPr="00A47719">
              <w:rPr>
                <w:rFonts w:ascii="Arial" w:hAnsi="Arial" w:cs="Arial"/>
                <w:iCs/>
                <w:sz w:val="16"/>
                <w:szCs w:val="16"/>
              </w:rPr>
              <w:t>)</w:t>
            </w:r>
          </w:p>
        </w:tc>
      </w:tr>
      <w:tr w:rsidR="00A47719" w:rsidRPr="00A47719" w14:paraId="288B133B" w14:textId="77777777">
        <w:trPr>
          <w:jc w:val="center"/>
        </w:trPr>
        <w:tc>
          <w:tcPr>
            <w:tcW w:w="135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38776C" w14:textId="77777777" w:rsidR="00D240DA" w:rsidRPr="00A47719" w:rsidRDefault="00D361D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47719">
              <w:rPr>
                <w:rFonts w:ascii="Arial" w:hAnsi="Arial" w:cs="Arial"/>
                <w:b/>
                <w:sz w:val="16"/>
                <w:szCs w:val="16"/>
              </w:rPr>
              <w:t>PyTPA-OH</w:t>
            </w:r>
          </w:p>
        </w:tc>
        <w:tc>
          <w:tcPr>
            <w:tcW w:w="145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4A5A7B" w14:textId="77777777" w:rsidR="00D240DA" w:rsidRPr="00A47719" w:rsidRDefault="00D361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7719">
              <w:rPr>
                <w:rFonts w:ascii="Arial" w:hAnsi="Arial" w:cs="Arial"/>
                <w:sz w:val="16"/>
                <w:szCs w:val="16"/>
              </w:rPr>
              <w:t>305</w:t>
            </w:r>
            <w:r w:rsidRPr="00A47719"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  <w:t xml:space="preserve"> </w:t>
            </w:r>
            <w:r w:rsidRPr="00A47719">
              <w:rPr>
                <w:rFonts w:ascii="Arial" w:hAnsi="Arial" w:cs="Arial"/>
                <w:sz w:val="16"/>
                <w:szCs w:val="16"/>
              </w:rPr>
              <w:t>(81</w:t>
            </w:r>
            <w:r w:rsidRPr="00A47719"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  <w:t>000</w:t>
            </w:r>
            <w:r w:rsidRPr="00A47719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017DD80F" w14:textId="77777777" w:rsidR="00D240DA" w:rsidRPr="00A47719" w:rsidRDefault="00D361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7719">
              <w:rPr>
                <w:rFonts w:ascii="Arial" w:hAnsi="Arial" w:cs="Arial"/>
                <w:sz w:val="16"/>
                <w:szCs w:val="16"/>
              </w:rPr>
              <w:t>411</w:t>
            </w:r>
            <w:r w:rsidRPr="00A47719"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  <w:t xml:space="preserve"> </w:t>
            </w:r>
            <w:r w:rsidRPr="00A47719">
              <w:rPr>
                <w:rFonts w:ascii="Arial" w:hAnsi="Arial" w:cs="Arial"/>
                <w:sz w:val="16"/>
                <w:szCs w:val="16"/>
              </w:rPr>
              <w:t>(45</w:t>
            </w:r>
            <w:r w:rsidRPr="00A47719"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  <w:t>000</w:t>
            </w:r>
            <w:r w:rsidRPr="00A47719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28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D673D7" w14:textId="77777777" w:rsidR="00D240DA" w:rsidRPr="00A47719" w:rsidRDefault="00D361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7719">
              <w:rPr>
                <w:rFonts w:ascii="Arial" w:hAnsi="Arial" w:cs="Arial"/>
                <w:sz w:val="16"/>
                <w:szCs w:val="16"/>
              </w:rPr>
              <w:t>507 / 522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26E861" w14:textId="77777777" w:rsidR="00D240DA" w:rsidRPr="00A47719" w:rsidRDefault="00D361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7719">
              <w:rPr>
                <w:rFonts w:ascii="Arial" w:hAnsi="Arial" w:cs="Arial"/>
                <w:sz w:val="16"/>
                <w:szCs w:val="16"/>
              </w:rPr>
              <w:t>0.74/0.36</w:t>
            </w:r>
          </w:p>
        </w:tc>
        <w:tc>
          <w:tcPr>
            <w:tcW w:w="13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ADBE69" w14:textId="77777777" w:rsidR="00D240DA" w:rsidRPr="00A47719" w:rsidRDefault="00D361DA">
            <w:pPr>
              <w:jc w:val="center"/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</w:pPr>
            <w:r w:rsidRPr="00A47719"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  <w:t>33300</w:t>
            </w:r>
          </w:p>
        </w:tc>
        <w:tc>
          <w:tcPr>
            <w:tcW w:w="13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6E8E92" w14:textId="77777777" w:rsidR="00D240DA" w:rsidRPr="00A47719" w:rsidRDefault="00D361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7719">
              <w:rPr>
                <w:rFonts w:ascii="Arial" w:hAnsi="Arial" w:cs="Arial"/>
                <w:sz w:val="16"/>
                <w:szCs w:val="16"/>
              </w:rPr>
              <w:t>3.92/3.16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605B5E" w14:textId="77777777" w:rsidR="00D240DA" w:rsidRPr="00A47719" w:rsidRDefault="00D361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7719">
              <w:rPr>
                <w:rFonts w:ascii="Arial" w:hAnsi="Arial" w:cs="Arial"/>
                <w:sz w:val="16"/>
                <w:szCs w:val="16"/>
              </w:rPr>
              <w:t>450</w:t>
            </w:r>
          </w:p>
        </w:tc>
        <w:tc>
          <w:tcPr>
            <w:tcW w:w="98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9E074D" w14:textId="77777777" w:rsidR="00D240DA" w:rsidRPr="00A47719" w:rsidRDefault="00D361DA">
            <w:pPr>
              <w:jc w:val="center"/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</w:pPr>
            <w:r w:rsidRPr="00A47719"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  <w:t>99</w:t>
            </w:r>
          </w:p>
        </w:tc>
      </w:tr>
      <w:tr w:rsidR="00A47719" w:rsidRPr="00A47719" w14:paraId="0092D0CC" w14:textId="77777777">
        <w:trPr>
          <w:jc w:val="center"/>
        </w:trPr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6D7474" w14:textId="77777777" w:rsidR="00D240DA" w:rsidRPr="00A47719" w:rsidRDefault="00D361D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bookmarkStart w:id="21" w:name="_Hlk217553029"/>
            <w:r w:rsidRPr="00A47719">
              <w:rPr>
                <w:rFonts w:ascii="Arial" w:hAnsi="Arial" w:cs="Arial"/>
                <w:b/>
                <w:sz w:val="16"/>
                <w:szCs w:val="16"/>
              </w:rPr>
              <w:t>PyTPA-9C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1984EB" w14:textId="77777777" w:rsidR="00D240DA" w:rsidRPr="00A47719" w:rsidRDefault="00D361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7719">
              <w:rPr>
                <w:rFonts w:ascii="Arial" w:hAnsi="Arial" w:cs="Arial"/>
                <w:sz w:val="16"/>
                <w:szCs w:val="16"/>
              </w:rPr>
              <w:t>305</w:t>
            </w:r>
            <w:r w:rsidRPr="00A47719"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  <w:t xml:space="preserve"> </w:t>
            </w:r>
            <w:r w:rsidRPr="00A47719">
              <w:rPr>
                <w:rFonts w:ascii="Arial" w:hAnsi="Arial" w:cs="Arial"/>
                <w:sz w:val="16"/>
                <w:szCs w:val="16"/>
              </w:rPr>
              <w:t>(187</w:t>
            </w:r>
            <w:r w:rsidRPr="00A47719"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  <w:t>000</w:t>
            </w:r>
            <w:r w:rsidRPr="00A47719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720D1218" w14:textId="77777777" w:rsidR="00D240DA" w:rsidRPr="00A47719" w:rsidRDefault="00D361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7719">
              <w:rPr>
                <w:rFonts w:ascii="Arial" w:hAnsi="Arial" w:cs="Arial"/>
                <w:sz w:val="16"/>
                <w:szCs w:val="16"/>
              </w:rPr>
              <w:t>413</w:t>
            </w:r>
            <w:r w:rsidRPr="00A47719"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  <w:t xml:space="preserve"> </w:t>
            </w:r>
            <w:r w:rsidRPr="00A47719">
              <w:rPr>
                <w:rFonts w:ascii="Arial" w:hAnsi="Arial" w:cs="Arial"/>
                <w:sz w:val="16"/>
                <w:szCs w:val="16"/>
              </w:rPr>
              <w:t>(109</w:t>
            </w:r>
            <w:r w:rsidRPr="00A47719"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  <w:t>000</w:t>
            </w:r>
            <w:r w:rsidRPr="00A47719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7C240B" w14:textId="77777777" w:rsidR="00D240DA" w:rsidRPr="00A47719" w:rsidRDefault="00D361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7719">
              <w:rPr>
                <w:rFonts w:ascii="Arial" w:hAnsi="Arial" w:cs="Arial"/>
                <w:sz w:val="16"/>
                <w:szCs w:val="16"/>
              </w:rPr>
              <w:t>509 / 528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7FA79F" w14:textId="77777777" w:rsidR="00D240DA" w:rsidRPr="00A47719" w:rsidRDefault="00D361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7719">
              <w:rPr>
                <w:rFonts w:ascii="Arial" w:hAnsi="Arial" w:cs="Arial"/>
                <w:sz w:val="16"/>
                <w:szCs w:val="16"/>
              </w:rPr>
              <w:t>0.85/0.49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4E2859" w14:textId="77777777" w:rsidR="00D240DA" w:rsidRPr="00A47719" w:rsidRDefault="00D361DA">
            <w:pPr>
              <w:jc w:val="center"/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</w:pPr>
            <w:r w:rsidRPr="00A47719"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  <w:t>92650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6EB0E8" w14:textId="77777777" w:rsidR="00D240DA" w:rsidRPr="00A47719" w:rsidRDefault="00D361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7719">
              <w:rPr>
                <w:rFonts w:ascii="Arial" w:hAnsi="Arial" w:cs="Arial"/>
                <w:sz w:val="16"/>
                <w:szCs w:val="16"/>
              </w:rPr>
              <w:t>4.05/2.85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856E33" w14:textId="77777777" w:rsidR="00D240DA" w:rsidRPr="00A47719" w:rsidRDefault="00D361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7719">
              <w:rPr>
                <w:rFonts w:ascii="Arial" w:hAnsi="Arial" w:cs="Arial"/>
                <w:sz w:val="16"/>
                <w:szCs w:val="16"/>
              </w:rPr>
              <w:t>445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E18406" w14:textId="77777777" w:rsidR="00D240DA" w:rsidRPr="00A47719" w:rsidRDefault="00D361DA">
            <w:pPr>
              <w:jc w:val="center"/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</w:pPr>
            <w:r w:rsidRPr="00A47719"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  <w:t>150</w:t>
            </w:r>
          </w:p>
        </w:tc>
      </w:tr>
      <w:tr w:rsidR="00A47719" w:rsidRPr="00A47719" w14:paraId="210931DE" w14:textId="77777777">
        <w:trPr>
          <w:jc w:val="center"/>
        </w:trPr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60C3D4" w14:textId="77777777" w:rsidR="00D240DA" w:rsidRPr="00A47719" w:rsidRDefault="00D361D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47719">
              <w:rPr>
                <w:rFonts w:ascii="Arial" w:hAnsi="Arial" w:cs="Arial"/>
                <w:b/>
                <w:sz w:val="16"/>
                <w:szCs w:val="16"/>
              </w:rPr>
              <w:t>PyTPA-10C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456BD0" w14:textId="77777777" w:rsidR="00D240DA" w:rsidRPr="00A47719" w:rsidRDefault="00D361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7719">
              <w:rPr>
                <w:rFonts w:ascii="Arial" w:hAnsi="Arial" w:cs="Arial"/>
                <w:sz w:val="16"/>
                <w:szCs w:val="16"/>
              </w:rPr>
              <w:t>306</w:t>
            </w:r>
            <w:r w:rsidRPr="00A47719"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  <w:t xml:space="preserve"> </w:t>
            </w:r>
            <w:r w:rsidRPr="00A47719">
              <w:rPr>
                <w:rFonts w:ascii="Arial" w:hAnsi="Arial" w:cs="Arial"/>
                <w:sz w:val="16"/>
                <w:szCs w:val="16"/>
              </w:rPr>
              <w:t>(2</w:t>
            </w:r>
            <w:r w:rsidRPr="00A47719"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  <w:t>40000</w:t>
            </w:r>
            <w:r w:rsidRPr="00A47719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04460111" w14:textId="77777777" w:rsidR="00D240DA" w:rsidRPr="00A47719" w:rsidRDefault="00D361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7719">
              <w:rPr>
                <w:rFonts w:ascii="Arial" w:hAnsi="Arial" w:cs="Arial"/>
                <w:sz w:val="16"/>
                <w:szCs w:val="16"/>
              </w:rPr>
              <w:t>414</w:t>
            </w:r>
            <w:r w:rsidRPr="00A47719"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  <w:t xml:space="preserve"> </w:t>
            </w:r>
            <w:r w:rsidRPr="00A47719">
              <w:rPr>
                <w:rFonts w:ascii="Arial" w:hAnsi="Arial" w:cs="Arial"/>
                <w:sz w:val="16"/>
                <w:szCs w:val="16"/>
              </w:rPr>
              <w:t>(146</w:t>
            </w:r>
            <w:r w:rsidRPr="00A47719"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  <w:t>000</w:t>
            </w:r>
            <w:r w:rsidRPr="00A47719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A39397" w14:textId="77777777" w:rsidR="00D240DA" w:rsidRPr="00A47719" w:rsidRDefault="00D361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7719">
              <w:rPr>
                <w:rFonts w:ascii="Arial" w:hAnsi="Arial" w:cs="Arial"/>
                <w:sz w:val="16"/>
                <w:szCs w:val="16"/>
              </w:rPr>
              <w:t>512 / 512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61B3FC" w14:textId="77777777" w:rsidR="00D240DA" w:rsidRPr="00A47719" w:rsidRDefault="00D361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7719">
              <w:rPr>
                <w:rFonts w:ascii="Arial" w:hAnsi="Arial" w:cs="Arial"/>
                <w:sz w:val="16"/>
                <w:szCs w:val="16"/>
              </w:rPr>
              <w:t>0.83/0.11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42CA3A" w14:textId="77777777" w:rsidR="00D240DA" w:rsidRPr="00A47719" w:rsidRDefault="00D361DA">
            <w:pPr>
              <w:jc w:val="center"/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</w:pPr>
            <w:r w:rsidRPr="00A47719"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  <w:t>121180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54DA54" w14:textId="77777777" w:rsidR="00D240DA" w:rsidRPr="00A47719" w:rsidRDefault="00D361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7719">
              <w:rPr>
                <w:rFonts w:ascii="Arial" w:hAnsi="Arial" w:cs="Arial"/>
                <w:sz w:val="16"/>
                <w:szCs w:val="16"/>
              </w:rPr>
              <w:t>3.96/1.36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489864" w14:textId="77777777" w:rsidR="00D240DA" w:rsidRPr="00A47719" w:rsidRDefault="00D361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7719">
              <w:rPr>
                <w:rFonts w:ascii="Arial" w:hAnsi="Arial" w:cs="Arial"/>
                <w:sz w:val="16"/>
                <w:szCs w:val="16"/>
              </w:rPr>
              <w:t>431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0AFFEE" w14:textId="77777777" w:rsidR="00D240DA" w:rsidRPr="00A47719" w:rsidRDefault="00D361DA">
            <w:pPr>
              <w:jc w:val="center"/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</w:pPr>
            <w:r w:rsidRPr="00A47719"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  <w:t>191</w:t>
            </w:r>
          </w:p>
        </w:tc>
      </w:tr>
      <w:tr w:rsidR="00A47719" w:rsidRPr="00A47719" w14:paraId="26E4CFD6" w14:textId="77777777">
        <w:trPr>
          <w:jc w:val="center"/>
        </w:trPr>
        <w:tc>
          <w:tcPr>
            <w:tcW w:w="13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14:paraId="78CAD468" w14:textId="77777777" w:rsidR="00D240DA" w:rsidRPr="00A47719" w:rsidRDefault="00D361D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47719">
              <w:rPr>
                <w:rFonts w:ascii="Arial" w:hAnsi="Arial" w:cs="Arial"/>
                <w:b/>
                <w:sz w:val="16"/>
                <w:szCs w:val="16"/>
              </w:rPr>
              <w:t>PyTPA-13C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14:paraId="184393EB" w14:textId="77777777" w:rsidR="00D240DA" w:rsidRPr="00A47719" w:rsidRDefault="00D361DA">
            <w:pPr>
              <w:jc w:val="center"/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</w:pPr>
            <w:r w:rsidRPr="00A47719">
              <w:rPr>
                <w:rFonts w:ascii="Arial" w:hAnsi="Arial" w:cs="Arial"/>
                <w:sz w:val="16"/>
                <w:szCs w:val="16"/>
              </w:rPr>
              <w:t>304</w:t>
            </w:r>
            <w:r w:rsidRPr="00A47719"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  <w:t xml:space="preserve"> </w:t>
            </w:r>
            <w:r w:rsidRPr="00A47719">
              <w:rPr>
                <w:rFonts w:ascii="Arial" w:hAnsi="Arial" w:cs="Arial"/>
                <w:sz w:val="16"/>
                <w:szCs w:val="16"/>
              </w:rPr>
              <w:t>(23</w:t>
            </w:r>
            <w:r w:rsidRPr="00A47719"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  <w:t>1000</w:t>
            </w:r>
            <w:r w:rsidRPr="00A47719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738E54D7" w14:textId="77777777" w:rsidR="00D240DA" w:rsidRPr="00A47719" w:rsidRDefault="00D361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7719">
              <w:rPr>
                <w:rFonts w:ascii="Arial" w:hAnsi="Arial" w:cs="Arial"/>
                <w:sz w:val="16"/>
                <w:szCs w:val="16"/>
              </w:rPr>
              <w:t>413</w:t>
            </w:r>
            <w:r w:rsidRPr="00A47719"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  <w:t xml:space="preserve"> </w:t>
            </w:r>
            <w:r w:rsidRPr="00A47719">
              <w:rPr>
                <w:rFonts w:ascii="Arial" w:hAnsi="Arial" w:cs="Arial"/>
                <w:sz w:val="16"/>
                <w:szCs w:val="16"/>
              </w:rPr>
              <w:t>(133</w:t>
            </w:r>
            <w:r w:rsidRPr="00A47719"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  <w:t>000</w:t>
            </w:r>
            <w:r w:rsidRPr="00A47719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14:paraId="3659BE55" w14:textId="77777777" w:rsidR="00D240DA" w:rsidRPr="00A47719" w:rsidRDefault="00D361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7719">
              <w:rPr>
                <w:rFonts w:ascii="Arial" w:hAnsi="Arial" w:cs="Arial"/>
                <w:sz w:val="16"/>
                <w:szCs w:val="16"/>
              </w:rPr>
              <w:t>510 / 520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14:paraId="2BE79108" w14:textId="77777777" w:rsidR="00D240DA" w:rsidRPr="00A47719" w:rsidRDefault="00D361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7719">
              <w:rPr>
                <w:rFonts w:ascii="Arial" w:hAnsi="Arial" w:cs="Arial"/>
                <w:sz w:val="16"/>
                <w:szCs w:val="16"/>
              </w:rPr>
              <w:t>0.82/0.27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14:paraId="6DB3A4B0" w14:textId="77777777" w:rsidR="00D240DA" w:rsidRPr="00A47719" w:rsidRDefault="00D361DA">
            <w:pPr>
              <w:jc w:val="center"/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</w:pPr>
            <w:r w:rsidRPr="00A47719"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  <w:t>109060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14:paraId="1FC1EA67" w14:textId="77777777" w:rsidR="00D240DA" w:rsidRPr="00A47719" w:rsidRDefault="00D361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7719">
              <w:rPr>
                <w:rFonts w:ascii="Arial" w:hAnsi="Arial" w:cs="Arial"/>
                <w:sz w:val="16"/>
                <w:szCs w:val="16"/>
              </w:rPr>
              <w:t>3.94/2.21</w:t>
            </w:r>
          </w:p>
        </w:tc>
        <w:tc>
          <w:tcPr>
            <w:tcW w:w="9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14:paraId="6D4A2BA3" w14:textId="77777777" w:rsidR="00D240DA" w:rsidRPr="00A47719" w:rsidRDefault="00D361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7719">
              <w:rPr>
                <w:rFonts w:ascii="Arial" w:hAnsi="Arial" w:cs="Arial"/>
                <w:sz w:val="16"/>
                <w:szCs w:val="16"/>
              </w:rPr>
              <w:t>434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14:paraId="5178EB39" w14:textId="77777777" w:rsidR="00D240DA" w:rsidRPr="00A47719" w:rsidRDefault="00D361DA">
            <w:pPr>
              <w:jc w:val="center"/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</w:pPr>
            <w:r w:rsidRPr="00A47719">
              <w:rPr>
                <w:rFonts w:ascii="Arial" w:eastAsiaTheme="minorEastAsia" w:hAnsi="Arial" w:cs="Arial"/>
                <w:sz w:val="16"/>
                <w:szCs w:val="16"/>
                <w:lang w:eastAsia="zh-CN"/>
              </w:rPr>
              <w:t>235</w:t>
            </w:r>
          </w:p>
        </w:tc>
      </w:tr>
    </w:tbl>
    <w:bookmarkEnd w:id="21"/>
    <w:p w14:paraId="33060E53" w14:textId="724C88BC" w:rsidR="00D240DA" w:rsidRPr="00A47719" w:rsidRDefault="00D361DA">
      <w:pPr>
        <w:pStyle w:val="P1"/>
        <w:spacing w:line="480" w:lineRule="auto"/>
        <w:jc w:val="left"/>
        <w:rPr>
          <w:rFonts w:eastAsia="SimSun" w:cs="Arial"/>
          <w:sz w:val="16"/>
          <w:szCs w:val="16"/>
          <w:lang w:eastAsia="zh-CN"/>
        </w:rPr>
      </w:pPr>
      <w:r w:rsidRPr="00A47719">
        <w:rPr>
          <w:rFonts w:eastAsia="SimSun" w:cs="Arial"/>
          <w:sz w:val="16"/>
          <w:szCs w:val="16"/>
          <w:vertAlign w:val="superscript"/>
          <w:lang w:eastAsia="zh-CN"/>
        </w:rPr>
        <w:t>a</w:t>
      </w:r>
      <w:r w:rsidRPr="00A47719">
        <w:rPr>
          <w:rFonts w:eastAsia="SimSun" w:cs="Arial"/>
          <w:sz w:val="16"/>
          <w:szCs w:val="16"/>
          <w:lang w:eastAsia="zh-CN"/>
        </w:rPr>
        <w:t xml:space="preserve"> </w:t>
      </w:r>
      <w:r w:rsidRPr="00A47719">
        <w:rPr>
          <w:rFonts w:eastAsia="SimSun" w:cs="Arial"/>
          <w:sz w:val="16"/>
          <w:szCs w:val="16"/>
        </w:rPr>
        <w:t xml:space="preserve">measured in THF solution, </w:t>
      </w:r>
      <w:r w:rsidRPr="00A47719">
        <w:rPr>
          <w:rFonts w:eastAsia="SimSun" w:cs="Arial"/>
          <w:sz w:val="16"/>
          <w:szCs w:val="16"/>
          <w:vertAlign w:val="superscript"/>
        </w:rPr>
        <w:t>b</w:t>
      </w:r>
      <w:r w:rsidRPr="00A47719">
        <w:rPr>
          <w:rFonts w:eastAsia="SimSun" w:cs="Arial"/>
          <w:sz w:val="16"/>
          <w:szCs w:val="16"/>
        </w:rPr>
        <w:t xml:space="preserve"> in the solid state</w:t>
      </w:r>
      <w:r w:rsidRPr="00A47719">
        <w:rPr>
          <w:rFonts w:eastAsia="SimSun" w:cs="Arial" w:hint="eastAsia"/>
          <w:sz w:val="16"/>
          <w:szCs w:val="16"/>
          <w:lang w:eastAsia="zh-CN"/>
        </w:rPr>
        <w:t xml:space="preserve">, </w:t>
      </w:r>
      <w:r w:rsidRPr="00A47719">
        <w:rPr>
          <w:rFonts w:eastAsia="SimSun" w:cs="Arial" w:hint="eastAsia"/>
          <w:sz w:val="16"/>
          <w:szCs w:val="16"/>
          <w:vertAlign w:val="superscript"/>
          <w:lang w:eastAsia="zh-CN"/>
        </w:rPr>
        <w:t>c</w:t>
      </w:r>
      <w:r w:rsidRPr="00A47719">
        <w:rPr>
          <w:rFonts w:eastAsia="SimSun" w:cs="Arial" w:hint="eastAsia"/>
          <w:sz w:val="16"/>
          <w:szCs w:val="16"/>
          <w:lang w:eastAsia="zh-CN"/>
        </w:rPr>
        <w:t xml:space="preserve"> </w:t>
      </w:r>
      <w:r w:rsidRPr="00A47719">
        <w:rPr>
          <w:rFonts w:eastAsia="SimSun" w:cs="Arial"/>
          <w:sz w:val="16"/>
          <w:szCs w:val="16"/>
          <w:lang w:val="de-DE" w:eastAsia="zh-CN"/>
        </w:rPr>
        <w:t>B = Φ</w:t>
      </w:r>
      <w:r w:rsidRPr="00A47719">
        <w:rPr>
          <w:rFonts w:eastAsia="SimSun" w:cs="Arial"/>
          <w:sz w:val="16"/>
          <w:szCs w:val="16"/>
          <w:vertAlign w:val="subscript"/>
          <w:lang w:val="de-DE" w:eastAsia="zh-CN"/>
        </w:rPr>
        <w:t>PL</w:t>
      </w:r>
      <w:r w:rsidRPr="00A47719">
        <w:rPr>
          <w:rFonts w:eastAsia="SimSun" w:cs="Arial"/>
          <w:sz w:val="16"/>
          <w:szCs w:val="16"/>
          <w:lang w:val="de-DE" w:eastAsia="zh-CN"/>
        </w:rPr>
        <w:t xml:space="preserve"> </w:t>
      </w:r>
      <w:r w:rsidRPr="00A47719">
        <w:rPr>
          <w:rFonts w:eastAsia="SimSun" w:cs="Arial"/>
          <w:sz w:val="16"/>
          <w:szCs w:val="16"/>
          <w:lang w:val="de-DE" w:eastAsia="zh-CN"/>
        </w:rPr>
        <w:sym w:font="Symbol" w:char="F0B4"/>
      </w:r>
      <w:r w:rsidRPr="00A47719">
        <w:rPr>
          <w:rFonts w:eastAsia="SimSun" w:cs="Arial"/>
          <w:sz w:val="16"/>
          <w:szCs w:val="16"/>
          <w:lang w:val="de-DE" w:eastAsia="zh-CN"/>
        </w:rPr>
        <w:t xml:space="preserve"> ε</w:t>
      </w:r>
      <w:r w:rsidRPr="00A47719">
        <w:rPr>
          <w:rFonts w:eastAsia="SimSun" w:cs="Arial" w:hint="eastAsia"/>
          <w:sz w:val="16"/>
          <w:szCs w:val="16"/>
          <w:lang w:val="de-DE" w:eastAsia="zh-CN"/>
        </w:rPr>
        <w:t xml:space="preserve"> in THF solution</w:t>
      </w:r>
      <w:r w:rsidR="00D76726" w:rsidRPr="00A47719">
        <w:rPr>
          <w:rFonts w:eastAsia="SimSun" w:cs="Arial"/>
          <w:sz w:val="16"/>
          <w:szCs w:val="16"/>
          <w:lang w:val="de-DE" w:eastAsia="zh-CN"/>
        </w:rPr>
        <w:t>.</w:t>
      </w:r>
    </w:p>
    <w:p w14:paraId="0A6047DE" w14:textId="77777777" w:rsidR="00D240DA" w:rsidRPr="00A47719" w:rsidRDefault="00D361DA">
      <w:pPr>
        <w:pStyle w:val="H2"/>
        <w:shd w:val="clear" w:color="000000" w:fill="auto"/>
        <w:spacing w:after="240" w:line="240" w:lineRule="atLeast"/>
        <w:ind w:left="0" w:firstLine="0"/>
        <w:rPr>
          <w:rFonts w:ascii="Arial" w:hAnsi="Arial" w:cs="Arial"/>
          <w:bCs/>
          <w:lang w:val="en-GB"/>
        </w:rPr>
      </w:pPr>
      <w:r w:rsidRPr="00A47719">
        <w:rPr>
          <w:rFonts w:ascii="Arial" w:hAnsi="Arial" w:cs="Arial"/>
          <w:bCs/>
          <w:lang w:val="en-GB"/>
        </w:rPr>
        <w:t>Photovoltaic performance of PSCs</w:t>
      </w:r>
    </w:p>
    <w:p w14:paraId="2AB1CE97" w14:textId="0C6FD27F" w:rsidR="00D240DA" w:rsidRPr="00A47719" w:rsidRDefault="00D361DA">
      <w:pPr>
        <w:pStyle w:val="P1"/>
        <w:spacing w:line="240" w:lineRule="atLeast"/>
        <w:ind w:firstLineChars="200" w:firstLine="400"/>
        <w:rPr>
          <w:rFonts w:eastAsiaTheme="minorEastAsia" w:cs="Arial"/>
          <w:sz w:val="20"/>
          <w:szCs w:val="20"/>
          <w:lang w:eastAsia="zh-CN"/>
        </w:rPr>
      </w:pPr>
      <w:r w:rsidRPr="00A47719">
        <w:rPr>
          <w:rFonts w:eastAsiaTheme="minorEastAsia" w:cs="Arial" w:hint="eastAsia"/>
          <w:sz w:val="20"/>
          <w:szCs w:val="20"/>
          <w:lang w:eastAsia="zh-CN"/>
        </w:rPr>
        <w:t>Given the promising performance of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TPA-OMe-decorated materials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and the continuous progress in pyrene-based HTMs with reported PCEs rising from 12.4% to 24.33%</w:t>
      </w:r>
      <w:r w:rsidRPr="00A47719">
        <w:t xml:space="preserve"> </w:t>
      </w:r>
      <w:r w:rsidR="009A6E6A" w:rsidRPr="00A47719">
        <w:t xml:space="preserve">(and </w:t>
      </w:r>
      <w:r w:rsidRPr="00A47719">
        <w:rPr>
          <w:rFonts w:eastAsiaTheme="minorEastAsia" w:cs="Arial"/>
          <w:sz w:val="20"/>
          <w:szCs w:val="20"/>
          <w:lang w:eastAsia="zh-CN"/>
        </w:rPr>
        <w:t>with the</w:t>
      </w:r>
      <w:r w:rsidR="009A6E6A"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>similar structure</w:t>
      </w:r>
      <w:r w:rsidR="009A6E6A" w:rsidRPr="00A47719">
        <w:rPr>
          <w:rFonts w:eastAsiaTheme="minorEastAsia" w:cs="Arial"/>
          <w:sz w:val="20"/>
          <w:szCs w:val="20"/>
          <w:lang w:eastAsia="zh-CN"/>
        </w:rPr>
        <w:t>s)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in recent years </w:t>
      </w:r>
      <w:r w:rsidRPr="00A47719">
        <w:rPr>
          <w:rFonts w:eastAsiaTheme="minorEastAsia" w:cs="Arial"/>
          <w:sz w:val="20"/>
          <w:szCs w:val="20"/>
          <w:lang w:eastAsia="zh-CN"/>
        </w:rPr>
        <w:t>(Figure 4H and Table S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3</w:t>
      </w:r>
      <w:r w:rsidRPr="00A47719">
        <w:rPr>
          <w:rFonts w:eastAsiaTheme="minorEastAsia" w:cs="Arial"/>
          <w:sz w:val="20"/>
          <w:szCs w:val="20"/>
          <w:lang w:eastAsia="zh-CN"/>
        </w:rPr>
        <w:t>),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[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31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,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37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]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w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e </w:t>
      </w:r>
      <w:r w:rsidRPr="00A47719">
        <w:rPr>
          <w:rFonts w:eastAsiaTheme="minorEastAsia" w:cs="Arial"/>
          <w:sz w:val="20"/>
          <w:szCs w:val="20"/>
          <w:lang w:eastAsia="zh-CN"/>
        </w:rPr>
        <w:t>further investigate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d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the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potential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of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our newly designed TPA-decorated pyrene </w:t>
      </w:r>
      <w:bookmarkStart w:id="22" w:name="_Hlk217285351"/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antenna </w:t>
      </w:r>
      <w:bookmarkEnd w:id="22"/>
      <w:r w:rsidRPr="00A47719">
        <w:rPr>
          <w:rFonts w:eastAsiaTheme="minorEastAsia" w:cs="Arial" w:hint="eastAsia"/>
          <w:sz w:val="20"/>
          <w:szCs w:val="20"/>
          <w:lang w:eastAsia="zh-CN"/>
        </w:rPr>
        <w:t>molecules as d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opant-free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HTMs</w:t>
      </w:r>
      <w:r w:rsidRPr="00A47719">
        <w:rPr>
          <w:rFonts w:eastAsiaTheme="minorEastAsia" w:cs="Arial"/>
          <w:sz w:val="20"/>
          <w:szCs w:val="20"/>
          <w:lang w:eastAsia="zh-CN"/>
        </w:rPr>
        <w:t>.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>T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he n-</w:t>
      </w:r>
      <w:proofErr w:type="spellStart"/>
      <w:r w:rsidRPr="00A47719">
        <w:rPr>
          <w:rFonts w:eastAsiaTheme="minorEastAsia" w:cs="Arial" w:hint="eastAsia"/>
          <w:sz w:val="20"/>
          <w:szCs w:val="20"/>
          <w:lang w:eastAsia="zh-CN"/>
        </w:rPr>
        <w:t>i</w:t>
      </w:r>
      <w:proofErr w:type="spellEnd"/>
      <w:r w:rsidRPr="00A47719">
        <w:rPr>
          <w:rFonts w:eastAsiaTheme="minorEastAsia" w:cs="Arial" w:hint="eastAsia"/>
          <w:sz w:val="20"/>
          <w:szCs w:val="20"/>
          <w:lang w:eastAsia="zh-CN"/>
        </w:rPr>
        <w:t>-p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structure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d PSCs were fabricated with the </w:t>
      </w:r>
      <w:r w:rsidRPr="00A47719">
        <w:rPr>
          <w:rFonts w:eastAsiaTheme="minorEastAsia" w:cs="Arial"/>
          <w:sz w:val="20"/>
          <w:szCs w:val="20"/>
          <w:lang w:eastAsia="zh-CN"/>
        </w:rPr>
        <w:t>configuration of I</w:t>
      </w:r>
      <w:r w:rsidRPr="00A47719">
        <w:rPr>
          <w:rFonts w:eastAsiaTheme="minorEastAsia" w:cs="Arial"/>
          <w:bCs/>
          <w:sz w:val="20"/>
          <w:szCs w:val="20"/>
          <w:lang w:val="en-GB" w:eastAsia="zh-CN"/>
        </w:rPr>
        <w:t>TO/SnO</w:t>
      </w:r>
      <w:r w:rsidRPr="00A47719">
        <w:rPr>
          <w:rFonts w:eastAsiaTheme="minorEastAsia" w:cs="Arial"/>
          <w:bCs/>
          <w:sz w:val="20"/>
          <w:szCs w:val="20"/>
          <w:vertAlign w:val="subscript"/>
          <w:lang w:val="en-GB" w:eastAsia="zh-CN"/>
        </w:rPr>
        <w:t>2</w:t>
      </w:r>
      <w:r w:rsidRPr="00A47719">
        <w:rPr>
          <w:rFonts w:eastAsiaTheme="minorEastAsia" w:cs="Arial"/>
          <w:bCs/>
          <w:sz w:val="20"/>
          <w:szCs w:val="20"/>
          <w:lang w:val="en-GB" w:eastAsia="zh-CN"/>
        </w:rPr>
        <w:t>/</w:t>
      </w:r>
      <w:r w:rsidRPr="00A47719">
        <w:rPr>
          <w:rFonts w:eastAsiaTheme="minorEastAsia" w:cs="Arial"/>
          <w:sz w:val="20"/>
          <w:szCs w:val="20"/>
          <w:lang w:eastAsia="zh-CN"/>
        </w:rPr>
        <w:t>Cs</w:t>
      </w:r>
      <w:r w:rsidRPr="00A47719">
        <w:rPr>
          <w:rFonts w:eastAsiaTheme="minorEastAsia" w:cs="Arial"/>
          <w:sz w:val="20"/>
          <w:szCs w:val="20"/>
          <w:vertAlign w:val="subscript"/>
          <w:lang w:eastAsia="zh-CN"/>
        </w:rPr>
        <w:t>0.05</w:t>
      </w:r>
      <w:r w:rsidRPr="00A47719">
        <w:rPr>
          <w:rFonts w:eastAsiaTheme="minorEastAsia" w:cs="Arial"/>
          <w:sz w:val="20"/>
          <w:szCs w:val="20"/>
          <w:lang w:eastAsia="zh-CN"/>
        </w:rPr>
        <w:t>MA</w:t>
      </w:r>
      <w:r w:rsidRPr="00A47719">
        <w:rPr>
          <w:rFonts w:eastAsiaTheme="minorEastAsia" w:cs="Arial"/>
          <w:sz w:val="20"/>
          <w:szCs w:val="20"/>
          <w:vertAlign w:val="subscript"/>
          <w:lang w:eastAsia="zh-CN"/>
        </w:rPr>
        <w:t>0.05</w:t>
      </w:r>
      <w:r w:rsidRPr="00A47719">
        <w:rPr>
          <w:rFonts w:eastAsiaTheme="minorEastAsia" w:cs="Arial"/>
          <w:sz w:val="20"/>
          <w:szCs w:val="20"/>
          <w:lang w:eastAsia="zh-CN"/>
        </w:rPr>
        <w:t>FA</w:t>
      </w:r>
      <w:r w:rsidRPr="00A47719">
        <w:rPr>
          <w:rFonts w:eastAsiaTheme="minorEastAsia" w:cs="Arial"/>
          <w:sz w:val="20"/>
          <w:szCs w:val="20"/>
          <w:vertAlign w:val="subscript"/>
          <w:lang w:eastAsia="zh-CN"/>
        </w:rPr>
        <w:t>0.90</w:t>
      </w:r>
      <w:r w:rsidRPr="00A47719">
        <w:rPr>
          <w:rFonts w:eastAsiaTheme="minorEastAsia" w:cs="Arial"/>
          <w:sz w:val="20"/>
          <w:szCs w:val="20"/>
          <w:lang w:eastAsia="zh-CN"/>
        </w:rPr>
        <w:t>PbI</w:t>
      </w:r>
      <w:r w:rsidRPr="00A47719">
        <w:rPr>
          <w:rFonts w:eastAsiaTheme="minorEastAsia" w:cs="Arial"/>
          <w:sz w:val="20"/>
          <w:szCs w:val="20"/>
          <w:vertAlign w:val="subscript"/>
          <w:lang w:eastAsia="zh-CN"/>
        </w:rPr>
        <w:t>3</w:t>
      </w:r>
      <w:r w:rsidRPr="00A47719">
        <w:rPr>
          <w:rFonts w:eastAsiaTheme="minorEastAsia" w:cs="Arial"/>
          <w:sz w:val="20"/>
          <w:szCs w:val="20"/>
          <w:lang w:eastAsia="zh-CN"/>
        </w:rPr>
        <w:t> </w:t>
      </w:r>
      <w:r w:rsidRPr="00A47719">
        <w:rPr>
          <w:rFonts w:eastAsiaTheme="minorEastAsia" w:cs="Arial"/>
          <w:bCs/>
          <w:sz w:val="20"/>
          <w:szCs w:val="20"/>
          <w:lang w:val="en-GB" w:eastAsia="zh-CN"/>
        </w:rPr>
        <w:t>/HTMs/Ag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 xml:space="preserve">, employing </w:t>
      </w:r>
      <w:r w:rsidRPr="00A47719">
        <w:rPr>
          <w:rFonts w:eastAsiaTheme="minorEastAsia" w:cs="Arial"/>
          <w:bCs/>
          <w:sz w:val="20"/>
          <w:szCs w:val="20"/>
          <w:lang w:val="en-GB" w:eastAsia="zh-CN"/>
        </w:rPr>
        <w:t>dopant</w:t>
      </w:r>
      <w:r w:rsidRPr="00A47719">
        <w:rPr>
          <w:rFonts w:ascii="MS Mincho" w:hAnsi="MS Mincho" w:cs="MS Mincho" w:hint="eastAsia"/>
          <w:bCs/>
          <w:sz w:val="20"/>
          <w:szCs w:val="20"/>
          <w:lang w:val="en-GB" w:eastAsia="zh-CN"/>
        </w:rPr>
        <w:t>‑</w:t>
      </w:r>
      <w:r w:rsidRPr="00A47719">
        <w:rPr>
          <w:rFonts w:eastAsiaTheme="minorEastAsia" w:cs="Arial"/>
          <w:bCs/>
          <w:sz w:val="20"/>
          <w:szCs w:val="20"/>
          <w:lang w:val="en-GB" w:eastAsia="zh-CN"/>
        </w:rPr>
        <w:t xml:space="preserve">free </w:t>
      </w:r>
      <w:r w:rsidRPr="00A47719">
        <w:rPr>
          <w:rFonts w:eastAsiaTheme="minorEastAsia" w:cs="Arial"/>
          <w:b/>
          <w:bCs/>
          <w:sz w:val="20"/>
          <w:szCs w:val="20"/>
          <w:lang w:val="en-GB" w:eastAsia="zh-CN"/>
        </w:rPr>
        <w:t xml:space="preserve">PyTPA-9C, PyTPA-10C </w:t>
      </w:r>
      <w:r w:rsidRPr="00A47719">
        <w:rPr>
          <w:rFonts w:eastAsiaTheme="minorEastAsia" w:cs="Arial"/>
          <w:sz w:val="20"/>
          <w:szCs w:val="20"/>
          <w:lang w:val="en-GB" w:eastAsia="zh-CN"/>
        </w:rPr>
        <w:t>and</w:t>
      </w:r>
      <w:r w:rsidRPr="00A47719">
        <w:rPr>
          <w:rFonts w:eastAsiaTheme="minorEastAsia" w:cs="Arial"/>
          <w:b/>
          <w:bCs/>
          <w:sz w:val="20"/>
          <w:szCs w:val="20"/>
          <w:lang w:val="en-GB" w:eastAsia="zh-CN"/>
        </w:rPr>
        <w:t xml:space="preserve"> PyTPA-13C </w:t>
      </w:r>
      <w:r w:rsidRPr="00A47719">
        <w:rPr>
          <w:rFonts w:eastAsiaTheme="minorEastAsia" w:cs="Arial"/>
          <w:sz w:val="20"/>
          <w:szCs w:val="20"/>
          <w:lang w:eastAsia="zh-CN"/>
        </w:rPr>
        <w:t>as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the HTL </w:t>
      </w:r>
      <w:r w:rsidRPr="00A47719">
        <w:rPr>
          <w:rFonts w:eastAsiaTheme="minorEastAsia" w:cs="Arial"/>
          <w:bCs/>
          <w:sz w:val="20"/>
          <w:szCs w:val="20"/>
          <w:lang w:val="en-GB" w:eastAsia="zh-CN"/>
        </w:rPr>
        <w:t xml:space="preserve">with an optimized thickness of ~ 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>30</w:t>
      </w:r>
      <w:r w:rsidRPr="00A47719">
        <w:rPr>
          <w:rFonts w:eastAsiaTheme="minorEastAsia" w:cs="Arial"/>
          <w:bCs/>
          <w:sz w:val="20"/>
          <w:szCs w:val="20"/>
          <w:lang w:val="en-GB" w:eastAsia="zh-CN"/>
        </w:rPr>
        <w:t xml:space="preserve"> nm (Figure 4A).  As shown in Figure S</w:t>
      </w:r>
      <w:r w:rsidRPr="00A47719">
        <w:rPr>
          <w:rFonts w:eastAsiaTheme="minorEastAsia" w:cs="Arial" w:hint="eastAsia"/>
          <w:bCs/>
          <w:sz w:val="20"/>
          <w:szCs w:val="20"/>
          <w:lang w:val="en-GB" w:eastAsia="zh-CN"/>
        </w:rPr>
        <w:t>19</w:t>
      </w:r>
      <w:r w:rsidRPr="00A47719">
        <w:rPr>
          <w:rFonts w:eastAsiaTheme="minorEastAsia" w:cs="Arial"/>
          <w:bCs/>
          <w:sz w:val="20"/>
          <w:szCs w:val="20"/>
          <w:lang w:val="en-GB" w:eastAsia="zh-CN"/>
        </w:rPr>
        <w:t>, the energy level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>s</w:t>
      </w:r>
      <w:r w:rsidRPr="00A47719">
        <w:rPr>
          <w:rFonts w:eastAsiaTheme="minorEastAsia" w:cs="Arial"/>
          <w:bCs/>
          <w:sz w:val="20"/>
          <w:szCs w:val="20"/>
          <w:lang w:val="en-GB" w:eastAsia="zh-CN"/>
        </w:rPr>
        <w:t xml:space="preserve"> of these p</w:t>
      </w:r>
      <w:bookmarkStart w:id="23" w:name="_Hlk217421440"/>
      <w:r w:rsidRPr="00A47719">
        <w:rPr>
          <w:rFonts w:eastAsiaTheme="minorEastAsia" w:cs="Arial"/>
          <w:bCs/>
          <w:sz w:val="20"/>
          <w:szCs w:val="20"/>
          <w:lang w:val="en-GB" w:eastAsia="zh-CN"/>
        </w:rPr>
        <w:t xml:space="preserve">yrene-based HTMs </w:t>
      </w:r>
      <w:bookmarkEnd w:id="23"/>
      <w:r w:rsidRPr="00A47719">
        <w:rPr>
          <w:rFonts w:eastAsiaTheme="minorEastAsia" w:cs="Arial"/>
          <w:bCs/>
          <w:sz w:val="20"/>
          <w:szCs w:val="20"/>
          <w:lang w:val="en-GB" w:eastAsia="zh-CN"/>
        </w:rPr>
        <w:t xml:space="preserve">are lower than of their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precursor </w:t>
      </w:r>
      <w:proofErr w:type="spellStart"/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</w:t>
      </w:r>
      <w:proofErr w:type="spellEnd"/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-OH,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[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18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]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indicating improved energy alignment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with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the perovskite layer for </w:t>
      </w:r>
      <w:r w:rsidRPr="00A47719">
        <w:rPr>
          <w:rFonts w:eastAsiaTheme="minorEastAsia" w:cs="Arial"/>
          <w:sz w:val="20"/>
          <w:szCs w:val="20"/>
          <w:lang w:eastAsia="zh-CN"/>
        </w:rPr>
        <w:t>more efficient charge extraction. The current density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-</w:t>
      </w:r>
      <w:r w:rsidRPr="00A47719">
        <w:rPr>
          <w:rFonts w:eastAsiaTheme="minorEastAsia" w:cs="Arial"/>
          <w:sz w:val="20"/>
          <w:szCs w:val="20"/>
          <w:lang w:eastAsia="zh-CN"/>
        </w:rPr>
        <w:t>voltage (</w:t>
      </w:r>
      <w:r w:rsidRPr="00A47719">
        <w:rPr>
          <w:rFonts w:eastAsiaTheme="minorEastAsia" w:cs="Arial"/>
          <w:i/>
          <w:iCs/>
          <w:sz w:val="20"/>
          <w:szCs w:val="20"/>
          <w:lang w:eastAsia="zh-CN"/>
        </w:rPr>
        <w:t>J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-</w:t>
      </w:r>
      <w:r w:rsidRPr="00A47719">
        <w:rPr>
          <w:rFonts w:eastAsiaTheme="minorEastAsia" w:cs="Arial"/>
          <w:i/>
          <w:iCs/>
          <w:sz w:val="20"/>
          <w:szCs w:val="20"/>
          <w:lang w:eastAsia="zh-CN"/>
        </w:rPr>
        <w:t>V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)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characteristics under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AM 1.5G (100 </w:t>
      </w:r>
      <w:proofErr w:type="spellStart"/>
      <w:r w:rsidRPr="00A47719">
        <w:rPr>
          <w:rFonts w:eastAsiaTheme="minorEastAsia" w:cs="Arial"/>
          <w:sz w:val="20"/>
          <w:szCs w:val="20"/>
          <w:lang w:eastAsia="zh-CN"/>
        </w:rPr>
        <w:t>mW</w:t>
      </w:r>
      <w:proofErr w:type="spellEnd"/>
      <w:r w:rsidRPr="00A47719">
        <w:rPr>
          <w:rFonts w:eastAsiaTheme="minorEastAsia" w:cs="Arial"/>
          <w:sz w:val="20"/>
          <w:szCs w:val="20"/>
          <w:lang w:eastAsia="zh-CN"/>
        </w:rPr>
        <w:t xml:space="preserve"> cm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−2</w:t>
      </w:r>
      <w:r w:rsidRPr="00A47719">
        <w:rPr>
          <w:rFonts w:eastAsiaTheme="minorEastAsia" w:cs="Arial"/>
          <w:sz w:val="20"/>
          <w:szCs w:val="20"/>
          <w:lang w:eastAsia="zh-CN"/>
        </w:rPr>
        <w:t>)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are shown in </w:t>
      </w:r>
      <w:r w:rsidRPr="00A47719">
        <w:rPr>
          <w:rFonts w:eastAsiaTheme="minorEastAsia" w:cs="Arial"/>
          <w:sz w:val="20"/>
          <w:szCs w:val="20"/>
          <w:lang w:eastAsia="zh-CN"/>
        </w:rPr>
        <w:t>Figure 4B-4D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, with detailed </w:t>
      </w:r>
      <w:r w:rsidRPr="00A47719">
        <w:rPr>
          <w:rFonts w:eastAsiaTheme="minorEastAsia" w:cs="Arial"/>
          <w:sz w:val="20"/>
          <w:szCs w:val="20"/>
          <w:lang w:val="en-GB" w:eastAsia="zh-CN"/>
        </w:rPr>
        <w:t>photovoltaic</w:t>
      </w:r>
      <w:r w:rsidRPr="00A47719">
        <w:rPr>
          <w:rFonts w:eastAsiaTheme="minorEastAsia" w:cs="Arial" w:hint="eastAsia"/>
          <w:sz w:val="20"/>
          <w:szCs w:val="20"/>
          <w:lang w:val="en-GB"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parameters</w:t>
      </w:r>
      <w:r w:rsidRPr="00A47719">
        <w:rPr>
          <w:rFonts w:eastAsiaTheme="minorEastAsia" w:cs="Arial"/>
          <w:sz w:val="20"/>
          <w:szCs w:val="20"/>
          <w:lang w:val="en-GB" w:eastAsia="zh-CN"/>
        </w:rPr>
        <w:t xml:space="preserve"> summarized in Table 2.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The devices delivered</w:t>
      </w:r>
      <w:r w:rsidRPr="00A47719">
        <w:rPr>
          <w:rFonts w:eastAsiaTheme="minorEastAsia" w:cs="Arial"/>
          <w:sz w:val="20"/>
          <w:szCs w:val="20"/>
          <w:lang w:val="en-GB" w:eastAsia="zh-CN"/>
        </w:rPr>
        <w:t xml:space="preserve"> state-of-the-art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efficiencies:</w:t>
      </w:r>
      <w:r w:rsidRPr="00A47719">
        <w:rPr>
          <w:rFonts w:eastAsiaTheme="minorEastAsia" w:cs="Arial"/>
          <w:sz w:val="20"/>
          <w:szCs w:val="20"/>
          <w:lang w:val="en-GB" w:eastAsia="zh-CN"/>
        </w:rPr>
        <w:t xml:space="preserve"> </w:t>
      </w:r>
      <w:r w:rsidRPr="00A47719">
        <w:rPr>
          <w:rFonts w:eastAsiaTheme="minorEastAsia" w:cs="Arial"/>
          <w:b/>
          <w:sz w:val="20"/>
          <w:szCs w:val="20"/>
          <w:lang w:val="en-GB" w:eastAsia="zh-CN"/>
        </w:rPr>
        <w:t>PyTPA</w:t>
      </w:r>
      <w:r w:rsidRPr="00A47719">
        <w:rPr>
          <w:rFonts w:eastAsiaTheme="minorEastAsia" w:cs="Arial"/>
          <w:b/>
          <w:bCs/>
          <w:sz w:val="20"/>
          <w:szCs w:val="20"/>
          <w:lang w:val="en-GB" w:eastAsia="zh-CN"/>
        </w:rPr>
        <w:t>-9C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achieved </w:t>
      </w:r>
      <w:r w:rsidRPr="00A47719">
        <w:rPr>
          <w:rFonts w:eastAsiaTheme="minorEastAsia" w:cs="Arial"/>
          <w:sz w:val="20"/>
          <w:szCs w:val="20"/>
          <w:lang w:val="en-GB" w:eastAsia="zh-CN"/>
        </w:rPr>
        <w:t xml:space="preserve">a PCE of 24.27%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(</w:t>
      </w:r>
      <w:r w:rsidRPr="00A47719">
        <w:rPr>
          <w:rFonts w:eastAsiaTheme="minorEastAsia" w:cs="Arial"/>
          <w:sz w:val="20"/>
          <w:szCs w:val="20"/>
          <w:lang w:val="en-GB" w:eastAsia="zh-CN"/>
        </w:rPr>
        <w:t>reverse scan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) </w:t>
      </w:r>
      <w:r w:rsidRPr="00A47719">
        <w:rPr>
          <w:rFonts w:eastAsiaTheme="minorEastAsia" w:cs="Arial"/>
          <w:sz w:val="20"/>
          <w:szCs w:val="20"/>
          <w:lang w:val="en-GB" w:eastAsia="zh-CN"/>
        </w:rPr>
        <w:t>with an open-circuit voltage (</w:t>
      </w:r>
      <w:r w:rsidRPr="00A47719">
        <w:rPr>
          <w:rFonts w:eastAsiaTheme="minorEastAsia" w:cs="Arial"/>
          <w:i/>
          <w:iCs/>
          <w:sz w:val="20"/>
          <w:szCs w:val="20"/>
          <w:lang w:val="en-GB" w:eastAsia="zh-CN"/>
        </w:rPr>
        <w:t>V</w:t>
      </w:r>
      <w:r w:rsidRPr="00A47719">
        <w:rPr>
          <w:rFonts w:eastAsiaTheme="minorEastAsia" w:cs="Arial"/>
          <w:sz w:val="20"/>
          <w:szCs w:val="20"/>
          <w:vertAlign w:val="subscript"/>
          <w:lang w:val="en-GB" w:eastAsia="zh-CN"/>
        </w:rPr>
        <w:t>OC</w:t>
      </w:r>
      <w:r w:rsidRPr="00A47719">
        <w:rPr>
          <w:rFonts w:eastAsiaTheme="minorEastAsia" w:cs="Arial"/>
          <w:sz w:val="20"/>
          <w:szCs w:val="20"/>
          <w:lang w:val="en-GB" w:eastAsia="zh-CN"/>
        </w:rPr>
        <w:t>) of 1.176 V, a short-circuit current (</w:t>
      </w:r>
      <w:r w:rsidRPr="00A47719">
        <w:rPr>
          <w:rFonts w:eastAsiaTheme="minorEastAsia" w:cs="Arial"/>
          <w:i/>
          <w:iCs/>
          <w:sz w:val="20"/>
          <w:szCs w:val="20"/>
          <w:lang w:val="en-GB" w:eastAsia="zh-CN"/>
        </w:rPr>
        <w:t>J</w:t>
      </w:r>
      <w:r w:rsidRPr="00A47719">
        <w:rPr>
          <w:rFonts w:eastAsiaTheme="minorEastAsia" w:cs="Arial"/>
          <w:sz w:val="20"/>
          <w:szCs w:val="20"/>
          <w:vertAlign w:val="subscript"/>
          <w:lang w:val="en-GB" w:eastAsia="zh-CN"/>
        </w:rPr>
        <w:t>SC</w:t>
      </w:r>
      <w:r w:rsidRPr="00A47719">
        <w:rPr>
          <w:rFonts w:eastAsiaTheme="minorEastAsia" w:cs="Arial"/>
          <w:sz w:val="20"/>
          <w:szCs w:val="20"/>
          <w:lang w:val="en-GB" w:eastAsia="zh-CN"/>
        </w:rPr>
        <w:t>) of 25.23 mA cm</w:t>
      </w:r>
      <w:r w:rsidRPr="00A47719">
        <w:rPr>
          <w:rFonts w:eastAsiaTheme="minorEastAsia" w:cs="Arial"/>
          <w:sz w:val="20"/>
          <w:szCs w:val="20"/>
          <w:vertAlign w:val="superscript"/>
          <w:lang w:val="en-GB" w:eastAsia="zh-CN"/>
        </w:rPr>
        <w:t>−2</w:t>
      </w:r>
      <w:r w:rsidRPr="00A47719">
        <w:rPr>
          <w:rFonts w:eastAsiaTheme="minorEastAsia" w:cs="Arial"/>
          <w:sz w:val="20"/>
          <w:szCs w:val="20"/>
          <w:lang w:val="en-GB" w:eastAsia="zh-CN"/>
        </w:rPr>
        <w:t>, and a fill factor (FF) of 81.80%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;</w:t>
      </w:r>
      <w:r w:rsidRPr="00A47719">
        <w:rPr>
          <w:rFonts w:eastAsiaTheme="minorEastAsia" w:cs="Arial"/>
          <w:sz w:val="20"/>
          <w:szCs w:val="20"/>
          <w:lang w:val="en-GB" w:eastAsia="zh-CN"/>
        </w:rPr>
        <w:t xml:space="preserve"> </w:t>
      </w:r>
      <w:r w:rsidRPr="00A47719">
        <w:rPr>
          <w:rFonts w:eastAsiaTheme="minorEastAsia" w:cs="Arial"/>
          <w:b/>
          <w:sz w:val="20"/>
          <w:szCs w:val="20"/>
          <w:lang w:val="en-GB" w:eastAsia="zh-CN"/>
        </w:rPr>
        <w:t>PyTPA</w:t>
      </w:r>
      <w:r w:rsidRPr="00A47719">
        <w:rPr>
          <w:rFonts w:eastAsiaTheme="minorEastAsia" w:cs="Arial"/>
          <w:b/>
          <w:bCs/>
          <w:sz w:val="20"/>
          <w:szCs w:val="20"/>
          <w:lang w:val="en-GB" w:eastAsia="zh-CN"/>
        </w:rPr>
        <w:t>-13C</w:t>
      </w:r>
      <w:r w:rsidRPr="00A47719">
        <w:rPr>
          <w:rFonts w:eastAsiaTheme="minorEastAsia" w:cs="Arial"/>
          <w:sz w:val="20"/>
          <w:szCs w:val="20"/>
          <w:lang w:val="en-GB"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reached </w:t>
      </w:r>
      <w:r w:rsidRPr="00A47719">
        <w:rPr>
          <w:rFonts w:eastAsiaTheme="minorEastAsia" w:cs="Arial"/>
          <w:sz w:val="20"/>
          <w:szCs w:val="20"/>
          <w:lang w:val="en-GB" w:eastAsia="zh-CN"/>
        </w:rPr>
        <w:t>a PCE of 24.68%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with</w:t>
      </w:r>
      <w:r w:rsidRPr="00A47719">
        <w:rPr>
          <w:rFonts w:eastAsiaTheme="minorEastAsia" w:cs="Arial"/>
          <w:sz w:val="20"/>
          <w:szCs w:val="20"/>
          <w:lang w:val="en-GB" w:eastAsia="zh-CN"/>
        </w:rPr>
        <w:t xml:space="preserve"> a </w:t>
      </w:r>
      <w:r w:rsidRPr="00A47719">
        <w:rPr>
          <w:rFonts w:eastAsiaTheme="minorEastAsia" w:cs="Arial"/>
          <w:i/>
          <w:iCs/>
          <w:sz w:val="20"/>
          <w:szCs w:val="20"/>
          <w:lang w:val="en-GB" w:eastAsia="zh-CN"/>
        </w:rPr>
        <w:t>V</w:t>
      </w:r>
      <w:r w:rsidRPr="00A47719">
        <w:rPr>
          <w:rFonts w:eastAsiaTheme="minorEastAsia" w:cs="Arial"/>
          <w:sz w:val="20"/>
          <w:szCs w:val="20"/>
          <w:vertAlign w:val="subscript"/>
          <w:lang w:val="en-GB" w:eastAsia="zh-CN"/>
        </w:rPr>
        <w:t>OC</w:t>
      </w:r>
      <w:r w:rsidRPr="00A47719">
        <w:rPr>
          <w:rFonts w:eastAsiaTheme="minorEastAsia" w:cs="Arial" w:hint="eastAsia"/>
          <w:sz w:val="20"/>
          <w:szCs w:val="20"/>
          <w:vertAlign w:val="subscript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of </w:t>
      </w:r>
      <w:r w:rsidRPr="00A47719">
        <w:rPr>
          <w:rFonts w:eastAsiaTheme="minorEastAsia" w:cs="Arial"/>
          <w:sz w:val="20"/>
          <w:szCs w:val="20"/>
          <w:lang w:val="en-GB" w:eastAsia="zh-CN"/>
        </w:rPr>
        <w:t>1.176 V,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a </w:t>
      </w:r>
      <w:r w:rsidRPr="00A47719">
        <w:rPr>
          <w:rFonts w:eastAsiaTheme="minorEastAsia" w:cs="Arial"/>
          <w:i/>
          <w:iCs/>
          <w:sz w:val="20"/>
          <w:szCs w:val="20"/>
          <w:lang w:val="en-GB" w:eastAsia="zh-CN"/>
        </w:rPr>
        <w:t>J</w:t>
      </w:r>
      <w:r w:rsidRPr="00A47719">
        <w:rPr>
          <w:rFonts w:eastAsiaTheme="minorEastAsia" w:cs="Arial"/>
          <w:sz w:val="20"/>
          <w:szCs w:val="20"/>
          <w:vertAlign w:val="subscript"/>
          <w:lang w:val="en-GB" w:eastAsia="zh-CN"/>
        </w:rPr>
        <w:t>SC</w:t>
      </w:r>
      <w:r w:rsidRPr="00A47719">
        <w:rPr>
          <w:rFonts w:eastAsiaTheme="minorEastAsia" w:cs="Arial" w:hint="eastAsia"/>
          <w:sz w:val="20"/>
          <w:szCs w:val="20"/>
          <w:vertAlign w:val="subscript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val="en-GB" w:eastAsia="zh-CN"/>
        </w:rPr>
        <w:t>of 25.38 mA cm</w:t>
      </w:r>
      <w:r w:rsidRPr="00A47719">
        <w:rPr>
          <w:rFonts w:eastAsiaTheme="minorEastAsia" w:cs="Arial"/>
          <w:sz w:val="20"/>
          <w:szCs w:val="20"/>
          <w:vertAlign w:val="superscript"/>
          <w:lang w:val="en-GB" w:eastAsia="zh-CN"/>
        </w:rPr>
        <w:t>−2</w:t>
      </w:r>
      <w:r w:rsidRPr="00A47719">
        <w:rPr>
          <w:rFonts w:eastAsiaTheme="minorEastAsia" w:cs="Arial"/>
          <w:sz w:val="20"/>
          <w:szCs w:val="20"/>
          <w:lang w:val="en-GB" w:eastAsia="zh-CN"/>
        </w:rPr>
        <w:t xml:space="preserve">, and </w:t>
      </w:r>
      <w:r w:rsidRPr="00A47719">
        <w:rPr>
          <w:rFonts w:eastAsiaTheme="minorEastAsia" w:cs="Arial"/>
          <w:sz w:val="20"/>
          <w:szCs w:val="20"/>
          <w:lang w:eastAsia="zh-CN"/>
        </w:rPr>
        <w:t>an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val="en-GB" w:eastAsia="zh-CN"/>
        </w:rPr>
        <w:t xml:space="preserve">FF of 82.69%. Notably, the </w:t>
      </w:r>
      <w:r w:rsidRPr="00A47719">
        <w:rPr>
          <w:rFonts w:eastAsiaTheme="minorEastAsia" w:cs="Arial"/>
          <w:b/>
          <w:sz w:val="20"/>
          <w:szCs w:val="20"/>
          <w:lang w:val="en-GB" w:eastAsia="zh-CN"/>
        </w:rPr>
        <w:t>PyTPA</w:t>
      </w:r>
      <w:r w:rsidRPr="00A47719">
        <w:rPr>
          <w:rFonts w:eastAsiaTheme="minorEastAsia" w:cs="Arial"/>
          <w:b/>
          <w:bCs/>
          <w:sz w:val="20"/>
          <w:szCs w:val="20"/>
          <w:lang w:val="en-GB" w:eastAsia="zh-CN"/>
        </w:rPr>
        <w:t>-10C</w:t>
      </w:r>
      <w:r w:rsidRPr="00A47719">
        <w:rPr>
          <w:rFonts w:eastAsiaTheme="minorEastAsia" w:cs="Arial"/>
          <w:sz w:val="20"/>
          <w:szCs w:val="20"/>
          <w:lang w:eastAsia="zh-CN"/>
        </w:rPr>
        <w:t>-based device</w:t>
      </w:r>
      <w:r w:rsidRPr="00A47719">
        <w:rPr>
          <w:rFonts w:eastAsiaTheme="minorEastAsia" w:cs="Arial" w:hint="eastAsia"/>
          <w:b/>
          <w:bCs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attained a champion PCE of </w:t>
      </w:r>
      <w:r w:rsidRPr="00A47719">
        <w:rPr>
          <w:rFonts w:eastAsiaTheme="minorEastAsia" w:cs="Arial"/>
          <w:sz w:val="20"/>
          <w:szCs w:val="20"/>
          <w:lang w:val="en-GB" w:eastAsia="zh-CN"/>
        </w:rPr>
        <w:t>25.47% (reverse scan), with an average PCE of 25.47% ± 0.04% from 25 independent devices (Table 2, Figure 4I-L). This represents one of the highest efficiencies reported for n-</w:t>
      </w:r>
      <w:proofErr w:type="spellStart"/>
      <w:r w:rsidRPr="00A47719">
        <w:rPr>
          <w:rFonts w:eastAsiaTheme="minorEastAsia" w:cs="Arial"/>
          <w:sz w:val="20"/>
          <w:szCs w:val="20"/>
          <w:lang w:val="en-GB" w:eastAsia="zh-CN"/>
        </w:rPr>
        <w:t>i</w:t>
      </w:r>
      <w:proofErr w:type="spellEnd"/>
      <w:r w:rsidRPr="00A47719">
        <w:rPr>
          <w:rFonts w:eastAsiaTheme="minorEastAsia" w:cs="Arial"/>
          <w:sz w:val="20"/>
          <w:szCs w:val="20"/>
          <w:lang w:val="en-GB" w:eastAsia="zh-CN"/>
        </w:rPr>
        <w:t>-p structured PSCs based on dopant-free, organic small-molecule HTMs to date.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The c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orresponding </w:t>
      </w:r>
      <w:r w:rsidRPr="00A47719">
        <w:rPr>
          <w:rFonts w:eastAsiaTheme="minorEastAsia" w:cs="Arial"/>
          <w:sz w:val="20"/>
          <w:szCs w:val="20"/>
          <w:lang w:val="en-GB" w:eastAsia="zh-CN"/>
        </w:rPr>
        <w:t>parameters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>are</w:t>
      </w:r>
      <w:r w:rsidRPr="00A47719">
        <w:rPr>
          <w:rFonts w:eastAsiaTheme="minorEastAsia" w:cs="Arial"/>
          <w:sz w:val="20"/>
          <w:szCs w:val="20"/>
          <w:lang w:val="en-GB" w:eastAsia="zh-CN"/>
        </w:rPr>
        <w:t xml:space="preserve"> a </w:t>
      </w:r>
      <w:r w:rsidRPr="00A47719">
        <w:rPr>
          <w:rFonts w:eastAsiaTheme="minorEastAsia" w:cs="Arial"/>
          <w:i/>
          <w:iCs/>
          <w:sz w:val="20"/>
          <w:szCs w:val="20"/>
          <w:lang w:val="en-GB" w:eastAsia="zh-CN"/>
        </w:rPr>
        <w:t>V</w:t>
      </w:r>
      <w:r w:rsidRPr="00A47719">
        <w:rPr>
          <w:rFonts w:eastAsiaTheme="minorEastAsia" w:cs="Arial"/>
          <w:sz w:val="20"/>
          <w:szCs w:val="20"/>
          <w:vertAlign w:val="subscript"/>
          <w:lang w:val="en-GB" w:eastAsia="zh-CN"/>
        </w:rPr>
        <w:t>OC</w:t>
      </w:r>
      <w:r w:rsidRPr="00A47719">
        <w:rPr>
          <w:rFonts w:eastAsiaTheme="minorEastAsia" w:cs="Arial"/>
          <w:sz w:val="20"/>
          <w:szCs w:val="20"/>
          <w:lang w:val="en-GB" w:eastAsia="zh-CN"/>
        </w:rPr>
        <w:t xml:space="preserve"> of 1.178 V, </w:t>
      </w:r>
      <w:r w:rsidRPr="00A47719">
        <w:rPr>
          <w:rFonts w:eastAsiaTheme="minorEastAsia" w:cs="Arial"/>
          <w:i/>
          <w:iCs/>
          <w:sz w:val="20"/>
          <w:szCs w:val="20"/>
          <w:lang w:val="en-GB" w:eastAsia="zh-CN"/>
        </w:rPr>
        <w:t>J</w:t>
      </w:r>
      <w:r w:rsidRPr="00A47719">
        <w:rPr>
          <w:rFonts w:eastAsiaTheme="minorEastAsia" w:cs="Arial"/>
          <w:sz w:val="20"/>
          <w:szCs w:val="20"/>
          <w:vertAlign w:val="subscript"/>
          <w:lang w:val="en-GB" w:eastAsia="zh-CN"/>
        </w:rPr>
        <w:t>SC</w:t>
      </w:r>
      <w:r w:rsidRPr="00A47719">
        <w:rPr>
          <w:rFonts w:eastAsiaTheme="minorEastAsia" w:cs="Arial"/>
          <w:sz w:val="20"/>
          <w:szCs w:val="20"/>
          <w:lang w:val="en-GB" w:eastAsia="zh-CN"/>
        </w:rPr>
        <w:t xml:space="preserve"> of 25.62 mA cm</w:t>
      </w:r>
      <w:r w:rsidRPr="00A47719">
        <w:rPr>
          <w:rFonts w:eastAsiaTheme="minorEastAsia" w:cs="Arial"/>
          <w:sz w:val="20"/>
          <w:szCs w:val="20"/>
          <w:vertAlign w:val="superscript"/>
          <w:lang w:val="en-GB" w:eastAsia="zh-CN"/>
        </w:rPr>
        <w:t>−2</w:t>
      </w:r>
      <w:r w:rsidRPr="00A47719">
        <w:rPr>
          <w:rFonts w:eastAsiaTheme="minorEastAsia" w:cs="Arial"/>
          <w:sz w:val="20"/>
          <w:szCs w:val="20"/>
          <w:lang w:val="en-GB" w:eastAsia="zh-CN"/>
        </w:rPr>
        <w:t>, and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>an</w:t>
      </w:r>
      <w:r w:rsidRPr="00A47719">
        <w:rPr>
          <w:rFonts w:eastAsiaTheme="minorEastAsia" w:cs="Arial"/>
          <w:sz w:val="20"/>
          <w:szCs w:val="20"/>
          <w:lang w:val="en-GB" w:eastAsia="zh-CN"/>
        </w:rPr>
        <w:t xml:space="preserve"> FF of 84.39%.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All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devices exhibit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ed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minimal </w:t>
      </w:r>
      <w:r w:rsidRPr="00A47719">
        <w:rPr>
          <w:rFonts w:eastAsiaTheme="minorEastAsia" w:cs="Arial"/>
          <w:sz w:val="20"/>
          <w:szCs w:val="20"/>
          <w:lang w:eastAsia="zh-CN"/>
        </w:rPr>
        <w:t>hysteresis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,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with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a </w:t>
      </w:r>
      <w:r w:rsidRPr="00A47719">
        <w:rPr>
          <w:rFonts w:eastAsiaTheme="minorEastAsia" w:cs="Arial"/>
          <w:sz w:val="20"/>
          <w:szCs w:val="20"/>
          <w:lang w:eastAsia="zh-CN"/>
        </w:rPr>
        <w:t>hysteresis index (H</w:t>
      </w:r>
      <w:r w:rsidRPr="00A47719">
        <w:rPr>
          <w:rFonts w:eastAsiaTheme="minorEastAsia" w:cs="Arial"/>
          <w:sz w:val="20"/>
          <w:szCs w:val="20"/>
          <w:lang w:val="en-GB" w:eastAsia="zh-CN"/>
        </w:rPr>
        <w:t xml:space="preserve">I) in </w:t>
      </w:r>
      <w:r w:rsidR="009A6E6A" w:rsidRPr="00A47719">
        <w:rPr>
          <w:rFonts w:eastAsiaTheme="minorEastAsia" w:cs="Arial"/>
          <w:sz w:val="20"/>
          <w:szCs w:val="20"/>
          <w:lang w:val="en-GB" w:eastAsia="zh-CN"/>
        </w:rPr>
        <w:t xml:space="preserve">the </w:t>
      </w:r>
      <w:r w:rsidRPr="00A47719">
        <w:rPr>
          <w:rFonts w:eastAsiaTheme="minorEastAsia" w:cs="Arial"/>
          <w:sz w:val="20"/>
          <w:szCs w:val="20"/>
          <w:lang w:val="en-GB" w:eastAsia="zh-CN"/>
        </w:rPr>
        <w:t xml:space="preserve">range </w:t>
      </w:r>
      <w:r w:rsidRPr="00A47719">
        <w:rPr>
          <w:rFonts w:eastAsiaTheme="minorEastAsia" w:cs="Arial"/>
          <w:sz w:val="20"/>
          <w:szCs w:val="20"/>
          <w:lang w:eastAsia="zh-CN"/>
        </w:rPr>
        <w:t>1.02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-</w:t>
      </w:r>
      <w:r w:rsidRPr="00A47719">
        <w:rPr>
          <w:rFonts w:eastAsiaTheme="minorEastAsia" w:cs="Arial"/>
          <w:sz w:val="20"/>
          <w:szCs w:val="20"/>
          <w:lang w:eastAsia="zh-CN"/>
        </w:rPr>
        <w:t>1.18%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, indicating effective passivation of the perovskite/HTM </w:t>
      </w:r>
      <w:r w:rsidRPr="00A47719">
        <w:rPr>
          <w:rFonts w:eastAsiaTheme="minorEastAsia" w:cs="Arial"/>
          <w:sz w:val="20"/>
          <w:szCs w:val="20"/>
          <w:lang w:eastAsia="zh-CN"/>
        </w:rPr>
        <w:t>interfac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e by these pyrene-based materials</w:t>
      </w:r>
      <w:r w:rsidRPr="00A47719">
        <w:rPr>
          <w:rFonts w:eastAsiaTheme="minorEastAsia" w:cs="Arial"/>
          <w:sz w:val="20"/>
          <w:szCs w:val="20"/>
          <w:lang w:eastAsia="zh-CN"/>
        </w:rPr>
        <w:t>.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[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38</w:t>
      </w:r>
      <w:r w:rsidRPr="00A47719">
        <w:rPr>
          <w:rFonts w:eastAsiaTheme="minorEastAsia" w:cs="Arial" w:hint="eastAsia"/>
          <w:sz w:val="20"/>
          <w:szCs w:val="20"/>
          <w:vertAlign w:val="superscript"/>
          <w:lang w:eastAsia="zh-CN"/>
        </w:rPr>
        <w:t>]</w:t>
      </w:r>
    </w:p>
    <w:p w14:paraId="024F4084" w14:textId="2B3CF1B8" w:rsidR="00D240DA" w:rsidRPr="00A47719" w:rsidRDefault="00D361DA">
      <w:pPr>
        <w:pStyle w:val="P1"/>
        <w:spacing w:line="240" w:lineRule="atLeast"/>
        <w:ind w:firstLine="200"/>
        <w:rPr>
          <w:rFonts w:eastAsiaTheme="minorEastAsia" w:cs="Arial"/>
          <w:sz w:val="20"/>
          <w:szCs w:val="20"/>
          <w:lang w:eastAsia="zh-CN"/>
        </w:rPr>
      </w:pPr>
      <w:r w:rsidRPr="00A47719">
        <w:rPr>
          <w:rFonts w:eastAsiaTheme="minorEastAsia" w:cs="Arial"/>
          <w:sz w:val="20"/>
          <w:szCs w:val="20"/>
          <w:lang w:eastAsia="zh-CN"/>
        </w:rPr>
        <w:t xml:space="preserve">The external quantum efficiency (EQE) spectra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and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the corresponding integrated </w:t>
      </w:r>
      <w:proofErr w:type="spellStart"/>
      <w:r w:rsidRPr="00A47719">
        <w:rPr>
          <w:rFonts w:eastAsiaTheme="minorEastAsia" w:cs="Arial"/>
          <w:i/>
          <w:iCs/>
          <w:sz w:val="20"/>
          <w:szCs w:val="20"/>
          <w:lang w:eastAsia="zh-CN"/>
        </w:rPr>
        <w:t>J</w:t>
      </w:r>
      <w:r w:rsidRPr="00A47719">
        <w:rPr>
          <w:rFonts w:eastAsiaTheme="minorEastAsia" w:cs="Arial"/>
          <w:sz w:val="20"/>
          <w:szCs w:val="20"/>
          <w:vertAlign w:val="subscript"/>
          <w:lang w:eastAsia="zh-CN"/>
        </w:rPr>
        <w:t>sc</w:t>
      </w:r>
      <w:proofErr w:type="spellEnd"/>
      <w:r w:rsidRPr="00A47719">
        <w:rPr>
          <w:rFonts w:eastAsiaTheme="minorEastAsia" w:cs="Arial"/>
          <w:sz w:val="20"/>
          <w:szCs w:val="20"/>
          <w:lang w:eastAsia="zh-CN"/>
        </w:rPr>
        <w:t xml:space="preserve"> values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of th</w:t>
      </w:r>
      <w:r w:rsidRPr="00A47719">
        <w:rPr>
          <w:rFonts w:eastAsiaTheme="minorEastAsia" w:cs="Arial"/>
          <w:sz w:val="20"/>
          <w:szCs w:val="20"/>
          <w:lang w:eastAsia="zh-CN"/>
        </w:rPr>
        <w:t>e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device </w:t>
      </w:r>
      <w:r w:rsidRPr="00A47719">
        <w:rPr>
          <w:rFonts w:eastAsiaTheme="minorEastAsia" w:cs="Arial"/>
          <w:sz w:val="20"/>
          <w:szCs w:val="20"/>
          <w:lang w:eastAsia="zh-CN"/>
        </w:rPr>
        <w:t>are illustrated in Figure 4E. The EQE increases significantly from 43% to 90%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>across the 300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-</w:t>
      </w:r>
      <w:r w:rsidRPr="00A47719">
        <w:rPr>
          <w:rFonts w:eastAsiaTheme="minorEastAsia" w:cs="Arial"/>
          <w:sz w:val="20"/>
          <w:szCs w:val="20"/>
          <w:lang w:eastAsia="zh-CN"/>
        </w:rPr>
        <w:t>800 nm range, reach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ing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a maximum of 95% at 733 nm. The integrated </w:t>
      </w:r>
      <w:proofErr w:type="spellStart"/>
      <w:r w:rsidRPr="00A47719">
        <w:rPr>
          <w:rFonts w:eastAsiaTheme="minorEastAsia" w:cs="Arial"/>
          <w:i/>
          <w:iCs/>
          <w:sz w:val="20"/>
          <w:szCs w:val="20"/>
          <w:lang w:eastAsia="zh-CN"/>
        </w:rPr>
        <w:t>J</w:t>
      </w:r>
      <w:r w:rsidRPr="00A47719">
        <w:rPr>
          <w:rFonts w:eastAsiaTheme="minorEastAsia" w:cs="Arial"/>
          <w:sz w:val="20"/>
          <w:szCs w:val="20"/>
          <w:vertAlign w:val="subscript"/>
          <w:lang w:eastAsia="zh-CN"/>
        </w:rPr>
        <w:t>sc</w:t>
      </w:r>
      <w:proofErr w:type="spellEnd"/>
      <w:r w:rsidRPr="00A47719">
        <w:rPr>
          <w:rFonts w:eastAsiaTheme="minorEastAsia" w:cs="Arial"/>
          <w:sz w:val="20"/>
          <w:szCs w:val="20"/>
          <w:lang w:eastAsia="zh-CN"/>
        </w:rPr>
        <w:t xml:space="preserve"> values are 24.37 mA cm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-2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for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 xml:space="preserve">PyTPA-9C, </w:t>
      </w:r>
      <w:r w:rsidRPr="00A47719">
        <w:rPr>
          <w:rFonts w:eastAsiaTheme="minorEastAsia" w:cs="Arial"/>
          <w:sz w:val="20"/>
          <w:szCs w:val="20"/>
          <w:lang w:eastAsia="zh-CN"/>
        </w:rPr>
        <w:t>24.46 mA cm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-2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for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 xml:space="preserve">PyTPA-10C, </w:t>
      </w:r>
      <w:r w:rsidRPr="00A47719">
        <w:rPr>
          <w:rFonts w:eastAsiaTheme="minorEastAsia" w:cs="Arial"/>
          <w:sz w:val="20"/>
          <w:szCs w:val="20"/>
          <w:lang w:eastAsia="zh-CN"/>
        </w:rPr>
        <w:t>and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>24.22 mA cm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-2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for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PyTPA-13C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, respectively, which </w:t>
      </w:r>
      <w:r w:rsidR="009A6E6A" w:rsidRPr="00A47719">
        <w:rPr>
          <w:rFonts w:eastAsiaTheme="minorEastAsia" w:cs="Arial"/>
          <w:sz w:val="20"/>
          <w:szCs w:val="20"/>
          <w:lang w:eastAsia="zh-CN"/>
        </w:rPr>
        <w:t>are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consistent with the </w:t>
      </w:r>
      <w:r w:rsidRPr="00A47719">
        <w:rPr>
          <w:rFonts w:eastAsiaTheme="minorEastAsia" w:cs="Arial"/>
          <w:i/>
          <w:iCs/>
          <w:sz w:val="20"/>
          <w:szCs w:val="20"/>
          <w:lang w:eastAsia="zh-CN"/>
        </w:rPr>
        <w:t>J</w:t>
      </w:r>
      <w:r w:rsidRPr="00A47719">
        <w:rPr>
          <w:rFonts w:eastAsiaTheme="minorEastAsia" w:cs="Arial" w:hint="eastAsia"/>
          <w:i/>
          <w:iCs/>
          <w:sz w:val="20"/>
          <w:szCs w:val="20"/>
          <w:lang w:eastAsia="zh-CN"/>
        </w:rPr>
        <w:t>-</w:t>
      </w:r>
      <w:r w:rsidRPr="00A47719">
        <w:rPr>
          <w:rFonts w:eastAsiaTheme="minorEastAsia" w:cs="Arial"/>
          <w:i/>
          <w:iCs/>
          <w:sz w:val="20"/>
          <w:szCs w:val="20"/>
          <w:lang w:eastAsia="zh-CN"/>
        </w:rPr>
        <w:t>V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measurements, </w:t>
      </w:r>
      <w:r w:rsidR="009A6E6A" w:rsidRPr="00A47719">
        <w:rPr>
          <w:rFonts w:eastAsiaTheme="minorEastAsia" w:cs="Arial"/>
          <w:sz w:val="20"/>
          <w:szCs w:val="20"/>
          <w:lang w:eastAsia="zh-CN"/>
        </w:rPr>
        <w:t>thereby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confirm</w:t>
      </w:r>
      <w:r w:rsidR="009A6E6A" w:rsidRPr="00A47719">
        <w:rPr>
          <w:rFonts w:eastAsiaTheme="minorEastAsia" w:cs="Arial"/>
          <w:sz w:val="20"/>
          <w:szCs w:val="20"/>
          <w:lang w:eastAsia="zh-CN"/>
        </w:rPr>
        <w:t>ing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the reliability of the photovoltaic data</w:t>
      </w:r>
      <w:r w:rsidRPr="00A47719">
        <w:rPr>
          <w:rFonts w:eastAsiaTheme="minorEastAsia" w:cs="Arial"/>
          <w:sz w:val="20"/>
          <w:szCs w:val="20"/>
          <w:lang w:eastAsia="zh-CN"/>
        </w:rPr>
        <w:t>.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The steady-state power output and photocurrent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were tracked </w:t>
      </w:r>
      <w:r w:rsidRPr="00A47719">
        <w:rPr>
          <w:rFonts w:eastAsiaTheme="minorEastAsia" w:cs="Arial"/>
          <w:sz w:val="20"/>
          <w:szCs w:val="20"/>
          <w:lang w:eastAsia="zh-CN"/>
        </w:rPr>
        <w:t>at the MPP under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continuous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AM 1.5G illumination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for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300 s (Figure 4F and 4G).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 xml:space="preserve">PyTPA-10C </w:t>
      </w:r>
      <w:r w:rsidRPr="00A47719">
        <w:rPr>
          <w:rFonts w:eastAsiaTheme="minorEastAsia" w:cs="Arial"/>
          <w:sz w:val="20"/>
          <w:szCs w:val="20"/>
          <w:lang w:eastAsia="zh-CN"/>
        </w:rPr>
        <w:t>deliver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ed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the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highest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stabilized PCE of 24.81% and a </w:t>
      </w:r>
      <w:r w:rsidRPr="00A47719">
        <w:rPr>
          <w:rFonts w:eastAsiaTheme="minorEastAsia" w:cs="Arial"/>
          <w:i/>
          <w:iCs/>
          <w:sz w:val="20"/>
          <w:szCs w:val="20"/>
          <w:lang w:eastAsia="zh-CN"/>
        </w:rPr>
        <w:t>J</w:t>
      </w:r>
      <w:r w:rsidRPr="00A47719">
        <w:rPr>
          <w:rFonts w:eastAsiaTheme="minorEastAsia" w:cs="Arial"/>
          <w:sz w:val="20"/>
          <w:szCs w:val="20"/>
          <w:vertAlign w:val="subscript"/>
          <w:lang w:eastAsia="zh-CN"/>
        </w:rPr>
        <w:t>SC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of 23.4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>mA cm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-2</w:t>
      </w:r>
      <w:r w:rsidRPr="00A47719">
        <w:rPr>
          <w:rFonts w:eastAsiaTheme="minorEastAsia" w:cs="Arial"/>
          <w:sz w:val="20"/>
          <w:szCs w:val="20"/>
          <w:lang w:eastAsia="zh-CN"/>
        </w:rPr>
        <w:t>. The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>stabil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ized performance </w:t>
      </w:r>
      <w:r w:rsidRPr="00A47719">
        <w:rPr>
          <w:rFonts w:eastAsiaTheme="minorEastAsia" w:cs="Arial"/>
          <w:sz w:val="20"/>
          <w:szCs w:val="20"/>
          <w:lang w:eastAsia="zh-CN"/>
        </w:rPr>
        <w:t>follows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the order: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lastRenderedPageBreak/>
        <w:t xml:space="preserve">PyTPA-10C </w:t>
      </w:r>
      <w:r w:rsidRPr="00A47719">
        <w:rPr>
          <w:rFonts w:eastAsiaTheme="minorEastAsia" w:cs="Arial"/>
          <w:sz w:val="20"/>
          <w:szCs w:val="20"/>
          <w:lang w:eastAsia="zh-CN"/>
        </w:rPr>
        <w:t>(24.81%, 23.4 mA cm</w:t>
      </w:r>
      <w:r w:rsidRPr="00A47719">
        <w:rPr>
          <w:rFonts w:ascii="MS Mincho" w:hAnsi="MS Mincho" w:cs="MS Mincho" w:hint="eastAsia"/>
          <w:sz w:val="20"/>
          <w:szCs w:val="20"/>
          <w:lang w:eastAsia="zh-CN"/>
        </w:rPr>
        <w:t>⁻</w:t>
      </w:r>
      <w:r w:rsidRPr="00A47719">
        <w:rPr>
          <w:rFonts w:eastAsiaTheme="minorEastAsia" w:cs="Arial"/>
          <w:sz w:val="20"/>
          <w:szCs w:val="20"/>
          <w:lang w:eastAsia="zh-CN"/>
        </w:rPr>
        <w:t>²) &gt;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 xml:space="preserve"> PyTPA-13C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(23.78% and 22.95 mA cm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-2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) &gt;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PyTPA-9C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(23.02%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,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22.78 mA cm</w:t>
      </w:r>
      <w:r w:rsidRPr="00A47719">
        <w:rPr>
          <w:rFonts w:eastAsiaTheme="minorEastAsia" w:cs="Arial"/>
          <w:sz w:val="20"/>
          <w:szCs w:val="20"/>
          <w:vertAlign w:val="superscript"/>
          <w:lang w:eastAsia="zh-CN"/>
        </w:rPr>
        <w:t>-2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). Statistical distribution of the photovoltaic parameters (PCE, </w:t>
      </w:r>
      <w:r w:rsidRPr="00A47719">
        <w:rPr>
          <w:rFonts w:eastAsiaTheme="minorEastAsia" w:cs="Arial"/>
          <w:i/>
          <w:iCs/>
          <w:sz w:val="20"/>
          <w:szCs w:val="20"/>
          <w:lang w:eastAsia="zh-CN"/>
        </w:rPr>
        <w:t>V</w:t>
      </w:r>
      <w:r w:rsidRPr="00A47719">
        <w:rPr>
          <w:rFonts w:eastAsiaTheme="minorEastAsia" w:cs="Arial"/>
          <w:sz w:val="20"/>
          <w:szCs w:val="20"/>
          <w:vertAlign w:val="subscript"/>
          <w:lang w:eastAsia="zh-CN"/>
        </w:rPr>
        <w:t>OC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, </w:t>
      </w:r>
      <w:proofErr w:type="spellStart"/>
      <w:r w:rsidRPr="00A47719">
        <w:rPr>
          <w:rFonts w:eastAsiaTheme="minorEastAsia" w:cs="Arial"/>
          <w:i/>
          <w:iCs/>
          <w:sz w:val="20"/>
          <w:szCs w:val="20"/>
          <w:lang w:eastAsia="zh-CN"/>
        </w:rPr>
        <w:t>J</w:t>
      </w:r>
      <w:r w:rsidRPr="00A47719">
        <w:rPr>
          <w:rFonts w:eastAsiaTheme="minorEastAsia" w:cs="Arial"/>
          <w:sz w:val="20"/>
          <w:szCs w:val="20"/>
          <w:vertAlign w:val="subscript"/>
          <w:lang w:eastAsia="zh-CN"/>
        </w:rPr>
        <w:t>sc</w:t>
      </w:r>
      <w:proofErr w:type="spellEnd"/>
      <w:r w:rsidRPr="00A47719">
        <w:rPr>
          <w:rFonts w:eastAsiaTheme="minorEastAsia" w:cs="Arial"/>
          <w:sz w:val="20"/>
          <w:szCs w:val="20"/>
          <w:lang w:eastAsia="zh-CN"/>
        </w:rPr>
        <w:t xml:space="preserve">, and FF)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obtained from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25 independent devices is summarized in the box plots (Figures 4I-4L)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, </w:t>
      </w:r>
      <w:r w:rsidRPr="00A47719">
        <w:rPr>
          <w:rFonts w:eastAsiaTheme="minorEastAsia" w:cs="Arial"/>
          <w:sz w:val="20"/>
          <w:szCs w:val="20"/>
          <w:lang w:eastAsia="zh-CN"/>
        </w:rPr>
        <w:t>demonstrat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ing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excellent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reproducibility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.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On combination with DFT and experimental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evidence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,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these results clearly show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that the alkyl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-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chain length and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resultant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molecular flexibility of </w:t>
      </w:r>
      <w:r w:rsidR="009A6E6A" w:rsidRPr="00A47719">
        <w:rPr>
          <w:rFonts w:eastAsiaTheme="minorEastAsia" w:cs="Arial"/>
          <w:sz w:val="20"/>
          <w:szCs w:val="20"/>
          <w:lang w:eastAsia="zh-CN"/>
        </w:rPr>
        <w:t xml:space="preserve">the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HTMs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are critical factors </w:t>
      </w:r>
      <w:r w:rsidRPr="00A47719">
        <w:rPr>
          <w:rFonts w:eastAsiaTheme="minorEastAsia" w:cs="Arial"/>
          <w:sz w:val="20"/>
          <w:szCs w:val="20"/>
          <w:lang w:eastAsia="zh-CN"/>
        </w:rPr>
        <w:t>governing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device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performance. </w:t>
      </w:r>
    </w:p>
    <w:p w14:paraId="356AAA45" w14:textId="2C0D8701" w:rsidR="00D240DA" w:rsidRPr="00A47719" w:rsidRDefault="00D361DA">
      <w:pPr>
        <w:pStyle w:val="P1"/>
        <w:spacing w:line="240" w:lineRule="atLeast"/>
        <w:ind w:firstLine="200"/>
        <w:rPr>
          <w:rFonts w:eastAsiaTheme="minorEastAsia" w:cs="Arial"/>
          <w:sz w:val="20"/>
          <w:szCs w:val="20"/>
          <w:lang w:eastAsia="zh-CN"/>
        </w:rPr>
      </w:pP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Notably, all new pyrene-based antenna </w:t>
      </w:r>
      <w:r w:rsidRPr="00A47719">
        <w:rPr>
          <w:rFonts w:eastAsiaTheme="minorEastAsia" w:cs="Arial"/>
          <w:sz w:val="20"/>
          <w:szCs w:val="20"/>
          <w:lang w:eastAsia="zh-CN"/>
        </w:rPr>
        <w:t>molecule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s significantly outperform the precursor </w:t>
      </w:r>
      <w:proofErr w:type="spellStart"/>
      <w:r w:rsidRPr="00A47719">
        <w:rPr>
          <w:rFonts w:eastAsiaTheme="minorEastAsia" w:cs="Arial" w:hint="eastAsia"/>
          <w:b/>
          <w:bCs/>
          <w:sz w:val="20"/>
          <w:szCs w:val="20"/>
          <w:lang w:eastAsia="zh-CN"/>
        </w:rPr>
        <w:t>PyTPA</w:t>
      </w:r>
      <w:proofErr w:type="spellEnd"/>
      <w:r w:rsidRPr="00A47719">
        <w:rPr>
          <w:rFonts w:eastAsiaTheme="minorEastAsia" w:cs="Arial" w:hint="eastAsia"/>
          <w:b/>
          <w:bCs/>
          <w:sz w:val="20"/>
          <w:szCs w:val="20"/>
          <w:lang w:eastAsia="zh-CN"/>
        </w:rPr>
        <w:t>-OH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(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Table 2). </w:t>
      </w:r>
      <w:r w:rsidRPr="00A47719">
        <w:rPr>
          <w:rFonts w:eastAsiaTheme="minorEastAsia" w:cs="Arial"/>
          <w:sz w:val="20"/>
          <w:szCs w:val="20"/>
          <w:lang w:eastAsia="zh-CN"/>
        </w:rPr>
        <w:t>The parameter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a</w:t>
      </w:r>
      <w:r w:rsidRPr="00A47719">
        <w:rPr>
          <w:rFonts w:eastAsiaTheme="minorEastAsia" w:cs="Arial"/>
          <w:sz w:val="20"/>
          <w:szCs w:val="20"/>
          <w:lang w:eastAsia="zh-CN"/>
        </w:rPr>
        <w:t>nalysis reveals that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</w:t>
      </w:r>
      <w:r w:rsidR="009A6E6A" w:rsidRPr="00A47719">
        <w:rPr>
          <w:rFonts w:eastAsiaTheme="minorEastAsia" w:cs="Arial"/>
          <w:sz w:val="20"/>
          <w:szCs w:val="20"/>
          <w:lang w:eastAsia="zh-CN"/>
        </w:rPr>
        <w:t xml:space="preserve">the </w:t>
      </w:r>
      <w:r w:rsidRPr="00A47719">
        <w:rPr>
          <w:rFonts w:eastAsiaTheme="minorEastAsia" w:cs="Arial"/>
          <w:sz w:val="20"/>
          <w:szCs w:val="20"/>
          <w:lang w:eastAsia="zh-CN"/>
        </w:rPr>
        <w:t>PCE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improvement stems primarily from increased </w:t>
      </w:r>
      <w:proofErr w:type="spellStart"/>
      <w:r w:rsidRPr="00A47719">
        <w:rPr>
          <w:rFonts w:eastAsiaTheme="minorEastAsia" w:cs="Arial"/>
          <w:i/>
          <w:iCs/>
          <w:sz w:val="20"/>
          <w:szCs w:val="20"/>
          <w:lang w:eastAsia="zh-CN"/>
        </w:rPr>
        <w:t>J</w:t>
      </w:r>
      <w:r w:rsidRPr="00A47719">
        <w:rPr>
          <w:rFonts w:eastAsiaTheme="minorEastAsia" w:cs="Arial"/>
          <w:sz w:val="20"/>
          <w:szCs w:val="20"/>
          <w:lang w:eastAsia="zh-CN"/>
        </w:rPr>
        <w:t>sc</w:t>
      </w:r>
      <w:proofErr w:type="spellEnd"/>
      <w:r w:rsidRPr="00A47719">
        <w:rPr>
          <w:rFonts w:eastAsiaTheme="minorEastAsia" w:cs="Arial"/>
          <w:sz w:val="20"/>
          <w:szCs w:val="20"/>
          <w:lang w:eastAsia="zh-CN"/>
        </w:rPr>
        <w:t xml:space="preserve"> and FF, while </w:t>
      </w:r>
      <w:r w:rsidRPr="00A47719">
        <w:rPr>
          <w:rFonts w:eastAsiaTheme="minorEastAsia" w:cs="Arial"/>
          <w:i/>
          <w:iCs/>
          <w:sz w:val="20"/>
          <w:szCs w:val="20"/>
          <w:lang w:eastAsia="zh-CN"/>
        </w:rPr>
        <w:t>V</w:t>
      </w:r>
      <w:r w:rsidRPr="00A47719">
        <w:rPr>
          <w:rFonts w:eastAsiaTheme="minorEastAsia" w:cs="Arial" w:hint="eastAsia"/>
          <w:sz w:val="20"/>
          <w:szCs w:val="20"/>
          <w:vertAlign w:val="subscript"/>
          <w:lang w:eastAsia="zh-CN"/>
        </w:rPr>
        <w:t>OC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remains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largely unchanged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.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According to the relationship of PCE (%) = (</w:t>
      </w:r>
      <w:r w:rsidRPr="00A47719">
        <w:rPr>
          <w:rFonts w:eastAsiaTheme="minorEastAsia" w:cs="Arial"/>
          <w:i/>
          <w:iCs/>
          <w:sz w:val="20"/>
          <w:szCs w:val="20"/>
          <w:lang w:eastAsia="zh-CN"/>
        </w:rPr>
        <w:t>J</w:t>
      </w:r>
      <w:r w:rsidRPr="00A47719">
        <w:rPr>
          <w:rFonts w:eastAsiaTheme="minorEastAsia" w:cs="Arial" w:hint="eastAsia"/>
          <w:sz w:val="20"/>
          <w:szCs w:val="20"/>
          <w:vertAlign w:val="subscript"/>
          <w:lang w:eastAsia="zh-CN"/>
        </w:rPr>
        <w:t>SC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× </w:t>
      </w:r>
      <w:r w:rsidRPr="00A47719">
        <w:rPr>
          <w:rFonts w:eastAsiaTheme="minorEastAsia" w:cs="Arial"/>
          <w:i/>
          <w:iCs/>
          <w:sz w:val="20"/>
          <w:szCs w:val="20"/>
          <w:lang w:eastAsia="zh-CN"/>
        </w:rPr>
        <w:t>V</w:t>
      </w:r>
      <w:r w:rsidRPr="00A47719">
        <w:rPr>
          <w:rFonts w:eastAsiaTheme="minorEastAsia" w:cs="Arial" w:hint="eastAsia"/>
          <w:sz w:val="20"/>
          <w:szCs w:val="20"/>
          <w:vertAlign w:val="subscript"/>
          <w:lang w:eastAsia="zh-CN"/>
        </w:rPr>
        <w:t>OC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× FF / P</w:t>
      </w:r>
      <w:r w:rsidRPr="00A47719">
        <w:rPr>
          <w:rFonts w:eastAsiaTheme="minorEastAsia" w:cs="Arial"/>
          <w:sz w:val="20"/>
          <w:szCs w:val="20"/>
          <w:vertAlign w:val="subscript"/>
          <w:lang w:eastAsia="zh-CN"/>
        </w:rPr>
        <w:t>in</w:t>
      </w:r>
      <w:r w:rsidRPr="00A47719">
        <w:rPr>
          <w:rFonts w:eastAsiaTheme="minorEastAsia" w:cs="Arial"/>
          <w:sz w:val="20"/>
          <w:szCs w:val="20"/>
          <w:lang w:eastAsia="zh-CN"/>
        </w:rPr>
        <w:t>) × 100%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,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t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his enhancement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can be attributed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to the superior light-harvesting capability (antenna effect) and more efficient charge extraction/transport enabled by the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increased number of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TPA units,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together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with</w:t>
      </w:r>
      <w:r w:rsidR="009A6E6A" w:rsidRPr="00A47719">
        <w:rPr>
          <w:rFonts w:eastAsiaTheme="minorEastAsia" w:cs="Arial"/>
          <w:sz w:val="20"/>
          <w:szCs w:val="20"/>
          <w:lang w:eastAsia="zh-CN"/>
        </w:rPr>
        <w:t xml:space="preserve"> the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improved energy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-</w:t>
      </w:r>
      <w:r w:rsidRPr="00A47719">
        <w:rPr>
          <w:rFonts w:eastAsiaTheme="minorEastAsia" w:cs="Arial"/>
          <w:sz w:val="20"/>
          <w:szCs w:val="20"/>
          <w:lang w:eastAsia="zh-CN"/>
        </w:rPr>
        <w:t>level alignment at the perovskite/HTM interface.</w:t>
      </w:r>
    </w:p>
    <w:p w14:paraId="5812FA40" w14:textId="77777777" w:rsidR="00D240DA" w:rsidRPr="00A47719" w:rsidRDefault="00D361DA">
      <w:pPr>
        <w:pStyle w:val="P1"/>
        <w:spacing w:before="240" w:after="240" w:line="240" w:lineRule="atLeast"/>
        <w:jc w:val="left"/>
        <w:rPr>
          <w:rFonts w:eastAsiaTheme="minorEastAsia" w:cs="Arial"/>
          <w:sz w:val="20"/>
          <w:szCs w:val="20"/>
          <w:lang w:eastAsia="zh-CN"/>
        </w:rPr>
      </w:pPr>
      <w:r w:rsidRPr="00A47719">
        <w:rPr>
          <w:rFonts w:eastAsiaTheme="minorEastAsia" w:cs="Arial"/>
          <w:noProof/>
          <w:sz w:val="20"/>
          <w:szCs w:val="20"/>
          <w:lang w:eastAsia="zh-CN"/>
        </w:rPr>
        <w:drawing>
          <wp:inline distT="0" distB="0" distL="0" distR="0" wp14:anchorId="02FEB973" wp14:editId="011D35CA">
            <wp:extent cx="6309360" cy="4657725"/>
            <wp:effectExtent l="0" t="0" r="0" b="9525"/>
            <wp:docPr id="1801654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65492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4732" cy="469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74A48" w14:textId="754870DB" w:rsidR="00D240DA" w:rsidRPr="00A47719" w:rsidRDefault="00D361DA">
      <w:pPr>
        <w:pStyle w:val="P1"/>
        <w:spacing w:before="240" w:after="240" w:line="240" w:lineRule="atLeast"/>
        <w:rPr>
          <w:rFonts w:eastAsiaTheme="minorEastAsia" w:cs="Arial"/>
          <w:sz w:val="16"/>
          <w:szCs w:val="16"/>
          <w:lang w:eastAsia="zh-CN"/>
        </w:rPr>
      </w:pPr>
      <w:r w:rsidRPr="00A47719">
        <w:rPr>
          <w:rFonts w:eastAsiaTheme="minorEastAsia" w:cs="Arial"/>
          <w:b/>
          <w:bCs/>
          <w:sz w:val="16"/>
          <w:szCs w:val="16"/>
          <w:lang w:eastAsia="zh-CN"/>
        </w:rPr>
        <w:t>Figure 4</w:t>
      </w:r>
      <w:r w:rsidR="009A6E6A" w:rsidRPr="00A47719">
        <w:rPr>
          <w:rFonts w:eastAsiaTheme="minorEastAsia" w:cs="Arial"/>
          <w:sz w:val="16"/>
          <w:szCs w:val="16"/>
          <w:lang w:eastAsia="zh-CN"/>
        </w:rPr>
        <w:t>.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 (A) Cross-sectional SEM micrograph of a </w:t>
      </w:r>
      <w:r w:rsidRPr="00A47719">
        <w:rPr>
          <w:rFonts w:eastAsiaTheme="minorEastAsia" w:cs="Arial" w:hint="eastAsia"/>
          <w:sz w:val="16"/>
          <w:szCs w:val="16"/>
          <w:lang w:eastAsia="zh-CN"/>
        </w:rPr>
        <w:t>PSC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 device containing pyrene-based antenna molecules</w:t>
      </w:r>
      <w:r w:rsidRPr="00A47719">
        <w:rPr>
          <w:rFonts w:eastAsiaTheme="minorEastAsia" w:cs="Arial" w:hint="eastAsia"/>
          <w:sz w:val="16"/>
          <w:szCs w:val="16"/>
          <w:lang w:eastAsia="zh-CN"/>
        </w:rPr>
        <w:t xml:space="preserve"> 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as HTM; </w:t>
      </w:r>
      <w:r w:rsidRPr="00A47719">
        <w:rPr>
          <w:rFonts w:eastAsiaTheme="minorEastAsia" w:cs="Arial"/>
          <w:i/>
          <w:iCs/>
          <w:sz w:val="16"/>
          <w:szCs w:val="16"/>
          <w:lang w:eastAsia="zh-CN"/>
        </w:rPr>
        <w:t>J</w:t>
      </w:r>
      <w:r w:rsidRPr="00A47719">
        <w:rPr>
          <w:rFonts w:eastAsiaTheme="minorEastAsia" w:cs="Arial" w:hint="eastAsia"/>
          <w:sz w:val="16"/>
          <w:szCs w:val="16"/>
          <w:lang w:eastAsia="zh-CN"/>
        </w:rPr>
        <w:t>-</w:t>
      </w:r>
      <w:r w:rsidRPr="00A47719">
        <w:rPr>
          <w:rFonts w:eastAsiaTheme="minorEastAsia" w:cs="Arial"/>
          <w:i/>
          <w:iCs/>
          <w:sz w:val="16"/>
          <w:szCs w:val="16"/>
          <w:lang w:eastAsia="zh-CN"/>
        </w:rPr>
        <w:t xml:space="preserve">V 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curves of (B) </w:t>
      </w:r>
      <w:r w:rsidRPr="00A47719">
        <w:rPr>
          <w:rFonts w:eastAsiaTheme="minorEastAsia" w:cs="Arial"/>
          <w:b/>
          <w:sz w:val="16"/>
          <w:szCs w:val="16"/>
          <w:lang w:eastAsia="zh-CN"/>
        </w:rPr>
        <w:t>PyTPA-9C,</w:t>
      </w:r>
      <w:r w:rsidRPr="00A47719">
        <w:rPr>
          <w:rFonts w:eastAsiaTheme="minorEastAsia" w:cs="Arial"/>
          <w:bCs/>
          <w:sz w:val="16"/>
          <w:szCs w:val="16"/>
          <w:lang w:eastAsia="zh-CN"/>
        </w:rPr>
        <w:t xml:space="preserve"> (C) </w:t>
      </w:r>
      <w:r w:rsidRPr="00A47719">
        <w:rPr>
          <w:rFonts w:eastAsiaTheme="minorEastAsia" w:cs="Arial"/>
          <w:b/>
          <w:sz w:val="16"/>
          <w:szCs w:val="16"/>
          <w:lang w:eastAsia="zh-CN"/>
        </w:rPr>
        <w:t xml:space="preserve">PyTPA-10C </w:t>
      </w:r>
      <w:r w:rsidRPr="00A47719">
        <w:rPr>
          <w:rFonts w:eastAsiaTheme="minorEastAsia" w:cs="Arial"/>
          <w:bCs/>
          <w:sz w:val="16"/>
          <w:szCs w:val="16"/>
          <w:lang w:eastAsia="zh-CN"/>
        </w:rPr>
        <w:t>and (D)</w:t>
      </w:r>
      <w:r w:rsidRPr="00A47719">
        <w:rPr>
          <w:rFonts w:eastAsiaTheme="minorEastAsia" w:cs="Arial"/>
          <w:b/>
          <w:sz w:val="16"/>
          <w:szCs w:val="16"/>
          <w:lang w:eastAsia="zh-CN"/>
        </w:rPr>
        <w:t xml:space="preserve"> PyTPA-13C </w:t>
      </w:r>
      <w:r w:rsidRPr="00A47719">
        <w:rPr>
          <w:rFonts w:eastAsiaTheme="minorEastAsia" w:cs="Arial"/>
          <w:bCs/>
          <w:sz w:val="16"/>
          <w:szCs w:val="16"/>
          <w:lang w:eastAsia="zh-CN"/>
        </w:rPr>
        <w:t>based PSC devices; (E) EQE spectra with</w:t>
      </w:r>
      <w:r w:rsidRPr="00A47719">
        <w:rPr>
          <w:rFonts w:eastAsiaTheme="minorEastAsia" w:cs="Arial"/>
          <w:b/>
          <w:sz w:val="16"/>
          <w:szCs w:val="16"/>
          <w:lang w:eastAsia="zh-CN"/>
        </w:rPr>
        <w:t xml:space="preserve"> 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the corresponding integrated </w:t>
      </w:r>
      <w:proofErr w:type="spellStart"/>
      <w:r w:rsidRPr="00A47719">
        <w:rPr>
          <w:rFonts w:eastAsiaTheme="minorEastAsia" w:cs="Arial"/>
          <w:i/>
          <w:iCs/>
          <w:sz w:val="16"/>
          <w:szCs w:val="16"/>
          <w:lang w:eastAsia="zh-CN"/>
        </w:rPr>
        <w:t>J</w:t>
      </w:r>
      <w:r w:rsidRPr="00A47719">
        <w:rPr>
          <w:rFonts w:eastAsiaTheme="minorEastAsia" w:cs="Arial"/>
          <w:sz w:val="16"/>
          <w:szCs w:val="16"/>
          <w:lang w:eastAsia="zh-CN"/>
        </w:rPr>
        <w:t>sc</w:t>
      </w:r>
      <w:proofErr w:type="spellEnd"/>
      <w:r w:rsidRPr="00A47719">
        <w:rPr>
          <w:rFonts w:eastAsiaTheme="minorEastAsia" w:cs="Arial"/>
          <w:bCs/>
          <w:sz w:val="16"/>
          <w:szCs w:val="16"/>
          <w:lang w:eastAsia="zh-CN"/>
        </w:rPr>
        <w:t xml:space="preserve">; (F) 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steady-state output PCE and (G) steady-state </w:t>
      </w:r>
      <w:r w:rsidRPr="00A47719">
        <w:rPr>
          <w:rFonts w:eastAsiaTheme="minorEastAsia" w:cs="Arial"/>
          <w:i/>
          <w:iCs/>
          <w:sz w:val="16"/>
          <w:szCs w:val="16"/>
          <w:lang w:eastAsia="zh-CN"/>
        </w:rPr>
        <w:t>J</w:t>
      </w:r>
      <w:r w:rsidRPr="00A47719">
        <w:rPr>
          <w:rFonts w:eastAsiaTheme="minorEastAsia" w:cs="Arial"/>
          <w:sz w:val="16"/>
          <w:szCs w:val="16"/>
          <w:vertAlign w:val="subscript"/>
          <w:lang w:eastAsia="zh-CN"/>
        </w:rPr>
        <w:t>SC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 at the maximum power point using </w:t>
      </w:r>
      <w:r w:rsidRPr="00A47719">
        <w:rPr>
          <w:rFonts w:eastAsiaTheme="minorEastAsia" w:cs="Arial"/>
          <w:bCs/>
          <w:sz w:val="16"/>
          <w:szCs w:val="16"/>
          <w:lang w:eastAsia="zh-CN"/>
        </w:rPr>
        <w:t>dopant-free HTMs; (H) Co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mparison of the PCE in the reported PSCs using pyrene-based HTMs, The details of the </w:t>
      </w:r>
      <w:r w:rsidRPr="00A47719">
        <w:rPr>
          <w:rFonts w:eastAsiaTheme="minorEastAsia" w:cs="Arial" w:hint="eastAsia"/>
          <w:sz w:val="16"/>
          <w:szCs w:val="16"/>
          <w:lang w:eastAsia="zh-CN"/>
        </w:rPr>
        <w:t xml:space="preserve">molecular structures </w:t>
      </w:r>
      <w:r w:rsidRPr="00A47719">
        <w:rPr>
          <w:rFonts w:eastAsiaTheme="minorEastAsia" w:cs="Arial"/>
          <w:b/>
          <w:bCs/>
          <w:sz w:val="16"/>
          <w:szCs w:val="16"/>
          <w:lang w:eastAsia="zh-CN"/>
        </w:rPr>
        <w:t>1</w:t>
      </w:r>
      <w:r w:rsidRPr="00A47719">
        <w:rPr>
          <w:rFonts w:eastAsiaTheme="minorEastAsia" w:cs="Arial" w:hint="eastAsia"/>
          <w:sz w:val="16"/>
          <w:szCs w:val="16"/>
          <w:lang w:eastAsia="zh-CN"/>
        </w:rPr>
        <w:t>-</w:t>
      </w:r>
      <w:r w:rsidRPr="00A47719">
        <w:rPr>
          <w:rFonts w:eastAsiaTheme="minorEastAsia" w:cs="Arial"/>
          <w:b/>
          <w:bCs/>
          <w:sz w:val="16"/>
          <w:szCs w:val="16"/>
          <w:lang w:eastAsia="zh-CN"/>
        </w:rPr>
        <w:t>19</w:t>
      </w:r>
      <w:r w:rsidRPr="00A47719">
        <w:rPr>
          <w:rFonts w:eastAsiaTheme="minorEastAsia" w:cs="Arial" w:hint="eastAsia"/>
          <w:sz w:val="16"/>
          <w:szCs w:val="16"/>
          <w:lang w:eastAsia="zh-CN"/>
        </w:rPr>
        <w:t xml:space="preserve"> are </w:t>
      </w:r>
      <w:r w:rsidRPr="00A47719">
        <w:rPr>
          <w:rFonts w:eastAsiaTheme="minorEastAsia" w:cs="Arial"/>
          <w:sz w:val="16"/>
          <w:szCs w:val="16"/>
          <w:lang w:eastAsia="zh-CN"/>
        </w:rPr>
        <w:t>presented in Table S3;</w:t>
      </w:r>
      <w:r w:rsidRPr="00A47719">
        <w:rPr>
          <w:rFonts w:eastAsiaTheme="minorEastAsia" w:cs="Arial" w:hint="eastAsia"/>
          <w:sz w:val="16"/>
          <w:szCs w:val="16"/>
          <w:lang w:eastAsia="zh-CN"/>
        </w:rPr>
        <w:t xml:space="preserve"> (I)-(L)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 box plots of the statistical distribution of (I) PCEs, V</w:t>
      </w:r>
      <w:r w:rsidRPr="00A47719">
        <w:rPr>
          <w:rFonts w:eastAsiaTheme="minorEastAsia" w:cs="Arial"/>
          <w:sz w:val="16"/>
          <w:szCs w:val="16"/>
          <w:vertAlign w:val="subscript"/>
          <w:lang w:eastAsia="zh-CN"/>
        </w:rPr>
        <w:t>OC</w:t>
      </w:r>
      <w:r w:rsidRPr="00A47719">
        <w:rPr>
          <w:rFonts w:eastAsiaTheme="minorEastAsia" w:cs="Arial"/>
          <w:sz w:val="16"/>
          <w:szCs w:val="16"/>
          <w:lang w:eastAsia="zh-CN"/>
        </w:rPr>
        <w:t>, J</w:t>
      </w:r>
      <w:r w:rsidRPr="00A47719">
        <w:rPr>
          <w:rFonts w:eastAsiaTheme="minorEastAsia" w:cs="Arial"/>
          <w:sz w:val="16"/>
          <w:szCs w:val="16"/>
          <w:vertAlign w:val="subscript"/>
          <w:lang w:eastAsia="zh-CN"/>
        </w:rPr>
        <w:t>SC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 and FF at 25 PSC devices based on pyrene-based antenna molecules as HTMs.</w:t>
      </w:r>
    </w:p>
    <w:p w14:paraId="77898E9C" w14:textId="77777777" w:rsidR="00D240DA" w:rsidRPr="00A47719" w:rsidRDefault="00D240DA">
      <w:pPr>
        <w:pStyle w:val="P1"/>
        <w:spacing w:before="240" w:after="240" w:line="240" w:lineRule="atLeast"/>
        <w:rPr>
          <w:rFonts w:eastAsiaTheme="minorEastAsia" w:cs="Arial"/>
          <w:sz w:val="16"/>
          <w:szCs w:val="16"/>
          <w:lang w:eastAsia="zh-CN"/>
        </w:rPr>
      </w:pPr>
    </w:p>
    <w:p w14:paraId="7330EA95" w14:textId="77777777" w:rsidR="00D240DA" w:rsidRPr="00A47719" w:rsidRDefault="00D240DA">
      <w:pPr>
        <w:pStyle w:val="P1"/>
        <w:spacing w:before="240" w:after="240" w:line="240" w:lineRule="atLeast"/>
        <w:rPr>
          <w:rFonts w:eastAsiaTheme="minorEastAsia" w:cs="Arial"/>
          <w:sz w:val="16"/>
          <w:szCs w:val="16"/>
          <w:lang w:eastAsia="zh-CN"/>
        </w:rPr>
      </w:pPr>
    </w:p>
    <w:p w14:paraId="36A45655" w14:textId="77777777" w:rsidR="00D240DA" w:rsidRPr="00A47719" w:rsidRDefault="00D240DA">
      <w:pPr>
        <w:pStyle w:val="P1"/>
        <w:spacing w:before="240" w:after="240" w:line="240" w:lineRule="atLeast"/>
        <w:rPr>
          <w:rFonts w:eastAsiaTheme="minorEastAsia" w:cs="Arial"/>
          <w:sz w:val="16"/>
          <w:szCs w:val="16"/>
          <w:lang w:eastAsia="zh-CN"/>
        </w:rPr>
      </w:pPr>
    </w:p>
    <w:p w14:paraId="5990CCA0" w14:textId="77777777" w:rsidR="00D240DA" w:rsidRPr="00A47719" w:rsidRDefault="00D240DA">
      <w:pPr>
        <w:pStyle w:val="P1"/>
        <w:spacing w:before="240" w:after="240" w:line="240" w:lineRule="atLeast"/>
        <w:rPr>
          <w:rFonts w:eastAsiaTheme="minorEastAsia" w:cs="Arial"/>
          <w:sz w:val="16"/>
          <w:szCs w:val="16"/>
          <w:lang w:eastAsia="zh-CN"/>
        </w:rPr>
      </w:pPr>
    </w:p>
    <w:p w14:paraId="4BA74D4B" w14:textId="77777777" w:rsidR="00D240DA" w:rsidRPr="00A47719" w:rsidRDefault="00D361DA">
      <w:pPr>
        <w:pStyle w:val="P1"/>
        <w:spacing w:before="240" w:after="240" w:line="240" w:lineRule="atLeast"/>
        <w:jc w:val="center"/>
        <w:rPr>
          <w:rFonts w:eastAsiaTheme="minorEastAsia" w:cs="Arial"/>
          <w:sz w:val="16"/>
          <w:szCs w:val="16"/>
          <w:vertAlign w:val="superscript"/>
          <w:lang w:val="en-GB" w:eastAsia="zh-CN"/>
        </w:rPr>
      </w:pPr>
      <w:r w:rsidRPr="00A47719">
        <w:rPr>
          <w:rFonts w:eastAsiaTheme="minorEastAsia" w:cs="Arial"/>
          <w:b/>
          <w:sz w:val="16"/>
          <w:szCs w:val="16"/>
          <w:lang w:eastAsia="zh-CN"/>
        </w:rPr>
        <w:lastRenderedPageBreak/>
        <w:t>Table 2.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 </w:t>
      </w:r>
      <w:r w:rsidRPr="00A47719">
        <w:rPr>
          <w:rFonts w:eastAsiaTheme="minorEastAsia" w:cs="Arial"/>
          <w:sz w:val="16"/>
          <w:szCs w:val="16"/>
          <w:lang w:val="en-GB" w:eastAsia="zh-CN"/>
        </w:rPr>
        <w:t xml:space="preserve">Photovoltaic performance of the devices with </w:t>
      </w:r>
      <w:proofErr w:type="spellStart"/>
      <w:r w:rsidRPr="00A47719">
        <w:rPr>
          <w:rFonts w:eastAsiaTheme="minorEastAsia" w:cs="Arial"/>
          <w:b/>
          <w:bCs/>
          <w:sz w:val="16"/>
          <w:szCs w:val="16"/>
          <w:lang w:val="en-GB" w:eastAsia="zh-CN"/>
        </w:rPr>
        <w:t>PyTPA</w:t>
      </w:r>
      <w:proofErr w:type="spellEnd"/>
      <w:r w:rsidRPr="00A47719">
        <w:rPr>
          <w:rFonts w:eastAsiaTheme="minorEastAsia" w:cs="Arial" w:hint="eastAsia"/>
          <w:b/>
          <w:bCs/>
          <w:sz w:val="16"/>
          <w:szCs w:val="16"/>
          <w:lang w:val="en-GB" w:eastAsia="zh-CN"/>
        </w:rPr>
        <w:t>-OH</w:t>
      </w:r>
      <w:r w:rsidRPr="00A47719">
        <w:rPr>
          <w:rFonts w:eastAsiaTheme="minorEastAsia" w:cs="Arial"/>
          <w:sz w:val="16"/>
          <w:szCs w:val="16"/>
          <w:lang w:val="en-GB" w:eastAsia="zh-CN"/>
        </w:rPr>
        <w:t xml:space="preserve">, </w:t>
      </w:r>
      <w:r w:rsidRPr="00A47719">
        <w:rPr>
          <w:rFonts w:eastAsiaTheme="minorEastAsia" w:cs="Arial" w:hint="eastAsia"/>
          <w:b/>
          <w:sz w:val="16"/>
          <w:szCs w:val="16"/>
          <w:lang w:eastAsia="zh-CN"/>
        </w:rPr>
        <w:t xml:space="preserve">PyTPA-9C, PyTPA-10C </w:t>
      </w:r>
      <w:r w:rsidRPr="00A47719">
        <w:rPr>
          <w:rFonts w:eastAsiaTheme="minorEastAsia" w:cs="Arial" w:hint="eastAsia"/>
          <w:bCs/>
          <w:sz w:val="16"/>
          <w:szCs w:val="16"/>
          <w:lang w:eastAsia="zh-CN"/>
        </w:rPr>
        <w:t>and</w:t>
      </w:r>
      <w:r w:rsidRPr="00A47719">
        <w:rPr>
          <w:rFonts w:eastAsiaTheme="minorEastAsia" w:cs="Arial" w:hint="eastAsia"/>
          <w:b/>
          <w:sz w:val="16"/>
          <w:szCs w:val="16"/>
          <w:lang w:eastAsia="zh-CN"/>
        </w:rPr>
        <w:t xml:space="preserve"> PyTPA-13C</w:t>
      </w:r>
      <w:r w:rsidRPr="00A47719">
        <w:rPr>
          <w:rFonts w:eastAsiaTheme="minorEastAsia" w:cs="Arial"/>
          <w:sz w:val="16"/>
          <w:szCs w:val="16"/>
          <w:lang w:val="en-GB" w:eastAsia="zh-CN"/>
        </w:rPr>
        <w:t xml:space="preserve"> as the </w:t>
      </w:r>
      <w:proofErr w:type="spellStart"/>
      <w:r w:rsidRPr="00A47719">
        <w:rPr>
          <w:rFonts w:eastAsiaTheme="minorEastAsia" w:cs="Arial"/>
          <w:sz w:val="16"/>
          <w:szCs w:val="16"/>
          <w:lang w:val="en-GB" w:eastAsia="zh-CN"/>
        </w:rPr>
        <w:t>HTMs.</w:t>
      </w:r>
      <w:r w:rsidRPr="00A47719">
        <w:rPr>
          <w:rFonts w:eastAsiaTheme="minorEastAsia" w:cs="Arial"/>
          <w:sz w:val="16"/>
          <w:szCs w:val="16"/>
          <w:vertAlign w:val="superscript"/>
          <w:lang w:val="en-GB" w:eastAsia="zh-CN"/>
        </w:rPr>
        <w:t>a</w:t>
      </w:r>
      <w:proofErr w:type="spellEnd"/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4"/>
        <w:gridCol w:w="1148"/>
        <w:gridCol w:w="1508"/>
        <w:gridCol w:w="1476"/>
        <w:gridCol w:w="1410"/>
        <w:gridCol w:w="1418"/>
        <w:gridCol w:w="996"/>
      </w:tblGrid>
      <w:tr w:rsidR="00A47719" w:rsidRPr="00A47719" w14:paraId="3F2AF191" w14:textId="77777777">
        <w:trPr>
          <w:trHeight w:val="410"/>
          <w:jc w:val="center"/>
        </w:trPr>
        <w:tc>
          <w:tcPr>
            <w:tcW w:w="1404" w:type="dxa"/>
            <w:tcBorders>
              <w:bottom w:val="single" w:sz="8" w:space="0" w:color="auto"/>
            </w:tcBorders>
            <w:vAlign w:val="center"/>
          </w:tcPr>
          <w:p w14:paraId="6C4D2510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HTL</w:t>
            </w:r>
          </w:p>
        </w:tc>
        <w:tc>
          <w:tcPr>
            <w:tcW w:w="1148" w:type="dxa"/>
            <w:tcBorders>
              <w:bottom w:val="single" w:sz="8" w:space="0" w:color="auto"/>
            </w:tcBorders>
            <w:vAlign w:val="center"/>
          </w:tcPr>
          <w:p w14:paraId="6693C973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Scan direction</w:t>
            </w:r>
          </w:p>
        </w:tc>
        <w:tc>
          <w:tcPr>
            <w:tcW w:w="1508" w:type="dxa"/>
            <w:tcBorders>
              <w:bottom w:val="single" w:sz="8" w:space="0" w:color="auto"/>
            </w:tcBorders>
            <w:vAlign w:val="center"/>
          </w:tcPr>
          <w:p w14:paraId="4EA43DAF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proofErr w:type="spellStart"/>
            <w:r w:rsidRPr="00A47719">
              <w:rPr>
                <w:rFonts w:eastAsiaTheme="minorEastAsia" w:cs="Arial"/>
                <w:i/>
                <w:iCs/>
                <w:sz w:val="16"/>
                <w:szCs w:val="16"/>
                <w:lang w:eastAsia="zh-CN"/>
              </w:rPr>
              <w:t>J</w:t>
            </w:r>
            <w:r w:rsidRPr="00A47719">
              <w:rPr>
                <w:rFonts w:eastAsiaTheme="minorEastAsia" w:cs="Arial"/>
                <w:sz w:val="16"/>
                <w:szCs w:val="16"/>
                <w:vertAlign w:val="subscript"/>
                <w:lang w:eastAsia="zh-CN"/>
              </w:rPr>
              <w:t>sc</w:t>
            </w:r>
            <w:proofErr w:type="spellEnd"/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 xml:space="preserve"> [mA cm</w:t>
            </w:r>
            <w:r w:rsidRPr="00A47719">
              <w:rPr>
                <w:rFonts w:eastAsiaTheme="minorEastAsia" w:cs="Arial"/>
                <w:sz w:val="16"/>
                <w:szCs w:val="16"/>
                <w:vertAlign w:val="superscript"/>
                <w:lang w:eastAsia="zh-CN"/>
              </w:rPr>
              <w:t>-2</w:t>
            </w: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]</w:t>
            </w:r>
          </w:p>
        </w:tc>
        <w:tc>
          <w:tcPr>
            <w:tcW w:w="1476" w:type="dxa"/>
            <w:tcBorders>
              <w:bottom w:val="single" w:sz="8" w:space="0" w:color="auto"/>
            </w:tcBorders>
            <w:vAlign w:val="center"/>
          </w:tcPr>
          <w:p w14:paraId="0DDF348D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i/>
                <w:iCs/>
                <w:sz w:val="16"/>
                <w:szCs w:val="16"/>
                <w:lang w:eastAsia="zh-CN"/>
              </w:rPr>
              <w:t>V</w:t>
            </w:r>
            <w:r w:rsidRPr="00A47719">
              <w:rPr>
                <w:rFonts w:eastAsiaTheme="minorEastAsia" w:cs="Arial"/>
                <w:sz w:val="16"/>
                <w:szCs w:val="16"/>
                <w:vertAlign w:val="subscript"/>
                <w:lang w:eastAsia="zh-CN"/>
              </w:rPr>
              <w:t>oc</w:t>
            </w: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 xml:space="preserve"> [v]</w:t>
            </w:r>
          </w:p>
        </w:tc>
        <w:tc>
          <w:tcPr>
            <w:tcW w:w="1410" w:type="dxa"/>
            <w:tcBorders>
              <w:bottom w:val="single" w:sz="8" w:space="0" w:color="auto"/>
            </w:tcBorders>
            <w:vAlign w:val="center"/>
          </w:tcPr>
          <w:p w14:paraId="46EFADC2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FF [%]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vAlign w:val="center"/>
          </w:tcPr>
          <w:p w14:paraId="73E9CF94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PCE [%]</w:t>
            </w:r>
          </w:p>
        </w:tc>
        <w:tc>
          <w:tcPr>
            <w:tcW w:w="996" w:type="dxa"/>
            <w:tcBorders>
              <w:bottom w:val="single" w:sz="8" w:space="0" w:color="auto"/>
            </w:tcBorders>
            <w:vAlign w:val="center"/>
          </w:tcPr>
          <w:p w14:paraId="6BCD5461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HI (%)</w:t>
            </w:r>
          </w:p>
        </w:tc>
      </w:tr>
      <w:tr w:rsidR="00A47719" w:rsidRPr="00A47719" w14:paraId="4B9CD66F" w14:textId="77777777">
        <w:trPr>
          <w:trHeight w:val="410"/>
          <w:jc w:val="center"/>
        </w:trPr>
        <w:tc>
          <w:tcPr>
            <w:tcW w:w="1404" w:type="dxa"/>
            <w:tcBorders>
              <w:top w:val="single" w:sz="8" w:space="0" w:color="auto"/>
              <w:bottom w:val="nil"/>
            </w:tcBorders>
            <w:vAlign w:val="center"/>
          </w:tcPr>
          <w:p w14:paraId="6D8229E8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b/>
                <w:bCs/>
                <w:sz w:val="16"/>
                <w:szCs w:val="16"/>
                <w:lang w:eastAsia="zh-CN"/>
              </w:rPr>
            </w:pPr>
            <w:proofErr w:type="spellStart"/>
            <w:r w:rsidRPr="00A47719">
              <w:rPr>
                <w:rFonts w:eastAsiaTheme="minorEastAsia" w:cs="Arial"/>
                <w:b/>
                <w:bCs/>
                <w:sz w:val="16"/>
                <w:szCs w:val="16"/>
                <w:lang w:eastAsia="zh-CN"/>
              </w:rPr>
              <w:t>PyTPA</w:t>
            </w:r>
            <w:proofErr w:type="spellEnd"/>
            <w:r w:rsidRPr="00A47719">
              <w:rPr>
                <w:rFonts w:eastAsiaTheme="minorEastAsia" w:cs="Arial"/>
                <w:b/>
                <w:bCs/>
                <w:sz w:val="16"/>
                <w:szCs w:val="16"/>
                <w:lang w:eastAsia="zh-CN"/>
              </w:rPr>
              <w:t>-OH</w:t>
            </w:r>
          </w:p>
        </w:tc>
        <w:tc>
          <w:tcPr>
            <w:tcW w:w="1148" w:type="dxa"/>
            <w:tcBorders>
              <w:top w:val="single" w:sz="8" w:space="0" w:color="auto"/>
              <w:bottom w:val="nil"/>
            </w:tcBorders>
            <w:vAlign w:val="center"/>
          </w:tcPr>
          <w:p w14:paraId="358E8824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Forward</w:t>
            </w:r>
          </w:p>
        </w:tc>
        <w:tc>
          <w:tcPr>
            <w:tcW w:w="1508" w:type="dxa"/>
            <w:tcBorders>
              <w:top w:val="single" w:sz="8" w:space="0" w:color="auto"/>
              <w:bottom w:val="nil"/>
            </w:tcBorders>
            <w:vAlign w:val="center"/>
          </w:tcPr>
          <w:p w14:paraId="3809A56B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24.07 ± 0.05</w:t>
            </w:r>
          </w:p>
        </w:tc>
        <w:tc>
          <w:tcPr>
            <w:tcW w:w="1476" w:type="dxa"/>
            <w:tcBorders>
              <w:top w:val="single" w:sz="8" w:space="0" w:color="auto"/>
              <w:bottom w:val="nil"/>
            </w:tcBorders>
            <w:vAlign w:val="center"/>
          </w:tcPr>
          <w:p w14:paraId="651BD9A1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1.18 ± 0.002</w:t>
            </w:r>
          </w:p>
        </w:tc>
        <w:tc>
          <w:tcPr>
            <w:tcW w:w="1410" w:type="dxa"/>
            <w:tcBorders>
              <w:top w:val="single" w:sz="8" w:space="0" w:color="auto"/>
              <w:bottom w:val="nil"/>
            </w:tcBorders>
            <w:vAlign w:val="center"/>
          </w:tcPr>
          <w:p w14:paraId="7878D492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79.07 ± 0.05</w:t>
            </w:r>
          </w:p>
        </w:tc>
        <w:tc>
          <w:tcPr>
            <w:tcW w:w="1418" w:type="dxa"/>
            <w:tcBorders>
              <w:top w:val="single" w:sz="8" w:space="0" w:color="auto"/>
              <w:bottom w:val="nil"/>
            </w:tcBorders>
            <w:vAlign w:val="center"/>
          </w:tcPr>
          <w:p w14:paraId="4E7FD222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22.46 ± 0.06</w:t>
            </w:r>
          </w:p>
        </w:tc>
        <w:tc>
          <w:tcPr>
            <w:tcW w:w="996" w:type="dxa"/>
            <w:tcBorders>
              <w:top w:val="single" w:sz="8" w:space="0" w:color="auto"/>
              <w:bottom w:val="nil"/>
            </w:tcBorders>
            <w:vAlign w:val="center"/>
          </w:tcPr>
          <w:p w14:paraId="18AD4E2D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--</w:t>
            </w:r>
          </w:p>
        </w:tc>
      </w:tr>
      <w:tr w:rsidR="00A47719" w:rsidRPr="00A47719" w14:paraId="585C82B3" w14:textId="77777777">
        <w:trPr>
          <w:trHeight w:val="341"/>
          <w:jc w:val="center"/>
        </w:trPr>
        <w:tc>
          <w:tcPr>
            <w:tcW w:w="1404" w:type="dxa"/>
            <w:vMerge w:val="restart"/>
            <w:tcBorders>
              <w:top w:val="nil"/>
              <w:tl2br w:val="nil"/>
              <w:tr2bl w:val="nil"/>
            </w:tcBorders>
            <w:vAlign w:val="center"/>
          </w:tcPr>
          <w:p w14:paraId="5ADB421B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b/>
                <w:bCs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b/>
                <w:bCs/>
                <w:sz w:val="16"/>
                <w:szCs w:val="16"/>
                <w:lang w:eastAsia="zh-CN"/>
              </w:rPr>
              <w:t>PyTPA-9C</w:t>
            </w:r>
          </w:p>
        </w:tc>
        <w:tc>
          <w:tcPr>
            <w:tcW w:w="1148" w:type="dxa"/>
            <w:tcBorders>
              <w:top w:val="nil"/>
              <w:tl2br w:val="nil"/>
              <w:tr2bl w:val="nil"/>
            </w:tcBorders>
            <w:vAlign w:val="center"/>
          </w:tcPr>
          <w:p w14:paraId="2883E139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Reverse</w:t>
            </w:r>
          </w:p>
        </w:tc>
        <w:tc>
          <w:tcPr>
            <w:tcW w:w="1508" w:type="dxa"/>
            <w:tcBorders>
              <w:top w:val="nil"/>
              <w:tl2br w:val="nil"/>
              <w:tr2bl w:val="nil"/>
            </w:tcBorders>
            <w:vAlign w:val="center"/>
          </w:tcPr>
          <w:p w14:paraId="66641242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25.23 ± 0.05</w:t>
            </w:r>
          </w:p>
        </w:tc>
        <w:tc>
          <w:tcPr>
            <w:tcW w:w="1476" w:type="dxa"/>
            <w:tcBorders>
              <w:top w:val="nil"/>
              <w:tl2br w:val="nil"/>
              <w:tr2bl w:val="nil"/>
            </w:tcBorders>
            <w:vAlign w:val="center"/>
          </w:tcPr>
          <w:p w14:paraId="281D63EA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1.176 ± 0.002</w:t>
            </w:r>
          </w:p>
        </w:tc>
        <w:tc>
          <w:tcPr>
            <w:tcW w:w="1410" w:type="dxa"/>
            <w:tcBorders>
              <w:top w:val="nil"/>
              <w:tl2br w:val="nil"/>
              <w:tr2bl w:val="nil"/>
            </w:tcBorders>
            <w:vAlign w:val="center"/>
          </w:tcPr>
          <w:p w14:paraId="0A8EDE1B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81.80 ± 0.05</w:t>
            </w:r>
          </w:p>
        </w:tc>
        <w:tc>
          <w:tcPr>
            <w:tcW w:w="1418" w:type="dxa"/>
            <w:tcBorders>
              <w:top w:val="nil"/>
              <w:tl2br w:val="nil"/>
              <w:tr2bl w:val="nil"/>
            </w:tcBorders>
            <w:vAlign w:val="center"/>
          </w:tcPr>
          <w:p w14:paraId="25EB59F9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24.27 ± 0.06</w:t>
            </w:r>
          </w:p>
        </w:tc>
        <w:tc>
          <w:tcPr>
            <w:tcW w:w="996" w:type="dxa"/>
            <w:vMerge w:val="restart"/>
            <w:tcBorders>
              <w:top w:val="nil"/>
              <w:tl2br w:val="nil"/>
              <w:tr2bl w:val="nil"/>
            </w:tcBorders>
            <w:vAlign w:val="center"/>
          </w:tcPr>
          <w:p w14:paraId="50E766B8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1.16%</w:t>
            </w:r>
          </w:p>
        </w:tc>
      </w:tr>
      <w:tr w:rsidR="00A47719" w:rsidRPr="00A47719" w14:paraId="4CD39D49" w14:textId="77777777">
        <w:trPr>
          <w:trHeight w:val="321"/>
          <w:jc w:val="center"/>
        </w:trPr>
        <w:tc>
          <w:tcPr>
            <w:tcW w:w="1404" w:type="dxa"/>
            <w:vMerge/>
            <w:tcBorders>
              <w:tl2br w:val="nil"/>
              <w:tr2bl w:val="nil"/>
            </w:tcBorders>
            <w:vAlign w:val="center"/>
          </w:tcPr>
          <w:p w14:paraId="700EEF68" w14:textId="77777777" w:rsidR="00D240DA" w:rsidRPr="00A47719" w:rsidRDefault="00D240DA">
            <w:pPr>
              <w:pStyle w:val="P1"/>
              <w:spacing w:line="240" w:lineRule="exact"/>
              <w:jc w:val="left"/>
              <w:rPr>
                <w:rFonts w:eastAsiaTheme="minorEastAsia" w:cs="Arial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1148" w:type="dxa"/>
            <w:tcBorders>
              <w:tl2br w:val="nil"/>
              <w:tr2bl w:val="nil"/>
            </w:tcBorders>
            <w:vAlign w:val="center"/>
          </w:tcPr>
          <w:p w14:paraId="08035595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Forward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 w14:paraId="02F6DEB8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25.18 ± 0.06</w:t>
            </w:r>
          </w:p>
        </w:tc>
        <w:tc>
          <w:tcPr>
            <w:tcW w:w="1476" w:type="dxa"/>
            <w:tcBorders>
              <w:tl2br w:val="nil"/>
              <w:tr2bl w:val="nil"/>
            </w:tcBorders>
            <w:vAlign w:val="center"/>
          </w:tcPr>
          <w:p w14:paraId="53CAE50D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1.175 ± 0.002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vAlign w:val="center"/>
          </w:tcPr>
          <w:p w14:paraId="29C20402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81.08 ± 0.06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14:paraId="13209ADE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23.99 ± 0.07</w:t>
            </w:r>
          </w:p>
        </w:tc>
        <w:tc>
          <w:tcPr>
            <w:tcW w:w="996" w:type="dxa"/>
            <w:vMerge/>
            <w:tcBorders>
              <w:tl2br w:val="nil"/>
              <w:tr2bl w:val="nil"/>
            </w:tcBorders>
            <w:vAlign w:val="center"/>
          </w:tcPr>
          <w:p w14:paraId="64E1FDD4" w14:textId="77777777" w:rsidR="00D240DA" w:rsidRPr="00A47719" w:rsidRDefault="00D240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</w:p>
        </w:tc>
      </w:tr>
      <w:tr w:rsidR="00A47719" w:rsidRPr="00A47719" w14:paraId="7A05FA3D" w14:textId="77777777">
        <w:trPr>
          <w:trHeight w:val="321"/>
          <w:jc w:val="center"/>
        </w:trPr>
        <w:tc>
          <w:tcPr>
            <w:tcW w:w="1404" w:type="dxa"/>
            <w:vMerge w:val="restart"/>
            <w:tcBorders>
              <w:tl2br w:val="nil"/>
              <w:tr2bl w:val="nil"/>
            </w:tcBorders>
            <w:vAlign w:val="center"/>
          </w:tcPr>
          <w:p w14:paraId="6D45C93E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b/>
                <w:bCs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b/>
                <w:bCs/>
                <w:sz w:val="16"/>
                <w:szCs w:val="16"/>
                <w:lang w:eastAsia="zh-CN"/>
              </w:rPr>
              <w:t>PyTPA-10C</w:t>
            </w:r>
          </w:p>
        </w:tc>
        <w:tc>
          <w:tcPr>
            <w:tcW w:w="1148" w:type="dxa"/>
            <w:tcBorders>
              <w:tl2br w:val="nil"/>
              <w:tr2bl w:val="nil"/>
            </w:tcBorders>
            <w:vAlign w:val="center"/>
          </w:tcPr>
          <w:p w14:paraId="2946338E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Reverse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 w14:paraId="053494F3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25.62 ± 0.05</w:t>
            </w:r>
          </w:p>
        </w:tc>
        <w:tc>
          <w:tcPr>
            <w:tcW w:w="1476" w:type="dxa"/>
            <w:tcBorders>
              <w:tl2br w:val="nil"/>
              <w:tr2bl w:val="nil"/>
            </w:tcBorders>
            <w:vAlign w:val="center"/>
          </w:tcPr>
          <w:p w14:paraId="4D42D0E5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1.178 ± 0.002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vAlign w:val="center"/>
          </w:tcPr>
          <w:p w14:paraId="1754B7E3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84.39 ± 0.05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14:paraId="281F3903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25.47 ± 0.04</w:t>
            </w:r>
          </w:p>
        </w:tc>
        <w:tc>
          <w:tcPr>
            <w:tcW w:w="996" w:type="dxa"/>
            <w:vMerge w:val="restart"/>
            <w:tcBorders>
              <w:tl2br w:val="nil"/>
              <w:tr2bl w:val="nil"/>
            </w:tcBorders>
            <w:vAlign w:val="center"/>
          </w:tcPr>
          <w:p w14:paraId="50DAEEBF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1.02%</w:t>
            </w:r>
          </w:p>
        </w:tc>
      </w:tr>
      <w:tr w:rsidR="00A47719" w:rsidRPr="00A47719" w14:paraId="5735DC56" w14:textId="77777777">
        <w:trPr>
          <w:trHeight w:val="321"/>
          <w:jc w:val="center"/>
        </w:trPr>
        <w:tc>
          <w:tcPr>
            <w:tcW w:w="1404" w:type="dxa"/>
            <w:vMerge/>
            <w:tcBorders>
              <w:tl2br w:val="nil"/>
              <w:tr2bl w:val="nil"/>
            </w:tcBorders>
            <w:vAlign w:val="center"/>
          </w:tcPr>
          <w:p w14:paraId="525DE2BB" w14:textId="77777777" w:rsidR="00D240DA" w:rsidRPr="00A47719" w:rsidRDefault="00D240DA">
            <w:pPr>
              <w:pStyle w:val="P1"/>
              <w:spacing w:line="240" w:lineRule="exact"/>
              <w:jc w:val="left"/>
              <w:rPr>
                <w:rFonts w:eastAsiaTheme="minorEastAsia" w:cs="Arial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1148" w:type="dxa"/>
            <w:tcBorders>
              <w:tl2br w:val="nil"/>
              <w:tr2bl w:val="nil"/>
            </w:tcBorders>
            <w:vAlign w:val="center"/>
          </w:tcPr>
          <w:p w14:paraId="76D0016A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Forward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 w14:paraId="24D3256A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25.61 ± 0.04</w:t>
            </w:r>
          </w:p>
        </w:tc>
        <w:tc>
          <w:tcPr>
            <w:tcW w:w="1476" w:type="dxa"/>
            <w:tcBorders>
              <w:tl2br w:val="nil"/>
              <w:tr2bl w:val="nil"/>
            </w:tcBorders>
            <w:vAlign w:val="center"/>
          </w:tcPr>
          <w:p w14:paraId="534F082E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1.175 ± 0.002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vAlign w:val="center"/>
          </w:tcPr>
          <w:p w14:paraId="19F9C127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83.70 ± 0.05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14:paraId="1D73B2FC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25.21 ± 0.06</w:t>
            </w:r>
          </w:p>
        </w:tc>
        <w:tc>
          <w:tcPr>
            <w:tcW w:w="996" w:type="dxa"/>
            <w:vMerge/>
            <w:tcBorders>
              <w:tl2br w:val="nil"/>
              <w:tr2bl w:val="nil"/>
            </w:tcBorders>
            <w:vAlign w:val="center"/>
          </w:tcPr>
          <w:p w14:paraId="7AA641C3" w14:textId="77777777" w:rsidR="00D240DA" w:rsidRPr="00A47719" w:rsidRDefault="00D240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</w:p>
        </w:tc>
      </w:tr>
      <w:tr w:rsidR="00A47719" w:rsidRPr="00A47719" w14:paraId="2A24272D" w14:textId="77777777">
        <w:trPr>
          <w:trHeight w:val="321"/>
          <w:jc w:val="center"/>
        </w:trPr>
        <w:tc>
          <w:tcPr>
            <w:tcW w:w="1404" w:type="dxa"/>
            <w:vMerge w:val="restart"/>
            <w:tcBorders>
              <w:tl2br w:val="nil"/>
              <w:tr2bl w:val="nil"/>
            </w:tcBorders>
            <w:vAlign w:val="center"/>
          </w:tcPr>
          <w:p w14:paraId="4852AAE1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b/>
                <w:bCs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b/>
                <w:bCs/>
                <w:sz w:val="16"/>
                <w:szCs w:val="16"/>
                <w:lang w:eastAsia="zh-CN"/>
              </w:rPr>
              <w:t>PyTPA-13C</w:t>
            </w:r>
          </w:p>
        </w:tc>
        <w:tc>
          <w:tcPr>
            <w:tcW w:w="1148" w:type="dxa"/>
            <w:tcBorders>
              <w:tl2br w:val="nil"/>
              <w:tr2bl w:val="nil"/>
            </w:tcBorders>
            <w:vAlign w:val="center"/>
          </w:tcPr>
          <w:p w14:paraId="26725933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Reverse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 w14:paraId="0BD4BCBE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25.38 ± 0.05</w:t>
            </w:r>
          </w:p>
        </w:tc>
        <w:tc>
          <w:tcPr>
            <w:tcW w:w="1476" w:type="dxa"/>
            <w:tcBorders>
              <w:tl2br w:val="nil"/>
              <w:tr2bl w:val="nil"/>
            </w:tcBorders>
            <w:vAlign w:val="center"/>
          </w:tcPr>
          <w:p w14:paraId="7B5975E0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1.176 ± 0.002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vAlign w:val="center"/>
          </w:tcPr>
          <w:p w14:paraId="320BFCB3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82.69 ± 0.04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14:paraId="10EA2F47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24.68 ± 0.08</w:t>
            </w:r>
          </w:p>
        </w:tc>
        <w:tc>
          <w:tcPr>
            <w:tcW w:w="996" w:type="dxa"/>
            <w:vMerge w:val="restart"/>
            <w:tcBorders>
              <w:tl2br w:val="nil"/>
              <w:tr2bl w:val="nil"/>
            </w:tcBorders>
            <w:vAlign w:val="center"/>
          </w:tcPr>
          <w:p w14:paraId="03247EE1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1.18%</w:t>
            </w:r>
          </w:p>
        </w:tc>
      </w:tr>
      <w:tr w:rsidR="00A47719" w:rsidRPr="00A47719" w14:paraId="16BB0645" w14:textId="77777777">
        <w:trPr>
          <w:trHeight w:val="62"/>
          <w:jc w:val="center"/>
        </w:trPr>
        <w:tc>
          <w:tcPr>
            <w:tcW w:w="1404" w:type="dxa"/>
            <w:vMerge/>
            <w:tcBorders>
              <w:tl2br w:val="nil"/>
              <w:tr2bl w:val="nil"/>
            </w:tcBorders>
            <w:vAlign w:val="center"/>
          </w:tcPr>
          <w:p w14:paraId="47FFADFC" w14:textId="77777777" w:rsidR="00D240DA" w:rsidRPr="00A47719" w:rsidRDefault="00D240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</w:p>
        </w:tc>
        <w:tc>
          <w:tcPr>
            <w:tcW w:w="1148" w:type="dxa"/>
            <w:tcBorders>
              <w:tl2br w:val="nil"/>
              <w:tr2bl w:val="nil"/>
            </w:tcBorders>
            <w:vAlign w:val="center"/>
          </w:tcPr>
          <w:p w14:paraId="36C275B6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Forward</w:t>
            </w:r>
          </w:p>
        </w:tc>
        <w:tc>
          <w:tcPr>
            <w:tcW w:w="1508" w:type="dxa"/>
            <w:tcBorders>
              <w:tl2br w:val="nil"/>
              <w:tr2bl w:val="nil"/>
            </w:tcBorders>
            <w:vAlign w:val="center"/>
          </w:tcPr>
          <w:p w14:paraId="5D2AA6CD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25.36 ± 0.04</w:t>
            </w:r>
          </w:p>
        </w:tc>
        <w:tc>
          <w:tcPr>
            <w:tcW w:w="1476" w:type="dxa"/>
            <w:tcBorders>
              <w:tl2br w:val="nil"/>
              <w:tr2bl w:val="nil"/>
            </w:tcBorders>
            <w:vAlign w:val="center"/>
          </w:tcPr>
          <w:p w14:paraId="484DDE97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1.174 ± 0.002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vAlign w:val="center"/>
          </w:tcPr>
          <w:p w14:paraId="6E6111B5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81.92 ± 0.05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14:paraId="1CF13834" w14:textId="77777777" w:rsidR="00D240DA" w:rsidRPr="00A47719" w:rsidRDefault="00D361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  <w:r w:rsidRPr="00A47719">
              <w:rPr>
                <w:rFonts w:eastAsiaTheme="minorEastAsia" w:cs="Arial"/>
                <w:sz w:val="16"/>
                <w:szCs w:val="16"/>
                <w:lang w:eastAsia="zh-CN"/>
              </w:rPr>
              <w:t>24.39 ± 0.07</w:t>
            </w:r>
          </w:p>
        </w:tc>
        <w:tc>
          <w:tcPr>
            <w:tcW w:w="996" w:type="dxa"/>
            <w:vMerge/>
            <w:tcBorders>
              <w:tl2br w:val="nil"/>
              <w:tr2bl w:val="nil"/>
            </w:tcBorders>
            <w:vAlign w:val="center"/>
          </w:tcPr>
          <w:p w14:paraId="6D05E8A5" w14:textId="77777777" w:rsidR="00D240DA" w:rsidRPr="00A47719" w:rsidRDefault="00D240DA">
            <w:pPr>
              <w:pStyle w:val="P1"/>
              <w:spacing w:line="240" w:lineRule="exact"/>
              <w:jc w:val="left"/>
              <w:rPr>
                <w:rFonts w:eastAsiaTheme="minorEastAsia" w:cs="Arial"/>
                <w:sz w:val="16"/>
                <w:szCs w:val="16"/>
                <w:lang w:eastAsia="zh-CN"/>
              </w:rPr>
            </w:pPr>
          </w:p>
        </w:tc>
      </w:tr>
    </w:tbl>
    <w:p w14:paraId="1FEC3027" w14:textId="77777777" w:rsidR="00D240DA" w:rsidRPr="00A47719" w:rsidRDefault="00D361DA">
      <w:pPr>
        <w:pStyle w:val="P1"/>
        <w:spacing w:line="240" w:lineRule="atLeast"/>
        <w:jc w:val="left"/>
        <w:rPr>
          <w:rFonts w:eastAsiaTheme="minorEastAsia" w:cs="Arial"/>
          <w:bCs/>
          <w:sz w:val="16"/>
          <w:szCs w:val="16"/>
          <w:lang w:eastAsia="zh-CN"/>
        </w:rPr>
      </w:pPr>
      <w:proofErr w:type="spellStart"/>
      <w:r w:rsidRPr="00A47719">
        <w:rPr>
          <w:rFonts w:eastAsiaTheme="minorEastAsia" w:cs="Arial"/>
          <w:bCs/>
          <w:sz w:val="16"/>
          <w:szCs w:val="16"/>
          <w:vertAlign w:val="superscript"/>
          <w:lang w:eastAsia="zh-CN"/>
        </w:rPr>
        <w:t>a</w:t>
      </w:r>
      <w:proofErr w:type="spellEnd"/>
      <w:r w:rsidRPr="00A47719">
        <w:rPr>
          <w:rFonts w:eastAsiaTheme="minorEastAsia" w:cs="Arial"/>
          <w:bCs/>
          <w:sz w:val="16"/>
          <w:szCs w:val="16"/>
          <w:vertAlign w:val="superscript"/>
          <w:lang w:eastAsia="zh-CN"/>
        </w:rPr>
        <w:t xml:space="preserve"> </w:t>
      </w:r>
      <w:proofErr w:type="gramStart"/>
      <w:r w:rsidRPr="00A47719">
        <w:rPr>
          <w:rFonts w:eastAsiaTheme="minorEastAsia" w:cs="Arial"/>
          <w:bCs/>
          <w:sz w:val="16"/>
          <w:szCs w:val="16"/>
          <w:lang w:eastAsia="zh-CN"/>
        </w:rPr>
        <w:t>The</w:t>
      </w:r>
      <w:proofErr w:type="gramEnd"/>
      <w:r w:rsidRPr="00A47719">
        <w:rPr>
          <w:rFonts w:eastAsiaTheme="minorEastAsia" w:cs="Arial"/>
          <w:bCs/>
          <w:sz w:val="16"/>
          <w:szCs w:val="16"/>
          <w:lang w:eastAsia="zh-CN"/>
        </w:rPr>
        <w:t xml:space="preserve"> 25 PSC devices used to calculate the average photovoltaic parameters.</w:t>
      </w:r>
    </w:p>
    <w:p w14:paraId="2F24D79B" w14:textId="77777777" w:rsidR="00D240DA" w:rsidRPr="00A47719" w:rsidRDefault="00D240DA">
      <w:pPr>
        <w:pStyle w:val="H2"/>
        <w:shd w:val="clear" w:color="000000" w:fill="auto"/>
        <w:spacing w:after="240" w:line="240" w:lineRule="atLeast"/>
        <w:ind w:left="0" w:firstLine="0"/>
        <w:rPr>
          <w:rFonts w:ascii="Arial" w:hAnsi="Arial" w:cs="Arial"/>
          <w:bCs/>
          <w:lang w:val="en-GB"/>
        </w:rPr>
      </w:pPr>
    </w:p>
    <w:p w14:paraId="33702BDA" w14:textId="77777777" w:rsidR="00D240DA" w:rsidRPr="00A47719" w:rsidRDefault="00D361DA">
      <w:pPr>
        <w:pStyle w:val="H2"/>
        <w:shd w:val="clear" w:color="000000" w:fill="auto"/>
        <w:spacing w:after="240" w:line="240" w:lineRule="atLeast"/>
        <w:ind w:left="0" w:firstLine="0"/>
        <w:rPr>
          <w:rFonts w:ascii="Arial" w:hAnsi="Arial" w:cs="Arial"/>
          <w:bCs/>
          <w:lang w:val="en-GB"/>
        </w:rPr>
      </w:pPr>
      <w:r w:rsidRPr="00A47719">
        <w:rPr>
          <w:rFonts w:ascii="Arial" w:hAnsi="Arial" w:cs="Arial"/>
          <w:bCs/>
          <w:lang w:val="en-GB"/>
        </w:rPr>
        <w:t xml:space="preserve">Characterization of </w:t>
      </w:r>
      <w:bookmarkStart w:id="24" w:name="_Hlk216814942"/>
      <w:r w:rsidRPr="00A47719">
        <w:rPr>
          <w:rFonts w:ascii="Arial" w:hAnsi="Arial" w:cs="Arial"/>
          <w:bCs/>
          <w:lang w:val="en-GB"/>
        </w:rPr>
        <w:t>interfacial carrier dynamics</w:t>
      </w:r>
      <w:bookmarkEnd w:id="24"/>
    </w:p>
    <w:p w14:paraId="2600F25C" w14:textId="21E9D858" w:rsidR="00D240DA" w:rsidRPr="00A47719" w:rsidRDefault="00D361DA" w:rsidP="006727AE">
      <w:pPr>
        <w:pStyle w:val="P1"/>
        <w:spacing w:line="240" w:lineRule="atLeast"/>
        <w:rPr>
          <w:rFonts w:eastAsiaTheme="minorEastAsia" w:cs="Arial"/>
          <w:bCs/>
          <w:sz w:val="20"/>
          <w:szCs w:val="20"/>
          <w:lang w:eastAsia="zh-CN"/>
        </w:rPr>
      </w:pPr>
      <w:r w:rsidRPr="00A47719">
        <w:rPr>
          <w:rFonts w:eastAsiaTheme="minorEastAsia" w:cs="Arial"/>
          <w:sz w:val="20"/>
          <w:szCs w:val="20"/>
          <w:lang w:eastAsia="zh-CN"/>
        </w:rPr>
        <w:t xml:space="preserve">To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elucidate the influence of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the molecular structure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on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interfacial carrier dynamics, electrochemical impedance spectroscopy (EIS)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and 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transient 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 xml:space="preserve">photoelectric characterization </w:t>
      </w:r>
      <w:r w:rsidRPr="00A47719">
        <w:rPr>
          <w:rFonts w:eastAsiaTheme="minorEastAsia" w:cs="Arial"/>
          <w:sz w:val="20"/>
          <w:szCs w:val="20"/>
          <w:lang w:eastAsia="zh-CN"/>
        </w:rPr>
        <w:t>w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ere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performed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on the pyrene-based PSCs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. The Nyquist plots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(</w:t>
      </w:r>
      <w:r w:rsidRPr="00A47719">
        <w:rPr>
          <w:rFonts w:eastAsiaTheme="minorEastAsia" w:cs="Arial"/>
          <w:sz w:val="20"/>
          <w:szCs w:val="20"/>
          <w:lang w:eastAsia="zh-CN"/>
        </w:rPr>
        <w:t>Figure 5A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) reveal that the device employing 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t>PyTPA-10C</w:t>
      </w:r>
      <w:r w:rsidRPr="00A47719">
        <w:rPr>
          <w:rFonts w:eastAsiaTheme="minorEastAsia" w:cs="Arial" w:hint="eastAsia"/>
          <w:b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exhibits the highest </w:t>
      </w:r>
      <w:r w:rsidRPr="00A47719">
        <w:rPr>
          <w:rFonts w:eastAsiaTheme="minorEastAsia" w:cs="Arial"/>
          <w:sz w:val="20"/>
          <w:szCs w:val="20"/>
          <w:lang w:eastAsia="zh-CN"/>
        </w:rPr>
        <w:t>recombination resistance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(</w:t>
      </w:r>
      <w:proofErr w:type="spellStart"/>
      <w:r w:rsidRPr="00A47719">
        <w:rPr>
          <w:rFonts w:eastAsiaTheme="minorEastAsia" w:cs="Arial"/>
          <w:bCs/>
          <w:i/>
          <w:iCs/>
          <w:sz w:val="20"/>
          <w:szCs w:val="20"/>
          <w:lang w:eastAsia="zh-CN"/>
        </w:rPr>
        <w:t>R</w:t>
      </w:r>
      <w:r w:rsidRPr="00A47719">
        <w:rPr>
          <w:rFonts w:eastAsiaTheme="minorEastAsia" w:cs="Arial"/>
          <w:bCs/>
          <w:sz w:val="20"/>
          <w:szCs w:val="20"/>
          <w:vertAlign w:val="subscript"/>
          <w:lang w:eastAsia="zh-CN"/>
        </w:rPr>
        <w:t>rec</w:t>
      </w:r>
      <w:proofErr w:type="spellEnd"/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 xml:space="preserve">, 26.8 </w:t>
      </w:r>
      <w:proofErr w:type="spellStart"/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>k</w:t>
      </w:r>
      <w:r w:rsidRPr="00A47719">
        <w:rPr>
          <w:rFonts w:eastAsiaTheme="minorEastAsia" w:cs="Arial"/>
          <w:sz w:val="20"/>
          <w:szCs w:val="20"/>
          <w:lang w:eastAsia="zh-CN"/>
        </w:rPr>
        <w:t>Ω</w:t>
      </w:r>
      <w:proofErr w:type="spellEnd"/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), 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significantly exceeding those of 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t>PyTPA-9C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(</w:t>
      </w:r>
      <w:proofErr w:type="spellStart"/>
      <w:r w:rsidRPr="00A47719">
        <w:rPr>
          <w:rFonts w:eastAsiaTheme="minorEastAsia" w:cs="Arial" w:hint="eastAsia"/>
          <w:bCs/>
          <w:i/>
          <w:iCs/>
          <w:sz w:val="20"/>
          <w:szCs w:val="20"/>
          <w:lang w:eastAsia="zh-CN"/>
        </w:rPr>
        <w:t>R</w:t>
      </w:r>
      <w:r w:rsidRPr="00A47719">
        <w:rPr>
          <w:rFonts w:eastAsiaTheme="minorEastAsia" w:cs="Arial" w:hint="eastAsia"/>
          <w:bCs/>
          <w:sz w:val="20"/>
          <w:szCs w:val="20"/>
          <w:vertAlign w:val="subscript"/>
          <w:lang w:eastAsia="zh-CN"/>
        </w:rPr>
        <w:t>rec</w:t>
      </w:r>
      <w:proofErr w:type="spellEnd"/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 xml:space="preserve">, 12.9 </w:t>
      </w:r>
      <w:proofErr w:type="spellStart"/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>k</w:t>
      </w:r>
      <w:r w:rsidRPr="00A47719">
        <w:rPr>
          <w:rFonts w:eastAsiaTheme="minorEastAsia" w:cs="Arial"/>
          <w:sz w:val="20"/>
          <w:szCs w:val="20"/>
          <w:lang w:eastAsia="zh-CN"/>
        </w:rPr>
        <w:t>Ω</w:t>
      </w:r>
      <w:proofErr w:type="spellEnd"/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) 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and 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t>PyTPA-13C</w:t>
      </w:r>
      <w:r w:rsidRPr="00A47719">
        <w:rPr>
          <w:rFonts w:eastAsiaTheme="minorEastAsia" w:cs="Arial" w:hint="eastAsia"/>
          <w:b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(</w:t>
      </w:r>
      <w:proofErr w:type="spellStart"/>
      <w:r w:rsidRPr="00A47719">
        <w:rPr>
          <w:rFonts w:eastAsiaTheme="minorEastAsia" w:cs="Arial" w:hint="eastAsia"/>
          <w:bCs/>
          <w:i/>
          <w:iCs/>
          <w:sz w:val="20"/>
          <w:szCs w:val="20"/>
          <w:lang w:eastAsia="zh-CN"/>
        </w:rPr>
        <w:t>R</w:t>
      </w:r>
      <w:r w:rsidRPr="00A47719">
        <w:rPr>
          <w:rFonts w:eastAsiaTheme="minorEastAsia" w:cs="Arial" w:hint="eastAsia"/>
          <w:bCs/>
          <w:sz w:val="20"/>
          <w:szCs w:val="20"/>
          <w:vertAlign w:val="subscript"/>
          <w:lang w:eastAsia="zh-CN"/>
        </w:rPr>
        <w:t>rec</w:t>
      </w:r>
      <w:proofErr w:type="spellEnd"/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 xml:space="preserve">, 16.1 </w:t>
      </w:r>
      <w:proofErr w:type="spellStart"/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>k</w:t>
      </w:r>
      <w:r w:rsidRPr="00A47719">
        <w:rPr>
          <w:rFonts w:eastAsiaTheme="minorEastAsia" w:cs="Arial"/>
          <w:sz w:val="20"/>
          <w:szCs w:val="20"/>
          <w:lang w:eastAsia="zh-CN"/>
        </w:rPr>
        <w:t>Ω</w:t>
      </w:r>
      <w:proofErr w:type="spellEnd"/>
      <w:r w:rsidRPr="00A47719">
        <w:rPr>
          <w:rFonts w:eastAsiaTheme="minorEastAsia" w:cs="Arial" w:hint="eastAsia"/>
          <w:sz w:val="20"/>
          <w:szCs w:val="20"/>
          <w:lang w:eastAsia="zh-CN"/>
        </w:rPr>
        <w:t>)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>.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 xml:space="preserve"> While the </w:t>
      </w:r>
      <w:r w:rsidRPr="00A47719">
        <w:rPr>
          <w:rFonts w:eastAsiaTheme="minorEastAsia" w:cs="Arial"/>
          <w:sz w:val="20"/>
          <w:szCs w:val="20"/>
          <w:lang w:eastAsia="zh-CN"/>
        </w:rPr>
        <w:t>series resistance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(</w:t>
      </w:r>
      <w:r w:rsidRPr="00A47719">
        <w:rPr>
          <w:rFonts w:eastAsiaTheme="minorEastAsia" w:cs="Arial"/>
          <w:i/>
          <w:iCs/>
          <w:sz w:val="20"/>
          <w:szCs w:val="20"/>
          <w:lang w:eastAsia="zh-CN"/>
        </w:rPr>
        <w:t>R</w:t>
      </w:r>
      <w:r w:rsidRPr="00A47719">
        <w:rPr>
          <w:rFonts w:eastAsiaTheme="minorEastAsia" w:cs="Arial"/>
          <w:sz w:val="20"/>
          <w:szCs w:val="20"/>
          <w:vertAlign w:val="subscript"/>
          <w:lang w:eastAsia="zh-CN"/>
        </w:rPr>
        <w:t>s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) increases from 9.86 </w:t>
      </w:r>
      <w:r w:rsidRPr="00A47719">
        <w:rPr>
          <w:rFonts w:eastAsiaTheme="minorEastAsia" w:cs="Arial"/>
          <w:sz w:val="20"/>
          <w:szCs w:val="20"/>
          <w:lang w:eastAsia="zh-CN"/>
        </w:rPr>
        <w:t>Ω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(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t>PyTPA-10C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) to 16.4 </w:t>
      </w:r>
      <w:r w:rsidRPr="00A47719">
        <w:rPr>
          <w:rFonts w:eastAsiaTheme="minorEastAsia" w:cs="Arial"/>
          <w:sz w:val="20"/>
          <w:szCs w:val="20"/>
          <w:lang w:eastAsia="zh-CN"/>
        </w:rPr>
        <w:t>Ω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(</w:t>
      </w:r>
      <w:r w:rsidRPr="00A47719">
        <w:rPr>
          <w:rFonts w:eastAsiaTheme="minorEastAsia" w:cs="Arial" w:hint="eastAsia"/>
          <w:b/>
          <w:sz w:val="20"/>
          <w:szCs w:val="20"/>
          <w:lang w:eastAsia="zh-CN"/>
        </w:rPr>
        <w:t>PyTPA-13C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) and 20.5 </w:t>
      </w:r>
      <w:r w:rsidRPr="00A47719">
        <w:rPr>
          <w:rFonts w:eastAsiaTheme="minorEastAsia" w:cs="Arial"/>
          <w:sz w:val="20"/>
          <w:szCs w:val="20"/>
          <w:lang w:eastAsia="zh-CN"/>
        </w:rPr>
        <w:t>Ω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 (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t>PyTPA-</w:t>
      </w:r>
      <w:r w:rsidRPr="00A47719">
        <w:rPr>
          <w:rFonts w:eastAsiaTheme="minorEastAsia" w:cs="Arial" w:hint="eastAsia"/>
          <w:b/>
          <w:sz w:val="20"/>
          <w:szCs w:val="20"/>
          <w:lang w:eastAsia="zh-CN"/>
        </w:rPr>
        <w:t>9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t>C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>).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This indicates that the 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t>PyTPA-10C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most effectively suppresses charge recombination at the perovskite/HTM interface. The superior performance is attributed to its optimal energy-level alignment (optimized HOMO) with the perovskite, which minimizes 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 xml:space="preserve">the 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>energy barriers and non-radiative losses.</w:t>
      </w:r>
      <w:r w:rsidRPr="00A47719">
        <w:rPr>
          <w:rFonts w:eastAsiaTheme="minorEastAsia" w:cs="Arial" w:hint="eastAsia"/>
          <w:bCs/>
          <w:sz w:val="20"/>
          <w:szCs w:val="20"/>
          <w:vertAlign w:val="superscript"/>
          <w:lang w:eastAsia="zh-CN"/>
        </w:rPr>
        <w:t>[</w:t>
      </w:r>
      <w:r w:rsidRPr="00A47719">
        <w:rPr>
          <w:rFonts w:eastAsiaTheme="minorEastAsia" w:cs="Arial"/>
          <w:bCs/>
          <w:sz w:val="20"/>
          <w:szCs w:val="20"/>
          <w:vertAlign w:val="superscript"/>
          <w:lang w:eastAsia="zh-CN"/>
        </w:rPr>
        <w:t>17,39</w:t>
      </w:r>
      <w:r w:rsidRPr="00A47719">
        <w:rPr>
          <w:rFonts w:eastAsiaTheme="minorEastAsia" w:cs="Arial" w:hint="eastAsia"/>
          <w:bCs/>
          <w:sz w:val="20"/>
          <w:szCs w:val="20"/>
          <w:vertAlign w:val="superscript"/>
          <w:lang w:eastAsia="zh-CN"/>
        </w:rPr>
        <w:t>]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The results are consistent with the Mott–Schottky plots.</w:t>
      </w:r>
      <w:r w:rsidRPr="00A47719">
        <w:rPr>
          <w:rFonts w:eastAsiaTheme="minorEastAsia" w:cs="Arial"/>
          <w:bCs/>
          <w:sz w:val="20"/>
          <w:szCs w:val="20"/>
          <w:vertAlign w:val="superscript"/>
          <w:lang w:eastAsia="zh-CN"/>
        </w:rPr>
        <w:t>[40]</w:t>
      </w:r>
      <w:r w:rsidRPr="00A47719">
        <w:rPr>
          <w:rFonts w:eastAsiaTheme="minorEastAsia" w:cs="Arial" w:hint="eastAsia"/>
          <w:bCs/>
          <w:sz w:val="20"/>
          <w:szCs w:val="20"/>
          <w:vertAlign w:val="superscript"/>
          <w:lang w:eastAsia="zh-CN"/>
        </w:rPr>
        <w:t xml:space="preserve"> 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The carrier recombination and extraction dynamics were further probed by transient photovoltage (TPV) and transient photocurrent (TPC) measurements. The TPV decay time (Figure 5B) follows the order of 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t>PyTPA-9C (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>88.4 µs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t>) &lt;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t>PyTPA-13C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(128.6 µs) &lt; 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t>PyTPA-10C (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>145.2 µs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t>)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. The longest decay for 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t xml:space="preserve">PyTPA-10C 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confirms its slowest charge recombination rate, consistent with the EIS results. Correspondingly, TPC analysis reveals that 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t>PyTPA-10C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possesses the shortest current decay time (0.67 µs), compared to 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t>PyTPA-9C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(1.12 µs) and 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t>PyTPA-13C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(0.92 µs) (Figure 5C), demonstrating the most efficient hole extraction and transport. This rapid extraction is linked to reduced interfacial defect states.</w:t>
      </w:r>
      <w:r w:rsidRPr="00A47719">
        <w:rPr>
          <w:rFonts w:eastAsiaTheme="minorEastAsia" w:cs="Arial"/>
          <w:bCs/>
          <w:sz w:val="20"/>
          <w:szCs w:val="20"/>
          <w:vertAlign w:val="superscript"/>
          <w:lang w:eastAsia="zh-CN"/>
        </w:rPr>
        <w:t>[4</w:t>
      </w:r>
      <w:r w:rsidRPr="00A47719">
        <w:rPr>
          <w:rFonts w:eastAsiaTheme="minorEastAsia" w:cs="Arial" w:hint="eastAsia"/>
          <w:bCs/>
          <w:sz w:val="20"/>
          <w:szCs w:val="20"/>
          <w:vertAlign w:val="superscript"/>
          <w:lang w:eastAsia="zh-CN"/>
        </w:rPr>
        <w:t>1</w:t>
      </w:r>
      <w:r w:rsidRPr="00A47719">
        <w:rPr>
          <w:rFonts w:eastAsiaTheme="minorEastAsia" w:cs="Arial"/>
          <w:bCs/>
          <w:sz w:val="20"/>
          <w:szCs w:val="20"/>
          <w:vertAlign w:val="superscript"/>
          <w:lang w:eastAsia="zh-CN"/>
        </w:rPr>
        <w:t>]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Supporting this, PL quenching studies on perovskite/HTM stacks show the most pronounced PL intensity reduction for 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t>PyTPA-10C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>, further confirming its superior hole extraction capability relative to the other derivatives.</w:t>
      </w:r>
    </w:p>
    <w:p w14:paraId="0D5E8433" w14:textId="231D7539" w:rsidR="00D240DA" w:rsidRPr="00A47719" w:rsidRDefault="00D361DA">
      <w:pPr>
        <w:pStyle w:val="P1"/>
        <w:spacing w:line="240" w:lineRule="atLeast"/>
        <w:ind w:firstLineChars="200" w:firstLine="400"/>
        <w:rPr>
          <w:rFonts w:eastAsiaTheme="minorEastAsia" w:cs="Arial"/>
          <w:sz w:val="20"/>
          <w:szCs w:val="20"/>
          <w:lang w:eastAsia="zh-CN"/>
        </w:rPr>
      </w:pPr>
      <w:r w:rsidRPr="00A47719">
        <w:rPr>
          <w:rFonts w:eastAsiaTheme="minorEastAsia" w:cs="Arial"/>
          <w:bCs/>
          <w:sz w:val="20"/>
          <w:szCs w:val="20"/>
          <w:lang w:eastAsia="zh-CN"/>
        </w:rPr>
        <w:t>To further investigate the influence of the molecular conformation on the interface defect of the PSK film, the built-in potential (</w:t>
      </w:r>
      <w:proofErr w:type="spellStart"/>
      <w:r w:rsidRPr="00A47719">
        <w:rPr>
          <w:rFonts w:eastAsiaTheme="minorEastAsia" w:cs="Arial"/>
          <w:bCs/>
          <w:i/>
          <w:iCs/>
          <w:sz w:val="20"/>
          <w:szCs w:val="20"/>
          <w:lang w:eastAsia="zh-CN"/>
        </w:rPr>
        <w:t>V</w:t>
      </w:r>
      <w:r w:rsidRPr="00A47719">
        <w:rPr>
          <w:rFonts w:eastAsiaTheme="minorEastAsia" w:cs="Arial"/>
          <w:bCs/>
          <w:sz w:val="20"/>
          <w:szCs w:val="20"/>
          <w:vertAlign w:val="subscript"/>
          <w:lang w:eastAsia="zh-CN"/>
        </w:rPr>
        <w:t>bi</w:t>
      </w:r>
      <w:proofErr w:type="spellEnd"/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) of these pyrene-based HTM devices was characterized. As shown in Figure 5E, the </w:t>
      </w:r>
      <w:proofErr w:type="spellStart"/>
      <w:r w:rsidRPr="00A47719">
        <w:rPr>
          <w:rFonts w:eastAsiaTheme="minorEastAsia" w:cs="Arial"/>
          <w:bCs/>
          <w:i/>
          <w:iCs/>
          <w:sz w:val="20"/>
          <w:szCs w:val="20"/>
          <w:lang w:eastAsia="zh-CN"/>
        </w:rPr>
        <w:t>V</w:t>
      </w:r>
      <w:r w:rsidRPr="00A47719">
        <w:rPr>
          <w:rFonts w:eastAsiaTheme="minorEastAsia" w:cs="Arial"/>
          <w:bCs/>
          <w:sz w:val="20"/>
          <w:szCs w:val="20"/>
          <w:vertAlign w:val="subscript"/>
          <w:lang w:eastAsia="zh-CN"/>
        </w:rPr>
        <w:t>bi</w:t>
      </w:r>
      <w:proofErr w:type="spellEnd"/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values follow the order of 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t>PyTPA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noBreakHyphen/>
        <w:t>10C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(1.10 V) &gt; 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t>PyTPA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noBreakHyphen/>
        <w:t>13C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(1.06 V) &gt; 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t>PyTPA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noBreakHyphen/>
        <w:t>9C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(0.99 V). </w:t>
      </w:r>
      <w:r w:rsidRPr="00A47719">
        <w:rPr>
          <w:rFonts w:eastAsiaTheme="minorEastAsia" w:cs="Arial"/>
          <w:sz w:val="20"/>
          <w:szCs w:val="20"/>
          <w:lang w:eastAsia="zh-CN"/>
        </w:rPr>
        <w:t>In hole</w:t>
      </w:r>
      <w:r w:rsidRPr="00A47719">
        <w:rPr>
          <w:rFonts w:eastAsiaTheme="minorEastAsia" w:cs="Arial"/>
          <w:sz w:val="20"/>
          <w:szCs w:val="20"/>
          <w:lang w:eastAsia="zh-CN"/>
        </w:rPr>
        <w:noBreakHyphen/>
        <w:t>only devices analyzed by space</w:t>
      </w:r>
      <w:r w:rsidRPr="00A47719">
        <w:rPr>
          <w:rFonts w:eastAsiaTheme="minorEastAsia" w:cs="Arial"/>
          <w:sz w:val="20"/>
          <w:szCs w:val="20"/>
          <w:lang w:eastAsia="zh-CN"/>
        </w:rPr>
        <w:noBreakHyphen/>
        <w:t>charge</w:t>
      </w:r>
      <w:r w:rsidRPr="00A47719">
        <w:rPr>
          <w:rFonts w:eastAsiaTheme="minorEastAsia" w:cs="Arial"/>
          <w:sz w:val="20"/>
          <w:szCs w:val="20"/>
          <w:lang w:eastAsia="zh-CN"/>
        </w:rPr>
        <w:noBreakHyphen/>
        <w:t>limited current (SCLC) measurements, the trap</w:t>
      </w:r>
      <w:r w:rsidRPr="00A47719">
        <w:rPr>
          <w:rFonts w:eastAsiaTheme="minorEastAsia" w:cs="Arial"/>
          <w:sz w:val="20"/>
          <w:szCs w:val="20"/>
          <w:lang w:eastAsia="zh-CN"/>
        </w:rPr>
        <w:noBreakHyphen/>
        <w:t>filled limit voltage (</w:t>
      </w:r>
      <w:r w:rsidRPr="00A47719">
        <w:rPr>
          <w:rFonts w:eastAsiaTheme="minorEastAsia" w:cs="Arial"/>
          <w:i/>
          <w:iCs/>
          <w:sz w:val="20"/>
          <w:szCs w:val="20"/>
          <w:lang w:eastAsia="zh-CN"/>
        </w:rPr>
        <w:t>V</w:t>
      </w:r>
      <w:r w:rsidRPr="00A47719">
        <w:rPr>
          <w:rFonts w:eastAsiaTheme="minorEastAsia" w:cs="Arial"/>
          <w:sz w:val="20"/>
          <w:szCs w:val="20"/>
          <w:vertAlign w:val="subscript"/>
          <w:lang w:eastAsia="zh-CN"/>
        </w:rPr>
        <w:t>TFL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) decreases sequentially from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noBreakHyphen/>
        <w:t>9C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(0.521 V) to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noBreakHyphen/>
        <w:t>13C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(0.456 V) and reaches the lowest value for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noBreakHyphen/>
        <w:t xml:space="preserve">10C </w:t>
      </w:r>
      <w:r w:rsidRPr="00A47719">
        <w:rPr>
          <w:rFonts w:eastAsiaTheme="minorEastAsia" w:cs="Arial"/>
          <w:sz w:val="20"/>
          <w:szCs w:val="20"/>
          <w:lang w:eastAsia="zh-CN"/>
        </w:rPr>
        <w:t>(0.242 V). Together, these results confirm that the ladder</w:t>
      </w:r>
      <w:r w:rsidRPr="00A47719">
        <w:rPr>
          <w:rFonts w:eastAsiaTheme="minorEastAsia" w:cs="Arial"/>
          <w:sz w:val="20"/>
          <w:szCs w:val="20"/>
          <w:lang w:eastAsia="zh-CN"/>
        </w:rPr>
        <w:noBreakHyphen/>
        <w:t xml:space="preserve">like conformation of 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noBreakHyphen/>
        <w:t>10C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most effectively enhances built</w:t>
      </w:r>
      <w:r w:rsidRPr="00A47719">
        <w:rPr>
          <w:rFonts w:eastAsiaTheme="minorEastAsia" w:cs="Arial"/>
          <w:sz w:val="20"/>
          <w:szCs w:val="20"/>
          <w:lang w:eastAsia="zh-CN"/>
        </w:rPr>
        <w:noBreakHyphen/>
        <w:t>in field strength, promotes carrier separation/transport, and passivates interfacial defects</w:t>
      </w:r>
      <w:r w:rsidR="001357DC" w:rsidRPr="00A47719">
        <w:rPr>
          <w:rFonts w:eastAsiaTheme="minorEastAsia" w:cs="Arial"/>
          <w:sz w:val="20"/>
          <w:szCs w:val="20"/>
          <w:lang w:eastAsia="zh-CN"/>
        </w:rPr>
        <w:t>;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 this is key factor underlying its superior photovoltaic performance.</w:t>
      </w:r>
    </w:p>
    <w:p w14:paraId="7E0244A8" w14:textId="77777777" w:rsidR="00D240DA" w:rsidRPr="00A47719" w:rsidRDefault="00D361DA">
      <w:pPr>
        <w:pStyle w:val="P1"/>
        <w:spacing w:line="240" w:lineRule="atLeast"/>
        <w:ind w:firstLineChars="200" w:firstLine="400"/>
        <w:rPr>
          <w:rFonts w:eastAsiaTheme="minorEastAsia" w:cs="Arial"/>
          <w:bCs/>
          <w:sz w:val="20"/>
          <w:szCs w:val="20"/>
          <w:lang w:eastAsia="zh-CN"/>
        </w:rPr>
      </w:pP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The long-term operational stability of the dopant-free PSCs based on these pyrene antenna molecules was evaluated under continuous simulated AM 1.5G illumination (100 </w:t>
      </w:r>
      <w:proofErr w:type="spellStart"/>
      <w:r w:rsidRPr="00A47719">
        <w:rPr>
          <w:rFonts w:eastAsiaTheme="minorEastAsia" w:cs="Arial"/>
          <w:bCs/>
          <w:sz w:val="20"/>
          <w:szCs w:val="20"/>
          <w:lang w:eastAsia="zh-CN"/>
        </w:rPr>
        <w:t>mW·cm</w:t>
      </w:r>
      <w:proofErr w:type="spellEnd"/>
      <w:r w:rsidRPr="00A47719">
        <w:rPr>
          <w:rFonts w:ascii="MS Mincho" w:hAnsi="MS Mincho" w:cs="MS Mincho" w:hint="eastAsia"/>
          <w:bCs/>
          <w:sz w:val="20"/>
          <w:szCs w:val="20"/>
          <w:lang w:eastAsia="zh-CN"/>
        </w:rPr>
        <w:t>⁻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>²) at 65 °C and 50-60% relative humidity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 xml:space="preserve"> (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>RH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>)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in air. As shown in Figure 5I, the devices showed varying degrees of performance degradation. The 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t>PyTPA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noBreakHyphen/>
        <w:t>10C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noBreakHyphen/>
        <w:t xml:space="preserve">based device demonstrated exceptional stability, retaining 90.6% of its initial PCE after 1000 h and 87.03% after 1400 h. In contrast, devices with 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t>PyTPA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noBreakHyphen/>
        <w:t>9C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and 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t>PyTPA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noBreakHyphen/>
        <w:t>13C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retained only 84.9% and 86.5% after 1000 h, declining further to 80.49% and 82.59% after 1400 h, respectively. Under MPP tracking at 65 °C, the 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t>PyTPA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noBreakHyphen/>
        <w:t>10C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device maintained 84.02% of its initial efficiency after 500 h, significantly outperforming 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t>PyTPA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noBreakHyphen/>
        <w:t>9C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(69.15%) and 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t>PyTPA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noBreakHyphen/>
        <w:t>13C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(79.05%). The superior stability of the 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t>PyTPA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noBreakHyphen/>
        <w:t>10C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noBreakHyphen/>
        <w:t>based device can be attributed to its favorable molecular conformation, which effectively stabilizes the perovskite lattice and suppresses interfacial ion migration, thereby enabling both high efficiency and robust long-term operation.</w:t>
      </w:r>
    </w:p>
    <w:p w14:paraId="3810E0B6" w14:textId="3219CB83" w:rsidR="00D240DA" w:rsidRPr="00A47719" w:rsidRDefault="00D361DA">
      <w:pPr>
        <w:pStyle w:val="P1"/>
        <w:spacing w:line="240" w:lineRule="atLeast"/>
        <w:ind w:firstLine="400"/>
        <w:rPr>
          <w:rFonts w:eastAsiaTheme="minorEastAsia" w:cs="Arial"/>
          <w:bCs/>
          <w:sz w:val="20"/>
          <w:szCs w:val="20"/>
          <w:lang w:eastAsia="zh-CN"/>
        </w:rPr>
      </w:pP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Compared to the precursor </w:t>
      </w:r>
      <w:proofErr w:type="spellStart"/>
      <w:r w:rsidRPr="00A47719">
        <w:rPr>
          <w:rFonts w:eastAsiaTheme="minorEastAsia" w:cs="Arial"/>
          <w:b/>
          <w:sz w:val="20"/>
          <w:szCs w:val="20"/>
          <w:lang w:eastAsia="zh-CN"/>
        </w:rPr>
        <w:t>PyTPA</w:t>
      </w:r>
      <w:proofErr w:type="spellEnd"/>
      <w:r w:rsidRPr="00A47719">
        <w:rPr>
          <w:rFonts w:eastAsiaTheme="minorEastAsia" w:cs="Arial"/>
          <w:b/>
          <w:sz w:val="20"/>
          <w:szCs w:val="20"/>
          <w:lang w:eastAsia="zh-CN"/>
        </w:rPr>
        <w:noBreakHyphen/>
        <w:t>OH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, these newly designed antenna </w:t>
      </w:r>
      <w:proofErr w:type="gramStart"/>
      <w:r w:rsidRPr="00A47719">
        <w:rPr>
          <w:rFonts w:eastAsiaTheme="minorEastAsia" w:cs="Arial"/>
          <w:bCs/>
          <w:sz w:val="20"/>
          <w:szCs w:val="20"/>
          <w:lang w:eastAsia="zh-CN"/>
        </w:rPr>
        <w:t>molecules</w:t>
      </w:r>
      <w:r w:rsidR="001357DC" w:rsidRPr="00A47719">
        <w:rPr>
          <w:rFonts w:eastAsiaTheme="minorEastAsia" w:cs="Arial"/>
          <w:bCs/>
          <w:sz w:val="20"/>
          <w:szCs w:val="20"/>
          <w:lang w:eastAsia="zh-CN"/>
        </w:rPr>
        <w:t>(</w:t>
      </w:r>
      <w:proofErr w:type="gramEnd"/>
      <w:r w:rsidRPr="00A47719">
        <w:rPr>
          <w:rFonts w:eastAsiaTheme="minorEastAsia" w:cs="Arial"/>
          <w:bCs/>
          <w:sz w:val="20"/>
          <w:szCs w:val="20"/>
          <w:lang w:eastAsia="zh-CN"/>
        </w:rPr>
        <w:t>pyrene cores functionalized with eight TPA units</w:t>
      </w:r>
      <w:r w:rsidR="001357DC" w:rsidRPr="00A47719">
        <w:rPr>
          <w:rFonts w:eastAsiaTheme="minorEastAsia" w:cs="Arial"/>
          <w:bCs/>
          <w:sz w:val="20"/>
          <w:szCs w:val="20"/>
          <w:lang w:eastAsia="zh-CN"/>
        </w:rPr>
        <w:t xml:space="preserve">) 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achieve 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 xml:space="preserve">the highest 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>efficiency in dopant-free PSCs. These results underscore that alkyl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noBreakHyphen/>
        <w:t xml:space="preserve">chain length is a critical design parameter for tuning molecular conformation in pyrene-based HTMs. The optimized 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lastRenderedPageBreak/>
        <w:t xml:space="preserve">conformation concurrently enhances carrier separation/transport, suppresses charge recombination, and passivates interfacial defects, synergistically driving the device performance to a record high. Moreover, the observed odd-even effect of the alkyl spacers significantly influences the overall photovoltaic outcome. Specifically, the ladder-type conformation of 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t>PyTPA-10C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(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featuring 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>an even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noBreakHyphen/>
        <w:t>carbon decyl chain), confers multiple advantages: (</w:t>
      </w:r>
      <w:proofErr w:type="spellStart"/>
      <w:r w:rsidRPr="00A47719">
        <w:rPr>
          <w:rFonts w:eastAsiaTheme="minorEastAsia" w:cs="Arial"/>
          <w:bCs/>
          <w:sz w:val="20"/>
          <w:szCs w:val="20"/>
          <w:lang w:eastAsia="zh-CN"/>
        </w:rPr>
        <w:t>i</w:t>
      </w:r>
      <w:proofErr w:type="spellEnd"/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) its deeper HOMO level improves energy alignment; (ii) the resulting packing facilitates efficient charge transport while suppressing recombination, as evidenced by the highest </w:t>
      </w:r>
      <w:proofErr w:type="spellStart"/>
      <w:r w:rsidRPr="00A47719">
        <w:rPr>
          <w:rFonts w:eastAsiaTheme="minorEastAsia" w:cs="Arial"/>
          <w:bCs/>
          <w:sz w:val="20"/>
          <w:szCs w:val="20"/>
          <w:lang w:eastAsia="zh-CN"/>
        </w:rPr>
        <w:t>R</w:t>
      </w:r>
      <w:r w:rsidRPr="00A47719">
        <w:rPr>
          <w:rFonts w:eastAsiaTheme="minorEastAsia" w:cs="Arial"/>
          <w:bCs/>
          <w:sz w:val="20"/>
          <w:szCs w:val="20"/>
          <w:vertAlign w:val="subscript"/>
          <w:lang w:eastAsia="zh-CN"/>
        </w:rPr>
        <w:t>rec</w:t>
      </w:r>
      <w:proofErr w:type="spellEnd"/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and longest TPV decay time; and (iii) it promotes effective defect passivation, yielding the lowest V</w:t>
      </w:r>
      <w:r w:rsidRPr="00A47719">
        <w:rPr>
          <w:rFonts w:eastAsiaTheme="minorEastAsia" w:cs="Arial"/>
          <w:bCs/>
          <w:sz w:val="20"/>
          <w:szCs w:val="20"/>
          <w:vertAlign w:val="subscript"/>
          <w:lang w:eastAsia="zh-CN"/>
        </w:rPr>
        <w:t>TFL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. This synergistic optimization of interfacial energetics and charge dynamics underpins the superior performance of 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t>PyTPA-10C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>-based devices.</w:t>
      </w:r>
    </w:p>
    <w:p w14:paraId="7A896D5F" w14:textId="77777777" w:rsidR="00D240DA" w:rsidRPr="00A47719" w:rsidRDefault="00D240DA">
      <w:pPr>
        <w:pStyle w:val="P1"/>
        <w:spacing w:line="240" w:lineRule="atLeast"/>
        <w:ind w:firstLine="400"/>
        <w:rPr>
          <w:rFonts w:eastAsiaTheme="minorEastAsia" w:cs="Arial"/>
          <w:bCs/>
          <w:sz w:val="20"/>
          <w:szCs w:val="20"/>
          <w:lang w:eastAsia="zh-CN"/>
        </w:rPr>
      </w:pPr>
    </w:p>
    <w:p w14:paraId="0535CBC1" w14:textId="77777777" w:rsidR="00D240DA" w:rsidRPr="00A47719" w:rsidRDefault="00D361DA">
      <w:pPr>
        <w:pStyle w:val="P1"/>
        <w:spacing w:after="240" w:line="240" w:lineRule="atLeast"/>
        <w:jc w:val="left"/>
        <w:rPr>
          <w:rFonts w:eastAsiaTheme="minorEastAsia" w:cs="Arial"/>
          <w:sz w:val="20"/>
          <w:szCs w:val="20"/>
          <w:lang w:eastAsia="zh-CN"/>
        </w:rPr>
      </w:pPr>
      <w:r w:rsidRPr="00A47719">
        <w:rPr>
          <w:noProof/>
        </w:rPr>
        <w:drawing>
          <wp:inline distT="0" distB="0" distL="0" distR="0" wp14:anchorId="14D84726" wp14:editId="482E2ABC">
            <wp:extent cx="6346190" cy="6155055"/>
            <wp:effectExtent l="0" t="0" r="0" b="0"/>
            <wp:docPr id="15796925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692538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5347" cy="616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65080" w14:textId="22A1394F" w:rsidR="00D240DA" w:rsidRPr="00A47719" w:rsidRDefault="00D361DA">
      <w:pPr>
        <w:pStyle w:val="P1"/>
        <w:spacing w:before="240" w:after="240" w:line="240" w:lineRule="atLeast"/>
        <w:rPr>
          <w:rFonts w:eastAsiaTheme="minorEastAsia" w:cs="Arial"/>
          <w:sz w:val="16"/>
          <w:szCs w:val="16"/>
          <w:lang w:eastAsia="zh-CN"/>
        </w:rPr>
      </w:pPr>
      <w:r w:rsidRPr="00A47719">
        <w:rPr>
          <w:rFonts w:eastAsiaTheme="minorEastAsia" w:cs="Arial"/>
          <w:b/>
          <w:bCs/>
          <w:sz w:val="16"/>
          <w:szCs w:val="16"/>
          <w:lang w:eastAsia="zh-CN"/>
        </w:rPr>
        <w:t>Figure 5.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 (A) Nyquist plots of PSCs with pyrene-based antenna molecules; (B) TPV and (C) </w:t>
      </w:r>
      <w:r w:rsidRPr="00A47719">
        <w:rPr>
          <w:rFonts w:eastAsiaTheme="minorEastAsia" w:cs="Arial"/>
          <w:bCs/>
          <w:sz w:val="16"/>
          <w:szCs w:val="16"/>
          <w:lang w:eastAsia="zh-CN"/>
        </w:rPr>
        <w:t xml:space="preserve">TPC </w:t>
      </w:r>
      <w:r w:rsidRPr="00A47719">
        <w:rPr>
          <w:rFonts w:eastAsiaTheme="minorEastAsia" w:cs="Arial"/>
          <w:sz w:val="16"/>
          <w:szCs w:val="16"/>
          <w:lang w:eastAsia="zh-CN"/>
        </w:rPr>
        <w:t>decay curves</w:t>
      </w:r>
      <w:r w:rsidRPr="00A47719">
        <w:rPr>
          <w:rFonts w:eastAsiaTheme="minorEastAsia" w:cs="Arial" w:hint="eastAsia"/>
          <w:sz w:val="16"/>
          <w:szCs w:val="16"/>
          <w:lang w:eastAsia="zh-CN"/>
        </w:rPr>
        <w:t>;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 (D) PL spectra of pyrene-based antenna molecules on the PSK film; (E) Mott-Schottky curves. The space-charge-limited current </w:t>
      </w:r>
      <w:r w:rsidRPr="00A47719">
        <w:rPr>
          <w:rFonts w:eastAsiaTheme="minorEastAsia" w:cs="Arial"/>
          <w:i/>
          <w:iCs/>
          <w:sz w:val="16"/>
          <w:szCs w:val="16"/>
          <w:lang w:eastAsia="zh-CN"/>
        </w:rPr>
        <w:t>versus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 voltage </w:t>
      </w:r>
      <w:r w:rsidR="001357DC" w:rsidRPr="00A47719">
        <w:rPr>
          <w:rFonts w:eastAsiaTheme="minorEastAsia" w:cs="Arial"/>
          <w:sz w:val="16"/>
          <w:szCs w:val="16"/>
          <w:lang w:eastAsia="zh-CN"/>
        </w:rPr>
        <w:t>for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 (F) </w:t>
      </w:r>
      <w:r w:rsidRPr="00A47719">
        <w:rPr>
          <w:rFonts w:eastAsiaTheme="minorEastAsia" w:cs="Arial"/>
          <w:b/>
          <w:sz w:val="16"/>
          <w:szCs w:val="16"/>
          <w:lang w:eastAsia="zh-CN"/>
        </w:rPr>
        <w:t>PyTPA-9C</w:t>
      </w:r>
      <w:r w:rsidRPr="00A47719">
        <w:rPr>
          <w:rFonts w:eastAsiaTheme="minorEastAsia" w:cs="Arial"/>
          <w:bCs/>
          <w:sz w:val="16"/>
          <w:szCs w:val="16"/>
          <w:lang w:eastAsia="zh-CN"/>
        </w:rPr>
        <w:t xml:space="preserve">; (G) </w:t>
      </w:r>
      <w:r w:rsidRPr="00A47719">
        <w:rPr>
          <w:rFonts w:eastAsiaTheme="minorEastAsia" w:cs="Arial"/>
          <w:b/>
          <w:sz w:val="16"/>
          <w:szCs w:val="16"/>
          <w:lang w:eastAsia="zh-CN"/>
        </w:rPr>
        <w:t>PyTPA-10C</w:t>
      </w:r>
      <w:r w:rsidRPr="00A47719">
        <w:rPr>
          <w:rFonts w:eastAsiaTheme="minorEastAsia" w:cs="Arial"/>
          <w:bCs/>
          <w:sz w:val="16"/>
          <w:szCs w:val="16"/>
          <w:lang w:eastAsia="zh-CN"/>
        </w:rPr>
        <w:t xml:space="preserve"> and (H)</w:t>
      </w:r>
      <w:r w:rsidRPr="00A47719">
        <w:rPr>
          <w:rFonts w:eastAsiaTheme="minorEastAsia" w:cs="Arial"/>
          <w:b/>
          <w:sz w:val="16"/>
          <w:szCs w:val="16"/>
          <w:lang w:eastAsia="zh-CN"/>
        </w:rPr>
        <w:t xml:space="preserve"> PyTPA-13C </w:t>
      </w:r>
      <w:r w:rsidRPr="00A47719">
        <w:rPr>
          <w:rFonts w:eastAsiaTheme="minorEastAsia" w:cs="Arial"/>
          <w:bCs/>
          <w:sz w:val="16"/>
          <w:szCs w:val="16"/>
          <w:lang w:eastAsia="zh-CN"/>
        </w:rPr>
        <w:t>based</w:t>
      </w:r>
      <w:r w:rsidRPr="00A47719">
        <w:rPr>
          <w:rFonts w:eastAsiaTheme="minorEastAsia" w:cs="Arial"/>
          <w:b/>
          <w:sz w:val="16"/>
          <w:szCs w:val="16"/>
          <w:lang w:eastAsia="zh-CN"/>
        </w:rPr>
        <w:t xml:space="preserve"> </w:t>
      </w:r>
      <w:r w:rsidRPr="00A47719">
        <w:rPr>
          <w:rFonts w:eastAsiaTheme="minorEastAsia" w:cs="Arial"/>
          <w:bCs/>
          <w:sz w:val="16"/>
          <w:szCs w:val="16"/>
          <w:lang w:eastAsia="zh-CN"/>
        </w:rPr>
        <w:t>PSC</w:t>
      </w:r>
      <w:r w:rsidRPr="00A47719">
        <w:rPr>
          <w:rFonts w:eastAsiaTheme="minorEastAsia" w:cs="Arial" w:hint="eastAsia"/>
          <w:b/>
          <w:sz w:val="16"/>
          <w:szCs w:val="16"/>
          <w:lang w:eastAsia="zh-CN"/>
        </w:rPr>
        <w:t xml:space="preserve"> </w:t>
      </w:r>
      <w:r w:rsidRPr="00A47719">
        <w:rPr>
          <w:rFonts w:eastAsiaTheme="minorEastAsia" w:cs="Arial"/>
          <w:sz w:val="16"/>
          <w:szCs w:val="16"/>
          <w:lang w:eastAsia="zh-CN"/>
        </w:rPr>
        <w:t xml:space="preserve">devices. Normalized PCE changes of the devices based on pyrene-based antenna molecules </w:t>
      </w:r>
      <w:r w:rsidRPr="00A47719">
        <w:rPr>
          <w:rFonts w:eastAsiaTheme="minorEastAsia" w:cs="Arial"/>
          <w:bCs/>
          <w:sz w:val="16"/>
          <w:szCs w:val="16"/>
          <w:lang w:eastAsia="zh-CN"/>
        </w:rPr>
        <w:t xml:space="preserve">(I) at 65 </w:t>
      </w:r>
      <w:proofErr w:type="spellStart"/>
      <w:r w:rsidRPr="00A47719">
        <w:rPr>
          <w:rFonts w:eastAsiaTheme="minorEastAsia" w:cs="Arial"/>
          <w:bCs/>
          <w:sz w:val="16"/>
          <w:szCs w:val="16"/>
          <w:vertAlign w:val="superscript"/>
          <w:lang w:eastAsia="zh-CN"/>
        </w:rPr>
        <w:t>o</w:t>
      </w:r>
      <w:r w:rsidRPr="00A47719">
        <w:rPr>
          <w:rFonts w:eastAsiaTheme="minorEastAsia" w:cs="Arial"/>
          <w:bCs/>
          <w:sz w:val="16"/>
          <w:szCs w:val="16"/>
          <w:lang w:eastAsia="zh-CN"/>
        </w:rPr>
        <w:t>C</w:t>
      </w:r>
      <w:proofErr w:type="spellEnd"/>
      <w:r w:rsidRPr="00A47719">
        <w:rPr>
          <w:rFonts w:eastAsiaTheme="minorEastAsia" w:cs="Arial"/>
          <w:bCs/>
          <w:sz w:val="16"/>
          <w:szCs w:val="16"/>
          <w:lang w:eastAsia="zh-CN"/>
        </w:rPr>
        <w:t xml:space="preserve"> /50-60% relative humidity in air and (J) </w:t>
      </w:r>
      <w:r w:rsidRPr="00A47719">
        <w:rPr>
          <w:rFonts w:eastAsiaTheme="minorEastAsia" w:cs="Arial"/>
          <w:sz w:val="16"/>
          <w:szCs w:val="16"/>
          <w:lang w:eastAsia="zh-CN"/>
        </w:rPr>
        <w:t>MPP tracking at 65 °C.</w:t>
      </w:r>
    </w:p>
    <w:p w14:paraId="5EED8923" w14:textId="77777777" w:rsidR="00D240DA" w:rsidRPr="00A47719" w:rsidRDefault="00D240DA">
      <w:pPr>
        <w:pStyle w:val="H1"/>
        <w:spacing w:before="240" w:after="240" w:line="240" w:lineRule="atLeast"/>
        <w:rPr>
          <w:rFonts w:cs="Arial"/>
          <w:szCs w:val="22"/>
          <w:lang w:val="en-US"/>
        </w:rPr>
      </w:pPr>
    </w:p>
    <w:p w14:paraId="3F34F363" w14:textId="77777777" w:rsidR="00D240DA" w:rsidRPr="00A47719" w:rsidRDefault="00D361DA">
      <w:pPr>
        <w:pStyle w:val="H1"/>
        <w:spacing w:before="240" w:after="240" w:line="240" w:lineRule="atLeast"/>
        <w:rPr>
          <w:rFonts w:cs="Arial"/>
          <w:szCs w:val="22"/>
          <w:lang w:val="en-US"/>
        </w:rPr>
      </w:pPr>
      <w:r w:rsidRPr="00A47719">
        <w:rPr>
          <w:rFonts w:cs="Arial"/>
          <w:szCs w:val="22"/>
          <w:lang w:val="en-US"/>
        </w:rPr>
        <w:lastRenderedPageBreak/>
        <w:t>Conclusion</w:t>
      </w:r>
    </w:p>
    <w:p w14:paraId="6D69E8CA" w14:textId="182A9CB6" w:rsidR="00D240DA" w:rsidRPr="00A47719" w:rsidRDefault="00D361DA">
      <w:pPr>
        <w:pStyle w:val="P1"/>
        <w:spacing w:before="240" w:after="240" w:line="240" w:lineRule="atLeast"/>
        <w:ind w:firstLine="425"/>
        <w:rPr>
          <w:rFonts w:eastAsiaTheme="minorEastAsia" w:cs="Arial"/>
          <w:bCs/>
          <w:sz w:val="20"/>
          <w:szCs w:val="20"/>
          <w:lang w:eastAsia="zh-CN"/>
        </w:rPr>
      </w:pP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In summary, this work presents a novel series of </w:t>
      </w:r>
      <w:r w:rsidRPr="00A47719">
        <w:rPr>
          <w:rFonts w:eastAsiaTheme="minorEastAsia" w:cs="Arial"/>
          <w:sz w:val="20"/>
          <w:szCs w:val="20"/>
          <w:lang w:eastAsia="zh-CN"/>
        </w:rPr>
        <w:t xml:space="preserve">antenna </w:t>
      </w:r>
      <w:r w:rsidRPr="00A47719">
        <w:rPr>
          <w:rFonts w:eastAsiaTheme="minorEastAsia" w:cs="Arial" w:hint="eastAsia"/>
          <w:sz w:val="20"/>
          <w:szCs w:val="20"/>
          <w:lang w:eastAsia="zh-CN"/>
        </w:rPr>
        <w:t xml:space="preserve">molecules as 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>dopant-free HTMs by strategically integrating a pyrene core with multiple TPA units via a tunable alkyl bridge. We systematically demonstrate that the length and odd–even parity of the alkyl spacer critically regulates molecular conformation, solid-state packing, and photophysical properties, thereby governing device performance. The optimized derivative, </w:t>
      </w:r>
      <w:r w:rsidRPr="00A47719">
        <w:rPr>
          <w:rFonts w:eastAsiaTheme="minorEastAsia" w:cs="Arial"/>
          <w:b/>
          <w:bCs/>
          <w:sz w:val="20"/>
          <w:szCs w:val="20"/>
          <w:lang w:eastAsia="zh-CN"/>
        </w:rPr>
        <w:t>PyTPA-10C</w:t>
      </w:r>
      <w:r w:rsidR="001357DC" w:rsidRPr="00A47719">
        <w:rPr>
          <w:rFonts w:eastAsiaTheme="minorEastAsia" w:cs="Arial"/>
          <w:bCs/>
          <w:sz w:val="20"/>
          <w:szCs w:val="20"/>
          <w:lang w:eastAsia="zh-CN"/>
        </w:rPr>
        <w:t xml:space="preserve"> (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>featuring an even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noBreakHyphen/>
        <w:t>carbon decyl chain</w:t>
      </w:r>
      <w:r w:rsidR="001357DC" w:rsidRPr="00A47719">
        <w:rPr>
          <w:rFonts w:eastAsiaTheme="minorEastAsia" w:cs="Arial"/>
          <w:bCs/>
          <w:sz w:val="20"/>
          <w:szCs w:val="20"/>
          <w:lang w:eastAsia="zh-CN"/>
        </w:rPr>
        <w:t xml:space="preserve">) 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>adopts a favorable ladder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noBreakHyphen/>
        <w:t>type conformation that enhances intermolecular interaction, improves energy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noBreakHyphen/>
        <w:t xml:space="preserve">level alignment with the perovskite, and promotes efficient hole extraction and transport. As a result, 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t>PyTPA</w:t>
      </w:r>
      <w:r w:rsidRPr="00A47719">
        <w:rPr>
          <w:rFonts w:eastAsiaTheme="minorEastAsia" w:cs="Arial"/>
          <w:b/>
          <w:sz w:val="20"/>
          <w:szCs w:val="20"/>
          <w:lang w:eastAsia="zh-CN"/>
        </w:rPr>
        <w:noBreakHyphen/>
        <w:t>10C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enables a 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>high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>PCE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 of </w:t>
      </w:r>
      <w:r w:rsidRPr="00A47719">
        <w:rPr>
          <w:rFonts w:eastAsiaTheme="minorEastAsia" w:cs="Arial"/>
          <w:sz w:val="20"/>
          <w:szCs w:val="20"/>
          <w:lang w:eastAsia="zh-CN"/>
        </w:rPr>
        <w:t>25.47%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> for n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noBreakHyphen/>
      </w:r>
      <w:proofErr w:type="spellStart"/>
      <w:r w:rsidRPr="00A47719">
        <w:rPr>
          <w:rFonts w:eastAsiaTheme="minorEastAsia" w:cs="Arial"/>
          <w:bCs/>
          <w:sz w:val="20"/>
          <w:szCs w:val="20"/>
          <w:lang w:eastAsia="zh-CN"/>
        </w:rPr>
        <w:t>i</w:t>
      </w:r>
      <w:proofErr w:type="spellEnd"/>
      <w:r w:rsidRPr="00A47719">
        <w:rPr>
          <w:rFonts w:eastAsiaTheme="minorEastAsia" w:cs="Arial"/>
          <w:bCs/>
          <w:sz w:val="20"/>
          <w:szCs w:val="20"/>
          <w:lang w:eastAsia="zh-CN"/>
        </w:rPr>
        <w:noBreakHyphen/>
        <w:t xml:space="preserve">p 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 xml:space="preserve">PSCs 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 xml:space="preserve">based on 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 xml:space="preserve">dopant-free, 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>organic small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noBreakHyphen/>
        <w:t>molecule HTMs, along with negligible hysteresis and exceptional operational stability (retaining &gt;90% of initial PCE after 1000 h under damp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noBreakHyphen/>
        <w:t>heat conditions).</w:t>
      </w:r>
      <w:r w:rsidRPr="00A47719">
        <w:rPr>
          <w:rFonts w:eastAsiaTheme="minorEastAsia" w:cs="Arial" w:hint="eastAsia"/>
          <w:bCs/>
          <w:sz w:val="20"/>
          <w:szCs w:val="20"/>
          <w:lang w:eastAsia="zh-CN"/>
        </w:rPr>
        <w:t xml:space="preserve"> 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t>Beyond reporting a high-performance material, this study establishes a general design principle: precise alkyl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noBreakHyphen/>
        <w:t>chain engineering in “antenna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noBreakHyphen/>
        <w:t>type” molecular frameworks represents a powerful and scalable strategy to simultaneously boost efficiency and long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noBreakHyphen/>
        <w:t>term stability in dopant</w:t>
      </w:r>
      <w:r w:rsidRPr="00A47719">
        <w:rPr>
          <w:rFonts w:eastAsiaTheme="minorEastAsia" w:cs="Arial"/>
          <w:bCs/>
          <w:sz w:val="20"/>
          <w:szCs w:val="20"/>
          <w:lang w:eastAsia="zh-CN"/>
        </w:rPr>
        <w:noBreakHyphen/>
        <w:t>free perovskite photovoltaics.</w:t>
      </w:r>
    </w:p>
    <w:p w14:paraId="131486B2" w14:textId="77777777" w:rsidR="00D240DA" w:rsidRPr="00A47719" w:rsidRDefault="00D361DA">
      <w:pPr>
        <w:pStyle w:val="H1"/>
        <w:spacing w:before="240" w:after="240" w:line="240" w:lineRule="atLeast"/>
        <w:rPr>
          <w:rFonts w:cs="Arial"/>
          <w:szCs w:val="22"/>
        </w:rPr>
      </w:pPr>
      <w:r w:rsidRPr="00A47719">
        <w:rPr>
          <w:rFonts w:cs="Arial"/>
          <w:szCs w:val="22"/>
        </w:rPr>
        <w:t>Supporting Information ((optional))</w:t>
      </w:r>
    </w:p>
    <w:p w14:paraId="15801124" w14:textId="3A4DE93F" w:rsidR="00D240DA" w:rsidRPr="00A47719" w:rsidRDefault="00D361DA">
      <w:pPr>
        <w:pStyle w:val="Acknowledgements"/>
        <w:spacing w:before="240" w:line="240" w:lineRule="atLeast"/>
        <w:jc w:val="left"/>
        <w:rPr>
          <w:rFonts w:cs="Arial"/>
          <w:sz w:val="20"/>
          <w:szCs w:val="20"/>
          <w:lang w:val="en-US"/>
        </w:rPr>
      </w:pPr>
      <w:bookmarkStart w:id="25" w:name="_Hlk218524105"/>
      <w:r w:rsidRPr="00A47719">
        <w:rPr>
          <w:rFonts w:cs="Arial"/>
          <w:sz w:val="20"/>
          <w:szCs w:val="20"/>
          <w:lang w:val="en-US"/>
        </w:rPr>
        <w:t xml:space="preserve">The authors have cited additional references within the Supporting </w:t>
      </w:r>
      <w:proofErr w:type="gramStart"/>
      <w:r w:rsidRPr="00A47719">
        <w:rPr>
          <w:rFonts w:cs="Arial"/>
          <w:sz w:val="20"/>
          <w:szCs w:val="20"/>
          <w:lang w:val="en-US"/>
        </w:rPr>
        <w:t>Information.</w:t>
      </w:r>
      <w:r w:rsidRPr="00A47719">
        <w:rPr>
          <w:rFonts w:cs="Arial"/>
          <w:sz w:val="20"/>
          <w:szCs w:val="20"/>
          <w:vertAlign w:val="superscript"/>
          <w:lang w:val="en-US"/>
        </w:rPr>
        <w:t>[</w:t>
      </w:r>
      <w:proofErr w:type="gramEnd"/>
      <w:r w:rsidRPr="00A47719">
        <w:rPr>
          <w:rFonts w:eastAsiaTheme="minorEastAsia" w:cs="Arial" w:hint="eastAsia"/>
          <w:sz w:val="20"/>
          <w:szCs w:val="20"/>
          <w:vertAlign w:val="superscript"/>
          <w:lang w:val="en-US" w:eastAsia="zh-CN"/>
        </w:rPr>
        <w:t>42-57</w:t>
      </w:r>
      <w:r w:rsidRPr="00A47719">
        <w:rPr>
          <w:rFonts w:cs="Arial"/>
          <w:sz w:val="20"/>
          <w:szCs w:val="20"/>
          <w:vertAlign w:val="superscript"/>
          <w:lang w:val="en-US"/>
        </w:rPr>
        <w:t>]</w:t>
      </w:r>
      <w:bookmarkEnd w:id="25"/>
    </w:p>
    <w:p w14:paraId="28522A7E" w14:textId="77777777" w:rsidR="00D240DA" w:rsidRPr="00A47719" w:rsidRDefault="00D361DA">
      <w:pPr>
        <w:pStyle w:val="HAcknowledgements"/>
        <w:spacing w:before="240" w:after="240" w:line="240" w:lineRule="atLeast"/>
        <w:rPr>
          <w:rFonts w:cs="Arial"/>
          <w:szCs w:val="22"/>
          <w:lang w:val="en-US"/>
        </w:rPr>
      </w:pPr>
      <w:r w:rsidRPr="00A47719">
        <w:rPr>
          <w:rFonts w:cs="Arial"/>
          <w:szCs w:val="22"/>
          <w:lang w:val="en-US"/>
        </w:rPr>
        <w:t>Acknowledgements ((optional))</w:t>
      </w:r>
    </w:p>
    <w:p w14:paraId="7334DCB7" w14:textId="089DB16D" w:rsidR="00D240DA" w:rsidRPr="00A47719" w:rsidRDefault="00D361DA" w:rsidP="00191EE6">
      <w:pPr>
        <w:pStyle w:val="Acknowledgements"/>
        <w:spacing w:before="240" w:line="240" w:lineRule="atLeast"/>
        <w:rPr>
          <w:rFonts w:cs="Arial"/>
          <w:sz w:val="20"/>
          <w:szCs w:val="20"/>
          <w:lang w:val="en-US"/>
        </w:rPr>
      </w:pPr>
      <w:r w:rsidRPr="00A47719">
        <w:rPr>
          <w:rFonts w:cs="Arial"/>
          <w:sz w:val="20"/>
          <w:szCs w:val="20"/>
          <w:lang w:val="en-US"/>
        </w:rPr>
        <w:t>This work was supported by the National Natural Science Foundation of China (</w:t>
      </w:r>
      <w:r w:rsidRPr="00A47719">
        <w:rPr>
          <w:rFonts w:cs="Arial" w:hint="eastAsia"/>
          <w:sz w:val="20"/>
          <w:szCs w:val="20"/>
          <w:lang w:val="en-US"/>
        </w:rPr>
        <w:t xml:space="preserve">22375043, </w:t>
      </w:r>
      <w:r w:rsidRPr="00A47719">
        <w:rPr>
          <w:rFonts w:cs="Arial"/>
          <w:sz w:val="20"/>
          <w:szCs w:val="20"/>
          <w:lang w:val="en-US"/>
        </w:rPr>
        <w:t>21975054)</w:t>
      </w:r>
      <w:r w:rsidRPr="00A47719">
        <w:rPr>
          <w:rFonts w:cs="Arial" w:hint="eastAsia"/>
          <w:sz w:val="20"/>
          <w:szCs w:val="20"/>
          <w:lang w:val="en-US"/>
        </w:rPr>
        <w:t xml:space="preserve">, </w:t>
      </w:r>
      <w:r w:rsidR="00191EE6" w:rsidRPr="00191EE6">
        <w:rPr>
          <w:rFonts w:cs="Arial"/>
          <w:color w:val="0000FF"/>
          <w:sz w:val="20"/>
          <w:szCs w:val="20"/>
          <w:lang w:val="en-US"/>
        </w:rPr>
        <w:t>Natural Science Foundation</w:t>
      </w:r>
      <w:r w:rsidR="00191EE6" w:rsidRPr="00191EE6">
        <w:rPr>
          <w:rFonts w:eastAsiaTheme="minorEastAsia" w:cs="Arial" w:hint="eastAsia"/>
          <w:color w:val="0000FF"/>
          <w:sz w:val="20"/>
          <w:szCs w:val="20"/>
          <w:lang w:val="en-US" w:eastAsia="zh-CN"/>
        </w:rPr>
        <w:t xml:space="preserve"> </w:t>
      </w:r>
      <w:r w:rsidR="00191EE6" w:rsidRPr="00191EE6">
        <w:rPr>
          <w:rFonts w:cs="Arial"/>
          <w:color w:val="0000FF"/>
          <w:sz w:val="20"/>
          <w:szCs w:val="20"/>
          <w:lang w:val="en-US"/>
        </w:rPr>
        <w:t>of Guangdong Province of China</w:t>
      </w:r>
      <w:r w:rsidR="00191EE6" w:rsidRPr="00191EE6">
        <w:rPr>
          <w:rFonts w:eastAsiaTheme="minorEastAsia" w:cs="Arial" w:hint="eastAsia"/>
          <w:color w:val="0000FF"/>
          <w:sz w:val="20"/>
          <w:szCs w:val="20"/>
          <w:lang w:val="en-US" w:eastAsia="zh-CN"/>
        </w:rPr>
        <w:t xml:space="preserve"> </w:t>
      </w:r>
      <w:r w:rsidR="00191EE6" w:rsidRPr="00191EE6">
        <w:rPr>
          <w:rFonts w:cs="Arial" w:hint="eastAsia"/>
          <w:color w:val="0000FF"/>
          <w:sz w:val="20"/>
          <w:szCs w:val="20"/>
          <w:lang w:val="en-US"/>
        </w:rPr>
        <w:t>(</w:t>
      </w:r>
      <w:r w:rsidR="00191EE6" w:rsidRPr="00191EE6">
        <w:rPr>
          <w:rFonts w:cs="Arial"/>
          <w:color w:val="0000FF"/>
          <w:sz w:val="20"/>
          <w:szCs w:val="20"/>
          <w:lang w:val="en-US"/>
        </w:rPr>
        <w:t>2026A1515011027</w:t>
      </w:r>
      <w:r w:rsidR="00191EE6" w:rsidRPr="00191EE6">
        <w:rPr>
          <w:rFonts w:cs="Arial" w:hint="eastAsia"/>
          <w:color w:val="0000FF"/>
          <w:sz w:val="20"/>
          <w:szCs w:val="20"/>
          <w:lang w:val="en-US"/>
        </w:rPr>
        <w:t>),</w:t>
      </w:r>
      <w:r w:rsidR="00191EE6">
        <w:rPr>
          <w:rFonts w:asciiTheme="minorEastAsia" w:eastAsiaTheme="minorEastAsia" w:hAnsiTheme="minorEastAsia" w:cs="Arial" w:hint="eastAsia"/>
          <w:sz w:val="20"/>
          <w:szCs w:val="20"/>
          <w:lang w:val="en-US" w:eastAsia="zh-CN"/>
        </w:rPr>
        <w:t xml:space="preserve"> </w:t>
      </w:r>
      <w:r w:rsidRPr="00A47719">
        <w:rPr>
          <w:rFonts w:cs="Arial" w:hint="eastAsia"/>
          <w:sz w:val="20"/>
          <w:szCs w:val="20"/>
          <w:lang w:val="en-US"/>
        </w:rPr>
        <w:t>the Key Programs of Fujian Natural Science Foundation</w:t>
      </w:r>
      <w:r w:rsidRPr="00A47719">
        <w:rPr>
          <w:rFonts w:cs="Arial" w:hint="eastAsia"/>
          <w:b/>
          <w:bCs/>
          <w:sz w:val="20"/>
          <w:szCs w:val="20"/>
          <w:lang w:val="en-US"/>
        </w:rPr>
        <w:t xml:space="preserve"> </w:t>
      </w:r>
      <w:r w:rsidRPr="00A47719">
        <w:rPr>
          <w:rFonts w:cs="Arial" w:hint="eastAsia"/>
          <w:sz w:val="20"/>
          <w:szCs w:val="20"/>
          <w:lang w:val="en-US"/>
        </w:rPr>
        <w:t>(2025J02013),</w:t>
      </w:r>
      <w:r w:rsidRPr="00A47719">
        <w:rPr>
          <w:rFonts w:cs="Arial"/>
          <w:sz w:val="20"/>
          <w:szCs w:val="20"/>
          <w:lang w:val="en-US"/>
        </w:rPr>
        <w:t xml:space="preserve"> </w:t>
      </w:r>
      <w:r w:rsidRPr="00A47719">
        <w:rPr>
          <w:rFonts w:cs="Arial" w:hint="eastAsia"/>
          <w:sz w:val="20"/>
          <w:szCs w:val="20"/>
          <w:lang w:val="en-US"/>
        </w:rPr>
        <w:t>and t</w:t>
      </w:r>
      <w:r w:rsidRPr="00A47719">
        <w:rPr>
          <w:rFonts w:cs="Arial"/>
          <w:sz w:val="20"/>
          <w:szCs w:val="20"/>
          <w:lang w:val="en-US"/>
        </w:rPr>
        <w:t>he Industry and Science Project of Fujian Science and Technology Department (2023H6037).</w:t>
      </w:r>
      <w:r w:rsidRPr="00A47719">
        <w:rPr>
          <w:rFonts w:cs="Arial" w:hint="eastAsia"/>
          <w:sz w:val="20"/>
          <w:szCs w:val="20"/>
          <w:lang w:val="en-US"/>
        </w:rPr>
        <w:t xml:space="preserve"> </w:t>
      </w:r>
      <w:r w:rsidRPr="00A47719">
        <w:rPr>
          <w:rFonts w:cs="Arial"/>
          <w:sz w:val="20"/>
          <w:szCs w:val="20"/>
          <w:lang w:val="en-US"/>
        </w:rPr>
        <w:t>XF thanks Dr. Kai Yan</w:t>
      </w:r>
      <w:r w:rsidRPr="00A47719">
        <w:rPr>
          <w:rFonts w:eastAsiaTheme="minorEastAsia" w:cs="Arial" w:hint="eastAsia"/>
          <w:sz w:val="20"/>
          <w:szCs w:val="20"/>
          <w:lang w:val="en-US" w:eastAsia="zh-CN"/>
        </w:rPr>
        <w:t xml:space="preserve"> and </w:t>
      </w:r>
      <w:proofErr w:type="spellStart"/>
      <w:proofErr w:type="gramStart"/>
      <w:r w:rsidRPr="00A47719">
        <w:rPr>
          <w:rFonts w:eastAsiaTheme="minorEastAsia" w:cs="Arial" w:hint="eastAsia"/>
          <w:sz w:val="20"/>
          <w:szCs w:val="20"/>
          <w:lang w:val="en-US" w:eastAsia="zh-CN"/>
        </w:rPr>
        <w:t>Dr.Jie</w:t>
      </w:r>
      <w:proofErr w:type="spellEnd"/>
      <w:proofErr w:type="gramEnd"/>
      <w:r w:rsidRPr="00A47719">
        <w:rPr>
          <w:rFonts w:eastAsiaTheme="minorEastAsia" w:cs="Arial" w:hint="eastAsia"/>
          <w:sz w:val="20"/>
          <w:szCs w:val="20"/>
          <w:lang w:val="en-US" w:eastAsia="zh-CN"/>
        </w:rPr>
        <w:t xml:space="preserve"> Bai</w:t>
      </w:r>
      <w:r w:rsidRPr="00A47719">
        <w:rPr>
          <w:rFonts w:cs="Arial"/>
          <w:sz w:val="20"/>
          <w:szCs w:val="20"/>
          <w:lang w:val="en-US"/>
        </w:rPr>
        <w:t xml:space="preserve"> (Analysis and Test Center, Guangdong University of Technology) for structure characterization.</w:t>
      </w:r>
      <w:r w:rsidR="000874A6" w:rsidRPr="00A47719">
        <w:rPr>
          <w:rFonts w:cs="Arial"/>
          <w:sz w:val="20"/>
          <w:szCs w:val="20"/>
          <w:lang w:val="en-US"/>
        </w:rPr>
        <w:t xml:space="preserve"> CT thanks TMU and UEA for support.</w:t>
      </w:r>
    </w:p>
    <w:p w14:paraId="4E045A7B" w14:textId="77777777" w:rsidR="00D240DA" w:rsidRPr="00A47719" w:rsidRDefault="00D361DA">
      <w:pPr>
        <w:pStyle w:val="Keywords"/>
        <w:spacing w:line="240" w:lineRule="atLeast"/>
        <w:ind w:left="100" w:hangingChars="50" w:hanging="100"/>
        <w:jc w:val="both"/>
        <w:rPr>
          <w:rFonts w:cs="Arial"/>
          <w:sz w:val="20"/>
          <w:lang w:val="en-US"/>
        </w:rPr>
      </w:pPr>
      <w:r w:rsidRPr="00A47719">
        <w:rPr>
          <w:rFonts w:cs="Arial"/>
          <w:b/>
          <w:sz w:val="20"/>
          <w:lang w:val="en-US"/>
        </w:rPr>
        <w:t>Keywords:</w:t>
      </w:r>
      <w:r w:rsidRPr="00A47719">
        <w:rPr>
          <w:rFonts w:cs="Arial"/>
          <w:sz w:val="20"/>
          <w:lang w:val="en-US"/>
        </w:rPr>
        <w:t xml:space="preserve"> </w:t>
      </w:r>
      <w:bookmarkStart w:id="26" w:name="_Hlk108698113"/>
      <w:r w:rsidRPr="00A47719">
        <w:rPr>
          <w:rFonts w:cs="Arial"/>
          <w:sz w:val="20"/>
          <w:lang w:val="en-US"/>
        </w:rPr>
        <w:t xml:space="preserve">Perovskite </w:t>
      </w:r>
      <w:r w:rsidRPr="00A47719">
        <w:rPr>
          <w:rFonts w:cs="Arial" w:hint="eastAsia"/>
          <w:sz w:val="20"/>
          <w:lang w:val="en-US"/>
        </w:rPr>
        <w:t>s</w:t>
      </w:r>
      <w:r w:rsidRPr="00A47719">
        <w:rPr>
          <w:rFonts w:cs="Arial"/>
          <w:sz w:val="20"/>
          <w:lang w:val="en-US"/>
        </w:rPr>
        <w:t xml:space="preserve">olar </w:t>
      </w:r>
      <w:r w:rsidRPr="00A47719">
        <w:rPr>
          <w:rFonts w:cs="Arial" w:hint="eastAsia"/>
          <w:sz w:val="20"/>
          <w:lang w:val="en-US"/>
        </w:rPr>
        <w:t>c</w:t>
      </w:r>
      <w:r w:rsidRPr="00A47719">
        <w:rPr>
          <w:rFonts w:cs="Arial"/>
          <w:sz w:val="20"/>
          <w:lang w:val="en-US"/>
        </w:rPr>
        <w:t xml:space="preserve">ells • </w:t>
      </w:r>
      <w:r w:rsidRPr="00A47719">
        <w:rPr>
          <w:rFonts w:cs="Arial" w:hint="eastAsia"/>
          <w:sz w:val="20"/>
          <w:lang w:val="en-US"/>
        </w:rPr>
        <w:t>Pyrene</w:t>
      </w:r>
      <w:r w:rsidRPr="00A47719">
        <w:rPr>
          <w:rFonts w:cs="Arial"/>
          <w:sz w:val="20"/>
          <w:lang w:val="en-US"/>
        </w:rPr>
        <w:t xml:space="preserve"> • </w:t>
      </w:r>
      <w:r w:rsidRPr="00A47719">
        <w:rPr>
          <w:rFonts w:cs="Arial" w:hint="eastAsia"/>
          <w:sz w:val="20"/>
          <w:lang w:val="en-US"/>
        </w:rPr>
        <w:t>H</w:t>
      </w:r>
      <w:r w:rsidRPr="00A47719">
        <w:rPr>
          <w:rFonts w:cs="Arial"/>
          <w:sz w:val="20"/>
          <w:lang w:val="en-US"/>
        </w:rPr>
        <w:t>ole-</w:t>
      </w:r>
      <w:r w:rsidRPr="00A47719">
        <w:rPr>
          <w:rFonts w:cs="Arial" w:hint="eastAsia"/>
          <w:sz w:val="20"/>
          <w:lang w:val="en-US"/>
        </w:rPr>
        <w:t>t</w:t>
      </w:r>
      <w:r w:rsidRPr="00A47719">
        <w:rPr>
          <w:rFonts w:cs="Arial"/>
          <w:sz w:val="20"/>
          <w:lang w:val="en-US"/>
        </w:rPr>
        <w:t xml:space="preserve">ransport </w:t>
      </w:r>
      <w:r w:rsidRPr="00A47719">
        <w:rPr>
          <w:rFonts w:cs="Arial" w:hint="eastAsia"/>
          <w:sz w:val="20"/>
          <w:lang w:val="en-US"/>
        </w:rPr>
        <w:t>m</w:t>
      </w:r>
      <w:r w:rsidRPr="00A47719">
        <w:rPr>
          <w:rFonts w:cs="Arial"/>
          <w:sz w:val="20"/>
          <w:lang w:val="en-US"/>
        </w:rPr>
        <w:t xml:space="preserve">aterial • </w:t>
      </w:r>
      <w:r w:rsidRPr="00A47719">
        <w:rPr>
          <w:rFonts w:cs="Arial" w:hint="eastAsia"/>
          <w:sz w:val="20"/>
          <w:lang w:val="en-US"/>
        </w:rPr>
        <w:t>A</w:t>
      </w:r>
      <w:r w:rsidRPr="00A47719">
        <w:rPr>
          <w:rFonts w:cs="Arial"/>
          <w:sz w:val="20"/>
          <w:lang w:val="en-US"/>
        </w:rPr>
        <w:t>ntenna</w:t>
      </w:r>
      <w:r w:rsidRPr="00A47719">
        <w:rPr>
          <w:rFonts w:cs="Arial" w:hint="eastAsia"/>
          <w:sz w:val="20"/>
          <w:lang w:val="en-US"/>
        </w:rPr>
        <w:t xml:space="preserve"> molecules</w:t>
      </w:r>
      <w:r w:rsidRPr="00A47719">
        <w:rPr>
          <w:rFonts w:cs="Arial"/>
          <w:sz w:val="20"/>
          <w:lang w:val="en-US"/>
        </w:rPr>
        <w:t xml:space="preserve"> • </w:t>
      </w:r>
      <w:r w:rsidRPr="00A47719">
        <w:rPr>
          <w:rFonts w:cs="Arial" w:hint="eastAsia"/>
          <w:sz w:val="20"/>
          <w:lang w:val="en-US"/>
        </w:rPr>
        <w:t>A</w:t>
      </w:r>
      <w:r w:rsidRPr="00A47719">
        <w:rPr>
          <w:rFonts w:cs="Arial"/>
          <w:sz w:val="20"/>
          <w:lang w:val="en-US"/>
        </w:rPr>
        <w:t>lkyl-</w:t>
      </w:r>
      <w:r w:rsidRPr="00A47719">
        <w:rPr>
          <w:rFonts w:cs="Arial" w:hint="eastAsia"/>
          <w:sz w:val="20"/>
          <w:lang w:val="en-US"/>
        </w:rPr>
        <w:t>c</w:t>
      </w:r>
      <w:r w:rsidRPr="00A47719">
        <w:rPr>
          <w:rFonts w:cs="Arial"/>
          <w:sz w:val="20"/>
          <w:lang w:val="en-US"/>
        </w:rPr>
        <w:t xml:space="preserve">hain </w:t>
      </w:r>
      <w:r w:rsidRPr="00A47719">
        <w:rPr>
          <w:rFonts w:cs="Arial" w:hint="eastAsia"/>
          <w:sz w:val="20"/>
          <w:lang w:val="en-US"/>
        </w:rPr>
        <w:t>e</w:t>
      </w:r>
      <w:r w:rsidRPr="00A47719">
        <w:rPr>
          <w:rFonts w:cs="Arial"/>
          <w:sz w:val="20"/>
          <w:lang w:val="en-US"/>
        </w:rPr>
        <w:t>ngineering</w:t>
      </w:r>
      <w:bookmarkEnd w:id="26"/>
    </w:p>
    <w:p w14:paraId="18100038" w14:textId="77777777" w:rsidR="00D240DA" w:rsidRPr="00A47719" w:rsidRDefault="00D361DA" w:rsidP="006727AE">
      <w:pPr>
        <w:pStyle w:val="EndNoteBibliographyTitle"/>
        <w:spacing w:line="240" w:lineRule="exact"/>
        <w:ind w:left="320" w:hangingChars="200" w:hanging="320"/>
        <w:jc w:val="both"/>
        <w:rPr>
          <w:rFonts w:ascii="Arial" w:hAnsi="Arial" w:cs="Arial"/>
          <w:b/>
          <w:bCs/>
          <w:sz w:val="16"/>
          <w:szCs w:val="16"/>
        </w:rPr>
      </w:pPr>
      <w:r w:rsidRPr="00A47719">
        <w:rPr>
          <w:rFonts w:ascii="Arial" w:hAnsi="Arial" w:cs="Arial"/>
          <w:sz w:val="16"/>
          <w:szCs w:val="16"/>
          <w:lang w:eastAsia="zh-CN"/>
        </w:rPr>
        <w:fldChar w:fldCharType="begin"/>
      </w:r>
      <w:r w:rsidRPr="00A47719">
        <w:rPr>
          <w:rFonts w:ascii="Arial" w:hAnsi="Arial" w:cs="Arial"/>
          <w:sz w:val="16"/>
          <w:szCs w:val="16"/>
          <w:lang w:eastAsia="zh-CN"/>
        </w:rPr>
        <w:instrText xml:space="preserve"> ADDIN EN.REFLIST </w:instrText>
      </w:r>
      <w:r w:rsidRPr="00A47719">
        <w:rPr>
          <w:rFonts w:ascii="Arial" w:hAnsi="Arial" w:cs="Arial"/>
          <w:sz w:val="16"/>
          <w:szCs w:val="16"/>
          <w:lang w:eastAsia="zh-CN"/>
        </w:rPr>
        <w:fldChar w:fldCharType="separate"/>
      </w:r>
      <w:r w:rsidRPr="00A47719">
        <w:rPr>
          <w:rFonts w:ascii="Arial" w:hAnsi="Arial" w:cs="Arial"/>
          <w:b/>
          <w:bCs/>
          <w:sz w:val="16"/>
          <w:szCs w:val="16"/>
        </w:rPr>
        <w:t>Reference</w:t>
      </w:r>
    </w:p>
    <w:p w14:paraId="4B369DC6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27" w:name="_ENREF_1"/>
      <w:r w:rsidRPr="00A47719">
        <w:rPr>
          <w:rFonts w:ascii="Arial" w:hAnsi="Arial" w:cs="Arial"/>
          <w:sz w:val="16"/>
          <w:szCs w:val="16"/>
        </w:rPr>
        <w:t>[1]</w:t>
      </w:r>
      <w:r w:rsidRPr="00A47719">
        <w:rPr>
          <w:rFonts w:ascii="Arial" w:hAnsi="Arial" w:cs="Arial"/>
          <w:sz w:val="16"/>
          <w:szCs w:val="16"/>
        </w:rPr>
        <w:tab/>
        <w:t xml:space="preserve">A. Kojima, K. Teshima, Y. Shirai, T. Miyasaka, </w:t>
      </w:r>
      <w:r w:rsidRPr="00A47719">
        <w:rPr>
          <w:rFonts w:ascii="Arial" w:hAnsi="Arial" w:cs="Arial"/>
          <w:i/>
          <w:sz w:val="16"/>
          <w:szCs w:val="16"/>
        </w:rPr>
        <w:t>J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Am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Chem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Soc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sz w:val="16"/>
          <w:szCs w:val="16"/>
        </w:rPr>
        <w:t>2009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131</w:t>
      </w:r>
      <w:r w:rsidRPr="00A47719">
        <w:rPr>
          <w:rFonts w:ascii="Arial" w:hAnsi="Arial" w:cs="Arial"/>
          <w:sz w:val="16"/>
          <w:szCs w:val="16"/>
        </w:rPr>
        <w:t>, 6050-6051.</w:t>
      </w:r>
      <w:bookmarkEnd w:id="27"/>
    </w:p>
    <w:p w14:paraId="094F9FA2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  <w:lang w:eastAsia="zh-CN"/>
        </w:rPr>
      </w:pPr>
      <w:bookmarkStart w:id="28" w:name="_ENREF_2"/>
      <w:r w:rsidRPr="00A47719">
        <w:rPr>
          <w:rFonts w:ascii="Arial" w:hAnsi="Arial" w:cs="Arial"/>
          <w:sz w:val="16"/>
          <w:szCs w:val="16"/>
        </w:rPr>
        <w:t>[2]</w:t>
      </w:r>
      <w:r w:rsidRPr="00A47719">
        <w:rPr>
          <w:rFonts w:ascii="Arial" w:hAnsi="Arial" w:cs="Arial"/>
          <w:sz w:val="16"/>
          <w:szCs w:val="16"/>
        </w:rPr>
        <w:tab/>
        <w:t xml:space="preserve">Q. Zhou, G. Huang, J. Wang, T. Miao, R. Chen, X. Lei, E. Xu, S. Liu, H. Zhu, Z. Tan, C. Shi, X. Liu, Q. Wang, J. Li, Y. Chen, Q. Chen, Y. Shen, M. Sui, Y. Lu, Z. Liu, W. Chen, </w:t>
      </w:r>
      <w:r w:rsidRPr="00A47719">
        <w:rPr>
          <w:rFonts w:ascii="Arial" w:hAnsi="Arial" w:cs="Arial"/>
          <w:i/>
          <w:sz w:val="16"/>
          <w:szCs w:val="16"/>
        </w:rPr>
        <w:t>Nat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Energy </w:t>
      </w:r>
      <w:r w:rsidRPr="00A47719">
        <w:rPr>
          <w:rFonts w:ascii="Arial" w:hAnsi="Arial" w:cs="Arial"/>
          <w:b/>
          <w:sz w:val="16"/>
          <w:szCs w:val="16"/>
        </w:rPr>
        <w:t>2025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10</w:t>
      </w:r>
      <w:r w:rsidRPr="00A47719">
        <w:rPr>
          <w:rFonts w:ascii="Arial" w:hAnsi="Arial" w:cs="Arial"/>
          <w:sz w:val="16"/>
          <w:szCs w:val="16"/>
        </w:rPr>
        <w:t>, 1371-1381</w:t>
      </w:r>
      <w:bookmarkEnd w:id="28"/>
      <w:r w:rsidRPr="00A47719">
        <w:rPr>
          <w:rFonts w:ascii="Arial" w:hAnsi="Arial" w:cs="Arial"/>
          <w:sz w:val="16"/>
          <w:szCs w:val="16"/>
          <w:lang w:eastAsia="zh-CN"/>
        </w:rPr>
        <w:t>.</w:t>
      </w:r>
    </w:p>
    <w:p w14:paraId="4EABB024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/>
          <w:sz w:val="16"/>
          <w:szCs w:val="16"/>
          <w:lang w:eastAsia="zh-CN"/>
        </w:rPr>
        <w:t>3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B. Li, D. Gao, C. Zhang, Z. Yu, M. Stolterfoht, Y. H. Lin, M. Lenz, H. J. Snaith, Z. Zhu, </w:t>
      </w:r>
      <w:r w:rsidRPr="00A47719">
        <w:rPr>
          <w:rFonts w:ascii="Arial" w:hAnsi="Arial" w:cs="Arial"/>
          <w:i/>
          <w:sz w:val="16"/>
          <w:szCs w:val="16"/>
        </w:rPr>
        <w:t>Nat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Rev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Mater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sz w:val="16"/>
          <w:szCs w:val="16"/>
        </w:rPr>
        <w:t>2025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49</w:t>
      </w:r>
      <w:r w:rsidRPr="00A47719">
        <w:rPr>
          <w:rFonts w:ascii="Arial" w:hAnsi="Arial" w:cs="Arial"/>
          <w:sz w:val="16"/>
          <w:szCs w:val="16"/>
        </w:rPr>
        <w:t>, 254-266</w:t>
      </w:r>
      <w:r w:rsidRPr="00A47719">
        <w:rPr>
          <w:rFonts w:ascii="Arial" w:hAnsi="Arial" w:cs="Arial"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sz w:val="16"/>
          <w:szCs w:val="16"/>
        </w:rPr>
        <w:t xml:space="preserve"> </w:t>
      </w:r>
      <w:bookmarkStart w:id="29" w:name="_ENREF_4"/>
    </w:p>
    <w:p w14:paraId="2B9127F3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/>
          <w:sz w:val="16"/>
          <w:szCs w:val="16"/>
          <w:lang w:eastAsia="zh-CN"/>
        </w:rPr>
        <w:t>4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</w:r>
      <w:bookmarkEnd w:id="29"/>
      <w:r w:rsidRPr="00A47719">
        <w:rPr>
          <w:rFonts w:ascii="Arial" w:hAnsi="Arial" w:cs="Arial"/>
          <w:sz w:val="16"/>
          <w:szCs w:val="16"/>
        </w:rPr>
        <w:t>Best Research-Cell Efficiency Chart, Photovoltaic Research NREL, https://www.nrel.gov/pv/cell-efficiency.html.</w:t>
      </w:r>
    </w:p>
    <w:p w14:paraId="7AB66B11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30" w:name="_ENREF_5"/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/>
          <w:sz w:val="16"/>
          <w:szCs w:val="16"/>
          <w:lang w:eastAsia="zh-CN"/>
        </w:rPr>
        <w:t>5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S. Li, Y. Jiang, J. Xu, D. Wang, Z. Ding, T. Zhu, B. Chen, Y. Yang, M. Wei, R. Guo, Y. Hou, Y. Chen, C. Sun, K. Wei, S. M. H. Qaid, H. Lu, H. Tan, D. Di, J. Chen, M. Grätzel, E. H. Sargent, M. Yuan, </w:t>
      </w:r>
      <w:r w:rsidRPr="00A47719">
        <w:rPr>
          <w:rFonts w:ascii="Arial" w:hAnsi="Arial" w:cs="Arial"/>
          <w:i/>
          <w:sz w:val="16"/>
          <w:szCs w:val="16"/>
        </w:rPr>
        <w:t xml:space="preserve">Nature </w:t>
      </w:r>
      <w:r w:rsidRPr="00A47719">
        <w:rPr>
          <w:rFonts w:ascii="Arial" w:hAnsi="Arial" w:cs="Arial"/>
          <w:b/>
          <w:sz w:val="16"/>
          <w:szCs w:val="16"/>
        </w:rPr>
        <w:t>2024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635</w:t>
      </w:r>
      <w:r w:rsidRPr="00A47719">
        <w:rPr>
          <w:rFonts w:ascii="Arial" w:hAnsi="Arial" w:cs="Arial"/>
          <w:sz w:val="16"/>
          <w:szCs w:val="16"/>
        </w:rPr>
        <w:t>, 82-88;</w:t>
      </w:r>
      <w:bookmarkEnd w:id="30"/>
      <w:r w:rsidRPr="00A47719">
        <w:rPr>
          <w:rFonts w:ascii="Arial" w:hAnsi="Arial" w:cs="Arial"/>
          <w:sz w:val="16"/>
          <w:szCs w:val="16"/>
        </w:rPr>
        <w:t xml:space="preserve"> </w:t>
      </w:r>
    </w:p>
    <w:p w14:paraId="43366A8E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/>
          <w:sz w:val="16"/>
          <w:szCs w:val="16"/>
          <w:lang w:eastAsia="zh-CN"/>
        </w:rPr>
        <w:t>6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G. Yang, C. Deng, C. Li, T. Zhu, D. Liu, Y. Bai, Q. Chen, J. Huang, G. Li, </w:t>
      </w:r>
      <w:r w:rsidRPr="00A47719">
        <w:rPr>
          <w:rFonts w:ascii="Arial" w:hAnsi="Arial" w:cs="Arial"/>
          <w:i/>
          <w:sz w:val="16"/>
          <w:szCs w:val="16"/>
        </w:rPr>
        <w:t>Nat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Photonics </w:t>
      </w:r>
      <w:r w:rsidRPr="00A47719">
        <w:rPr>
          <w:rFonts w:ascii="Arial" w:hAnsi="Arial" w:cs="Arial"/>
          <w:b/>
          <w:sz w:val="16"/>
          <w:szCs w:val="16"/>
        </w:rPr>
        <w:t>2025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19</w:t>
      </w:r>
      <w:r w:rsidRPr="00A47719">
        <w:rPr>
          <w:rFonts w:ascii="Arial" w:hAnsi="Arial" w:cs="Arial"/>
          <w:sz w:val="16"/>
          <w:szCs w:val="16"/>
        </w:rPr>
        <w:t xml:space="preserve">, 913-924; </w:t>
      </w:r>
      <w:bookmarkStart w:id="31" w:name="_ENREF_7"/>
    </w:p>
    <w:p w14:paraId="19A29B56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/>
          <w:sz w:val="16"/>
          <w:szCs w:val="16"/>
          <w:lang w:eastAsia="zh-CN"/>
        </w:rPr>
        <w:t>7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J. Han, K. Park, S. Tan, Y. Vaynzof, J. Xue, E. W.-G. Diau, M. G. Bawendi, J.-W. Lee, I. Jeon, </w:t>
      </w:r>
      <w:r w:rsidRPr="00A47719">
        <w:rPr>
          <w:rFonts w:ascii="Arial" w:hAnsi="Arial" w:cs="Arial"/>
          <w:i/>
          <w:sz w:val="16"/>
          <w:szCs w:val="16"/>
        </w:rPr>
        <w:t>Nat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Rev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Method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Prim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sz w:val="16"/>
          <w:szCs w:val="16"/>
        </w:rPr>
        <w:t>2025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5</w:t>
      </w:r>
      <w:r w:rsidRPr="00A47719">
        <w:rPr>
          <w:rFonts w:ascii="Arial" w:hAnsi="Arial" w:cs="Arial"/>
          <w:sz w:val="16"/>
          <w:szCs w:val="16"/>
        </w:rPr>
        <w:t>, 3.</w:t>
      </w:r>
      <w:bookmarkEnd w:id="31"/>
    </w:p>
    <w:p w14:paraId="0E2DEC3D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32" w:name="_ENREF_8"/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/>
          <w:sz w:val="16"/>
          <w:szCs w:val="16"/>
          <w:lang w:eastAsia="zh-CN"/>
        </w:rPr>
        <w:t>8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Y. Dong, J. Zhang, Y. Yang, L. Qiu, D. Xia, K. Lin, J. Wang, X. Fan, R. Fan, </w:t>
      </w:r>
      <w:r w:rsidRPr="00A47719">
        <w:rPr>
          <w:rFonts w:ascii="Arial" w:hAnsi="Arial" w:cs="Arial"/>
          <w:i/>
          <w:sz w:val="16"/>
          <w:szCs w:val="16"/>
        </w:rPr>
        <w:t>Angew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Chem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Int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Ed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sz w:val="16"/>
          <w:szCs w:val="16"/>
        </w:rPr>
        <w:t>2019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58</w:t>
      </w:r>
      <w:r w:rsidRPr="00A47719">
        <w:rPr>
          <w:rFonts w:ascii="Arial" w:hAnsi="Arial" w:cs="Arial"/>
          <w:sz w:val="16"/>
          <w:szCs w:val="16"/>
        </w:rPr>
        <w:t>, 17610-17615;</w:t>
      </w:r>
      <w:bookmarkEnd w:id="32"/>
    </w:p>
    <w:p w14:paraId="12CCAA44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/>
          <w:sz w:val="16"/>
          <w:szCs w:val="16"/>
          <w:lang w:eastAsia="zh-CN"/>
        </w:rPr>
        <w:t>9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S. Zhang, F. Ye, X. Wang, R. Chen, H. Zhang, L. Zhan, X. Jiang, Y. Li, X. Ji, S. Liu, M. Yu, F. Yu, Y. Zhang, R. Wu, Z. Liu, Z. Ning, D. Neher, L. Han, Y. Lin, H. Tian, W. Chen, M. Stolterfoht, L. Zhang, W.-H. Zhu, Y. Wu, </w:t>
      </w:r>
      <w:r w:rsidRPr="00A47719">
        <w:rPr>
          <w:rFonts w:ascii="Arial" w:hAnsi="Arial" w:cs="Arial"/>
          <w:i/>
          <w:sz w:val="16"/>
          <w:szCs w:val="16"/>
        </w:rPr>
        <w:t xml:space="preserve">Science </w:t>
      </w:r>
      <w:r w:rsidRPr="00A47719">
        <w:rPr>
          <w:rFonts w:ascii="Arial" w:hAnsi="Arial" w:cs="Arial"/>
          <w:b/>
          <w:sz w:val="16"/>
          <w:szCs w:val="16"/>
        </w:rPr>
        <w:t>2023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380</w:t>
      </w:r>
      <w:r w:rsidRPr="00A47719">
        <w:rPr>
          <w:rFonts w:ascii="Arial" w:hAnsi="Arial" w:cs="Arial"/>
          <w:sz w:val="16"/>
          <w:szCs w:val="16"/>
        </w:rPr>
        <w:t>, 404-409.</w:t>
      </w:r>
    </w:p>
    <w:p w14:paraId="50ACBED4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33" w:name="_ENREF_10"/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/>
          <w:sz w:val="16"/>
          <w:szCs w:val="16"/>
          <w:lang w:eastAsia="zh-CN"/>
        </w:rPr>
        <w:t>10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Y. Dong, F. M. Rombach, G. Min, H. J. Snaith, C.-T. Lin, S. A. Haque, T. J. Macdonald, </w:t>
      </w:r>
      <w:r w:rsidRPr="00A47719">
        <w:rPr>
          <w:rFonts w:ascii="Arial" w:hAnsi="Arial" w:cs="Arial"/>
          <w:i/>
          <w:iCs/>
          <w:sz w:val="16"/>
          <w:szCs w:val="16"/>
        </w:rPr>
        <w:t>Mater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Sci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Eng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R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Rep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sz w:val="16"/>
          <w:szCs w:val="16"/>
        </w:rPr>
        <w:t>2025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162</w:t>
      </w:r>
      <w:r w:rsidRPr="00A47719">
        <w:rPr>
          <w:rFonts w:ascii="Arial" w:hAnsi="Arial" w:cs="Arial"/>
          <w:sz w:val="16"/>
          <w:szCs w:val="16"/>
        </w:rPr>
        <w:t>, 100875.</w:t>
      </w:r>
      <w:bookmarkEnd w:id="33"/>
    </w:p>
    <w:p w14:paraId="0E21B9D7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34" w:name="_ENREF_11"/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/>
          <w:sz w:val="16"/>
          <w:szCs w:val="16"/>
          <w:lang w:eastAsia="zh-CN"/>
        </w:rPr>
        <w:t>11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F. M. Rombach, S. A. Haque, T. J. Macdonald, </w:t>
      </w:r>
      <w:r w:rsidRPr="00A47719">
        <w:rPr>
          <w:rFonts w:ascii="Arial" w:hAnsi="Arial" w:cs="Arial"/>
          <w:i/>
          <w:iCs/>
          <w:sz w:val="16"/>
          <w:szCs w:val="16"/>
        </w:rPr>
        <w:t>Energy Environ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Sci</w:t>
      </w:r>
      <w:r w:rsidRPr="00A47719">
        <w:rPr>
          <w:rFonts w:ascii="Arial" w:hAnsi="Arial" w:cs="Arial"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sz w:val="16"/>
          <w:szCs w:val="16"/>
        </w:rPr>
        <w:t>2021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14</w:t>
      </w:r>
      <w:r w:rsidRPr="00A47719">
        <w:rPr>
          <w:rFonts w:ascii="Arial" w:hAnsi="Arial" w:cs="Arial"/>
          <w:sz w:val="16"/>
          <w:szCs w:val="16"/>
        </w:rPr>
        <w:t>, 5161-5190.</w:t>
      </w:r>
      <w:bookmarkEnd w:id="34"/>
    </w:p>
    <w:p w14:paraId="3EE31305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35" w:name="_ENREF_12"/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/>
          <w:sz w:val="16"/>
          <w:szCs w:val="16"/>
          <w:lang w:eastAsia="zh-CN"/>
        </w:rPr>
        <w:t>12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M. Hatamvand, P. Vivo, M. Liu, M. Tayyab, D. Dastan, X. Cai, M. Chen, Y. Zhan, Y. Chen, W. Huang, </w:t>
      </w:r>
      <w:r w:rsidRPr="00A47719">
        <w:rPr>
          <w:rFonts w:ascii="Arial" w:hAnsi="Arial" w:cs="Arial"/>
          <w:i/>
          <w:sz w:val="16"/>
          <w:szCs w:val="16"/>
        </w:rPr>
        <w:t xml:space="preserve">Vacuum </w:t>
      </w:r>
      <w:r w:rsidRPr="00A47719">
        <w:rPr>
          <w:rFonts w:ascii="Arial" w:hAnsi="Arial" w:cs="Arial"/>
          <w:b/>
          <w:sz w:val="16"/>
          <w:szCs w:val="16"/>
        </w:rPr>
        <w:t>2023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214</w:t>
      </w:r>
      <w:r w:rsidRPr="00A47719">
        <w:rPr>
          <w:rFonts w:ascii="Arial" w:hAnsi="Arial" w:cs="Arial"/>
          <w:sz w:val="16"/>
          <w:szCs w:val="16"/>
        </w:rPr>
        <w:t>, 112076.</w:t>
      </w:r>
      <w:bookmarkEnd w:id="35"/>
    </w:p>
    <w:p w14:paraId="285D7D36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36" w:name="_ENREF_13"/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/>
          <w:sz w:val="16"/>
          <w:szCs w:val="16"/>
          <w:lang w:eastAsia="zh-CN"/>
        </w:rPr>
        <w:t>13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Y. Hao, J. Ren, M. Sun, Y. Li, Y. Liu, W. Li, Y. Hao, </w:t>
      </w:r>
      <w:r w:rsidRPr="00A47719">
        <w:rPr>
          <w:rFonts w:ascii="Arial" w:hAnsi="Arial" w:cs="Arial"/>
          <w:i/>
          <w:sz w:val="16"/>
          <w:szCs w:val="16"/>
        </w:rPr>
        <w:t>J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Phy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Chem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Lett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sz w:val="16"/>
          <w:szCs w:val="16"/>
        </w:rPr>
        <w:t>2025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16</w:t>
      </w:r>
      <w:r w:rsidRPr="00A47719">
        <w:rPr>
          <w:rFonts w:ascii="Arial" w:hAnsi="Arial" w:cs="Arial"/>
          <w:sz w:val="16"/>
          <w:szCs w:val="16"/>
        </w:rPr>
        <w:t>, 3646-3653.</w:t>
      </w:r>
      <w:bookmarkEnd w:id="36"/>
    </w:p>
    <w:p w14:paraId="259944A7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37" w:name="_ENREF_14"/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/>
          <w:sz w:val="16"/>
          <w:szCs w:val="16"/>
          <w:lang w:eastAsia="zh-CN"/>
        </w:rPr>
        <w:t>14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G. Tumen-Ulzii, T. Matsushima, C. Adachi, </w:t>
      </w:r>
      <w:r w:rsidRPr="00A47719">
        <w:rPr>
          <w:rFonts w:ascii="Arial" w:hAnsi="Arial" w:cs="Arial"/>
          <w:i/>
          <w:sz w:val="16"/>
          <w:szCs w:val="16"/>
        </w:rPr>
        <w:t xml:space="preserve">Energy &amp; Fuels </w:t>
      </w:r>
      <w:r w:rsidRPr="00A47719">
        <w:rPr>
          <w:rFonts w:ascii="Arial" w:hAnsi="Arial" w:cs="Arial"/>
          <w:b/>
          <w:sz w:val="16"/>
          <w:szCs w:val="16"/>
        </w:rPr>
        <w:t>2021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35</w:t>
      </w:r>
      <w:r w:rsidRPr="00A47719">
        <w:rPr>
          <w:rFonts w:ascii="Arial" w:hAnsi="Arial" w:cs="Arial"/>
          <w:sz w:val="16"/>
          <w:szCs w:val="16"/>
        </w:rPr>
        <w:t>, 18915-18927.</w:t>
      </w:r>
      <w:bookmarkEnd w:id="37"/>
    </w:p>
    <w:p w14:paraId="03EB91D0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38" w:name="_ENREF_15"/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/>
          <w:sz w:val="16"/>
          <w:szCs w:val="16"/>
          <w:lang w:eastAsia="zh-CN"/>
        </w:rPr>
        <w:t>15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P. Yan, D. Yang, H. Wang, S. Yang, Z. Ge, </w:t>
      </w:r>
      <w:r w:rsidRPr="00A47719">
        <w:rPr>
          <w:rFonts w:ascii="Arial" w:hAnsi="Arial" w:cs="Arial"/>
          <w:i/>
          <w:iCs/>
          <w:sz w:val="16"/>
          <w:szCs w:val="16"/>
        </w:rPr>
        <w:t>Energy Environ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Sci</w:t>
      </w:r>
      <w:r w:rsidRPr="00A47719">
        <w:rPr>
          <w:rFonts w:ascii="Arial" w:hAnsi="Arial" w:cs="Arial"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sz w:val="16"/>
          <w:szCs w:val="16"/>
        </w:rPr>
        <w:t>2022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15</w:t>
      </w:r>
      <w:r w:rsidRPr="00A47719">
        <w:rPr>
          <w:rFonts w:ascii="Arial" w:hAnsi="Arial" w:cs="Arial"/>
          <w:sz w:val="16"/>
          <w:szCs w:val="16"/>
        </w:rPr>
        <w:t>, 3630-3669.</w:t>
      </w:r>
      <w:bookmarkEnd w:id="38"/>
    </w:p>
    <w:p w14:paraId="7F45958D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39" w:name="_ENREF_16"/>
      <w:r w:rsidRPr="00A47719">
        <w:rPr>
          <w:rFonts w:ascii="Arial" w:hAnsi="Arial" w:cs="Arial"/>
          <w:sz w:val="16"/>
          <w:szCs w:val="16"/>
        </w:rPr>
        <w:t>[1</w:t>
      </w:r>
      <w:r w:rsidRPr="00A47719">
        <w:rPr>
          <w:rFonts w:ascii="Arial" w:hAnsi="Arial" w:cs="Arial"/>
          <w:sz w:val="16"/>
          <w:szCs w:val="16"/>
          <w:lang w:eastAsia="zh-CN"/>
        </w:rPr>
        <w:t>6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L. Wang, M. Shahiduzzaman, E. Y. Muslih, M. Nakano, M. Karakawa, K. Tomita, O. Lebel, J. M. Nunzi, T. Taima, </w:t>
      </w:r>
      <w:r w:rsidRPr="00A47719">
        <w:rPr>
          <w:rFonts w:ascii="Arial" w:hAnsi="Arial" w:cs="Arial"/>
          <w:i/>
          <w:iCs/>
          <w:sz w:val="16"/>
          <w:szCs w:val="16"/>
        </w:rPr>
        <w:t>ACS Appl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Energ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Mater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sz w:val="16"/>
          <w:szCs w:val="16"/>
        </w:rPr>
        <w:t>2021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4</w:t>
      </w:r>
      <w:r w:rsidRPr="00A47719">
        <w:rPr>
          <w:rFonts w:ascii="Arial" w:hAnsi="Arial" w:cs="Arial"/>
          <w:sz w:val="16"/>
          <w:szCs w:val="16"/>
        </w:rPr>
        <w:t>, 12232-12242.</w:t>
      </w:r>
      <w:bookmarkEnd w:id="39"/>
    </w:p>
    <w:p w14:paraId="2B873CE2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40" w:name="_ENREF_17"/>
      <w:r w:rsidRPr="00A47719">
        <w:rPr>
          <w:rFonts w:ascii="Arial" w:hAnsi="Arial" w:cs="Arial"/>
          <w:sz w:val="16"/>
          <w:szCs w:val="16"/>
        </w:rPr>
        <w:t>[1</w:t>
      </w:r>
      <w:r w:rsidRPr="00A47719">
        <w:rPr>
          <w:rFonts w:ascii="Arial" w:hAnsi="Arial" w:cs="Arial"/>
          <w:sz w:val="16"/>
          <w:szCs w:val="16"/>
          <w:lang w:eastAsia="zh-CN"/>
        </w:rPr>
        <w:t>7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X. Zhang, X. Liu, F. F. Tirani, B. Ding, J. Chen, G. Rahim, M. Han, K. Zhang, Y. Zhou, H. Quan, B. Li, W. Du, K. G. Brooks, S. Dai, Z. Fei, A. M. Asiri, P. J. Dyson, M. K. Nazeeruddin, Y. Ding, </w:t>
      </w:r>
      <w:r w:rsidRPr="00A47719">
        <w:rPr>
          <w:rFonts w:ascii="Arial" w:hAnsi="Arial" w:cs="Arial"/>
          <w:i/>
          <w:sz w:val="16"/>
          <w:szCs w:val="16"/>
        </w:rPr>
        <w:t>Angew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Chem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Int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Ed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sz w:val="16"/>
          <w:szCs w:val="16"/>
        </w:rPr>
        <w:t>2024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63</w:t>
      </w:r>
      <w:r w:rsidRPr="00A47719">
        <w:rPr>
          <w:rFonts w:ascii="Arial" w:hAnsi="Arial" w:cs="Arial"/>
          <w:sz w:val="16"/>
          <w:szCs w:val="16"/>
        </w:rPr>
        <w:t>, e202320152.</w:t>
      </w:r>
      <w:bookmarkEnd w:id="40"/>
    </w:p>
    <w:p w14:paraId="7E376AE9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41" w:name="_ENREF_18"/>
      <w:r w:rsidRPr="00A47719">
        <w:rPr>
          <w:rFonts w:ascii="Arial" w:hAnsi="Arial" w:cs="Arial"/>
          <w:sz w:val="16"/>
          <w:szCs w:val="16"/>
        </w:rPr>
        <w:t>[1</w:t>
      </w:r>
      <w:r w:rsidRPr="00A47719">
        <w:rPr>
          <w:rFonts w:ascii="Arial" w:hAnsi="Arial" w:cs="Arial"/>
          <w:sz w:val="16"/>
          <w:szCs w:val="16"/>
          <w:lang w:eastAsia="zh-CN"/>
        </w:rPr>
        <w:t>8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X. Wang, Z. Xie, R. Wang, Y. Xiao, K. Yan, Y. Zhao, R. Lin, C. Redshaw, Y. Min, X. Ouyang, X. Feng, </w:t>
      </w:r>
      <w:r w:rsidRPr="00A47719">
        <w:rPr>
          <w:rFonts w:ascii="Arial" w:hAnsi="Arial" w:cs="Arial"/>
          <w:i/>
          <w:sz w:val="16"/>
          <w:szCs w:val="16"/>
        </w:rPr>
        <w:t xml:space="preserve">Small </w:t>
      </w:r>
      <w:r w:rsidRPr="00A47719">
        <w:rPr>
          <w:rFonts w:ascii="Arial" w:hAnsi="Arial" w:cs="Arial"/>
          <w:b/>
          <w:sz w:val="16"/>
          <w:szCs w:val="16"/>
        </w:rPr>
        <w:t>2024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20</w:t>
      </w:r>
      <w:r w:rsidRPr="00A47719">
        <w:rPr>
          <w:rFonts w:ascii="Arial" w:hAnsi="Arial" w:cs="Arial"/>
          <w:sz w:val="16"/>
          <w:szCs w:val="16"/>
        </w:rPr>
        <w:t>, 2311914.</w:t>
      </w:r>
      <w:bookmarkEnd w:id="41"/>
    </w:p>
    <w:p w14:paraId="2F0D716B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42" w:name="_ENREF_19"/>
      <w:r w:rsidRPr="00A47719">
        <w:rPr>
          <w:rFonts w:ascii="Arial" w:hAnsi="Arial" w:cs="Arial"/>
          <w:sz w:val="16"/>
          <w:szCs w:val="16"/>
        </w:rPr>
        <w:t>[1</w:t>
      </w:r>
      <w:r w:rsidRPr="00A47719">
        <w:rPr>
          <w:rFonts w:ascii="Arial" w:hAnsi="Arial" w:cs="Arial"/>
          <w:sz w:val="16"/>
          <w:szCs w:val="16"/>
          <w:lang w:eastAsia="zh-CN"/>
        </w:rPr>
        <w:t>9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B. R. Telugu, M. Watanabe, D. Senba, C. A. M. Senevirathne, Y. Fujita, T. Matsushima, </w:t>
      </w:r>
      <w:r w:rsidRPr="00A47719">
        <w:rPr>
          <w:rFonts w:ascii="Arial" w:hAnsi="Arial" w:cs="Arial"/>
          <w:i/>
          <w:sz w:val="16"/>
          <w:szCs w:val="16"/>
        </w:rPr>
        <w:t>J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Mat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Chem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A </w:t>
      </w:r>
      <w:r w:rsidRPr="00A47719">
        <w:rPr>
          <w:rFonts w:ascii="Arial" w:hAnsi="Arial" w:cs="Arial"/>
          <w:b/>
          <w:sz w:val="16"/>
          <w:szCs w:val="16"/>
        </w:rPr>
        <w:t>2025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13</w:t>
      </w:r>
      <w:r w:rsidRPr="00A47719">
        <w:rPr>
          <w:rFonts w:ascii="Arial" w:hAnsi="Arial" w:cs="Arial"/>
          <w:sz w:val="16"/>
          <w:szCs w:val="16"/>
        </w:rPr>
        <w:t>, 38388-38397.</w:t>
      </w:r>
      <w:bookmarkEnd w:id="42"/>
    </w:p>
    <w:p w14:paraId="31C4EA9E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43" w:name="_ENREF_20"/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/>
          <w:sz w:val="16"/>
          <w:szCs w:val="16"/>
          <w:lang w:eastAsia="zh-CN"/>
        </w:rPr>
        <w:t>20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J. Huang, Y. Zhang, J. Wang, J. Wang, J. Su, Y. Yuan, Y. Min, W. Cai, Y. Li, Q. Xue, </w:t>
      </w:r>
      <w:r w:rsidRPr="00A47719">
        <w:rPr>
          <w:rFonts w:ascii="Arial" w:hAnsi="Arial" w:cs="Arial"/>
          <w:i/>
          <w:sz w:val="16"/>
          <w:szCs w:val="16"/>
        </w:rPr>
        <w:t xml:space="preserve">Nano Energy </w:t>
      </w:r>
      <w:r w:rsidRPr="00A47719">
        <w:rPr>
          <w:rFonts w:ascii="Arial" w:hAnsi="Arial" w:cs="Arial"/>
          <w:b/>
          <w:sz w:val="16"/>
          <w:szCs w:val="16"/>
        </w:rPr>
        <w:t>2025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138</w:t>
      </w:r>
      <w:r w:rsidRPr="00A47719">
        <w:rPr>
          <w:rFonts w:ascii="Arial" w:hAnsi="Arial" w:cs="Arial"/>
          <w:sz w:val="16"/>
          <w:szCs w:val="16"/>
        </w:rPr>
        <w:t>, 110859.</w:t>
      </w:r>
      <w:bookmarkEnd w:id="43"/>
    </w:p>
    <w:p w14:paraId="6A697395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44" w:name="_ENREF_21"/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/>
          <w:sz w:val="16"/>
          <w:szCs w:val="16"/>
          <w:lang w:eastAsia="zh-CN"/>
        </w:rPr>
        <w:t>21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M. Zhai, N. Shibayama, T. B. Raju, T. Wu, C. Chen, Z. Guo, T. Matsushima, T. Miyasaka, M. Cheng, </w:t>
      </w:r>
      <w:r w:rsidRPr="00A47719">
        <w:rPr>
          <w:rFonts w:ascii="Arial" w:hAnsi="Arial" w:cs="Arial"/>
          <w:i/>
          <w:sz w:val="16"/>
          <w:szCs w:val="16"/>
        </w:rPr>
        <w:t xml:space="preserve">Small </w:t>
      </w:r>
      <w:r w:rsidRPr="00A47719">
        <w:rPr>
          <w:rFonts w:ascii="Arial" w:hAnsi="Arial" w:cs="Arial"/>
          <w:b/>
          <w:sz w:val="16"/>
          <w:szCs w:val="16"/>
        </w:rPr>
        <w:t>2025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21</w:t>
      </w:r>
      <w:r w:rsidRPr="00A47719">
        <w:rPr>
          <w:rFonts w:ascii="Arial" w:hAnsi="Arial" w:cs="Arial"/>
          <w:sz w:val="16"/>
          <w:szCs w:val="16"/>
        </w:rPr>
        <w:t>, 2505961.</w:t>
      </w:r>
      <w:bookmarkEnd w:id="44"/>
    </w:p>
    <w:p w14:paraId="6A840034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45" w:name="_ENREF_22"/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/>
          <w:sz w:val="16"/>
          <w:szCs w:val="16"/>
          <w:lang w:eastAsia="zh-CN"/>
        </w:rPr>
        <w:t>22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X. Wang, W. Kong, T. Jiang, Z. Xie, J. Zhang, L. Ma, C. Redshaw, Z. Zhao, X. Feng, </w:t>
      </w:r>
      <w:r w:rsidRPr="00A47719">
        <w:rPr>
          <w:rFonts w:ascii="Arial" w:hAnsi="Arial" w:cs="Arial"/>
          <w:i/>
          <w:sz w:val="16"/>
          <w:szCs w:val="16"/>
        </w:rPr>
        <w:t>J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Phy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Chem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Let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t.</w:t>
      </w:r>
      <w:r w:rsidRPr="00A47719">
        <w:rPr>
          <w:rFonts w:ascii="Arial" w:hAnsi="Arial" w:cs="Arial"/>
          <w:i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sz w:val="16"/>
          <w:szCs w:val="16"/>
        </w:rPr>
        <w:t>2025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16</w:t>
      </w:r>
      <w:r w:rsidRPr="00A47719">
        <w:rPr>
          <w:rFonts w:ascii="Arial" w:hAnsi="Arial" w:cs="Arial"/>
          <w:sz w:val="16"/>
          <w:szCs w:val="16"/>
        </w:rPr>
        <w:t>, 2468-2478.</w:t>
      </w:r>
      <w:bookmarkEnd w:id="45"/>
    </w:p>
    <w:p w14:paraId="6508CC5D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46" w:name="_ENREF_23"/>
      <w:r w:rsidRPr="00A47719">
        <w:rPr>
          <w:rFonts w:ascii="Arial" w:hAnsi="Arial" w:cs="Arial"/>
          <w:sz w:val="16"/>
          <w:szCs w:val="16"/>
        </w:rPr>
        <w:lastRenderedPageBreak/>
        <w:t>[</w:t>
      </w:r>
      <w:r w:rsidRPr="00A47719">
        <w:rPr>
          <w:rFonts w:ascii="Arial" w:hAnsi="Arial" w:cs="Arial"/>
          <w:sz w:val="16"/>
          <w:szCs w:val="16"/>
          <w:lang w:eastAsia="zh-CN"/>
        </w:rPr>
        <w:t>23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A. Jegorovė, J. Xia, M. Steponaitis, M. Daskeviciene, V. Jankauskas, A. Gruodis, E. Kamarauskas, T. Malinauskas, K. Rakstys, K. A. Alamry, V. Getautis, M. K. Nazeeruddin, </w:t>
      </w:r>
      <w:r w:rsidRPr="00A47719">
        <w:rPr>
          <w:rFonts w:ascii="Arial" w:hAnsi="Arial" w:cs="Arial"/>
          <w:i/>
          <w:sz w:val="16"/>
          <w:szCs w:val="16"/>
        </w:rPr>
        <w:t>Chem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Mater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sz w:val="16"/>
          <w:szCs w:val="16"/>
        </w:rPr>
        <w:t>2023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35</w:t>
      </w:r>
      <w:r w:rsidRPr="00A47719">
        <w:rPr>
          <w:rFonts w:ascii="Arial" w:hAnsi="Arial" w:cs="Arial"/>
          <w:sz w:val="16"/>
          <w:szCs w:val="16"/>
        </w:rPr>
        <w:t>, 5914-5923.</w:t>
      </w:r>
      <w:bookmarkEnd w:id="46"/>
    </w:p>
    <w:p w14:paraId="1D950732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47" w:name="_ENREF_24"/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/>
          <w:sz w:val="16"/>
          <w:szCs w:val="16"/>
          <w:lang w:eastAsia="zh-CN"/>
        </w:rPr>
        <w:t>24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H. Liu, H. Sun, Q. Chen, F. Wu, X. Liu, </w:t>
      </w:r>
      <w:r w:rsidRPr="00A47719">
        <w:rPr>
          <w:rFonts w:ascii="Arial" w:hAnsi="Arial" w:cs="Arial"/>
          <w:i/>
          <w:sz w:val="16"/>
          <w:szCs w:val="16"/>
        </w:rPr>
        <w:t>Appl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Surf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Sci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sz w:val="16"/>
          <w:szCs w:val="16"/>
        </w:rPr>
        <w:t>2022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604</w:t>
      </w:r>
      <w:r w:rsidRPr="00A47719">
        <w:rPr>
          <w:rFonts w:ascii="Arial" w:hAnsi="Arial" w:cs="Arial"/>
          <w:sz w:val="16"/>
          <w:szCs w:val="16"/>
        </w:rPr>
        <w:t>, 154603.</w:t>
      </w:r>
      <w:bookmarkEnd w:id="47"/>
    </w:p>
    <w:p w14:paraId="7941C2DB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48" w:name="_ENREF_25"/>
      <w:r w:rsidRPr="00A47719">
        <w:rPr>
          <w:rFonts w:ascii="Arial" w:hAnsi="Arial" w:cs="Arial"/>
          <w:sz w:val="16"/>
          <w:szCs w:val="16"/>
        </w:rPr>
        <w:t>[2</w:t>
      </w:r>
      <w:r w:rsidRPr="00A47719">
        <w:rPr>
          <w:rFonts w:ascii="Arial" w:hAnsi="Arial" w:cs="Arial"/>
          <w:sz w:val="16"/>
          <w:szCs w:val="16"/>
          <w:lang w:eastAsia="zh-CN"/>
        </w:rPr>
        <w:t>5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G. Shao, D. Wang, Z.-K. Zhou, H.-J. Yu, T. Kang, W.-H. Zhu, J. Xiao, Z.-L. Yu, L. Peng, J. Chen, Q. Ul Ain, Y. Chen, H. Yang, Z. Qiu, R. Hu, A. A. Khan, K. A Alamry, Y. Zhang, J. Xia, M. K. Nazeeruddin, </w:t>
      </w:r>
      <w:r w:rsidRPr="00A47719">
        <w:rPr>
          <w:rFonts w:ascii="Arial" w:hAnsi="Arial" w:cs="Arial"/>
          <w:i/>
          <w:sz w:val="16"/>
          <w:szCs w:val="16"/>
        </w:rPr>
        <w:t>Angew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Chem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Int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Ed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sz w:val="16"/>
          <w:szCs w:val="16"/>
        </w:rPr>
        <w:t>2024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63</w:t>
      </w:r>
      <w:r w:rsidRPr="00A47719">
        <w:rPr>
          <w:rFonts w:ascii="Arial" w:hAnsi="Arial" w:cs="Arial"/>
          <w:sz w:val="16"/>
          <w:szCs w:val="16"/>
        </w:rPr>
        <w:t>, e202411217.</w:t>
      </w:r>
      <w:bookmarkEnd w:id="48"/>
    </w:p>
    <w:p w14:paraId="6ADD4683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49" w:name="_ENREF_26"/>
      <w:r w:rsidRPr="00A47719">
        <w:rPr>
          <w:rFonts w:ascii="Arial" w:hAnsi="Arial" w:cs="Arial"/>
          <w:sz w:val="16"/>
          <w:szCs w:val="16"/>
        </w:rPr>
        <w:t>[2</w:t>
      </w:r>
      <w:r w:rsidRPr="00A47719">
        <w:rPr>
          <w:rFonts w:ascii="Arial" w:hAnsi="Arial" w:cs="Arial"/>
          <w:sz w:val="16"/>
          <w:szCs w:val="16"/>
          <w:lang w:eastAsia="zh-CN"/>
        </w:rPr>
        <w:t>6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J.-Y. Feng, K.-W. Lai, Y.-S. Shiue, A. Singh, C. H. P. Kumar, C.-T. Li, W.-T. Wu, J. T. Lin, C.-W. Chu, C.-C. Chang, C.-c. Su, </w:t>
      </w:r>
      <w:r w:rsidRPr="00A47719">
        <w:rPr>
          <w:rFonts w:ascii="Arial" w:hAnsi="Arial" w:cs="Arial"/>
          <w:i/>
          <w:sz w:val="16"/>
          <w:szCs w:val="16"/>
        </w:rPr>
        <w:t>J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Mat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Chem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A </w:t>
      </w:r>
      <w:r w:rsidRPr="00A47719">
        <w:rPr>
          <w:rFonts w:ascii="Arial" w:hAnsi="Arial" w:cs="Arial"/>
          <w:b/>
          <w:sz w:val="16"/>
          <w:szCs w:val="16"/>
        </w:rPr>
        <w:t>2019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7</w:t>
      </w:r>
      <w:r w:rsidRPr="00A47719">
        <w:rPr>
          <w:rFonts w:ascii="Arial" w:hAnsi="Arial" w:cs="Arial"/>
          <w:sz w:val="16"/>
          <w:szCs w:val="16"/>
        </w:rPr>
        <w:t>, 14209-14221.</w:t>
      </w:r>
      <w:bookmarkEnd w:id="49"/>
    </w:p>
    <w:p w14:paraId="45E712A4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50" w:name="_ENREF_27"/>
      <w:r w:rsidRPr="00A47719">
        <w:rPr>
          <w:rFonts w:ascii="Arial" w:hAnsi="Arial" w:cs="Arial"/>
          <w:sz w:val="16"/>
          <w:szCs w:val="16"/>
        </w:rPr>
        <w:t>[2</w:t>
      </w:r>
      <w:r w:rsidRPr="00A47719">
        <w:rPr>
          <w:rFonts w:ascii="Arial" w:hAnsi="Arial" w:cs="Arial"/>
          <w:sz w:val="16"/>
          <w:szCs w:val="16"/>
          <w:lang w:eastAsia="zh-CN"/>
        </w:rPr>
        <w:t>7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X.-P. Zhang, L. Wang, W.-X. Zhang, Z.-C. Chen, C. Yang, S.-Y. Xu, P. Du, B.-W. Chen, Q. He, H.-R. Tian, X. Zhu, M. Li, S.-S. Wang, L.-L. Deng, S.-H. Chen, Q. Zhang, S.-Y. Xie, L.-S. Zheng, </w:t>
      </w:r>
      <w:r w:rsidRPr="00A47719">
        <w:rPr>
          <w:rFonts w:ascii="Arial" w:hAnsi="Arial" w:cs="Arial"/>
          <w:i/>
          <w:sz w:val="16"/>
          <w:szCs w:val="16"/>
        </w:rPr>
        <w:t>Angew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Chem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Int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Ed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sz w:val="16"/>
          <w:szCs w:val="16"/>
        </w:rPr>
        <w:t>2025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64</w:t>
      </w:r>
      <w:r w:rsidRPr="00A47719">
        <w:rPr>
          <w:rFonts w:ascii="Arial" w:hAnsi="Arial" w:cs="Arial"/>
          <w:sz w:val="16"/>
          <w:szCs w:val="16"/>
        </w:rPr>
        <w:t>, e202413582.</w:t>
      </w:r>
      <w:bookmarkEnd w:id="50"/>
    </w:p>
    <w:p w14:paraId="4CC2EB94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51" w:name="_ENREF_28"/>
      <w:r w:rsidRPr="00A47719">
        <w:rPr>
          <w:rFonts w:ascii="Arial" w:hAnsi="Arial" w:cs="Arial"/>
          <w:sz w:val="16"/>
          <w:szCs w:val="16"/>
        </w:rPr>
        <w:t>[2</w:t>
      </w:r>
      <w:r w:rsidRPr="00A47719">
        <w:rPr>
          <w:rFonts w:ascii="Arial" w:hAnsi="Arial" w:cs="Arial"/>
          <w:sz w:val="16"/>
          <w:szCs w:val="16"/>
          <w:lang w:eastAsia="zh-CN"/>
        </w:rPr>
        <w:t>8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X. Feng, X. Wang, C. Redshaw, B. Z. Tang, </w:t>
      </w:r>
      <w:r w:rsidRPr="00A47719">
        <w:rPr>
          <w:rFonts w:ascii="Arial" w:hAnsi="Arial" w:cs="Arial"/>
          <w:i/>
          <w:sz w:val="16"/>
          <w:szCs w:val="16"/>
        </w:rPr>
        <w:t>Chem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Soc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Rev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sz w:val="16"/>
          <w:szCs w:val="16"/>
        </w:rPr>
        <w:t>2023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52</w:t>
      </w:r>
      <w:r w:rsidRPr="00A47719">
        <w:rPr>
          <w:rFonts w:ascii="Arial" w:hAnsi="Arial" w:cs="Arial"/>
          <w:sz w:val="16"/>
          <w:szCs w:val="16"/>
        </w:rPr>
        <w:t>, 6715-6753.</w:t>
      </w:r>
      <w:bookmarkEnd w:id="51"/>
    </w:p>
    <w:p w14:paraId="6CD469F9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52" w:name="_ENREF_29"/>
      <w:r w:rsidRPr="00A47719">
        <w:rPr>
          <w:rFonts w:ascii="Arial" w:hAnsi="Arial" w:cs="Arial"/>
          <w:sz w:val="16"/>
          <w:szCs w:val="16"/>
        </w:rPr>
        <w:t>[2</w:t>
      </w:r>
      <w:r w:rsidRPr="00A47719">
        <w:rPr>
          <w:rFonts w:ascii="Arial" w:hAnsi="Arial" w:cs="Arial"/>
          <w:sz w:val="16"/>
          <w:szCs w:val="16"/>
          <w:lang w:eastAsia="zh-CN"/>
        </w:rPr>
        <w:t>9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T. M. Figueira-Duarte, K. Müllen, </w:t>
      </w:r>
      <w:r w:rsidRPr="00A47719">
        <w:rPr>
          <w:rFonts w:ascii="Arial" w:hAnsi="Arial" w:cs="Arial"/>
          <w:i/>
          <w:sz w:val="16"/>
          <w:szCs w:val="16"/>
        </w:rPr>
        <w:t>Chem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Rev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sz w:val="16"/>
          <w:szCs w:val="16"/>
        </w:rPr>
        <w:t>2011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111</w:t>
      </w:r>
      <w:r w:rsidRPr="00A47719">
        <w:rPr>
          <w:rFonts w:ascii="Arial" w:hAnsi="Arial" w:cs="Arial"/>
          <w:sz w:val="16"/>
          <w:szCs w:val="16"/>
        </w:rPr>
        <w:t>, 7260-7314.</w:t>
      </w:r>
      <w:bookmarkEnd w:id="52"/>
    </w:p>
    <w:p w14:paraId="2BF2742A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53" w:name="_ENREF_30"/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/>
          <w:sz w:val="16"/>
          <w:szCs w:val="16"/>
          <w:lang w:eastAsia="zh-CN"/>
        </w:rPr>
        <w:t>30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J.-Y. Shao, Y.-W. Zhong, </w:t>
      </w:r>
      <w:r w:rsidRPr="00A47719">
        <w:rPr>
          <w:rFonts w:ascii="Arial" w:hAnsi="Arial" w:cs="Arial"/>
          <w:i/>
          <w:iCs/>
          <w:sz w:val="16"/>
          <w:szCs w:val="16"/>
        </w:rPr>
        <w:t>Bull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Chem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Soc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 xml:space="preserve">. </w:t>
      </w:r>
      <w:r w:rsidRPr="00A47719">
        <w:rPr>
          <w:rFonts w:ascii="Arial" w:hAnsi="Arial" w:cs="Arial"/>
          <w:i/>
          <w:iCs/>
          <w:sz w:val="16"/>
          <w:szCs w:val="16"/>
        </w:rPr>
        <w:t>Jpn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sz w:val="16"/>
          <w:szCs w:val="16"/>
        </w:rPr>
        <w:t>2020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94</w:t>
      </w:r>
      <w:r w:rsidRPr="00A47719">
        <w:rPr>
          <w:rFonts w:ascii="Arial" w:hAnsi="Arial" w:cs="Arial"/>
          <w:sz w:val="16"/>
          <w:szCs w:val="16"/>
        </w:rPr>
        <w:t>, 632-640.</w:t>
      </w:r>
      <w:bookmarkEnd w:id="53"/>
    </w:p>
    <w:p w14:paraId="0F5F28BB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54" w:name="_ENREF_31"/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/>
          <w:sz w:val="16"/>
          <w:szCs w:val="16"/>
          <w:lang w:eastAsia="zh-CN"/>
        </w:rPr>
        <w:t>31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M. Irfan, A. Saeed, S. Tahir, M. R. Yaqoob, S. A. Zia, M. Usama, J. Mukhtar, U. Farrukh, S. Rehman, </w:t>
      </w:r>
      <w:r w:rsidRPr="00A47719">
        <w:rPr>
          <w:rFonts w:ascii="Arial" w:hAnsi="Arial" w:cs="Arial"/>
          <w:i/>
          <w:sz w:val="16"/>
          <w:szCs w:val="16"/>
        </w:rPr>
        <w:t>Turk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J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Chem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sz w:val="16"/>
          <w:szCs w:val="16"/>
        </w:rPr>
        <w:t>2025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49</w:t>
      </w:r>
      <w:r w:rsidRPr="00A47719">
        <w:rPr>
          <w:rFonts w:ascii="Arial" w:hAnsi="Arial" w:cs="Arial"/>
          <w:sz w:val="16"/>
          <w:szCs w:val="16"/>
        </w:rPr>
        <w:t>, 254-266.</w:t>
      </w:r>
      <w:bookmarkEnd w:id="54"/>
    </w:p>
    <w:p w14:paraId="50AA4D9F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55" w:name="_ENREF_32"/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/>
          <w:sz w:val="16"/>
          <w:szCs w:val="16"/>
          <w:lang w:eastAsia="zh-CN"/>
        </w:rPr>
        <w:t>32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N. J. Jeon, J. Lee, J. H. Noh, M. K. Nazeeruddin, M. Grätzel, S. I. Seok, </w:t>
      </w:r>
      <w:r w:rsidRPr="00A47719">
        <w:rPr>
          <w:rFonts w:ascii="Arial" w:hAnsi="Arial" w:cs="Arial"/>
          <w:i/>
          <w:sz w:val="16"/>
          <w:szCs w:val="16"/>
        </w:rPr>
        <w:t>J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Am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Chem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Soc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sz w:val="16"/>
          <w:szCs w:val="16"/>
        </w:rPr>
        <w:t>2013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135</w:t>
      </w:r>
      <w:r w:rsidRPr="00A47719">
        <w:rPr>
          <w:rFonts w:ascii="Arial" w:hAnsi="Arial" w:cs="Arial"/>
          <w:sz w:val="16"/>
          <w:szCs w:val="16"/>
        </w:rPr>
        <w:t>, 19087-19090.</w:t>
      </w:r>
      <w:bookmarkEnd w:id="55"/>
    </w:p>
    <w:p w14:paraId="3070B5BD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56" w:name="_ENREF_33"/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/>
          <w:sz w:val="16"/>
          <w:szCs w:val="16"/>
          <w:lang w:eastAsia="zh-CN"/>
        </w:rPr>
        <w:t>33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S. Li, J. Lin, X. Chen, W. Liu, Z. Xie, C. Zeng, J. Wang, Y. Min, X. Feng, </w:t>
      </w:r>
      <w:r w:rsidRPr="00A47719">
        <w:rPr>
          <w:rFonts w:ascii="Arial" w:hAnsi="Arial" w:cs="Arial"/>
          <w:i/>
          <w:sz w:val="16"/>
          <w:szCs w:val="16"/>
        </w:rPr>
        <w:t>J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</w:t>
      </w:r>
      <w:r w:rsidRPr="00A47719">
        <w:rPr>
          <w:rFonts w:ascii="Arial" w:hAnsi="Arial" w:cs="Arial"/>
          <w:i/>
          <w:iCs/>
          <w:sz w:val="16"/>
          <w:szCs w:val="16"/>
        </w:rPr>
        <w:t>Org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Chem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sz w:val="16"/>
          <w:szCs w:val="16"/>
        </w:rPr>
        <w:t>2025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90</w:t>
      </w:r>
      <w:r w:rsidRPr="00A47719">
        <w:rPr>
          <w:rFonts w:ascii="Arial" w:hAnsi="Arial" w:cs="Arial"/>
          <w:sz w:val="16"/>
          <w:szCs w:val="16"/>
        </w:rPr>
        <w:t>, 6702-6712.</w:t>
      </w:r>
      <w:bookmarkEnd w:id="56"/>
    </w:p>
    <w:p w14:paraId="6EF8D97E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57" w:name="_ENREF_34"/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/>
          <w:sz w:val="16"/>
          <w:szCs w:val="16"/>
          <w:lang w:eastAsia="zh-CN"/>
        </w:rPr>
        <w:t>34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P. D. Frischmann, K. Mahata, F. Würthner, </w:t>
      </w:r>
      <w:r w:rsidRPr="00A47719">
        <w:rPr>
          <w:rFonts w:ascii="Arial" w:hAnsi="Arial" w:cs="Arial"/>
          <w:i/>
          <w:sz w:val="16"/>
          <w:szCs w:val="16"/>
        </w:rPr>
        <w:t>Chem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Soc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Rev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sz w:val="16"/>
          <w:szCs w:val="16"/>
        </w:rPr>
        <w:t>2013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42</w:t>
      </w:r>
      <w:r w:rsidRPr="00A47719">
        <w:rPr>
          <w:rFonts w:ascii="Arial" w:hAnsi="Arial" w:cs="Arial"/>
          <w:sz w:val="16"/>
          <w:szCs w:val="16"/>
        </w:rPr>
        <w:t>, 1847-1870.</w:t>
      </w:r>
      <w:bookmarkEnd w:id="57"/>
    </w:p>
    <w:p w14:paraId="5BBC9BB3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58" w:name="_ENREF_35"/>
      <w:r w:rsidRPr="00A47719">
        <w:rPr>
          <w:rFonts w:ascii="Arial" w:hAnsi="Arial" w:cs="Arial"/>
          <w:sz w:val="16"/>
          <w:szCs w:val="16"/>
        </w:rPr>
        <w:t>[3</w:t>
      </w:r>
      <w:r w:rsidRPr="00A47719">
        <w:rPr>
          <w:rFonts w:ascii="Arial" w:hAnsi="Arial" w:cs="Arial"/>
          <w:sz w:val="16"/>
          <w:szCs w:val="16"/>
          <w:lang w:eastAsia="zh-CN"/>
        </w:rPr>
        <w:t>5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A. Farokhi, H. Shahroosvand, F. Zisti, M. Pilkington, M. K. Nazeeruddin, </w:t>
      </w:r>
      <w:r w:rsidRPr="00A47719">
        <w:rPr>
          <w:rFonts w:ascii="Arial" w:hAnsi="Arial" w:cs="Arial"/>
          <w:i/>
          <w:sz w:val="16"/>
          <w:szCs w:val="16"/>
        </w:rPr>
        <w:t>J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Mat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Chem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A </w:t>
      </w:r>
      <w:r w:rsidRPr="00A47719">
        <w:rPr>
          <w:rFonts w:ascii="Arial" w:hAnsi="Arial" w:cs="Arial"/>
          <w:b/>
          <w:sz w:val="16"/>
          <w:szCs w:val="16"/>
        </w:rPr>
        <w:t>2023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11</w:t>
      </w:r>
      <w:r w:rsidRPr="00A47719">
        <w:rPr>
          <w:rFonts w:ascii="Arial" w:hAnsi="Arial" w:cs="Arial"/>
          <w:sz w:val="16"/>
          <w:szCs w:val="16"/>
        </w:rPr>
        <w:t>, 25136-25215.</w:t>
      </w:r>
      <w:bookmarkEnd w:id="58"/>
    </w:p>
    <w:p w14:paraId="6DAE15A4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59" w:name="_ENREF_36"/>
      <w:r w:rsidRPr="00A47719">
        <w:rPr>
          <w:rFonts w:ascii="Arial" w:hAnsi="Arial" w:cs="Arial"/>
          <w:sz w:val="16"/>
          <w:szCs w:val="16"/>
        </w:rPr>
        <w:t>[3</w:t>
      </w:r>
      <w:r w:rsidRPr="00A47719">
        <w:rPr>
          <w:rFonts w:ascii="Arial" w:hAnsi="Arial" w:cs="Arial"/>
          <w:sz w:val="16"/>
          <w:szCs w:val="16"/>
          <w:lang w:eastAsia="zh-CN"/>
        </w:rPr>
        <w:t>6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S. Liu, H. Ou, Y. Li, H. Zhang, J. Liu, X. Lu, R. T. K. Kwok, J. W. Y. Lam, D. Ding, B. Z. Tang, </w:t>
      </w:r>
      <w:r w:rsidRPr="00A47719">
        <w:rPr>
          <w:rFonts w:ascii="Arial" w:hAnsi="Arial" w:cs="Arial"/>
          <w:i/>
          <w:sz w:val="16"/>
          <w:szCs w:val="16"/>
        </w:rPr>
        <w:t>J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Am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Chem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Soc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sz w:val="16"/>
          <w:szCs w:val="16"/>
        </w:rPr>
        <w:t>2020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142</w:t>
      </w:r>
      <w:r w:rsidRPr="00A47719">
        <w:rPr>
          <w:rFonts w:ascii="Arial" w:hAnsi="Arial" w:cs="Arial"/>
          <w:sz w:val="16"/>
          <w:szCs w:val="16"/>
        </w:rPr>
        <w:t>, 15146-15156.</w:t>
      </w:r>
      <w:bookmarkEnd w:id="59"/>
    </w:p>
    <w:p w14:paraId="4A8118D5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60" w:name="_ENREF_37"/>
      <w:r w:rsidRPr="00A47719">
        <w:rPr>
          <w:rFonts w:ascii="Arial" w:hAnsi="Arial" w:cs="Arial"/>
          <w:sz w:val="16"/>
          <w:szCs w:val="16"/>
        </w:rPr>
        <w:t>[3</w:t>
      </w:r>
      <w:r w:rsidRPr="00A47719">
        <w:rPr>
          <w:rFonts w:ascii="Arial" w:hAnsi="Arial" w:cs="Arial"/>
          <w:sz w:val="16"/>
          <w:szCs w:val="16"/>
          <w:lang w:eastAsia="zh-CN"/>
        </w:rPr>
        <w:t>7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A. Farokhi, H. Shahroosvand, G. D. Monache, M. Pilkington, M. K. Nazeeruddin, </w:t>
      </w:r>
      <w:r w:rsidRPr="00A47719">
        <w:rPr>
          <w:rFonts w:ascii="Arial" w:hAnsi="Arial" w:cs="Arial"/>
          <w:i/>
          <w:sz w:val="16"/>
          <w:szCs w:val="16"/>
        </w:rPr>
        <w:t>Chem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Soc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Rev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sz w:val="16"/>
          <w:szCs w:val="16"/>
        </w:rPr>
        <w:t>2022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51</w:t>
      </w:r>
      <w:r w:rsidRPr="00A47719">
        <w:rPr>
          <w:rFonts w:ascii="Arial" w:hAnsi="Arial" w:cs="Arial"/>
          <w:sz w:val="16"/>
          <w:szCs w:val="16"/>
        </w:rPr>
        <w:t>, 5974-6064.</w:t>
      </w:r>
      <w:bookmarkEnd w:id="60"/>
    </w:p>
    <w:p w14:paraId="55A27EB7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61" w:name="_ENREF_38"/>
      <w:r w:rsidRPr="00A47719">
        <w:rPr>
          <w:rFonts w:ascii="Arial" w:hAnsi="Arial" w:cs="Arial"/>
          <w:sz w:val="16"/>
          <w:szCs w:val="16"/>
        </w:rPr>
        <w:t>[3</w:t>
      </w:r>
      <w:r w:rsidRPr="00A47719">
        <w:rPr>
          <w:rFonts w:ascii="Arial" w:hAnsi="Arial" w:cs="Arial"/>
          <w:sz w:val="16"/>
          <w:szCs w:val="16"/>
          <w:lang w:eastAsia="zh-CN"/>
        </w:rPr>
        <w:t>8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D. B. Khadka, Y. Shirai, M. Yanagida, J. W. Ryan, K. Miyano, </w:t>
      </w:r>
      <w:r w:rsidRPr="00A47719">
        <w:rPr>
          <w:rFonts w:ascii="Arial" w:hAnsi="Arial" w:cs="Arial"/>
          <w:i/>
          <w:sz w:val="16"/>
          <w:szCs w:val="16"/>
        </w:rPr>
        <w:t>J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Mat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Chem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C </w:t>
      </w:r>
      <w:r w:rsidRPr="00A47719">
        <w:rPr>
          <w:rFonts w:ascii="Arial" w:hAnsi="Arial" w:cs="Arial"/>
          <w:b/>
          <w:sz w:val="16"/>
          <w:szCs w:val="16"/>
        </w:rPr>
        <w:t>2017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5</w:t>
      </w:r>
      <w:r w:rsidRPr="00A47719">
        <w:rPr>
          <w:rFonts w:ascii="Arial" w:hAnsi="Arial" w:cs="Arial"/>
          <w:sz w:val="16"/>
          <w:szCs w:val="16"/>
        </w:rPr>
        <w:t>, 8819-8827.</w:t>
      </w:r>
      <w:bookmarkEnd w:id="61"/>
    </w:p>
    <w:p w14:paraId="55E41C6E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62" w:name="_ENREF_39"/>
      <w:r w:rsidRPr="00A47719">
        <w:rPr>
          <w:rFonts w:ascii="Arial" w:hAnsi="Arial" w:cs="Arial"/>
          <w:sz w:val="16"/>
          <w:szCs w:val="16"/>
        </w:rPr>
        <w:t>[3</w:t>
      </w:r>
      <w:r w:rsidRPr="00A47719">
        <w:rPr>
          <w:rFonts w:ascii="Arial" w:hAnsi="Arial" w:cs="Arial"/>
          <w:sz w:val="16"/>
          <w:szCs w:val="16"/>
          <w:lang w:eastAsia="zh-CN"/>
        </w:rPr>
        <w:t>9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Z. Lin, J. Lin, Z. Zhu, T. Yan, M. Zhang, H. Yao, M. Sun, X. Ouyang, </w:t>
      </w:r>
      <w:r w:rsidRPr="00A47719">
        <w:rPr>
          <w:rFonts w:ascii="Arial" w:hAnsi="Arial" w:cs="Arial"/>
          <w:i/>
          <w:sz w:val="16"/>
          <w:szCs w:val="16"/>
        </w:rPr>
        <w:t>Adv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Funct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Mater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sz w:val="16"/>
          <w:szCs w:val="16"/>
        </w:rPr>
        <w:t>2025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35</w:t>
      </w:r>
      <w:r w:rsidRPr="00A47719">
        <w:rPr>
          <w:rFonts w:ascii="Arial" w:hAnsi="Arial" w:cs="Arial"/>
          <w:sz w:val="16"/>
          <w:szCs w:val="16"/>
        </w:rPr>
        <w:t>, 2502170.</w:t>
      </w:r>
      <w:bookmarkEnd w:id="62"/>
    </w:p>
    <w:p w14:paraId="2B237BA8" w14:textId="7777777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  <w:lang w:eastAsia="zh-CN"/>
        </w:rPr>
      </w:pPr>
      <w:r w:rsidRPr="00A47719">
        <w:rPr>
          <w:rFonts w:ascii="Arial" w:hAnsi="Arial" w:cs="Arial"/>
          <w:sz w:val="16"/>
          <w:szCs w:val="16"/>
          <w:lang w:eastAsia="zh-CN"/>
        </w:rPr>
        <w:t xml:space="preserve">[40] H. Cai, Q. Zhu, T. Pan, L. Wu, X. Gu, C. Duan, L. Xiong, J. Wu, S. Liu, L. Yu, R. Li, K. Yan, R. Ma, S. Liu, T. Jia, G. Li, 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Angew. Chem. Int. Ed.</w:t>
      </w:r>
      <w:r w:rsidRPr="00A47719">
        <w:rPr>
          <w:rFonts w:ascii="Arial" w:hAnsi="Arial" w:cs="Arial"/>
          <w:sz w:val="16"/>
          <w:szCs w:val="16"/>
          <w:lang w:eastAsia="zh-CN"/>
        </w:rPr>
        <w:t xml:space="preserve"> </w:t>
      </w:r>
      <w:r w:rsidRPr="00A47719">
        <w:rPr>
          <w:rFonts w:ascii="Arial" w:hAnsi="Arial" w:cs="Arial"/>
          <w:b/>
          <w:bCs/>
          <w:sz w:val="16"/>
          <w:szCs w:val="16"/>
          <w:lang w:eastAsia="zh-CN"/>
        </w:rPr>
        <w:t>2025</w:t>
      </w:r>
      <w:r w:rsidRPr="00A47719">
        <w:rPr>
          <w:rFonts w:ascii="Arial" w:hAnsi="Arial" w:cs="Arial"/>
          <w:sz w:val="16"/>
          <w:szCs w:val="16"/>
          <w:lang w:eastAsia="zh-CN"/>
        </w:rPr>
        <w:t xml:space="preserve">, 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64</w:t>
      </w:r>
      <w:r w:rsidRPr="00A47719">
        <w:rPr>
          <w:rFonts w:ascii="Arial" w:hAnsi="Arial" w:cs="Arial"/>
          <w:sz w:val="16"/>
          <w:szCs w:val="16"/>
          <w:lang w:eastAsia="zh-CN"/>
        </w:rPr>
        <w:t>, e202502478.</w:t>
      </w:r>
    </w:p>
    <w:p w14:paraId="0B4BB1C1" w14:textId="59F9DAAB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63" w:name="_ENREF_40"/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/>
          <w:sz w:val="16"/>
          <w:szCs w:val="16"/>
          <w:lang w:eastAsia="zh-CN"/>
        </w:rPr>
        <w:t>4</w:t>
      </w:r>
      <w:r w:rsidRPr="00A47719">
        <w:rPr>
          <w:rFonts w:ascii="Arial" w:hAnsi="Arial" w:cs="Arial" w:hint="eastAsia"/>
          <w:sz w:val="16"/>
          <w:szCs w:val="16"/>
          <w:lang w:eastAsia="zh-CN"/>
        </w:rPr>
        <w:t>1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J. Ding, Y. Liao, H. Liu, Y. Ding, Q. Ma, M. Li, Z. Zhang, J. Zhang, J.-X. Tang, J. Sheng, J. Chen, C. Chen, </w:t>
      </w:r>
      <w:r w:rsidRPr="00A47719">
        <w:rPr>
          <w:rFonts w:ascii="Arial" w:hAnsi="Arial" w:cs="Arial"/>
          <w:i/>
          <w:sz w:val="16"/>
          <w:szCs w:val="16"/>
        </w:rPr>
        <w:t>Nat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Commun</w:t>
      </w:r>
      <w:r w:rsidRPr="00A47719">
        <w:rPr>
          <w:rFonts w:ascii="Arial" w:hAnsi="Arial" w:cs="Arial"/>
          <w:i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sz w:val="16"/>
          <w:szCs w:val="16"/>
        </w:rPr>
        <w:t>2025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sz w:val="16"/>
          <w:szCs w:val="16"/>
        </w:rPr>
        <w:t>16</w:t>
      </w:r>
      <w:r w:rsidRPr="00A47719">
        <w:rPr>
          <w:rFonts w:ascii="Arial" w:hAnsi="Arial" w:cs="Arial"/>
          <w:sz w:val="16"/>
          <w:szCs w:val="16"/>
        </w:rPr>
        <w:t>, 840</w:t>
      </w:r>
      <w:r w:rsidRPr="00A47719">
        <w:rPr>
          <w:rFonts w:ascii="Arial" w:hAnsi="Arial" w:cs="Arial"/>
          <w:sz w:val="16"/>
          <w:szCs w:val="16"/>
          <w:lang w:eastAsia="zh-CN"/>
        </w:rPr>
        <w:t>7</w:t>
      </w:r>
      <w:r w:rsidRPr="00A47719">
        <w:rPr>
          <w:rFonts w:ascii="Arial" w:hAnsi="Arial" w:cs="Arial"/>
          <w:sz w:val="16"/>
          <w:szCs w:val="16"/>
        </w:rPr>
        <w:t>.</w:t>
      </w:r>
      <w:bookmarkEnd w:id="63"/>
    </w:p>
    <w:p w14:paraId="71EEE4CB" w14:textId="6146C895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r w:rsidRPr="00A47719">
        <w:rPr>
          <w:rFonts w:ascii="Arial" w:hAnsi="Arial" w:cs="Arial"/>
          <w:sz w:val="16"/>
          <w:szCs w:val="16"/>
          <w:lang w:eastAsia="zh-CN"/>
        </w:rPr>
        <w:fldChar w:fldCharType="end"/>
      </w:r>
      <w:bookmarkStart w:id="64" w:name="_ENREF_41"/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/>
          <w:sz w:val="16"/>
          <w:szCs w:val="16"/>
          <w:lang w:eastAsia="zh-CN"/>
        </w:rPr>
        <w:t>4</w:t>
      </w:r>
      <w:r w:rsidRPr="00A47719">
        <w:rPr>
          <w:rFonts w:ascii="Arial" w:hAnsi="Arial" w:cs="Arial" w:hint="eastAsia"/>
          <w:sz w:val="16"/>
          <w:szCs w:val="16"/>
          <w:lang w:eastAsia="zh-CN"/>
        </w:rPr>
        <w:t>2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A. De, N. Mondal, A. Samanta, </w:t>
      </w:r>
      <w:r w:rsidRPr="00A47719">
        <w:rPr>
          <w:rFonts w:ascii="Arial" w:hAnsi="Arial" w:cs="Arial"/>
          <w:i/>
          <w:iCs/>
          <w:sz w:val="16"/>
          <w:szCs w:val="16"/>
        </w:rPr>
        <w:t>J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</w:t>
      </w:r>
      <w:proofErr w:type="spellStart"/>
      <w:r w:rsidRPr="00A47719">
        <w:rPr>
          <w:rFonts w:ascii="Arial" w:hAnsi="Arial" w:cs="Arial"/>
          <w:i/>
          <w:iCs/>
          <w:sz w:val="16"/>
          <w:szCs w:val="16"/>
        </w:rPr>
        <w:t>Phy</w:t>
      </w:r>
      <w:proofErr w:type="spellEnd"/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Chem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C</w:t>
      </w:r>
      <w:r w:rsidRPr="00A47719">
        <w:rPr>
          <w:rFonts w:ascii="Arial" w:hAnsi="Arial" w:cs="Arial"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bCs/>
          <w:sz w:val="16"/>
          <w:szCs w:val="16"/>
        </w:rPr>
        <w:t>2018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iCs/>
          <w:sz w:val="16"/>
          <w:szCs w:val="16"/>
        </w:rPr>
        <w:t>122</w:t>
      </w:r>
      <w:r w:rsidRPr="00A47719">
        <w:rPr>
          <w:rFonts w:ascii="Arial" w:hAnsi="Arial" w:cs="Arial"/>
          <w:sz w:val="16"/>
          <w:szCs w:val="16"/>
        </w:rPr>
        <w:t>, 13617-13623.</w:t>
      </w:r>
      <w:bookmarkEnd w:id="64"/>
    </w:p>
    <w:p w14:paraId="74CC3BF9" w14:textId="7389DCA2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65" w:name="_ENREF_42"/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/>
          <w:sz w:val="16"/>
          <w:szCs w:val="16"/>
          <w:lang w:eastAsia="zh-CN"/>
        </w:rPr>
        <w:t>4</w:t>
      </w:r>
      <w:r w:rsidRPr="00A47719">
        <w:rPr>
          <w:rFonts w:ascii="Arial" w:hAnsi="Arial" w:cs="Arial" w:hint="eastAsia"/>
          <w:sz w:val="16"/>
          <w:szCs w:val="16"/>
          <w:lang w:eastAsia="zh-CN"/>
        </w:rPr>
        <w:t>3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Q.-Q. Ge, J.-Y. Shao, J. Ding, L.-Y. Deng, W.-K. Zhou, Y.-X. Chen, J.-Y. Ma, L.-J. Wan, J. Yao, J.-S. Hu, Y.-W. Zhong, </w:t>
      </w:r>
      <w:proofErr w:type="spellStart"/>
      <w:r w:rsidRPr="00A47719">
        <w:rPr>
          <w:rFonts w:ascii="Arial" w:hAnsi="Arial" w:cs="Arial"/>
          <w:i/>
          <w:iCs/>
          <w:sz w:val="16"/>
          <w:szCs w:val="16"/>
        </w:rPr>
        <w:t>Angew</w:t>
      </w:r>
      <w:proofErr w:type="spellEnd"/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Chem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Int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Ed</w:t>
      </w:r>
      <w:r w:rsidRPr="00A47719">
        <w:rPr>
          <w:rFonts w:ascii="Arial" w:hAnsi="Arial" w:cs="Arial"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bCs/>
          <w:sz w:val="16"/>
          <w:szCs w:val="16"/>
        </w:rPr>
        <w:t>2018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iCs/>
          <w:sz w:val="16"/>
          <w:szCs w:val="16"/>
        </w:rPr>
        <w:t>57</w:t>
      </w:r>
      <w:r w:rsidRPr="00A47719">
        <w:rPr>
          <w:rFonts w:ascii="Arial" w:hAnsi="Arial" w:cs="Arial"/>
          <w:sz w:val="16"/>
          <w:szCs w:val="16"/>
        </w:rPr>
        <w:t>, 10959-10965.</w:t>
      </w:r>
      <w:bookmarkEnd w:id="65"/>
    </w:p>
    <w:p w14:paraId="5A25C5F4" w14:textId="0AE23142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66" w:name="_ENREF_43"/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/>
          <w:sz w:val="16"/>
          <w:szCs w:val="16"/>
          <w:lang w:eastAsia="zh-CN"/>
        </w:rPr>
        <w:t>4</w:t>
      </w:r>
      <w:r w:rsidRPr="00A47719">
        <w:rPr>
          <w:rFonts w:ascii="Arial" w:hAnsi="Arial" w:cs="Arial" w:hint="eastAsia"/>
          <w:sz w:val="16"/>
          <w:szCs w:val="16"/>
          <w:lang w:eastAsia="zh-CN"/>
        </w:rPr>
        <w:t>4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N. Andijani, O. Al-Qurashi, N. Wazzan, A. Irfan, </w:t>
      </w:r>
      <w:r w:rsidRPr="00A47719">
        <w:rPr>
          <w:rFonts w:ascii="Arial" w:hAnsi="Arial" w:cs="Arial"/>
          <w:i/>
          <w:iCs/>
          <w:sz w:val="16"/>
          <w:szCs w:val="16"/>
        </w:rPr>
        <w:t>Sol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Energy</w:t>
      </w:r>
      <w:r w:rsidRPr="00A47719">
        <w:rPr>
          <w:rFonts w:ascii="Arial" w:hAnsi="Arial" w:cs="Arial"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bCs/>
          <w:sz w:val="16"/>
          <w:szCs w:val="16"/>
        </w:rPr>
        <w:t>2019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iCs/>
          <w:sz w:val="16"/>
          <w:szCs w:val="16"/>
        </w:rPr>
        <w:t>188</w:t>
      </w:r>
      <w:r w:rsidRPr="00A47719">
        <w:rPr>
          <w:rFonts w:ascii="Arial" w:hAnsi="Arial" w:cs="Arial"/>
          <w:sz w:val="16"/>
          <w:szCs w:val="16"/>
        </w:rPr>
        <w:t>, 898-912.</w:t>
      </w:r>
      <w:bookmarkEnd w:id="66"/>
    </w:p>
    <w:p w14:paraId="7627FD46" w14:textId="228874F0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67" w:name="_ENREF_44"/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/>
          <w:sz w:val="16"/>
          <w:szCs w:val="16"/>
          <w:lang w:eastAsia="zh-CN"/>
        </w:rPr>
        <w:t>4</w:t>
      </w:r>
      <w:r w:rsidRPr="00A47719">
        <w:rPr>
          <w:rFonts w:ascii="Arial" w:hAnsi="Arial" w:cs="Arial" w:hint="eastAsia"/>
          <w:sz w:val="16"/>
          <w:szCs w:val="16"/>
          <w:lang w:eastAsia="zh-CN"/>
        </w:rPr>
        <w:t>5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W. Chen, A. A. Said, Z. Wang, Y. Zhou, W. Liu, W.-B. Gao, M. Liu, Q. Zhang, </w:t>
      </w:r>
      <w:r w:rsidRPr="00A47719">
        <w:rPr>
          <w:rFonts w:ascii="Arial" w:hAnsi="Arial" w:cs="Arial"/>
          <w:i/>
          <w:iCs/>
          <w:sz w:val="16"/>
          <w:szCs w:val="16"/>
        </w:rPr>
        <w:t>ACS Appl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</w:t>
      </w:r>
      <w:proofErr w:type="spellStart"/>
      <w:r w:rsidRPr="00A47719">
        <w:rPr>
          <w:rFonts w:ascii="Arial" w:hAnsi="Arial" w:cs="Arial"/>
          <w:i/>
          <w:iCs/>
          <w:sz w:val="16"/>
          <w:szCs w:val="16"/>
        </w:rPr>
        <w:t>Energ</w:t>
      </w:r>
      <w:proofErr w:type="spellEnd"/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Mater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bCs/>
          <w:sz w:val="16"/>
          <w:szCs w:val="16"/>
        </w:rPr>
        <w:t>2019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iCs/>
          <w:sz w:val="16"/>
          <w:szCs w:val="16"/>
        </w:rPr>
        <w:t>2</w:t>
      </w:r>
      <w:r w:rsidRPr="00A47719">
        <w:rPr>
          <w:rFonts w:ascii="Arial" w:hAnsi="Arial" w:cs="Arial"/>
          <w:sz w:val="16"/>
          <w:szCs w:val="16"/>
        </w:rPr>
        <w:t>, 5716-5723.</w:t>
      </w:r>
      <w:bookmarkEnd w:id="67"/>
    </w:p>
    <w:p w14:paraId="772C6C40" w14:textId="20240FE6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68" w:name="_ENREF_45"/>
      <w:r w:rsidRPr="00A47719">
        <w:rPr>
          <w:rFonts w:ascii="Arial" w:hAnsi="Arial" w:cs="Arial"/>
          <w:sz w:val="16"/>
          <w:szCs w:val="16"/>
        </w:rPr>
        <w:t>[4</w:t>
      </w:r>
      <w:r w:rsidRPr="00A47719">
        <w:rPr>
          <w:rFonts w:ascii="Arial" w:hAnsi="Arial" w:cs="Arial" w:hint="eastAsia"/>
          <w:sz w:val="16"/>
          <w:szCs w:val="16"/>
          <w:lang w:eastAsia="zh-CN"/>
        </w:rPr>
        <w:t>6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J.-Y. Shao, N. Yang, W. Guo, B.-B. Cui, Q. Chen, Y.-W. Zhong, </w:t>
      </w:r>
      <w:r w:rsidRPr="00A47719">
        <w:rPr>
          <w:rFonts w:ascii="Arial" w:hAnsi="Arial" w:cs="Arial"/>
          <w:i/>
          <w:iCs/>
          <w:sz w:val="16"/>
          <w:szCs w:val="16"/>
        </w:rPr>
        <w:t>Chem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Commun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bCs/>
          <w:sz w:val="16"/>
          <w:szCs w:val="16"/>
        </w:rPr>
        <w:t>2019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iCs/>
          <w:sz w:val="16"/>
          <w:szCs w:val="16"/>
        </w:rPr>
        <w:t>55</w:t>
      </w:r>
      <w:r w:rsidRPr="00A47719">
        <w:rPr>
          <w:rFonts w:ascii="Arial" w:hAnsi="Arial" w:cs="Arial"/>
          <w:sz w:val="16"/>
          <w:szCs w:val="16"/>
        </w:rPr>
        <w:t>, 13406-13409.</w:t>
      </w:r>
      <w:bookmarkEnd w:id="68"/>
    </w:p>
    <w:p w14:paraId="7E41BCF8" w14:textId="0CD21295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69" w:name="_ENREF_46"/>
      <w:r w:rsidRPr="00A47719">
        <w:rPr>
          <w:rFonts w:ascii="Arial" w:hAnsi="Arial" w:cs="Arial"/>
          <w:sz w:val="16"/>
          <w:szCs w:val="16"/>
        </w:rPr>
        <w:t>[4</w:t>
      </w:r>
      <w:r w:rsidRPr="00A47719">
        <w:rPr>
          <w:rFonts w:ascii="Arial" w:hAnsi="Arial" w:cs="Arial" w:hint="eastAsia"/>
          <w:sz w:val="16"/>
          <w:szCs w:val="16"/>
          <w:lang w:eastAsia="zh-CN"/>
        </w:rPr>
        <w:t>7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>J. Qiu, H. Liu, X. Li, S. Wang, Chemical Engineering Journal 2020, 387, 123965.</w:t>
      </w:r>
      <w:bookmarkEnd w:id="69"/>
    </w:p>
    <w:p w14:paraId="3AFB81B0" w14:textId="42DC398E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70" w:name="_ENREF_47"/>
      <w:r w:rsidRPr="00A47719">
        <w:rPr>
          <w:rFonts w:ascii="Arial" w:hAnsi="Arial" w:cs="Arial"/>
          <w:sz w:val="16"/>
          <w:szCs w:val="16"/>
        </w:rPr>
        <w:t>[4</w:t>
      </w:r>
      <w:r w:rsidRPr="00A47719">
        <w:rPr>
          <w:rFonts w:ascii="Arial" w:hAnsi="Arial" w:cs="Arial" w:hint="eastAsia"/>
          <w:sz w:val="16"/>
          <w:szCs w:val="16"/>
          <w:lang w:eastAsia="zh-CN"/>
        </w:rPr>
        <w:t>8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M. </w:t>
      </w:r>
      <w:proofErr w:type="spellStart"/>
      <w:r w:rsidRPr="00A47719">
        <w:rPr>
          <w:rFonts w:ascii="Arial" w:hAnsi="Arial" w:cs="Arial"/>
          <w:sz w:val="16"/>
          <w:szCs w:val="16"/>
        </w:rPr>
        <w:t>Tepliakova</w:t>
      </w:r>
      <w:proofErr w:type="spellEnd"/>
      <w:r w:rsidRPr="00A47719">
        <w:rPr>
          <w:rFonts w:ascii="Arial" w:hAnsi="Arial" w:cs="Arial"/>
          <w:sz w:val="16"/>
          <w:szCs w:val="16"/>
        </w:rPr>
        <w:t xml:space="preserve">, I. K. Yakushenko, E. I. </w:t>
      </w:r>
      <w:proofErr w:type="spellStart"/>
      <w:r w:rsidRPr="00A47719">
        <w:rPr>
          <w:rFonts w:ascii="Arial" w:hAnsi="Arial" w:cs="Arial"/>
          <w:sz w:val="16"/>
          <w:szCs w:val="16"/>
        </w:rPr>
        <w:t>Romadina</w:t>
      </w:r>
      <w:proofErr w:type="spellEnd"/>
      <w:r w:rsidRPr="00A47719">
        <w:rPr>
          <w:rFonts w:ascii="Arial" w:hAnsi="Arial" w:cs="Arial"/>
          <w:sz w:val="16"/>
          <w:szCs w:val="16"/>
        </w:rPr>
        <w:t xml:space="preserve">, A. V. Novikov, P. M. Kuznetsov, K. J. Stevenson, P. A. </w:t>
      </w:r>
      <w:proofErr w:type="spellStart"/>
      <w:r w:rsidRPr="00A47719">
        <w:rPr>
          <w:rFonts w:ascii="Arial" w:hAnsi="Arial" w:cs="Arial"/>
          <w:sz w:val="16"/>
          <w:szCs w:val="16"/>
        </w:rPr>
        <w:t>Troshin</w:t>
      </w:r>
      <w:proofErr w:type="spellEnd"/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Sustain. </w:t>
      </w:r>
      <w:proofErr w:type="spellStart"/>
      <w:r w:rsidRPr="00A47719">
        <w:rPr>
          <w:rFonts w:ascii="Arial" w:hAnsi="Arial" w:cs="Arial"/>
          <w:i/>
          <w:iCs/>
          <w:sz w:val="16"/>
          <w:szCs w:val="16"/>
        </w:rPr>
        <w:t>Energ</w:t>
      </w:r>
      <w:proofErr w:type="spellEnd"/>
      <w:r w:rsidRPr="00A47719">
        <w:rPr>
          <w:rFonts w:ascii="Arial" w:hAnsi="Arial" w:cs="Arial"/>
          <w:i/>
          <w:iCs/>
          <w:sz w:val="16"/>
          <w:szCs w:val="16"/>
        </w:rPr>
        <w:t>. Fuels</w:t>
      </w:r>
      <w:r w:rsidRPr="00A47719">
        <w:rPr>
          <w:rFonts w:ascii="Arial" w:hAnsi="Arial" w:cs="Arial"/>
          <w:b/>
          <w:bCs/>
          <w:sz w:val="16"/>
          <w:szCs w:val="16"/>
        </w:rPr>
        <w:t xml:space="preserve"> 2021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iCs/>
          <w:sz w:val="16"/>
          <w:szCs w:val="16"/>
        </w:rPr>
        <w:t>5</w:t>
      </w:r>
      <w:r w:rsidRPr="00A47719">
        <w:rPr>
          <w:rFonts w:ascii="Arial" w:hAnsi="Arial" w:cs="Arial"/>
          <w:sz w:val="16"/>
          <w:szCs w:val="16"/>
        </w:rPr>
        <w:t>, 283-288.</w:t>
      </w:r>
      <w:bookmarkEnd w:id="70"/>
    </w:p>
    <w:p w14:paraId="5DAAFFB2" w14:textId="1598D215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71" w:name="_ENREF_48"/>
      <w:r w:rsidRPr="00A47719">
        <w:rPr>
          <w:rFonts w:ascii="Arial" w:hAnsi="Arial" w:cs="Arial"/>
          <w:sz w:val="16"/>
          <w:szCs w:val="16"/>
        </w:rPr>
        <w:t>[4</w:t>
      </w:r>
      <w:r w:rsidRPr="00A47719">
        <w:rPr>
          <w:rFonts w:ascii="Arial" w:hAnsi="Arial" w:cs="Arial" w:hint="eastAsia"/>
          <w:sz w:val="16"/>
          <w:szCs w:val="16"/>
          <w:lang w:eastAsia="zh-CN"/>
        </w:rPr>
        <w:t>9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Y. Ou, A. Sun, H. Li, T. Wu, D. Zhang, P. Xu, R. Zhao, L. Zhu, R. Wang, B. Xu, Y. Hua, L. Ding, </w:t>
      </w:r>
      <w:r w:rsidRPr="00A47719">
        <w:rPr>
          <w:rFonts w:ascii="Arial" w:hAnsi="Arial" w:cs="Arial"/>
          <w:i/>
          <w:iCs/>
          <w:sz w:val="16"/>
          <w:szCs w:val="16"/>
        </w:rPr>
        <w:t>Mat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Chem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Front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bCs/>
          <w:sz w:val="16"/>
          <w:szCs w:val="16"/>
        </w:rPr>
        <w:t>2021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iCs/>
          <w:sz w:val="16"/>
          <w:szCs w:val="16"/>
        </w:rPr>
        <w:t>5</w:t>
      </w:r>
      <w:r w:rsidRPr="00A47719">
        <w:rPr>
          <w:rFonts w:ascii="Arial" w:hAnsi="Arial" w:cs="Arial"/>
          <w:sz w:val="16"/>
          <w:szCs w:val="16"/>
        </w:rPr>
        <w:t>, 876-884.</w:t>
      </w:r>
      <w:bookmarkEnd w:id="71"/>
    </w:p>
    <w:p w14:paraId="042049CD" w14:textId="418263CC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72" w:name="_ENREF_49"/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 w:hint="eastAsia"/>
          <w:sz w:val="16"/>
          <w:szCs w:val="16"/>
          <w:lang w:eastAsia="zh-CN"/>
        </w:rPr>
        <w:t>50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M.-H. Li, T.-G. Sun, J.-Y. Shao, Y.-D. Wang, J.-S. Hu, Y.-W. Zhong, </w:t>
      </w:r>
      <w:r w:rsidRPr="00A47719">
        <w:rPr>
          <w:rFonts w:ascii="Arial" w:hAnsi="Arial" w:cs="Arial"/>
          <w:i/>
          <w:iCs/>
          <w:sz w:val="16"/>
          <w:szCs w:val="16"/>
        </w:rPr>
        <w:t>Nano Energy</w:t>
      </w:r>
      <w:r w:rsidRPr="00A47719">
        <w:rPr>
          <w:rFonts w:ascii="Arial" w:hAnsi="Arial" w:cs="Arial"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bCs/>
          <w:sz w:val="16"/>
          <w:szCs w:val="16"/>
        </w:rPr>
        <w:t>2021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iCs/>
          <w:sz w:val="16"/>
          <w:szCs w:val="16"/>
        </w:rPr>
        <w:t>79</w:t>
      </w:r>
      <w:r w:rsidRPr="00A47719">
        <w:rPr>
          <w:rFonts w:ascii="Arial" w:hAnsi="Arial" w:cs="Arial"/>
          <w:sz w:val="16"/>
          <w:szCs w:val="16"/>
        </w:rPr>
        <w:t>, 105462.</w:t>
      </w:r>
      <w:bookmarkEnd w:id="72"/>
    </w:p>
    <w:p w14:paraId="65BBF3CB" w14:textId="423B67F8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73" w:name="_ENREF_50"/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 w:hint="eastAsia"/>
          <w:sz w:val="16"/>
          <w:szCs w:val="16"/>
          <w:lang w:eastAsia="zh-CN"/>
        </w:rPr>
        <w:t>51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P. Gómez, J. Wang, M. Más-Montoya, D. Bautista, C. H. L. </w:t>
      </w:r>
      <w:proofErr w:type="spellStart"/>
      <w:r w:rsidRPr="00A47719">
        <w:rPr>
          <w:rFonts w:ascii="Arial" w:hAnsi="Arial" w:cs="Arial"/>
          <w:sz w:val="16"/>
          <w:szCs w:val="16"/>
        </w:rPr>
        <w:t>Weijtens</w:t>
      </w:r>
      <w:proofErr w:type="spellEnd"/>
      <w:r w:rsidRPr="00A47719">
        <w:rPr>
          <w:rFonts w:ascii="Arial" w:hAnsi="Arial" w:cs="Arial"/>
          <w:sz w:val="16"/>
          <w:szCs w:val="16"/>
        </w:rPr>
        <w:t xml:space="preserve">, D. Curiel, R. A. J. Janssen, </w:t>
      </w:r>
      <w:r w:rsidRPr="00A47719">
        <w:rPr>
          <w:rFonts w:ascii="Arial" w:hAnsi="Arial" w:cs="Arial"/>
          <w:i/>
          <w:iCs/>
          <w:sz w:val="16"/>
          <w:szCs w:val="16"/>
        </w:rPr>
        <w:t>So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l.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RRL</w:t>
      </w:r>
      <w:r w:rsidRPr="00A47719">
        <w:rPr>
          <w:rFonts w:ascii="Arial" w:hAnsi="Arial" w:cs="Arial"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bCs/>
          <w:sz w:val="16"/>
          <w:szCs w:val="16"/>
        </w:rPr>
        <w:t>2021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iCs/>
          <w:sz w:val="16"/>
          <w:szCs w:val="16"/>
        </w:rPr>
        <w:t>5</w:t>
      </w:r>
      <w:r w:rsidRPr="00A47719">
        <w:rPr>
          <w:rFonts w:ascii="Arial" w:hAnsi="Arial" w:cs="Arial"/>
          <w:sz w:val="16"/>
          <w:szCs w:val="16"/>
        </w:rPr>
        <w:t>, 2100454.</w:t>
      </w:r>
      <w:bookmarkEnd w:id="73"/>
    </w:p>
    <w:p w14:paraId="7684A708" w14:textId="7C106D48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74" w:name="_ENREF_51"/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 w:hint="eastAsia"/>
          <w:sz w:val="16"/>
          <w:szCs w:val="16"/>
          <w:lang w:eastAsia="zh-CN"/>
        </w:rPr>
        <w:t>52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Y.-C. Chen, D.-Z. Lin, J.-C. Wang, J.-S. Ni, Y.-Y. Yu, C.-P. Chen, </w:t>
      </w:r>
      <w:r w:rsidRPr="00A47719">
        <w:rPr>
          <w:rFonts w:ascii="Arial" w:hAnsi="Arial" w:cs="Arial"/>
          <w:i/>
          <w:iCs/>
          <w:sz w:val="16"/>
          <w:szCs w:val="16"/>
        </w:rPr>
        <w:t>Mat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Chem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Front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bCs/>
          <w:sz w:val="16"/>
          <w:szCs w:val="16"/>
        </w:rPr>
        <w:t>2021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iCs/>
          <w:sz w:val="16"/>
          <w:szCs w:val="16"/>
        </w:rPr>
        <w:t>5</w:t>
      </w:r>
      <w:r w:rsidRPr="00A47719">
        <w:rPr>
          <w:rFonts w:ascii="Arial" w:hAnsi="Arial" w:cs="Arial"/>
          <w:sz w:val="16"/>
          <w:szCs w:val="16"/>
        </w:rPr>
        <w:t>, 1373-1387.</w:t>
      </w:r>
      <w:bookmarkEnd w:id="74"/>
    </w:p>
    <w:p w14:paraId="5A08DA83" w14:textId="1D3D5B58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75" w:name="_ENREF_52"/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 w:hint="eastAsia"/>
          <w:sz w:val="16"/>
          <w:szCs w:val="16"/>
          <w:lang w:eastAsia="zh-CN"/>
        </w:rPr>
        <w:t>53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R. Zhang, J.-Y. Shao, B. Yu, H. Li, Y.-W. Zhong, J. Shi, Y. Luo, H. Wu, D. Li, Q. Meng, </w:t>
      </w:r>
      <w:r w:rsidRPr="00A47719">
        <w:rPr>
          <w:rFonts w:ascii="Arial" w:hAnsi="Arial" w:cs="Arial"/>
          <w:i/>
          <w:iCs/>
          <w:sz w:val="16"/>
          <w:szCs w:val="16"/>
        </w:rPr>
        <w:t>Mat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Chem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Front</w:t>
      </w:r>
      <w:r w:rsidRPr="00A47719">
        <w:rPr>
          <w:rFonts w:ascii="Arial" w:hAnsi="Arial" w:cs="Arial"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bCs/>
          <w:sz w:val="16"/>
          <w:szCs w:val="16"/>
        </w:rPr>
        <w:t>2021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iCs/>
          <w:sz w:val="16"/>
          <w:szCs w:val="16"/>
        </w:rPr>
        <w:t>5</w:t>
      </w:r>
      <w:r w:rsidRPr="00A47719">
        <w:rPr>
          <w:rFonts w:ascii="Arial" w:hAnsi="Arial" w:cs="Arial"/>
          <w:sz w:val="16"/>
          <w:szCs w:val="16"/>
        </w:rPr>
        <w:t>, 4291-4299.</w:t>
      </w:r>
      <w:bookmarkEnd w:id="75"/>
    </w:p>
    <w:p w14:paraId="20B3B021" w14:textId="55E5FFEE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76" w:name="_ENREF_53"/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 w:hint="eastAsia"/>
          <w:sz w:val="16"/>
          <w:szCs w:val="16"/>
          <w:lang w:eastAsia="zh-CN"/>
        </w:rPr>
        <w:t>54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>H. Liu, Q. Chen, F. Wu, X. Liu, The Journal of Physical Chemistry C 2022, 126, 160-168.</w:t>
      </w:r>
      <w:bookmarkEnd w:id="76"/>
    </w:p>
    <w:p w14:paraId="2878A1FB" w14:textId="739839CE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77" w:name="_ENREF_54"/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 w:hint="eastAsia"/>
          <w:sz w:val="16"/>
          <w:szCs w:val="16"/>
          <w:lang w:eastAsia="zh-CN"/>
        </w:rPr>
        <w:t>55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Z. Yao, F. Zhang, L. He, X. Bi, Y. Guo, Y. Guo, L. Wang, X. Wan, Y. Chen, L. Sun, </w:t>
      </w:r>
      <w:proofErr w:type="spellStart"/>
      <w:r w:rsidRPr="00A47719">
        <w:rPr>
          <w:rFonts w:ascii="Arial" w:hAnsi="Arial" w:cs="Arial"/>
          <w:i/>
          <w:iCs/>
          <w:sz w:val="16"/>
          <w:szCs w:val="16"/>
        </w:rPr>
        <w:t>Angew</w:t>
      </w:r>
      <w:proofErr w:type="spellEnd"/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Chem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Int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Ed</w:t>
      </w:r>
      <w:r w:rsidRPr="00A47719">
        <w:rPr>
          <w:rFonts w:ascii="Arial" w:hAnsi="Arial" w:cs="Arial"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bCs/>
          <w:sz w:val="16"/>
          <w:szCs w:val="16"/>
        </w:rPr>
        <w:t>2022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iCs/>
          <w:sz w:val="16"/>
          <w:szCs w:val="16"/>
        </w:rPr>
        <w:t>61</w:t>
      </w:r>
      <w:r w:rsidRPr="00A47719">
        <w:rPr>
          <w:rFonts w:ascii="Arial" w:hAnsi="Arial" w:cs="Arial"/>
          <w:sz w:val="16"/>
          <w:szCs w:val="16"/>
        </w:rPr>
        <w:t>, e202201847.</w:t>
      </w:r>
      <w:bookmarkEnd w:id="77"/>
    </w:p>
    <w:p w14:paraId="36EAD24E" w14:textId="26B26C67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78" w:name="_ENREF_55"/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 w:hint="eastAsia"/>
          <w:sz w:val="16"/>
          <w:szCs w:val="16"/>
          <w:lang w:eastAsia="zh-CN"/>
        </w:rPr>
        <w:t>56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J. S. Rocha-Ortiz, J. Wu, J. Wenzel, A. J. </w:t>
      </w:r>
      <w:proofErr w:type="spellStart"/>
      <w:r w:rsidRPr="00A47719">
        <w:rPr>
          <w:rFonts w:ascii="Arial" w:hAnsi="Arial" w:cs="Arial"/>
          <w:sz w:val="16"/>
          <w:szCs w:val="16"/>
        </w:rPr>
        <w:t>Bornschlegl</w:t>
      </w:r>
      <w:proofErr w:type="spellEnd"/>
      <w:r w:rsidRPr="00A47719">
        <w:rPr>
          <w:rFonts w:ascii="Arial" w:hAnsi="Arial" w:cs="Arial"/>
          <w:sz w:val="16"/>
          <w:szCs w:val="16"/>
        </w:rPr>
        <w:t xml:space="preserve">, J. D. Perea, S. Leon, A. Barabash, A.-S. Wollny, D. M. Guldi, J. Zhang, A. </w:t>
      </w:r>
      <w:proofErr w:type="spellStart"/>
      <w:r w:rsidRPr="00A47719">
        <w:rPr>
          <w:rFonts w:ascii="Arial" w:hAnsi="Arial" w:cs="Arial"/>
          <w:sz w:val="16"/>
          <w:szCs w:val="16"/>
        </w:rPr>
        <w:t>Insuasty</w:t>
      </w:r>
      <w:proofErr w:type="spellEnd"/>
      <w:r w:rsidRPr="00A47719">
        <w:rPr>
          <w:rFonts w:ascii="Arial" w:hAnsi="Arial" w:cs="Arial"/>
          <w:sz w:val="16"/>
          <w:szCs w:val="16"/>
        </w:rPr>
        <w:t xml:space="preserve">, L. </w:t>
      </w:r>
      <w:proofErr w:type="spellStart"/>
      <w:r w:rsidRPr="00A47719">
        <w:rPr>
          <w:rFonts w:ascii="Arial" w:hAnsi="Arial" w:cs="Arial"/>
          <w:sz w:val="16"/>
          <w:szCs w:val="16"/>
        </w:rPr>
        <w:t>Lüer</w:t>
      </w:r>
      <w:proofErr w:type="spellEnd"/>
      <w:r w:rsidRPr="00A47719">
        <w:rPr>
          <w:rFonts w:ascii="Arial" w:hAnsi="Arial" w:cs="Arial"/>
          <w:sz w:val="16"/>
          <w:szCs w:val="16"/>
        </w:rPr>
        <w:t xml:space="preserve">, A. Ortiz, A. Hirsch, C. J. Brabec, </w:t>
      </w:r>
      <w:r w:rsidRPr="00A47719">
        <w:rPr>
          <w:rFonts w:ascii="Arial" w:hAnsi="Arial" w:cs="Arial"/>
          <w:i/>
          <w:iCs/>
          <w:sz w:val="16"/>
          <w:szCs w:val="16"/>
        </w:rPr>
        <w:t>Adv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</w:t>
      </w:r>
      <w:proofErr w:type="spellStart"/>
      <w:r w:rsidRPr="00A47719">
        <w:rPr>
          <w:rFonts w:ascii="Arial" w:hAnsi="Arial" w:cs="Arial"/>
          <w:i/>
          <w:iCs/>
          <w:sz w:val="16"/>
          <w:szCs w:val="16"/>
        </w:rPr>
        <w:t>Funct</w:t>
      </w:r>
      <w:proofErr w:type="spellEnd"/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Mater</w:t>
      </w:r>
      <w:r w:rsidRPr="00A47719">
        <w:rPr>
          <w:rFonts w:ascii="Arial" w:hAnsi="Arial" w:cs="Arial"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b/>
          <w:bCs/>
          <w:sz w:val="16"/>
          <w:szCs w:val="16"/>
        </w:rPr>
        <w:t xml:space="preserve"> 2023</w:t>
      </w:r>
      <w:r w:rsidRPr="00A47719">
        <w:rPr>
          <w:rFonts w:ascii="Arial" w:hAnsi="Arial" w:cs="Arial"/>
          <w:sz w:val="16"/>
          <w:szCs w:val="16"/>
        </w:rPr>
        <w:t>,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33</w:t>
      </w:r>
      <w:r w:rsidRPr="00A47719">
        <w:rPr>
          <w:rFonts w:ascii="Arial" w:hAnsi="Arial" w:cs="Arial"/>
          <w:sz w:val="16"/>
          <w:szCs w:val="16"/>
        </w:rPr>
        <w:t>, 2304262.</w:t>
      </w:r>
      <w:bookmarkEnd w:id="78"/>
    </w:p>
    <w:p w14:paraId="6992D60C" w14:textId="52F29598" w:rsidR="00D240DA" w:rsidRPr="00A47719" w:rsidRDefault="00D361DA" w:rsidP="006727AE">
      <w:pPr>
        <w:pStyle w:val="EndNoteBibliography"/>
        <w:spacing w:line="240" w:lineRule="exact"/>
        <w:ind w:left="320" w:hangingChars="200" w:hanging="320"/>
        <w:jc w:val="both"/>
        <w:rPr>
          <w:rFonts w:ascii="Arial" w:hAnsi="Arial" w:cs="Arial"/>
          <w:sz w:val="16"/>
          <w:szCs w:val="16"/>
        </w:rPr>
      </w:pPr>
      <w:bookmarkStart w:id="79" w:name="_ENREF_56"/>
      <w:r w:rsidRPr="00A47719">
        <w:rPr>
          <w:rFonts w:ascii="Arial" w:hAnsi="Arial" w:cs="Arial"/>
          <w:sz w:val="16"/>
          <w:szCs w:val="16"/>
        </w:rPr>
        <w:t>[</w:t>
      </w:r>
      <w:r w:rsidRPr="00A47719">
        <w:rPr>
          <w:rFonts w:ascii="Arial" w:hAnsi="Arial" w:cs="Arial" w:hint="eastAsia"/>
          <w:sz w:val="16"/>
          <w:szCs w:val="16"/>
          <w:lang w:eastAsia="zh-CN"/>
        </w:rPr>
        <w:t>57</w:t>
      </w:r>
      <w:r w:rsidRPr="00A47719">
        <w:rPr>
          <w:rFonts w:ascii="Arial" w:hAnsi="Arial" w:cs="Arial"/>
          <w:sz w:val="16"/>
          <w:szCs w:val="16"/>
        </w:rPr>
        <w:t>]</w:t>
      </w:r>
      <w:r w:rsidRPr="00A47719">
        <w:rPr>
          <w:rFonts w:ascii="Arial" w:hAnsi="Arial" w:cs="Arial"/>
          <w:sz w:val="16"/>
          <w:szCs w:val="16"/>
        </w:rPr>
        <w:tab/>
        <w:t xml:space="preserve">N. Sabarinathan, B. Sahin, M. Unal, D. Kumar, K. J. Chaudhary, Z. </w:t>
      </w:r>
      <w:proofErr w:type="spellStart"/>
      <w:r w:rsidRPr="00A47719">
        <w:rPr>
          <w:rFonts w:ascii="Arial" w:hAnsi="Arial" w:cs="Arial"/>
          <w:sz w:val="16"/>
          <w:szCs w:val="16"/>
        </w:rPr>
        <w:t>Mavili</w:t>
      </w:r>
      <w:proofErr w:type="spellEnd"/>
      <w:r w:rsidRPr="00A47719">
        <w:rPr>
          <w:rFonts w:ascii="Arial" w:hAnsi="Arial" w:cs="Arial"/>
          <w:sz w:val="16"/>
          <w:szCs w:val="16"/>
        </w:rPr>
        <w:t xml:space="preserve">, F. Sadegh, M. </w:t>
      </w:r>
      <w:proofErr w:type="spellStart"/>
      <w:r w:rsidRPr="00A47719">
        <w:rPr>
          <w:rFonts w:ascii="Arial" w:hAnsi="Arial" w:cs="Arial"/>
          <w:sz w:val="16"/>
          <w:szCs w:val="16"/>
        </w:rPr>
        <w:t>Ebic</w:t>
      </w:r>
      <w:proofErr w:type="spellEnd"/>
      <w:r w:rsidRPr="00A47719">
        <w:rPr>
          <w:rFonts w:ascii="Arial" w:hAnsi="Arial" w:cs="Arial"/>
          <w:sz w:val="16"/>
          <w:szCs w:val="16"/>
        </w:rPr>
        <w:t xml:space="preserve">, P. Yadav, M. Ans, D. </w:t>
      </w:r>
      <w:proofErr w:type="spellStart"/>
      <w:r w:rsidRPr="00A47719">
        <w:rPr>
          <w:rFonts w:ascii="Arial" w:hAnsi="Arial" w:cs="Arial"/>
          <w:sz w:val="16"/>
          <w:szCs w:val="16"/>
        </w:rPr>
        <w:t>Prochowicz</w:t>
      </w:r>
      <w:proofErr w:type="spellEnd"/>
      <w:r w:rsidRPr="00A47719">
        <w:rPr>
          <w:rFonts w:ascii="Arial" w:hAnsi="Arial" w:cs="Arial"/>
          <w:sz w:val="16"/>
          <w:szCs w:val="16"/>
        </w:rPr>
        <w:t xml:space="preserve">, E. Guzel, M. Yilmaz, S. Akin, S. P. Singh, </w:t>
      </w:r>
      <w:r w:rsidRPr="00A47719">
        <w:rPr>
          <w:rFonts w:ascii="Arial" w:hAnsi="Arial" w:cs="Arial"/>
          <w:i/>
          <w:iCs/>
          <w:sz w:val="16"/>
          <w:szCs w:val="16"/>
        </w:rPr>
        <w:t>J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Mater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Chem</w:t>
      </w:r>
      <w:r w:rsidRPr="00A47719">
        <w:rPr>
          <w:rFonts w:ascii="Arial" w:hAnsi="Arial" w:cs="Arial"/>
          <w:i/>
          <w:iCs/>
          <w:sz w:val="16"/>
          <w:szCs w:val="16"/>
          <w:lang w:eastAsia="zh-CN"/>
        </w:rPr>
        <w:t>.</w:t>
      </w:r>
      <w:r w:rsidRPr="00A47719">
        <w:rPr>
          <w:rFonts w:ascii="Arial" w:hAnsi="Arial" w:cs="Arial"/>
          <w:i/>
          <w:iCs/>
          <w:sz w:val="16"/>
          <w:szCs w:val="16"/>
        </w:rPr>
        <w:t xml:space="preserve"> A</w:t>
      </w:r>
      <w:r w:rsidRPr="00A47719">
        <w:rPr>
          <w:rFonts w:ascii="Arial" w:hAnsi="Arial" w:cs="Arial"/>
          <w:sz w:val="16"/>
          <w:szCs w:val="16"/>
        </w:rPr>
        <w:t xml:space="preserve"> </w:t>
      </w:r>
      <w:r w:rsidRPr="00A47719">
        <w:rPr>
          <w:rFonts w:ascii="Arial" w:hAnsi="Arial" w:cs="Arial"/>
          <w:b/>
          <w:bCs/>
          <w:sz w:val="16"/>
          <w:szCs w:val="16"/>
        </w:rPr>
        <w:t>2025</w:t>
      </w:r>
      <w:r w:rsidRPr="00A47719">
        <w:rPr>
          <w:rFonts w:ascii="Arial" w:hAnsi="Arial" w:cs="Arial"/>
          <w:sz w:val="16"/>
          <w:szCs w:val="16"/>
        </w:rPr>
        <w:t xml:space="preserve">, </w:t>
      </w:r>
      <w:r w:rsidRPr="00A47719">
        <w:rPr>
          <w:rFonts w:ascii="Arial" w:hAnsi="Arial" w:cs="Arial"/>
          <w:i/>
          <w:iCs/>
          <w:sz w:val="16"/>
          <w:szCs w:val="16"/>
        </w:rPr>
        <w:t>13</w:t>
      </w:r>
      <w:r w:rsidRPr="00A47719">
        <w:rPr>
          <w:rFonts w:ascii="Arial" w:hAnsi="Arial" w:cs="Arial"/>
          <w:sz w:val="16"/>
          <w:szCs w:val="16"/>
        </w:rPr>
        <w:t>, 27481-27492.</w:t>
      </w:r>
      <w:bookmarkEnd w:id="79"/>
    </w:p>
    <w:p w14:paraId="412A70C9" w14:textId="77777777" w:rsidR="00D240DA" w:rsidRPr="00A47719" w:rsidRDefault="00D361DA">
      <w:pPr>
        <w:spacing w:before="240" w:after="240"/>
        <w:rPr>
          <w:rFonts w:ascii="Arial" w:hAnsi="Arial" w:cs="Arial"/>
          <w:b/>
          <w:sz w:val="20"/>
          <w:szCs w:val="20"/>
          <w:lang w:val="en-US"/>
        </w:rPr>
      </w:pPr>
      <w:r w:rsidRPr="00A47719">
        <w:rPr>
          <w:rFonts w:cs="Arial"/>
          <w:b/>
          <w:sz w:val="20"/>
          <w:szCs w:val="20"/>
        </w:rPr>
        <w:br w:type="page"/>
      </w:r>
    </w:p>
    <w:p w14:paraId="1435B47A" w14:textId="77777777" w:rsidR="00D240DA" w:rsidRPr="00A47719" w:rsidRDefault="00D361DA">
      <w:pPr>
        <w:pStyle w:val="P1"/>
        <w:spacing w:before="240" w:after="240" w:line="240" w:lineRule="auto"/>
        <w:jc w:val="left"/>
        <w:rPr>
          <w:rFonts w:cs="Arial"/>
          <w:b/>
          <w:sz w:val="20"/>
          <w:szCs w:val="20"/>
        </w:rPr>
      </w:pPr>
      <w:r w:rsidRPr="00A47719">
        <w:rPr>
          <w:rFonts w:cs="Arial"/>
          <w:b/>
          <w:sz w:val="20"/>
          <w:szCs w:val="20"/>
        </w:rPr>
        <w:lastRenderedPageBreak/>
        <w:t>Entry for the Table of Contents</w:t>
      </w:r>
    </w:p>
    <w:p w14:paraId="6B595D8C" w14:textId="77777777" w:rsidR="00D240DA" w:rsidRPr="00A47719" w:rsidRDefault="00D361DA">
      <w:pPr>
        <w:pStyle w:val="TableOfContentText"/>
        <w:spacing w:before="240" w:after="240" w:line="240" w:lineRule="auto"/>
        <w:rPr>
          <w:rFonts w:cs="Arial"/>
          <w:color w:val="auto"/>
          <w:sz w:val="20"/>
          <w:lang w:val="en-US"/>
        </w:rPr>
      </w:pPr>
      <w:r w:rsidRPr="00A47719">
        <w:rPr>
          <w:rFonts w:cs="Arial"/>
          <w:noProof/>
          <w:color w:val="auto"/>
          <w:sz w:val="20"/>
        </w:rPr>
        <mc:AlternateContent>
          <mc:Choice Requires="wps">
            <w:drawing>
              <wp:inline distT="0" distB="0" distL="0" distR="0" wp14:anchorId="2E2A5566" wp14:editId="291B017F">
                <wp:extent cx="1979930" cy="1800225"/>
                <wp:effectExtent l="0" t="0" r="1270" b="9525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8002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6466083" w14:textId="77777777" w:rsidR="00D240DA" w:rsidRDefault="00D361DA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BCF9B3" wp14:editId="20C416B4">
                                  <wp:extent cx="1799590" cy="1485265"/>
                                  <wp:effectExtent l="0" t="0" r="0" b="635"/>
                                  <wp:docPr id="660419738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0419738" name="图片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485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E2A556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width:155.9pt;height:14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" fillcolor="#d8d8d8">
                <v:textbox>
                  <w:txbxContent>
                    <w:p w14:paraId="06466083" w14:textId="77777777" w:rsidR="00D240DA" w:rsidRDefault="00D361DA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BCF9B3" wp14:editId="20C416B4">
                            <wp:extent cx="1799590" cy="1485265"/>
                            <wp:effectExtent l="0" t="0" r="0" b="635"/>
                            <wp:docPr id="660419738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0419738" name="图片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485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9"/>
    <w:p w14:paraId="678CC3E6" w14:textId="77777777" w:rsidR="0039704C" w:rsidRPr="00A47719" w:rsidRDefault="0039704C" w:rsidP="0039704C">
      <w:pPr>
        <w:pStyle w:val="TableOfContentText"/>
        <w:spacing w:before="240" w:after="240" w:line="360" w:lineRule="auto"/>
        <w:ind w:firstLineChars="200" w:firstLine="400"/>
        <w:jc w:val="both"/>
        <w:rPr>
          <w:rFonts w:eastAsia="DengXian" w:cs="Arial"/>
          <w:color w:val="auto"/>
          <w:sz w:val="20"/>
        </w:rPr>
      </w:pPr>
      <w:r w:rsidRPr="00A47719">
        <w:rPr>
          <w:rFonts w:eastAsia="DengXian" w:cs="Arial"/>
          <w:color w:val="auto"/>
          <w:sz w:val="20"/>
          <w:lang w:val="en-US" w:eastAsia="zh-CN"/>
        </w:rPr>
        <w:t xml:space="preserve">Three pyrene-based antenna molecules were synthesized by covalently linking two pyrene-triphenylamine precursor units. </w:t>
      </w:r>
      <w:r w:rsidRPr="00A47719">
        <w:rPr>
          <w:rFonts w:eastAsia="DengXian" w:cs="Arial" w:hint="eastAsia"/>
          <w:color w:val="auto"/>
          <w:sz w:val="20"/>
          <w:lang w:val="en-US" w:eastAsia="zh-CN"/>
        </w:rPr>
        <w:t xml:space="preserve">(1) </w:t>
      </w:r>
      <w:r w:rsidRPr="00A47719">
        <w:rPr>
          <w:rFonts w:eastAsia="DengXian" w:cs="Arial"/>
          <w:color w:val="auto"/>
          <w:sz w:val="20"/>
          <w:lang w:val="en-US" w:eastAsia="zh-CN"/>
        </w:rPr>
        <w:t xml:space="preserve">These materials show pronounced antenna effect analogous to the precursor; (2) odd-even </w:t>
      </w:r>
      <w:r w:rsidRPr="00A47719">
        <w:rPr>
          <w:rFonts w:eastAsia="DengXian" w:cs="Arial" w:hint="eastAsia"/>
          <w:color w:val="auto"/>
          <w:sz w:val="20"/>
          <w:lang w:val="en-US" w:eastAsia="zh-CN"/>
        </w:rPr>
        <w:t>effect</w:t>
      </w:r>
      <w:r w:rsidRPr="00A47719">
        <w:rPr>
          <w:rFonts w:eastAsia="DengXian" w:cs="Arial"/>
          <w:color w:val="auto"/>
          <w:sz w:val="20"/>
          <w:lang w:val="en-US" w:eastAsia="zh-CN"/>
        </w:rPr>
        <w:t xml:space="preserve"> of alkyl spacers critically modulates </w:t>
      </w:r>
      <w:r w:rsidRPr="00A47719">
        <w:rPr>
          <w:rFonts w:eastAsia="DengXian" w:cs="Arial" w:hint="eastAsia"/>
          <w:color w:val="auto"/>
          <w:sz w:val="20"/>
          <w:lang w:val="en-US" w:eastAsia="zh-CN"/>
        </w:rPr>
        <w:t xml:space="preserve">molecular conformation </w:t>
      </w:r>
      <w:r w:rsidRPr="00A47719">
        <w:rPr>
          <w:rFonts w:eastAsia="DengXian" w:cs="Arial"/>
          <w:color w:val="auto"/>
          <w:sz w:val="20"/>
          <w:lang w:val="en-US" w:eastAsia="zh-CN"/>
        </w:rPr>
        <w:t xml:space="preserve">and electronic structures; </w:t>
      </w:r>
      <w:r w:rsidRPr="00A47719">
        <w:rPr>
          <w:rFonts w:eastAsia="DengXian" w:cs="Arial" w:hint="eastAsia"/>
          <w:color w:val="auto"/>
          <w:sz w:val="20"/>
          <w:lang w:val="en-US" w:eastAsia="zh-CN"/>
        </w:rPr>
        <w:t>and (3) compound</w:t>
      </w:r>
      <w:r w:rsidRPr="00A47719">
        <w:rPr>
          <w:rFonts w:eastAsia="DengXian" w:cs="Arial"/>
          <w:color w:val="auto"/>
          <w:sz w:val="20"/>
          <w:lang w:val="en-US" w:eastAsia="zh-CN"/>
        </w:rPr>
        <w:t xml:space="preserve"> </w:t>
      </w:r>
      <w:r w:rsidRPr="00A47719">
        <w:rPr>
          <w:rFonts w:eastAsia="DengXian" w:cs="Arial"/>
          <w:b/>
          <w:bCs/>
          <w:color w:val="auto"/>
          <w:sz w:val="20"/>
          <w:lang w:val="en-US" w:eastAsia="zh-CN"/>
        </w:rPr>
        <w:t>PyTPA-10C</w:t>
      </w:r>
      <w:r w:rsidRPr="00A47719">
        <w:rPr>
          <w:rFonts w:eastAsia="DengXian" w:cs="Arial"/>
          <w:color w:val="auto"/>
          <w:sz w:val="20"/>
          <w:lang w:val="en-US" w:eastAsia="zh-CN"/>
        </w:rPr>
        <w:t xml:space="preserve"> </w:t>
      </w:r>
      <w:proofErr w:type="spellStart"/>
      <w:r w:rsidRPr="00A47719">
        <w:rPr>
          <w:rFonts w:eastAsia="DengXian" w:cs="Arial" w:hint="eastAsia"/>
          <w:color w:val="auto"/>
          <w:sz w:val="20"/>
          <w:lang w:val="en-US" w:eastAsia="zh-CN"/>
        </w:rPr>
        <w:t>featureing</w:t>
      </w:r>
      <w:proofErr w:type="spellEnd"/>
      <w:r w:rsidRPr="00A47719">
        <w:rPr>
          <w:rFonts w:eastAsia="DengXian" w:cs="Arial" w:hint="eastAsia"/>
          <w:color w:val="auto"/>
          <w:sz w:val="20"/>
          <w:lang w:val="en-US" w:eastAsia="zh-CN"/>
        </w:rPr>
        <w:t xml:space="preserve"> </w:t>
      </w:r>
      <w:r w:rsidRPr="00A47719">
        <w:rPr>
          <w:rFonts w:eastAsia="DengXian" w:cs="Arial"/>
          <w:color w:val="auto"/>
          <w:sz w:val="20"/>
          <w:lang w:val="en-US" w:eastAsia="zh-CN"/>
        </w:rPr>
        <w:t>even-carbon decyl chain</w:t>
      </w:r>
      <w:r w:rsidRPr="00A47719">
        <w:rPr>
          <w:rFonts w:eastAsia="DengXian" w:cs="Arial" w:hint="eastAsia"/>
          <w:color w:val="auto"/>
          <w:sz w:val="20"/>
          <w:lang w:val="en-US" w:eastAsia="zh-CN"/>
        </w:rPr>
        <w:t xml:space="preserve"> as dopant-free HTM</w:t>
      </w:r>
      <w:r w:rsidRPr="00A47719">
        <w:rPr>
          <w:rFonts w:eastAsia="DengXian" w:cs="Arial"/>
          <w:color w:val="auto"/>
          <w:sz w:val="20"/>
          <w:lang w:val="en-US" w:eastAsia="zh-CN"/>
        </w:rPr>
        <w:t xml:space="preserve"> achieves a champion PCE of 25.47%</w:t>
      </w:r>
      <w:r w:rsidRPr="00A47719">
        <w:rPr>
          <w:rFonts w:eastAsia="DengXian" w:cs="Arial" w:hint="eastAsia"/>
          <w:color w:val="auto"/>
          <w:sz w:val="20"/>
          <w:lang w:val="en-US" w:eastAsia="zh-CN"/>
        </w:rPr>
        <w:t xml:space="preserve"> in PSC devices.</w:t>
      </w:r>
    </w:p>
    <w:p w14:paraId="5E66AAA9" w14:textId="57333A68" w:rsidR="00D240DA" w:rsidRPr="00A47719" w:rsidRDefault="00D240DA" w:rsidP="0039704C">
      <w:pPr>
        <w:pStyle w:val="TableOfContentText"/>
        <w:spacing w:before="240" w:after="240" w:line="0" w:lineRule="atLeast"/>
        <w:jc w:val="both"/>
        <w:rPr>
          <w:rFonts w:eastAsiaTheme="minorEastAsia" w:cs="Arial"/>
          <w:color w:val="auto"/>
          <w:sz w:val="20"/>
          <w:lang w:val="en-US" w:eastAsia="zh-CN"/>
        </w:rPr>
      </w:pPr>
    </w:p>
    <w:sectPr w:rsidR="00D240DA" w:rsidRPr="00A47719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1134" w:right="936" w:bottom="1134" w:left="936" w:header="1021" w:footer="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B83923" w14:textId="77777777" w:rsidR="00213D68" w:rsidRDefault="00213D68">
      <w:r>
        <w:separator/>
      </w:r>
    </w:p>
  </w:endnote>
  <w:endnote w:type="continuationSeparator" w:id="0">
    <w:p w14:paraId="77CAA913" w14:textId="77777777" w:rsidR="00213D68" w:rsidRDefault="00213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ew York">
    <w:panose1 w:val="02040503060506020304"/>
    <w:charset w:val="00"/>
    <w:family w:val="roman"/>
    <w:pitch w:val="default"/>
    <w:sig w:usb0="00000000" w:usb1="00000000" w:usb2="00000000" w:usb3="00000000" w:csb0="0000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200E7" w14:textId="77777777" w:rsidR="00D240DA" w:rsidRDefault="00D361D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  <w:p w14:paraId="07196DF2" w14:textId="77777777" w:rsidR="00D240DA" w:rsidRDefault="00D240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EF809" w14:textId="77777777" w:rsidR="00213D68" w:rsidRDefault="00213D68">
      <w:r>
        <w:separator/>
      </w:r>
    </w:p>
  </w:footnote>
  <w:footnote w:type="continuationSeparator" w:id="0">
    <w:p w14:paraId="711B120C" w14:textId="77777777" w:rsidR="00213D68" w:rsidRDefault="00213D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8E984" w14:textId="77777777" w:rsidR="00D240DA" w:rsidRDefault="00213D68">
    <w:pPr>
      <w:pStyle w:val="Header"/>
    </w:pPr>
    <w:r>
      <w:pict w14:anchorId="1BF9C2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004313" o:spid="_x0000_s1034" type="#_x0000_t75" style="position:absolute;margin-left:0;margin-top:0;width:501.3pt;height:90.25pt;z-index:-251655168;mso-position-horizontal:center;mso-position-horizontal-relative:margin;mso-position-vertical:center;mso-position-vertical-relative:margin;mso-width-relative:page;mso-height-relative:page" o:allowincell="f">
          <v:imagedata r:id="rId1" o:title="Screenshot 2023-02-22 09355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D8E65" w14:textId="77777777" w:rsidR="00D240DA" w:rsidRDefault="00213D68">
    <w:pPr>
      <w:pStyle w:val="Header"/>
      <w:pBdr>
        <w:bottom w:val="single" w:sz="18" w:space="1" w:color="C0C0C0"/>
      </w:pBdr>
    </w:pPr>
    <w:r>
      <w:pict w14:anchorId="57AAF0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004314" o:spid="_x0000_s1035" type="#_x0000_t75" style="position:absolute;margin-left:0;margin-top:0;width:646pt;height:116.3pt;rotation:315;z-index:-251654144;mso-position-horizontal:center;mso-position-horizontal-relative:margin;mso-position-vertical:center;mso-position-vertical-relative:margin;mso-width-relative:page;mso-height-relative:page" o:allowincell="f">
          <v:imagedata r:id="rId1" o:title="Screenshot 2023-02-22 093554" gain="19661f" blacklevel="22938f"/>
          <w10:wrap anchorx="margin" anchory="margin"/>
        </v:shape>
      </w:pict>
    </w:r>
    <w:r w:rsidR="00D361DA">
      <w:rPr>
        <w:noProof/>
      </w:rPr>
      <w:drawing>
        <wp:anchor distT="0" distB="0" distL="114300" distR="114300" simplePos="0" relativeHeight="251659264" behindDoc="0" locked="0" layoutInCell="1" allowOverlap="1" wp14:anchorId="53CACA39" wp14:editId="25BCDB4E">
          <wp:simplePos x="0" y="0"/>
          <wp:positionH relativeFrom="column">
            <wp:posOffset>5345430</wp:posOffset>
          </wp:positionH>
          <wp:positionV relativeFrom="paragraph">
            <wp:posOffset>-1905</wp:posOffset>
          </wp:positionV>
          <wp:extent cx="1079500" cy="194310"/>
          <wp:effectExtent l="0" t="0" r="6350" b="0"/>
          <wp:wrapTopAndBottom/>
          <wp:docPr id="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361DA">
      <w:rPr>
        <w:rFonts w:ascii="Arial Narrow" w:hAnsi="Arial Narrow" w:cs="Arial"/>
        <w:b/>
        <w:bCs/>
        <w:color w:val="C0C0C0"/>
        <w:sz w:val="32"/>
        <w:szCs w:val="36"/>
      </w:rPr>
      <w:t>RESEARCH ARTICLE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39E84" w14:textId="77777777" w:rsidR="00D240DA" w:rsidRDefault="00213D68">
    <w:pPr>
      <w:pStyle w:val="Header"/>
    </w:pPr>
    <w:r>
      <w:pict w14:anchorId="5935F6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004312" o:spid="_x0000_s1033" type="#_x0000_t75" style="position:absolute;margin-left:0;margin-top:0;width:501.3pt;height:90.25pt;z-index:-251656192;mso-position-horizontal:center;mso-position-horizontal-relative:margin;mso-position-vertical:center;mso-position-vertical-relative:margin;mso-width-relative:page;mso-height-relative:page" o:allowincell="f">
          <v:imagedata r:id="rId1" o:title="Screenshot 2023-02-22 09355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425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AB9"/>
    <w:rsid w:val="0000214A"/>
    <w:rsid w:val="00002DBC"/>
    <w:rsid w:val="000036EA"/>
    <w:rsid w:val="00003927"/>
    <w:rsid w:val="0000457A"/>
    <w:rsid w:val="00010410"/>
    <w:rsid w:val="00011D51"/>
    <w:rsid w:val="00013DD7"/>
    <w:rsid w:val="000143B9"/>
    <w:rsid w:val="000208F6"/>
    <w:rsid w:val="00022DB4"/>
    <w:rsid w:val="00033C26"/>
    <w:rsid w:val="00033D1A"/>
    <w:rsid w:val="00033F43"/>
    <w:rsid w:val="00036490"/>
    <w:rsid w:val="000370C7"/>
    <w:rsid w:val="0004091A"/>
    <w:rsid w:val="00042BF0"/>
    <w:rsid w:val="00045AB9"/>
    <w:rsid w:val="0005096E"/>
    <w:rsid w:val="00051274"/>
    <w:rsid w:val="0005140E"/>
    <w:rsid w:val="00055485"/>
    <w:rsid w:val="00060837"/>
    <w:rsid w:val="0006281D"/>
    <w:rsid w:val="00063E0F"/>
    <w:rsid w:val="0006489B"/>
    <w:rsid w:val="000650AB"/>
    <w:rsid w:val="0006694D"/>
    <w:rsid w:val="000669E3"/>
    <w:rsid w:val="00066B8E"/>
    <w:rsid w:val="00070B55"/>
    <w:rsid w:val="00070E0D"/>
    <w:rsid w:val="000725D1"/>
    <w:rsid w:val="0007315F"/>
    <w:rsid w:val="00077560"/>
    <w:rsid w:val="000806F8"/>
    <w:rsid w:val="0008077D"/>
    <w:rsid w:val="000874A6"/>
    <w:rsid w:val="0008784F"/>
    <w:rsid w:val="00091323"/>
    <w:rsid w:val="000915C4"/>
    <w:rsid w:val="00092908"/>
    <w:rsid w:val="00093B00"/>
    <w:rsid w:val="0009539C"/>
    <w:rsid w:val="00095C2F"/>
    <w:rsid w:val="000A37F3"/>
    <w:rsid w:val="000A77DC"/>
    <w:rsid w:val="000B6DF3"/>
    <w:rsid w:val="000C1DBD"/>
    <w:rsid w:val="000C2F27"/>
    <w:rsid w:val="000C53F1"/>
    <w:rsid w:val="000D0520"/>
    <w:rsid w:val="000D6F09"/>
    <w:rsid w:val="000D70F8"/>
    <w:rsid w:val="000D75B7"/>
    <w:rsid w:val="000D7701"/>
    <w:rsid w:val="000E0815"/>
    <w:rsid w:val="000E0CEA"/>
    <w:rsid w:val="000E0EC4"/>
    <w:rsid w:val="000E1C81"/>
    <w:rsid w:val="000E517A"/>
    <w:rsid w:val="000E5FDC"/>
    <w:rsid w:val="000E76B8"/>
    <w:rsid w:val="000F29A4"/>
    <w:rsid w:val="000F2C63"/>
    <w:rsid w:val="000F2EA1"/>
    <w:rsid w:val="000F5BD1"/>
    <w:rsid w:val="000F7847"/>
    <w:rsid w:val="00103032"/>
    <w:rsid w:val="001037A1"/>
    <w:rsid w:val="00103EF7"/>
    <w:rsid w:val="00104119"/>
    <w:rsid w:val="0010543E"/>
    <w:rsid w:val="00105F97"/>
    <w:rsid w:val="00107E8C"/>
    <w:rsid w:val="00110208"/>
    <w:rsid w:val="00111C9B"/>
    <w:rsid w:val="00114B6C"/>
    <w:rsid w:val="001158DE"/>
    <w:rsid w:val="00120F2E"/>
    <w:rsid w:val="001237B3"/>
    <w:rsid w:val="0012381E"/>
    <w:rsid w:val="001240B4"/>
    <w:rsid w:val="001322FF"/>
    <w:rsid w:val="0013316F"/>
    <w:rsid w:val="001344F7"/>
    <w:rsid w:val="001348CD"/>
    <w:rsid w:val="001357DC"/>
    <w:rsid w:val="0014043E"/>
    <w:rsid w:val="00141356"/>
    <w:rsid w:val="00143551"/>
    <w:rsid w:val="0014374D"/>
    <w:rsid w:val="00143B89"/>
    <w:rsid w:val="001475BF"/>
    <w:rsid w:val="00147DA2"/>
    <w:rsid w:val="00152E6D"/>
    <w:rsid w:val="00155FB7"/>
    <w:rsid w:val="0015631F"/>
    <w:rsid w:val="00157C67"/>
    <w:rsid w:val="0016203E"/>
    <w:rsid w:val="001639AE"/>
    <w:rsid w:val="001654DF"/>
    <w:rsid w:val="00166BEB"/>
    <w:rsid w:val="00166D41"/>
    <w:rsid w:val="001678B6"/>
    <w:rsid w:val="0017048F"/>
    <w:rsid w:val="00170D5C"/>
    <w:rsid w:val="00171974"/>
    <w:rsid w:val="00172B86"/>
    <w:rsid w:val="00172F48"/>
    <w:rsid w:val="001732A4"/>
    <w:rsid w:val="001800AA"/>
    <w:rsid w:val="00180C8D"/>
    <w:rsid w:val="0018165B"/>
    <w:rsid w:val="00181774"/>
    <w:rsid w:val="001832A4"/>
    <w:rsid w:val="00184021"/>
    <w:rsid w:val="00184380"/>
    <w:rsid w:val="00186601"/>
    <w:rsid w:val="001878D0"/>
    <w:rsid w:val="0019014F"/>
    <w:rsid w:val="00190B24"/>
    <w:rsid w:val="00191EE6"/>
    <w:rsid w:val="00193FF6"/>
    <w:rsid w:val="00194818"/>
    <w:rsid w:val="00194A21"/>
    <w:rsid w:val="00196DEB"/>
    <w:rsid w:val="00197F42"/>
    <w:rsid w:val="001A0D55"/>
    <w:rsid w:val="001A2FE3"/>
    <w:rsid w:val="001A3120"/>
    <w:rsid w:val="001A39AE"/>
    <w:rsid w:val="001A3B68"/>
    <w:rsid w:val="001A438D"/>
    <w:rsid w:val="001B0DFC"/>
    <w:rsid w:val="001B286E"/>
    <w:rsid w:val="001B2FA0"/>
    <w:rsid w:val="001B73B9"/>
    <w:rsid w:val="001B7620"/>
    <w:rsid w:val="001C1039"/>
    <w:rsid w:val="001C21E3"/>
    <w:rsid w:val="001C26A7"/>
    <w:rsid w:val="001D1155"/>
    <w:rsid w:val="001D13EA"/>
    <w:rsid w:val="001D216B"/>
    <w:rsid w:val="001D29CA"/>
    <w:rsid w:val="001D54CA"/>
    <w:rsid w:val="001D7ECC"/>
    <w:rsid w:val="001E164A"/>
    <w:rsid w:val="001E2F1C"/>
    <w:rsid w:val="001E58F3"/>
    <w:rsid w:val="001E7E77"/>
    <w:rsid w:val="001F16EF"/>
    <w:rsid w:val="001F1A2D"/>
    <w:rsid w:val="001F1F32"/>
    <w:rsid w:val="001F252B"/>
    <w:rsid w:val="001F3ACC"/>
    <w:rsid w:val="001F4235"/>
    <w:rsid w:val="001F45C3"/>
    <w:rsid w:val="001F4EE4"/>
    <w:rsid w:val="0020036A"/>
    <w:rsid w:val="002026A9"/>
    <w:rsid w:val="0020306E"/>
    <w:rsid w:val="002044E4"/>
    <w:rsid w:val="002124FA"/>
    <w:rsid w:val="00213D0E"/>
    <w:rsid w:val="00213D68"/>
    <w:rsid w:val="002221BA"/>
    <w:rsid w:val="00222D97"/>
    <w:rsid w:val="00224F38"/>
    <w:rsid w:val="0022537E"/>
    <w:rsid w:val="0022582C"/>
    <w:rsid w:val="00232C14"/>
    <w:rsid w:val="002362C7"/>
    <w:rsid w:val="00241D85"/>
    <w:rsid w:val="00242E54"/>
    <w:rsid w:val="002433F0"/>
    <w:rsid w:val="00243927"/>
    <w:rsid w:val="002440F7"/>
    <w:rsid w:val="00260EDA"/>
    <w:rsid w:val="00261387"/>
    <w:rsid w:val="00261882"/>
    <w:rsid w:val="00265DCA"/>
    <w:rsid w:val="0026733A"/>
    <w:rsid w:val="00267F8A"/>
    <w:rsid w:val="002702BC"/>
    <w:rsid w:val="0027068B"/>
    <w:rsid w:val="002820EB"/>
    <w:rsid w:val="00287256"/>
    <w:rsid w:val="00287B32"/>
    <w:rsid w:val="00291C93"/>
    <w:rsid w:val="00297A35"/>
    <w:rsid w:val="002A36FA"/>
    <w:rsid w:val="002A4C54"/>
    <w:rsid w:val="002A561E"/>
    <w:rsid w:val="002A69D1"/>
    <w:rsid w:val="002B16E2"/>
    <w:rsid w:val="002B22BA"/>
    <w:rsid w:val="002B25E2"/>
    <w:rsid w:val="002B453B"/>
    <w:rsid w:val="002B56C9"/>
    <w:rsid w:val="002B7CA9"/>
    <w:rsid w:val="002C219E"/>
    <w:rsid w:val="002C36E0"/>
    <w:rsid w:val="002C3AC3"/>
    <w:rsid w:val="002C7AB9"/>
    <w:rsid w:val="002D0B17"/>
    <w:rsid w:val="002D24CB"/>
    <w:rsid w:val="002D370C"/>
    <w:rsid w:val="002D42FF"/>
    <w:rsid w:val="002D4356"/>
    <w:rsid w:val="002D5148"/>
    <w:rsid w:val="002E066F"/>
    <w:rsid w:val="002E2CA8"/>
    <w:rsid w:val="002E3FFF"/>
    <w:rsid w:val="002F0269"/>
    <w:rsid w:val="002F1479"/>
    <w:rsid w:val="002F17FB"/>
    <w:rsid w:val="002F54CF"/>
    <w:rsid w:val="002F56D6"/>
    <w:rsid w:val="002F6A4C"/>
    <w:rsid w:val="002F73A5"/>
    <w:rsid w:val="003006A7"/>
    <w:rsid w:val="00301167"/>
    <w:rsid w:val="00301D1E"/>
    <w:rsid w:val="00303FBE"/>
    <w:rsid w:val="003040CB"/>
    <w:rsid w:val="00304222"/>
    <w:rsid w:val="003079D2"/>
    <w:rsid w:val="00307C5A"/>
    <w:rsid w:val="003116F4"/>
    <w:rsid w:val="00312ED2"/>
    <w:rsid w:val="00317B76"/>
    <w:rsid w:val="0032022A"/>
    <w:rsid w:val="0032048F"/>
    <w:rsid w:val="003219A5"/>
    <w:rsid w:val="00322D02"/>
    <w:rsid w:val="00322E1F"/>
    <w:rsid w:val="00323B68"/>
    <w:rsid w:val="00323FC3"/>
    <w:rsid w:val="003242FE"/>
    <w:rsid w:val="00324724"/>
    <w:rsid w:val="00325147"/>
    <w:rsid w:val="003254D1"/>
    <w:rsid w:val="00325516"/>
    <w:rsid w:val="003275FF"/>
    <w:rsid w:val="0033054D"/>
    <w:rsid w:val="00331B5E"/>
    <w:rsid w:val="00333FAD"/>
    <w:rsid w:val="0033586B"/>
    <w:rsid w:val="00336832"/>
    <w:rsid w:val="00336A5A"/>
    <w:rsid w:val="003403BB"/>
    <w:rsid w:val="00340A08"/>
    <w:rsid w:val="003447D7"/>
    <w:rsid w:val="0034496B"/>
    <w:rsid w:val="0034745F"/>
    <w:rsid w:val="00354B57"/>
    <w:rsid w:val="00364753"/>
    <w:rsid w:val="00364A2A"/>
    <w:rsid w:val="00364CFF"/>
    <w:rsid w:val="003657B6"/>
    <w:rsid w:val="00366676"/>
    <w:rsid w:val="003674A7"/>
    <w:rsid w:val="00375415"/>
    <w:rsid w:val="00376792"/>
    <w:rsid w:val="00376F37"/>
    <w:rsid w:val="0038506F"/>
    <w:rsid w:val="00387378"/>
    <w:rsid w:val="00390DD7"/>
    <w:rsid w:val="00396BE2"/>
    <w:rsid w:val="0039704C"/>
    <w:rsid w:val="003A6168"/>
    <w:rsid w:val="003B04BA"/>
    <w:rsid w:val="003B0FC4"/>
    <w:rsid w:val="003B6C60"/>
    <w:rsid w:val="003B70C8"/>
    <w:rsid w:val="003B7B63"/>
    <w:rsid w:val="003C05F1"/>
    <w:rsid w:val="003C134A"/>
    <w:rsid w:val="003C1CCA"/>
    <w:rsid w:val="003C2972"/>
    <w:rsid w:val="003C2C9C"/>
    <w:rsid w:val="003C6E1A"/>
    <w:rsid w:val="003C743A"/>
    <w:rsid w:val="003D0F51"/>
    <w:rsid w:val="003D1C1A"/>
    <w:rsid w:val="003D3F9A"/>
    <w:rsid w:val="003E345B"/>
    <w:rsid w:val="003E54CD"/>
    <w:rsid w:val="003E7319"/>
    <w:rsid w:val="003F1223"/>
    <w:rsid w:val="003F2556"/>
    <w:rsid w:val="003F50D4"/>
    <w:rsid w:val="0040080D"/>
    <w:rsid w:val="0040270E"/>
    <w:rsid w:val="00403876"/>
    <w:rsid w:val="004062B1"/>
    <w:rsid w:val="004070B6"/>
    <w:rsid w:val="004072DD"/>
    <w:rsid w:val="00407DA3"/>
    <w:rsid w:val="00411AA6"/>
    <w:rsid w:val="00414412"/>
    <w:rsid w:val="00415971"/>
    <w:rsid w:val="00416B05"/>
    <w:rsid w:val="00422AFE"/>
    <w:rsid w:val="00423593"/>
    <w:rsid w:val="00424978"/>
    <w:rsid w:val="00425357"/>
    <w:rsid w:val="0042545B"/>
    <w:rsid w:val="00427CBD"/>
    <w:rsid w:val="00430E09"/>
    <w:rsid w:val="00431151"/>
    <w:rsid w:val="00432307"/>
    <w:rsid w:val="004344FB"/>
    <w:rsid w:val="00435D6F"/>
    <w:rsid w:val="00436338"/>
    <w:rsid w:val="00437B5A"/>
    <w:rsid w:val="00444E3C"/>
    <w:rsid w:val="00445D5C"/>
    <w:rsid w:val="004465F9"/>
    <w:rsid w:val="004466B0"/>
    <w:rsid w:val="00454A2D"/>
    <w:rsid w:val="004556E1"/>
    <w:rsid w:val="004609E1"/>
    <w:rsid w:val="00460C28"/>
    <w:rsid w:val="004615BE"/>
    <w:rsid w:val="00461BD2"/>
    <w:rsid w:val="00462A09"/>
    <w:rsid w:val="004644E1"/>
    <w:rsid w:val="0046574E"/>
    <w:rsid w:val="004657E8"/>
    <w:rsid w:val="00465A66"/>
    <w:rsid w:val="00467E99"/>
    <w:rsid w:val="00470790"/>
    <w:rsid w:val="00473029"/>
    <w:rsid w:val="00473C89"/>
    <w:rsid w:val="00473EE4"/>
    <w:rsid w:val="00477B4C"/>
    <w:rsid w:val="00477B99"/>
    <w:rsid w:val="004823EF"/>
    <w:rsid w:val="004841CA"/>
    <w:rsid w:val="00485C84"/>
    <w:rsid w:val="00486215"/>
    <w:rsid w:val="0048630D"/>
    <w:rsid w:val="004921CF"/>
    <w:rsid w:val="004930F0"/>
    <w:rsid w:val="004952D8"/>
    <w:rsid w:val="004A0BA8"/>
    <w:rsid w:val="004A489D"/>
    <w:rsid w:val="004A4A2E"/>
    <w:rsid w:val="004A4CD0"/>
    <w:rsid w:val="004A73A8"/>
    <w:rsid w:val="004A75D5"/>
    <w:rsid w:val="004A771F"/>
    <w:rsid w:val="004A78AE"/>
    <w:rsid w:val="004B004E"/>
    <w:rsid w:val="004B0589"/>
    <w:rsid w:val="004B0B74"/>
    <w:rsid w:val="004B1783"/>
    <w:rsid w:val="004B4508"/>
    <w:rsid w:val="004B65AE"/>
    <w:rsid w:val="004B7661"/>
    <w:rsid w:val="004C1836"/>
    <w:rsid w:val="004C22E6"/>
    <w:rsid w:val="004C275D"/>
    <w:rsid w:val="004C2834"/>
    <w:rsid w:val="004C2FAC"/>
    <w:rsid w:val="004C3CC9"/>
    <w:rsid w:val="004C471F"/>
    <w:rsid w:val="004C5F41"/>
    <w:rsid w:val="004C6D04"/>
    <w:rsid w:val="004D090A"/>
    <w:rsid w:val="004D31C6"/>
    <w:rsid w:val="004D4293"/>
    <w:rsid w:val="004D4779"/>
    <w:rsid w:val="004D5ABB"/>
    <w:rsid w:val="004D6DB8"/>
    <w:rsid w:val="004E0C89"/>
    <w:rsid w:val="004E2D29"/>
    <w:rsid w:val="004E3010"/>
    <w:rsid w:val="004E3F83"/>
    <w:rsid w:val="004E4A53"/>
    <w:rsid w:val="004E4DFF"/>
    <w:rsid w:val="004E5278"/>
    <w:rsid w:val="004E74F4"/>
    <w:rsid w:val="004F0129"/>
    <w:rsid w:val="004F257F"/>
    <w:rsid w:val="004F35CD"/>
    <w:rsid w:val="004F4DDE"/>
    <w:rsid w:val="004F7F41"/>
    <w:rsid w:val="00500F94"/>
    <w:rsid w:val="00501639"/>
    <w:rsid w:val="00501694"/>
    <w:rsid w:val="00501EFF"/>
    <w:rsid w:val="00501F62"/>
    <w:rsid w:val="0050277D"/>
    <w:rsid w:val="005035EB"/>
    <w:rsid w:val="0050689B"/>
    <w:rsid w:val="005068AA"/>
    <w:rsid w:val="00506EDB"/>
    <w:rsid w:val="00511093"/>
    <w:rsid w:val="00512A8E"/>
    <w:rsid w:val="00520422"/>
    <w:rsid w:val="0052085F"/>
    <w:rsid w:val="00523486"/>
    <w:rsid w:val="0052404D"/>
    <w:rsid w:val="00530284"/>
    <w:rsid w:val="00531668"/>
    <w:rsid w:val="005321B0"/>
    <w:rsid w:val="00533C2C"/>
    <w:rsid w:val="0053418A"/>
    <w:rsid w:val="005349D6"/>
    <w:rsid w:val="00535972"/>
    <w:rsid w:val="00536BC1"/>
    <w:rsid w:val="00537F36"/>
    <w:rsid w:val="00540EEA"/>
    <w:rsid w:val="00541205"/>
    <w:rsid w:val="005433DE"/>
    <w:rsid w:val="0054420E"/>
    <w:rsid w:val="005472E5"/>
    <w:rsid w:val="0055057E"/>
    <w:rsid w:val="00550B0C"/>
    <w:rsid w:val="0055113D"/>
    <w:rsid w:val="0055202F"/>
    <w:rsid w:val="005551F3"/>
    <w:rsid w:val="00556A65"/>
    <w:rsid w:val="00561049"/>
    <w:rsid w:val="00561C0E"/>
    <w:rsid w:val="00564CEC"/>
    <w:rsid w:val="005662EA"/>
    <w:rsid w:val="00567B5A"/>
    <w:rsid w:val="00567C18"/>
    <w:rsid w:val="0057009B"/>
    <w:rsid w:val="005735B3"/>
    <w:rsid w:val="005755CC"/>
    <w:rsid w:val="005801F0"/>
    <w:rsid w:val="005826CC"/>
    <w:rsid w:val="005839B9"/>
    <w:rsid w:val="00586DF8"/>
    <w:rsid w:val="00591262"/>
    <w:rsid w:val="00591AB8"/>
    <w:rsid w:val="00597954"/>
    <w:rsid w:val="005A2703"/>
    <w:rsid w:val="005A75C0"/>
    <w:rsid w:val="005B10C2"/>
    <w:rsid w:val="005B141A"/>
    <w:rsid w:val="005B15A7"/>
    <w:rsid w:val="005B292E"/>
    <w:rsid w:val="005B3509"/>
    <w:rsid w:val="005B430B"/>
    <w:rsid w:val="005B43B7"/>
    <w:rsid w:val="005B5D4F"/>
    <w:rsid w:val="005B6716"/>
    <w:rsid w:val="005B6C3E"/>
    <w:rsid w:val="005B6C80"/>
    <w:rsid w:val="005B71FC"/>
    <w:rsid w:val="005C08BF"/>
    <w:rsid w:val="005C4CEE"/>
    <w:rsid w:val="005C4F38"/>
    <w:rsid w:val="005C5196"/>
    <w:rsid w:val="005D14B4"/>
    <w:rsid w:val="005D1EBB"/>
    <w:rsid w:val="005D43FD"/>
    <w:rsid w:val="005D65E6"/>
    <w:rsid w:val="005E7379"/>
    <w:rsid w:val="005F19CB"/>
    <w:rsid w:val="005F43BA"/>
    <w:rsid w:val="005F5348"/>
    <w:rsid w:val="005F74E7"/>
    <w:rsid w:val="006011C8"/>
    <w:rsid w:val="006024FD"/>
    <w:rsid w:val="0060310C"/>
    <w:rsid w:val="00605FAC"/>
    <w:rsid w:val="006134A3"/>
    <w:rsid w:val="00614C33"/>
    <w:rsid w:val="006150DB"/>
    <w:rsid w:val="00616065"/>
    <w:rsid w:val="006200AB"/>
    <w:rsid w:val="00620416"/>
    <w:rsid w:val="00620450"/>
    <w:rsid w:val="00620753"/>
    <w:rsid w:val="00620911"/>
    <w:rsid w:val="00620C61"/>
    <w:rsid w:val="00625EE2"/>
    <w:rsid w:val="00627F57"/>
    <w:rsid w:val="00636481"/>
    <w:rsid w:val="00644209"/>
    <w:rsid w:val="00647525"/>
    <w:rsid w:val="006479FE"/>
    <w:rsid w:val="00654CEE"/>
    <w:rsid w:val="00654E17"/>
    <w:rsid w:val="00654FD0"/>
    <w:rsid w:val="00656634"/>
    <w:rsid w:val="0066216C"/>
    <w:rsid w:val="00665E34"/>
    <w:rsid w:val="006675EA"/>
    <w:rsid w:val="00671E1E"/>
    <w:rsid w:val="006722A0"/>
    <w:rsid w:val="006724B9"/>
    <w:rsid w:val="00672587"/>
    <w:rsid w:val="006727AE"/>
    <w:rsid w:val="0067512C"/>
    <w:rsid w:val="00677AB5"/>
    <w:rsid w:val="00677D6F"/>
    <w:rsid w:val="006812E2"/>
    <w:rsid w:val="00681A96"/>
    <w:rsid w:val="00685DA5"/>
    <w:rsid w:val="0068673B"/>
    <w:rsid w:val="00690F15"/>
    <w:rsid w:val="00694EC1"/>
    <w:rsid w:val="00695312"/>
    <w:rsid w:val="006956E5"/>
    <w:rsid w:val="0069644B"/>
    <w:rsid w:val="006976AD"/>
    <w:rsid w:val="00697E3B"/>
    <w:rsid w:val="006A108F"/>
    <w:rsid w:val="006A2254"/>
    <w:rsid w:val="006A5D78"/>
    <w:rsid w:val="006A6116"/>
    <w:rsid w:val="006A7E4F"/>
    <w:rsid w:val="006B04A7"/>
    <w:rsid w:val="006B369F"/>
    <w:rsid w:val="006B4DC6"/>
    <w:rsid w:val="006B4E8D"/>
    <w:rsid w:val="006B5DE9"/>
    <w:rsid w:val="006B6806"/>
    <w:rsid w:val="006B72C2"/>
    <w:rsid w:val="006B7C3F"/>
    <w:rsid w:val="006C1123"/>
    <w:rsid w:val="006C2DBE"/>
    <w:rsid w:val="006C3749"/>
    <w:rsid w:val="006C5C46"/>
    <w:rsid w:val="006C5F03"/>
    <w:rsid w:val="006C643D"/>
    <w:rsid w:val="006C6BFE"/>
    <w:rsid w:val="006C6D39"/>
    <w:rsid w:val="006C7DF4"/>
    <w:rsid w:val="006C7F18"/>
    <w:rsid w:val="006D02C0"/>
    <w:rsid w:val="006D184F"/>
    <w:rsid w:val="006D2D7B"/>
    <w:rsid w:val="006D3595"/>
    <w:rsid w:val="006D4F77"/>
    <w:rsid w:val="006D6793"/>
    <w:rsid w:val="006E041E"/>
    <w:rsid w:val="006E1134"/>
    <w:rsid w:val="006E5BEA"/>
    <w:rsid w:val="006F0EB7"/>
    <w:rsid w:val="006F3B5F"/>
    <w:rsid w:val="006F6671"/>
    <w:rsid w:val="00700F72"/>
    <w:rsid w:val="007013DE"/>
    <w:rsid w:val="00701830"/>
    <w:rsid w:val="00702F63"/>
    <w:rsid w:val="00710543"/>
    <w:rsid w:val="00710812"/>
    <w:rsid w:val="00711E9D"/>
    <w:rsid w:val="007130CE"/>
    <w:rsid w:val="00713548"/>
    <w:rsid w:val="00713B1C"/>
    <w:rsid w:val="00714DB9"/>
    <w:rsid w:val="00714DC9"/>
    <w:rsid w:val="0071700B"/>
    <w:rsid w:val="00717BD5"/>
    <w:rsid w:val="00720CC1"/>
    <w:rsid w:val="00720FED"/>
    <w:rsid w:val="007249D7"/>
    <w:rsid w:val="007252DA"/>
    <w:rsid w:val="00732798"/>
    <w:rsid w:val="00736F60"/>
    <w:rsid w:val="00737264"/>
    <w:rsid w:val="007406C2"/>
    <w:rsid w:val="007407AE"/>
    <w:rsid w:val="00740CE1"/>
    <w:rsid w:val="0074126C"/>
    <w:rsid w:val="00741B47"/>
    <w:rsid w:val="0074388E"/>
    <w:rsid w:val="00745DE7"/>
    <w:rsid w:val="00746C0D"/>
    <w:rsid w:val="00746FEF"/>
    <w:rsid w:val="00750326"/>
    <w:rsid w:val="0075278E"/>
    <w:rsid w:val="00754F5F"/>
    <w:rsid w:val="00757401"/>
    <w:rsid w:val="00757673"/>
    <w:rsid w:val="007576FA"/>
    <w:rsid w:val="00757C71"/>
    <w:rsid w:val="00763D77"/>
    <w:rsid w:val="00763EDE"/>
    <w:rsid w:val="00764297"/>
    <w:rsid w:val="00764F01"/>
    <w:rsid w:val="00765C4D"/>
    <w:rsid w:val="007663E0"/>
    <w:rsid w:val="00773904"/>
    <w:rsid w:val="00773C4B"/>
    <w:rsid w:val="00773D16"/>
    <w:rsid w:val="007740A8"/>
    <w:rsid w:val="00775C8A"/>
    <w:rsid w:val="00775F73"/>
    <w:rsid w:val="007776E8"/>
    <w:rsid w:val="007815C4"/>
    <w:rsid w:val="00783B6C"/>
    <w:rsid w:val="00783D86"/>
    <w:rsid w:val="00783FBE"/>
    <w:rsid w:val="0078454A"/>
    <w:rsid w:val="0078628B"/>
    <w:rsid w:val="007867CB"/>
    <w:rsid w:val="0078784C"/>
    <w:rsid w:val="00790302"/>
    <w:rsid w:val="0079373E"/>
    <w:rsid w:val="007958BF"/>
    <w:rsid w:val="007A0D98"/>
    <w:rsid w:val="007A6D99"/>
    <w:rsid w:val="007A7E01"/>
    <w:rsid w:val="007B05F5"/>
    <w:rsid w:val="007B46D7"/>
    <w:rsid w:val="007B6A97"/>
    <w:rsid w:val="007C2805"/>
    <w:rsid w:val="007C28B1"/>
    <w:rsid w:val="007C3D60"/>
    <w:rsid w:val="007C4239"/>
    <w:rsid w:val="007C5712"/>
    <w:rsid w:val="007C672F"/>
    <w:rsid w:val="007D0337"/>
    <w:rsid w:val="007D0701"/>
    <w:rsid w:val="007D0E99"/>
    <w:rsid w:val="007D2ED9"/>
    <w:rsid w:val="007E0006"/>
    <w:rsid w:val="007E2CB8"/>
    <w:rsid w:val="007E3A49"/>
    <w:rsid w:val="007E52D5"/>
    <w:rsid w:val="007E6725"/>
    <w:rsid w:val="007E7187"/>
    <w:rsid w:val="007E773A"/>
    <w:rsid w:val="007F00BA"/>
    <w:rsid w:val="007F202F"/>
    <w:rsid w:val="007F20D9"/>
    <w:rsid w:val="007F46F6"/>
    <w:rsid w:val="007F664A"/>
    <w:rsid w:val="007F66E6"/>
    <w:rsid w:val="007F68CC"/>
    <w:rsid w:val="007F6A60"/>
    <w:rsid w:val="00804822"/>
    <w:rsid w:val="008102CA"/>
    <w:rsid w:val="00813005"/>
    <w:rsid w:val="00813FEF"/>
    <w:rsid w:val="00816397"/>
    <w:rsid w:val="00817ACD"/>
    <w:rsid w:val="00823310"/>
    <w:rsid w:val="008249B7"/>
    <w:rsid w:val="00826879"/>
    <w:rsid w:val="008272FD"/>
    <w:rsid w:val="00827A4E"/>
    <w:rsid w:val="00832891"/>
    <w:rsid w:val="008339A8"/>
    <w:rsid w:val="00836959"/>
    <w:rsid w:val="00837948"/>
    <w:rsid w:val="00847D4E"/>
    <w:rsid w:val="00851D03"/>
    <w:rsid w:val="008536CE"/>
    <w:rsid w:val="00854A3E"/>
    <w:rsid w:val="00854C3B"/>
    <w:rsid w:val="00855988"/>
    <w:rsid w:val="00856D80"/>
    <w:rsid w:val="008579DE"/>
    <w:rsid w:val="00860C40"/>
    <w:rsid w:val="00862323"/>
    <w:rsid w:val="00862A5B"/>
    <w:rsid w:val="00862D4C"/>
    <w:rsid w:val="00863DFC"/>
    <w:rsid w:val="0086441B"/>
    <w:rsid w:val="00865C7C"/>
    <w:rsid w:val="00870558"/>
    <w:rsid w:val="00873E64"/>
    <w:rsid w:val="00875FFC"/>
    <w:rsid w:val="00876FD0"/>
    <w:rsid w:val="008773A8"/>
    <w:rsid w:val="00880861"/>
    <w:rsid w:val="00884733"/>
    <w:rsid w:val="00884868"/>
    <w:rsid w:val="00886901"/>
    <w:rsid w:val="0089069D"/>
    <w:rsid w:val="00891A95"/>
    <w:rsid w:val="008935DC"/>
    <w:rsid w:val="0089404C"/>
    <w:rsid w:val="00896252"/>
    <w:rsid w:val="0089651C"/>
    <w:rsid w:val="00896608"/>
    <w:rsid w:val="008A75A2"/>
    <w:rsid w:val="008A782F"/>
    <w:rsid w:val="008B1D03"/>
    <w:rsid w:val="008B40E3"/>
    <w:rsid w:val="008C0905"/>
    <w:rsid w:val="008C26A3"/>
    <w:rsid w:val="008C35CF"/>
    <w:rsid w:val="008C4A56"/>
    <w:rsid w:val="008D05CC"/>
    <w:rsid w:val="008D0D68"/>
    <w:rsid w:val="008D24BE"/>
    <w:rsid w:val="008D306F"/>
    <w:rsid w:val="008D3292"/>
    <w:rsid w:val="008D3912"/>
    <w:rsid w:val="008E1877"/>
    <w:rsid w:val="008E26BA"/>
    <w:rsid w:val="008E4C32"/>
    <w:rsid w:val="008E50CA"/>
    <w:rsid w:val="008F195C"/>
    <w:rsid w:val="008F3789"/>
    <w:rsid w:val="008F525A"/>
    <w:rsid w:val="008F5663"/>
    <w:rsid w:val="008F6D3F"/>
    <w:rsid w:val="008F71A1"/>
    <w:rsid w:val="008F7FE1"/>
    <w:rsid w:val="00900B9E"/>
    <w:rsid w:val="00901A45"/>
    <w:rsid w:val="00902AF3"/>
    <w:rsid w:val="00903CA7"/>
    <w:rsid w:val="00905EED"/>
    <w:rsid w:val="00915FA4"/>
    <w:rsid w:val="009179FB"/>
    <w:rsid w:val="009203FD"/>
    <w:rsid w:val="0092483C"/>
    <w:rsid w:val="009264DF"/>
    <w:rsid w:val="009317ED"/>
    <w:rsid w:val="0093355D"/>
    <w:rsid w:val="00935D88"/>
    <w:rsid w:val="00935D92"/>
    <w:rsid w:val="009361EB"/>
    <w:rsid w:val="00941003"/>
    <w:rsid w:val="009425B3"/>
    <w:rsid w:val="00945BF2"/>
    <w:rsid w:val="0094711E"/>
    <w:rsid w:val="0094724E"/>
    <w:rsid w:val="0095126A"/>
    <w:rsid w:val="00952951"/>
    <w:rsid w:val="00953A07"/>
    <w:rsid w:val="00954442"/>
    <w:rsid w:val="00955B6D"/>
    <w:rsid w:val="009570F0"/>
    <w:rsid w:val="00957398"/>
    <w:rsid w:val="009600AC"/>
    <w:rsid w:val="0096219B"/>
    <w:rsid w:val="00963289"/>
    <w:rsid w:val="00963607"/>
    <w:rsid w:val="009658DA"/>
    <w:rsid w:val="0096675F"/>
    <w:rsid w:val="00966884"/>
    <w:rsid w:val="00971D8C"/>
    <w:rsid w:val="00972425"/>
    <w:rsid w:val="009733F5"/>
    <w:rsid w:val="0097560B"/>
    <w:rsid w:val="009767DE"/>
    <w:rsid w:val="0098110D"/>
    <w:rsid w:val="009831DD"/>
    <w:rsid w:val="0098401D"/>
    <w:rsid w:val="009849E5"/>
    <w:rsid w:val="00984BD8"/>
    <w:rsid w:val="00985D3C"/>
    <w:rsid w:val="0098683C"/>
    <w:rsid w:val="0098753E"/>
    <w:rsid w:val="009923A9"/>
    <w:rsid w:val="00995511"/>
    <w:rsid w:val="00996071"/>
    <w:rsid w:val="009964CD"/>
    <w:rsid w:val="00997637"/>
    <w:rsid w:val="009A27D2"/>
    <w:rsid w:val="009A4CCB"/>
    <w:rsid w:val="009A4F41"/>
    <w:rsid w:val="009A53C8"/>
    <w:rsid w:val="009A6414"/>
    <w:rsid w:val="009A6E6A"/>
    <w:rsid w:val="009B3D65"/>
    <w:rsid w:val="009B426B"/>
    <w:rsid w:val="009B5513"/>
    <w:rsid w:val="009B626F"/>
    <w:rsid w:val="009B7251"/>
    <w:rsid w:val="009C0ABF"/>
    <w:rsid w:val="009C1176"/>
    <w:rsid w:val="009C2791"/>
    <w:rsid w:val="009C43E7"/>
    <w:rsid w:val="009C7230"/>
    <w:rsid w:val="009D14CA"/>
    <w:rsid w:val="009D5757"/>
    <w:rsid w:val="009D7DB0"/>
    <w:rsid w:val="009E1D78"/>
    <w:rsid w:val="009E20AB"/>
    <w:rsid w:val="009E295D"/>
    <w:rsid w:val="009E2B85"/>
    <w:rsid w:val="009E5B17"/>
    <w:rsid w:val="009E78B5"/>
    <w:rsid w:val="009E7925"/>
    <w:rsid w:val="009E798E"/>
    <w:rsid w:val="009F1127"/>
    <w:rsid w:val="009F2AC9"/>
    <w:rsid w:val="009F4D3D"/>
    <w:rsid w:val="009F6FBF"/>
    <w:rsid w:val="009F70DC"/>
    <w:rsid w:val="00A001C3"/>
    <w:rsid w:val="00A02C15"/>
    <w:rsid w:val="00A02FFD"/>
    <w:rsid w:val="00A0349A"/>
    <w:rsid w:val="00A04427"/>
    <w:rsid w:val="00A04B91"/>
    <w:rsid w:val="00A04D83"/>
    <w:rsid w:val="00A054B0"/>
    <w:rsid w:val="00A069E1"/>
    <w:rsid w:val="00A1019C"/>
    <w:rsid w:val="00A11648"/>
    <w:rsid w:val="00A2029A"/>
    <w:rsid w:val="00A24878"/>
    <w:rsid w:val="00A2500F"/>
    <w:rsid w:val="00A25CF2"/>
    <w:rsid w:val="00A25ED4"/>
    <w:rsid w:val="00A26E89"/>
    <w:rsid w:val="00A30DC0"/>
    <w:rsid w:val="00A32D0C"/>
    <w:rsid w:val="00A33868"/>
    <w:rsid w:val="00A3587B"/>
    <w:rsid w:val="00A41956"/>
    <w:rsid w:val="00A42756"/>
    <w:rsid w:val="00A43EB3"/>
    <w:rsid w:val="00A44DD4"/>
    <w:rsid w:val="00A47719"/>
    <w:rsid w:val="00A47DD9"/>
    <w:rsid w:val="00A50FB9"/>
    <w:rsid w:val="00A51F4E"/>
    <w:rsid w:val="00A5397B"/>
    <w:rsid w:val="00A54DA6"/>
    <w:rsid w:val="00A57B20"/>
    <w:rsid w:val="00A57D58"/>
    <w:rsid w:val="00A6116D"/>
    <w:rsid w:val="00A65F2C"/>
    <w:rsid w:val="00A71DC3"/>
    <w:rsid w:val="00A72188"/>
    <w:rsid w:val="00A734EF"/>
    <w:rsid w:val="00A737D3"/>
    <w:rsid w:val="00A73873"/>
    <w:rsid w:val="00A8041F"/>
    <w:rsid w:val="00A8062A"/>
    <w:rsid w:val="00A807A5"/>
    <w:rsid w:val="00A80BD2"/>
    <w:rsid w:val="00A842F8"/>
    <w:rsid w:val="00A8458D"/>
    <w:rsid w:val="00A863D9"/>
    <w:rsid w:val="00A87B0A"/>
    <w:rsid w:val="00A93198"/>
    <w:rsid w:val="00A94FFF"/>
    <w:rsid w:val="00A9668D"/>
    <w:rsid w:val="00A97137"/>
    <w:rsid w:val="00AA0247"/>
    <w:rsid w:val="00AA1BF0"/>
    <w:rsid w:val="00AA3059"/>
    <w:rsid w:val="00AA4441"/>
    <w:rsid w:val="00AA5045"/>
    <w:rsid w:val="00AA73FE"/>
    <w:rsid w:val="00AA7D8F"/>
    <w:rsid w:val="00AB0BFD"/>
    <w:rsid w:val="00AB14AF"/>
    <w:rsid w:val="00AC1CE7"/>
    <w:rsid w:val="00AC390C"/>
    <w:rsid w:val="00AC51F3"/>
    <w:rsid w:val="00AC532F"/>
    <w:rsid w:val="00AC710B"/>
    <w:rsid w:val="00AC7236"/>
    <w:rsid w:val="00AC768E"/>
    <w:rsid w:val="00AC7B67"/>
    <w:rsid w:val="00AD019C"/>
    <w:rsid w:val="00AD0B89"/>
    <w:rsid w:val="00AD3A4B"/>
    <w:rsid w:val="00AD47D4"/>
    <w:rsid w:val="00AD62D8"/>
    <w:rsid w:val="00AD7622"/>
    <w:rsid w:val="00AD78DA"/>
    <w:rsid w:val="00AE1546"/>
    <w:rsid w:val="00AE2313"/>
    <w:rsid w:val="00AE2467"/>
    <w:rsid w:val="00AE33D9"/>
    <w:rsid w:val="00AE4BFE"/>
    <w:rsid w:val="00AE7A63"/>
    <w:rsid w:val="00AF267E"/>
    <w:rsid w:val="00AF63C3"/>
    <w:rsid w:val="00AF7CE1"/>
    <w:rsid w:val="00B0031B"/>
    <w:rsid w:val="00B00E7C"/>
    <w:rsid w:val="00B011E3"/>
    <w:rsid w:val="00B0301F"/>
    <w:rsid w:val="00B0351C"/>
    <w:rsid w:val="00B03934"/>
    <w:rsid w:val="00B048B1"/>
    <w:rsid w:val="00B065A8"/>
    <w:rsid w:val="00B11686"/>
    <w:rsid w:val="00B12C6B"/>
    <w:rsid w:val="00B13276"/>
    <w:rsid w:val="00B139D9"/>
    <w:rsid w:val="00B14EAD"/>
    <w:rsid w:val="00B20D5B"/>
    <w:rsid w:val="00B22DD8"/>
    <w:rsid w:val="00B26826"/>
    <w:rsid w:val="00B31D15"/>
    <w:rsid w:val="00B31D8E"/>
    <w:rsid w:val="00B32E81"/>
    <w:rsid w:val="00B34146"/>
    <w:rsid w:val="00B351C5"/>
    <w:rsid w:val="00B37CF2"/>
    <w:rsid w:val="00B42326"/>
    <w:rsid w:val="00B437D7"/>
    <w:rsid w:val="00B43C10"/>
    <w:rsid w:val="00B46744"/>
    <w:rsid w:val="00B477DB"/>
    <w:rsid w:val="00B50307"/>
    <w:rsid w:val="00B5050B"/>
    <w:rsid w:val="00B50EBF"/>
    <w:rsid w:val="00B51D7A"/>
    <w:rsid w:val="00B53ED3"/>
    <w:rsid w:val="00B54E3D"/>
    <w:rsid w:val="00B55214"/>
    <w:rsid w:val="00B55FAF"/>
    <w:rsid w:val="00B5651D"/>
    <w:rsid w:val="00B64AEB"/>
    <w:rsid w:val="00B64D08"/>
    <w:rsid w:val="00B67E92"/>
    <w:rsid w:val="00B70A39"/>
    <w:rsid w:val="00B70AB2"/>
    <w:rsid w:val="00B72EEE"/>
    <w:rsid w:val="00B76F72"/>
    <w:rsid w:val="00B809B1"/>
    <w:rsid w:val="00B8103B"/>
    <w:rsid w:val="00B81739"/>
    <w:rsid w:val="00B824F1"/>
    <w:rsid w:val="00B87183"/>
    <w:rsid w:val="00B905EB"/>
    <w:rsid w:val="00B92AD4"/>
    <w:rsid w:val="00BA02C7"/>
    <w:rsid w:val="00BA1339"/>
    <w:rsid w:val="00BA1684"/>
    <w:rsid w:val="00BA3EE5"/>
    <w:rsid w:val="00BA56E5"/>
    <w:rsid w:val="00BB073A"/>
    <w:rsid w:val="00BB1819"/>
    <w:rsid w:val="00BB42DF"/>
    <w:rsid w:val="00BB4EBA"/>
    <w:rsid w:val="00BB5DA9"/>
    <w:rsid w:val="00BC014F"/>
    <w:rsid w:val="00BC0164"/>
    <w:rsid w:val="00BC28D4"/>
    <w:rsid w:val="00BC5B54"/>
    <w:rsid w:val="00BC772E"/>
    <w:rsid w:val="00BC78A2"/>
    <w:rsid w:val="00BD142D"/>
    <w:rsid w:val="00BD505D"/>
    <w:rsid w:val="00BD61A7"/>
    <w:rsid w:val="00BE05D8"/>
    <w:rsid w:val="00BE09CA"/>
    <w:rsid w:val="00BE114C"/>
    <w:rsid w:val="00BE7761"/>
    <w:rsid w:val="00BF03A9"/>
    <w:rsid w:val="00BF0F57"/>
    <w:rsid w:val="00BF14BC"/>
    <w:rsid w:val="00BF1BD2"/>
    <w:rsid w:val="00BF434B"/>
    <w:rsid w:val="00C00948"/>
    <w:rsid w:val="00C00B45"/>
    <w:rsid w:val="00C00C0F"/>
    <w:rsid w:val="00C047F9"/>
    <w:rsid w:val="00C06389"/>
    <w:rsid w:val="00C06CDB"/>
    <w:rsid w:val="00C06D0F"/>
    <w:rsid w:val="00C070FB"/>
    <w:rsid w:val="00C07811"/>
    <w:rsid w:val="00C13799"/>
    <w:rsid w:val="00C1652A"/>
    <w:rsid w:val="00C20830"/>
    <w:rsid w:val="00C24452"/>
    <w:rsid w:val="00C2460C"/>
    <w:rsid w:val="00C2552A"/>
    <w:rsid w:val="00C308BE"/>
    <w:rsid w:val="00C31F5F"/>
    <w:rsid w:val="00C32053"/>
    <w:rsid w:val="00C33976"/>
    <w:rsid w:val="00C37773"/>
    <w:rsid w:val="00C40FD8"/>
    <w:rsid w:val="00C41730"/>
    <w:rsid w:val="00C41733"/>
    <w:rsid w:val="00C43D44"/>
    <w:rsid w:val="00C462C4"/>
    <w:rsid w:val="00C55A65"/>
    <w:rsid w:val="00C60275"/>
    <w:rsid w:val="00C60C71"/>
    <w:rsid w:val="00C6105F"/>
    <w:rsid w:val="00C632B3"/>
    <w:rsid w:val="00C63B7C"/>
    <w:rsid w:val="00C641AD"/>
    <w:rsid w:val="00C65F66"/>
    <w:rsid w:val="00C70D48"/>
    <w:rsid w:val="00C71038"/>
    <w:rsid w:val="00C77158"/>
    <w:rsid w:val="00C77DFE"/>
    <w:rsid w:val="00C80D4B"/>
    <w:rsid w:val="00C8278A"/>
    <w:rsid w:val="00C8558C"/>
    <w:rsid w:val="00C85ABE"/>
    <w:rsid w:val="00C85ACE"/>
    <w:rsid w:val="00C90A57"/>
    <w:rsid w:val="00C91676"/>
    <w:rsid w:val="00C91F07"/>
    <w:rsid w:val="00C92120"/>
    <w:rsid w:val="00C942FC"/>
    <w:rsid w:val="00C966DA"/>
    <w:rsid w:val="00C976B2"/>
    <w:rsid w:val="00CA1213"/>
    <w:rsid w:val="00CA16E3"/>
    <w:rsid w:val="00CA2E29"/>
    <w:rsid w:val="00CA3607"/>
    <w:rsid w:val="00CA41A4"/>
    <w:rsid w:val="00CA72F1"/>
    <w:rsid w:val="00CB2DCB"/>
    <w:rsid w:val="00CB2EDF"/>
    <w:rsid w:val="00CB4591"/>
    <w:rsid w:val="00CB6F85"/>
    <w:rsid w:val="00CC0473"/>
    <w:rsid w:val="00CC1E8D"/>
    <w:rsid w:val="00CC3970"/>
    <w:rsid w:val="00CC3ED1"/>
    <w:rsid w:val="00CC4988"/>
    <w:rsid w:val="00CC49B2"/>
    <w:rsid w:val="00CC5FB9"/>
    <w:rsid w:val="00CD66D5"/>
    <w:rsid w:val="00CD6AD1"/>
    <w:rsid w:val="00CE0A40"/>
    <w:rsid w:val="00CE1852"/>
    <w:rsid w:val="00CE2946"/>
    <w:rsid w:val="00CE4329"/>
    <w:rsid w:val="00CF1014"/>
    <w:rsid w:val="00CF143A"/>
    <w:rsid w:val="00CF2619"/>
    <w:rsid w:val="00CF7619"/>
    <w:rsid w:val="00D00EA0"/>
    <w:rsid w:val="00D01999"/>
    <w:rsid w:val="00D01A50"/>
    <w:rsid w:val="00D0220F"/>
    <w:rsid w:val="00D03B51"/>
    <w:rsid w:val="00D05D33"/>
    <w:rsid w:val="00D15781"/>
    <w:rsid w:val="00D160F3"/>
    <w:rsid w:val="00D17B72"/>
    <w:rsid w:val="00D17E86"/>
    <w:rsid w:val="00D201E6"/>
    <w:rsid w:val="00D20FFB"/>
    <w:rsid w:val="00D22285"/>
    <w:rsid w:val="00D23118"/>
    <w:rsid w:val="00D240DA"/>
    <w:rsid w:val="00D24AA1"/>
    <w:rsid w:val="00D2517E"/>
    <w:rsid w:val="00D25CD7"/>
    <w:rsid w:val="00D3261D"/>
    <w:rsid w:val="00D33A08"/>
    <w:rsid w:val="00D353FA"/>
    <w:rsid w:val="00D35F06"/>
    <w:rsid w:val="00D36192"/>
    <w:rsid w:val="00D361DA"/>
    <w:rsid w:val="00D36226"/>
    <w:rsid w:val="00D37ACF"/>
    <w:rsid w:val="00D43886"/>
    <w:rsid w:val="00D455D4"/>
    <w:rsid w:val="00D45E62"/>
    <w:rsid w:val="00D46DC4"/>
    <w:rsid w:val="00D5062B"/>
    <w:rsid w:val="00D52DF2"/>
    <w:rsid w:val="00D53541"/>
    <w:rsid w:val="00D5488D"/>
    <w:rsid w:val="00D55E39"/>
    <w:rsid w:val="00D60633"/>
    <w:rsid w:val="00D620FF"/>
    <w:rsid w:val="00D63E1C"/>
    <w:rsid w:val="00D65A90"/>
    <w:rsid w:val="00D65BF3"/>
    <w:rsid w:val="00D73D35"/>
    <w:rsid w:val="00D74C34"/>
    <w:rsid w:val="00D76726"/>
    <w:rsid w:val="00D7679A"/>
    <w:rsid w:val="00D76A3B"/>
    <w:rsid w:val="00D80821"/>
    <w:rsid w:val="00D83505"/>
    <w:rsid w:val="00D872B1"/>
    <w:rsid w:val="00D91D07"/>
    <w:rsid w:val="00DA1F9A"/>
    <w:rsid w:val="00DB4899"/>
    <w:rsid w:val="00DC1CC0"/>
    <w:rsid w:val="00DC273F"/>
    <w:rsid w:val="00DC38B8"/>
    <w:rsid w:val="00DC4475"/>
    <w:rsid w:val="00DC58C0"/>
    <w:rsid w:val="00DD3A2B"/>
    <w:rsid w:val="00DD61DE"/>
    <w:rsid w:val="00DD72FC"/>
    <w:rsid w:val="00DE11A5"/>
    <w:rsid w:val="00DE25A0"/>
    <w:rsid w:val="00DE2827"/>
    <w:rsid w:val="00DE4E91"/>
    <w:rsid w:val="00DF0B35"/>
    <w:rsid w:val="00DF39D2"/>
    <w:rsid w:val="00DF56A7"/>
    <w:rsid w:val="00DF6BBB"/>
    <w:rsid w:val="00DF7125"/>
    <w:rsid w:val="00E017F3"/>
    <w:rsid w:val="00E01912"/>
    <w:rsid w:val="00E04749"/>
    <w:rsid w:val="00E07A22"/>
    <w:rsid w:val="00E124BB"/>
    <w:rsid w:val="00E16674"/>
    <w:rsid w:val="00E21911"/>
    <w:rsid w:val="00E2417A"/>
    <w:rsid w:val="00E25B4B"/>
    <w:rsid w:val="00E26437"/>
    <w:rsid w:val="00E3093E"/>
    <w:rsid w:val="00E30E17"/>
    <w:rsid w:val="00E35E4E"/>
    <w:rsid w:val="00E37F4B"/>
    <w:rsid w:val="00E411A9"/>
    <w:rsid w:val="00E4350D"/>
    <w:rsid w:val="00E4387D"/>
    <w:rsid w:val="00E43A22"/>
    <w:rsid w:val="00E4616C"/>
    <w:rsid w:val="00E5325E"/>
    <w:rsid w:val="00E54CEB"/>
    <w:rsid w:val="00E557D7"/>
    <w:rsid w:val="00E55E85"/>
    <w:rsid w:val="00E560EA"/>
    <w:rsid w:val="00E62588"/>
    <w:rsid w:val="00E6313E"/>
    <w:rsid w:val="00E644BA"/>
    <w:rsid w:val="00E71335"/>
    <w:rsid w:val="00E7396A"/>
    <w:rsid w:val="00E73FD6"/>
    <w:rsid w:val="00E74EFA"/>
    <w:rsid w:val="00E76CD4"/>
    <w:rsid w:val="00E86CF4"/>
    <w:rsid w:val="00E90586"/>
    <w:rsid w:val="00E90D10"/>
    <w:rsid w:val="00E91585"/>
    <w:rsid w:val="00E9183E"/>
    <w:rsid w:val="00E91C1D"/>
    <w:rsid w:val="00E936B6"/>
    <w:rsid w:val="00E93DBB"/>
    <w:rsid w:val="00E94476"/>
    <w:rsid w:val="00E948E4"/>
    <w:rsid w:val="00E958F8"/>
    <w:rsid w:val="00E960BA"/>
    <w:rsid w:val="00E96C90"/>
    <w:rsid w:val="00E9768D"/>
    <w:rsid w:val="00EA067A"/>
    <w:rsid w:val="00EA1A26"/>
    <w:rsid w:val="00EA2F92"/>
    <w:rsid w:val="00EA5A23"/>
    <w:rsid w:val="00EA7141"/>
    <w:rsid w:val="00EB27E9"/>
    <w:rsid w:val="00EB3197"/>
    <w:rsid w:val="00EB47D2"/>
    <w:rsid w:val="00EB5774"/>
    <w:rsid w:val="00EB6169"/>
    <w:rsid w:val="00EB64CF"/>
    <w:rsid w:val="00EB74A3"/>
    <w:rsid w:val="00EC05E4"/>
    <w:rsid w:val="00EC1F3E"/>
    <w:rsid w:val="00EC3749"/>
    <w:rsid w:val="00EC4129"/>
    <w:rsid w:val="00EC65CA"/>
    <w:rsid w:val="00ED2C01"/>
    <w:rsid w:val="00ED5320"/>
    <w:rsid w:val="00ED7087"/>
    <w:rsid w:val="00ED7B9C"/>
    <w:rsid w:val="00EE3131"/>
    <w:rsid w:val="00EE6D9A"/>
    <w:rsid w:val="00EE6DEA"/>
    <w:rsid w:val="00EE7426"/>
    <w:rsid w:val="00EF0027"/>
    <w:rsid w:val="00EF0F49"/>
    <w:rsid w:val="00EF173C"/>
    <w:rsid w:val="00EF19DF"/>
    <w:rsid w:val="00EF26EB"/>
    <w:rsid w:val="00EF291C"/>
    <w:rsid w:val="00EF584E"/>
    <w:rsid w:val="00EF7663"/>
    <w:rsid w:val="00F007F5"/>
    <w:rsid w:val="00F01D4C"/>
    <w:rsid w:val="00F02583"/>
    <w:rsid w:val="00F045A3"/>
    <w:rsid w:val="00F04C12"/>
    <w:rsid w:val="00F052B6"/>
    <w:rsid w:val="00F06EE6"/>
    <w:rsid w:val="00F115D4"/>
    <w:rsid w:val="00F14219"/>
    <w:rsid w:val="00F1465D"/>
    <w:rsid w:val="00F14A3D"/>
    <w:rsid w:val="00F1565A"/>
    <w:rsid w:val="00F156C3"/>
    <w:rsid w:val="00F160F8"/>
    <w:rsid w:val="00F2455B"/>
    <w:rsid w:val="00F2513D"/>
    <w:rsid w:val="00F25E14"/>
    <w:rsid w:val="00F271F7"/>
    <w:rsid w:val="00F36B32"/>
    <w:rsid w:val="00F36D0B"/>
    <w:rsid w:val="00F444F7"/>
    <w:rsid w:val="00F45722"/>
    <w:rsid w:val="00F462EB"/>
    <w:rsid w:val="00F50082"/>
    <w:rsid w:val="00F519C6"/>
    <w:rsid w:val="00F51B2D"/>
    <w:rsid w:val="00F54B9B"/>
    <w:rsid w:val="00F55497"/>
    <w:rsid w:val="00F56075"/>
    <w:rsid w:val="00F57A5E"/>
    <w:rsid w:val="00F607AE"/>
    <w:rsid w:val="00F62599"/>
    <w:rsid w:val="00F62C3C"/>
    <w:rsid w:val="00F63B47"/>
    <w:rsid w:val="00F64602"/>
    <w:rsid w:val="00F65701"/>
    <w:rsid w:val="00F7230C"/>
    <w:rsid w:val="00F74C22"/>
    <w:rsid w:val="00F77002"/>
    <w:rsid w:val="00F80B2F"/>
    <w:rsid w:val="00F81D1A"/>
    <w:rsid w:val="00F84389"/>
    <w:rsid w:val="00F851EC"/>
    <w:rsid w:val="00F854CA"/>
    <w:rsid w:val="00F855A7"/>
    <w:rsid w:val="00F86B1F"/>
    <w:rsid w:val="00F87AF0"/>
    <w:rsid w:val="00F94259"/>
    <w:rsid w:val="00F96F1F"/>
    <w:rsid w:val="00FA0025"/>
    <w:rsid w:val="00FA0E7F"/>
    <w:rsid w:val="00FA24B0"/>
    <w:rsid w:val="00FA4314"/>
    <w:rsid w:val="00FA45BB"/>
    <w:rsid w:val="00FA5099"/>
    <w:rsid w:val="00FA72FD"/>
    <w:rsid w:val="00FA7D36"/>
    <w:rsid w:val="00FB04B7"/>
    <w:rsid w:val="00FB4551"/>
    <w:rsid w:val="00FB698B"/>
    <w:rsid w:val="00FC1380"/>
    <w:rsid w:val="00FC28EF"/>
    <w:rsid w:val="00FC2F44"/>
    <w:rsid w:val="00FC62BC"/>
    <w:rsid w:val="00FC63D2"/>
    <w:rsid w:val="00FC7E5A"/>
    <w:rsid w:val="00FD1481"/>
    <w:rsid w:val="00FD30D6"/>
    <w:rsid w:val="00FD6378"/>
    <w:rsid w:val="00FE2612"/>
    <w:rsid w:val="00FE2DE8"/>
    <w:rsid w:val="00FF018B"/>
    <w:rsid w:val="00FF0708"/>
    <w:rsid w:val="00FF09F3"/>
    <w:rsid w:val="00FF0CF2"/>
    <w:rsid w:val="00FF170B"/>
    <w:rsid w:val="00FF3038"/>
    <w:rsid w:val="00FF432E"/>
    <w:rsid w:val="00FF47AC"/>
    <w:rsid w:val="00FF7048"/>
    <w:rsid w:val="00FF7BA7"/>
    <w:rsid w:val="3A702F53"/>
    <w:rsid w:val="42E95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936ECF5"/>
  <w15:docId w15:val="{E9F44E96-90A0-4A23-B715-4BF8519DF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703"/>
        <w:tab w:val="right" w:pos="9406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703"/>
        <w:tab w:val="right" w:pos="9406"/>
      </w:tabs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customStyle="1" w:styleId="Title1">
    <w:name w:val="Title1"/>
    <w:basedOn w:val="Normal"/>
    <w:next w:val="Normal"/>
    <w:qFormat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"/>
    <w:qFormat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"/>
    <w:qFormat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"/>
    <w:qFormat/>
    <w:pPr>
      <w:spacing w:line="225" w:lineRule="exact"/>
      <w:jc w:val="both"/>
    </w:pPr>
    <w:rPr>
      <w:rFonts w:ascii="Arial" w:hAnsi="Arial"/>
      <w:sz w:val="17"/>
    </w:rPr>
  </w:style>
  <w:style w:type="paragraph" w:customStyle="1" w:styleId="History">
    <w:name w:val="History"/>
    <w:basedOn w:val="Normal"/>
    <w:qFormat/>
    <w:pPr>
      <w:spacing w:before="230" w:after="460" w:line="180" w:lineRule="exact"/>
    </w:pPr>
    <w:rPr>
      <w:rFonts w:ascii="Arial" w:hAnsi="Arial"/>
      <w:sz w:val="14"/>
      <w:szCs w:val="16"/>
    </w:rPr>
  </w:style>
  <w:style w:type="paragraph" w:customStyle="1" w:styleId="Adress">
    <w:name w:val="Adress"/>
    <w:basedOn w:val="Normal"/>
    <w:qFormat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qFormat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Normal"/>
    <w:qFormat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ExperimentalSection">
    <w:name w:val="ExperimentalSection"/>
    <w:basedOn w:val="Normal"/>
    <w:qFormat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"/>
    <w:qFormat/>
    <w:pPr>
      <w:spacing w:before="460" w:after="230" w:line="230" w:lineRule="atLeast"/>
    </w:pPr>
    <w:rPr>
      <w:rFonts w:ascii="Arial" w:hAnsi="Arial"/>
      <w:b/>
      <w:sz w:val="22"/>
      <w:szCs w:val="20"/>
    </w:rPr>
  </w:style>
  <w:style w:type="paragraph" w:customStyle="1" w:styleId="SchemeCaption">
    <w:name w:val="SchemeCaption"/>
    <w:basedOn w:val="Normal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Normal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Normal"/>
    <w:qFormat/>
    <w:pPr>
      <w:pBdr>
        <w:top w:val="single" w:sz="4" w:space="4" w:color="DDDDDD"/>
        <w:left w:val="single" w:sz="4" w:space="4" w:color="DDDDDD"/>
        <w:bottom w:val="single" w:sz="4" w:space="4" w:color="DDDDDD"/>
        <w:right w:val="single" w:sz="4" w:space="4" w:color="DDDDDD"/>
      </w:pBdr>
      <w:spacing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</w:pPr>
  </w:style>
  <w:style w:type="paragraph" w:customStyle="1" w:styleId="TableBody">
    <w:name w:val="TableBody"/>
    <w:basedOn w:val="TableHead"/>
  </w:style>
  <w:style w:type="paragraph" w:customStyle="1" w:styleId="TableFoot">
    <w:name w:val="TableFoot"/>
    <w:basedOn w:val="TableBody"/>
    <w:pPr>
      <w:spacing w:before="60" w:after="60"/>
    </w:pPr>
  </w:style>
  <w:style w:type="paragraph" w:customStyle="1" w:styleId="Keywords">
    <w:name w:val="Keywords"/>
    <w:basedOn w:val="Normal"/>
    <w:qFormat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"/>
    <w:qFormat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AuthorsTOC">
    <w:name w:val="Authors_TOC"/>
    <w:basedOn w:val="Authors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Pr>
      <w:b/>
      <w:i w:val="0"/>
    </w:rPr>
  </w:style>
  <w:style w:type="paragraph" w:customStyle="1" w:styleId="TableOfContentText">
    <w:name w:val="TableOfContentText"/>
    <w:basedOn w:val="AuthorsTOC"/>
    <w:rPr>
      <w:i w:val="0"/>
      <w:color w:val="000000"/>
    </w:rPr>
  </w:style>
  <w:style w:type="paragraph" w:customStyle="1" w:styleId="P1withIndendation">
    <w:name w:val="P1_with_Indendation"/>
    <w:basedOn w:val="TableCaption"/>
    <w:qFormat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"/>
    <w:qFormat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pPr>
      <w:spacing w:after="240" w:line="230" w:lineRule="atLeast"/>
    </w:pPr>
  </w:style>
  <w:style w:type="paragraph" w:customStyle="1" w:styleId="ColumnTitleTOC">
    <w:name w:val="ColumnTitle_TOC"/>
    <w:basedOn w:val="ColumnTitle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  <w:lang w:val="en-GB"/>
    </w:rPr>
  </w:style>
  <w:style w:type="paragraph" w:customStyle="1" w:styleId="GAAuthors">
    <w:name w:val="GAAuthors"/>
    <w:basedOn w:val="Normal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Normal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Normal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pPr>
      <w:spacing w:before="240"/>
    </w:pPr>
    <w:rPr>
      <w:b w:val="0"/>
    </w:rPr>
  </w:style>
  <w:style w:type="paragraph" w:customStyle="1" w:styleId="GAKeywords">
    <w:name w:val="GAKeywords"/>
    <w:basedOn w:val="Keywords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pPr>
      <w:spacing w:before="230"/>
    </w:pPr>
    <w:rPr>
      <w:rFonts w:ascii="Arial" w:hAnsi="Arial"/>
      <w:b/>
      <w:i/>
      <w:sz w:val="17"/>
    </w:rPr>
  </w:style>
  <w:style w:type="character" w:customStyle="1" w:styleId="HeaderChar">
    <w:name w:val="Header Char"/>
    <w:link w:val="Header"/>
    <w:uiPriority w:val="99"/>
    <w:rPr>
      <w:sz w:val="24"/>
      <w:szCs w:val="24"/>
      <w:lang w:val="de-DE" w:eastAsia="ja-JP" w:bidi="ar-SA"/>
    </w:rPr>
  </w:style>
  <w:style w:type="character" w:customStyle="1" w:styleId="FooterChar">
    <w:name w:val="Footer Char"/>
    <w:link w:val="Footer"/>
    <w:uiPriority w:val="99"/>
    <w:rPr>
      <w:sz w:val="24"/>
      <w:szCs w:val="24"/>
      <w:lang w:val="de-DE" w:eastAsia="ja-JP" w:bidi="ar-SA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pPr>
      <w:spacing w:before="360"/>
    </w:pPr>
    <w:rPr>
      <w:rFonts w:ascii="Arial" w:hAnsi="Arial"/>
      <w:sz w:val="14"/>
    </w:rPr>
  </w:style>
  <w:style w:type="paragraph" w:customStyle="1" w:styleId="Abstract">
    <w:name w:val="Abstract"/>
    <w:basedOn w:val="Normal"/>
    <w:qFormat/>
    <w:pPr>
      <w:spacing w:after="60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H1">
    <w:name w:val="H1"/>
    <w:basedOn w:val="Normal"/>
    <w:qFormat/>
    <w:pPr>
      <w:spacing w:before="480" w:after="230" w:line="225" w:lineRule="exact"/>
    </w:pPr>
    <w:rPr>
      <w:rFonts w:ascii="Arial" w:hAnsi="Arial"/>
      <w:b/>
      <w:sz w:val="22"/>
      <w:lang w:val="en-GB"/>
    </w:rPr>
  </w:style>
  <w:style w:type="paragraph" w:customStyle="1" w:styleId="P1">
    <w:name w:val="P1"/>
    <w:basedOn w:val="P1withoutIndendation"/>
    <w:qFormat/>
    <w:rPr>
      <w:lang w:val="en-US"/>
    </w:rPr>
  </w:style>
  <w:style w:type="character" w:customStyle="1" w:styleId="CommentTextChar">
    <w:name w:val="Comment Text Char"/>
    <w:link w:val="CommentText"/>
    <w:uiPriority w:val="99"/>
    <w:rPr>
      <w:lang w:eastAsia="ja-JP"/>
    </w:rPr>
  </w:style>
  <w:style w:type="paragraph" w:customStyle="1" w:styleId="ExperimentalText">
    <w:name w:val="Experimental Text"/>
    <w:basedOn w:val="Normal"/>
    <w:link w:val="ExperimentalTextChar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Pr>
      <w:sz w:val="24"/>
      <w:szCs w:val="24"/>
      <w:lang w:val="en-US" w:eastAsia="ja-JP"/>
    </w:rPr>
  </w:style>
  <w:style w:type="paragraph" w:customStyle="1" w:styleId="MainText">
    <w:name w:val="Main Text"/>
    <w:basedOn w:val="Normal"/>
    <w:link w:val="MainTextChar"/>
    <w:pPr>
      <w:spacing w:line="480" w:lineRule="auto"/>
    </w:pPr>
    <w:rPr>
      <w:lang w:val="en-US"/>
    </w:rPr>
  </w:style>
  <w:style w:type="character" w:customStyle="1" w:styleId="MainTextChar">
    <w:name w:val="Main Text Char"/>
    <w:link w:val="MainText"/>
    <w:rPr>
      <w:sz w:val="24"/>
      <w:szCs w:val="24"/>
      <w:lang w:val="en-US" w:eastAsia="ja-JP"/>
    </w:rPr>
  </w:style>
  <w:style w:type="character" w:customStyle="1" w:styleId="CommentSubjectChar">
    <w:name w:val="Comment Subject Char"/>
    <w:link w:val="CommentSubject"/>
    <w:uiPriority w:val="99"/>
    <w:semiHidden/>
    <w:rPr>
      <w:b/>
      <w:bCs/>
      <w:lang w:eastAsia="ja-JP"/>
    </w:rPr>
  </w:style>
  <w:style w:type="character" w:customStyle="1" w:styleId="UnresolvedMention1">
    <w:name w:val="Unresolved Mention1"/>
    <w:uiPriority w:val="99"/>
    <w:semiHidden/>
    <w:unhideWhenUsed/>
    <w:rPr>
      <w:color w:val="605E5C"/>
      <w:shd w:val="clear" w:color="auto" w:fill="E1DFDD"/>
    </w:rPr>
  </w:style>
  <w:style w:type="paragraph" w:customStyle="1" w:styleId="H2">
    <w:name w:val="H2"/>
    <w:basedOn w:val="H1"/>
    <w:next w:val="Normal"/>
    <w:qFormat/>
    <w:pPr>
      <w:shd w:val="clear" w:color="auto" w:fill="DEEAF6"/>
      <w:tabs>
        <w:tab w:val="left" w:pos="709"/>
      </w:tabs>
      <w:spacing w:before="240" w:after="120" w:line="480" w:lineRule="exact"/>
      <w:ind w:left="709" w:hanging="709"/>
    </w:pPr>
    <w:rPr>
      <w:rFonts w:ascii="Times New Roman" w:eastAsia="Times New Roman" w:hAnsi="Times New Roman"/>
      <w:szCs w:val="22"/>
      <w:lang w:val="de-DE" w:eastAsia="de-DE"/>
    </w:rPr>
  </w:style>
  <w:style w:type="paragraph" w:customStyle="1" w:styleId="TAMainText">
    <w:name w:val="TA_Main_Text"/>
    <w:basedOn w:val="Normal"/>
    <w:qFormat/>
    <w:pPr>
      <w:spacing w:line="480" w:lineRule="auto"/>
      <w:ind w:firstLine="202"/>
      <w:jc w:val="both"/>
    </w:pPr>
    <w:rPr>
      <w:rFonts w:ascii="Times" w:eastAsia="SimSun" w:hAnsi="Times"/>
      <w:szCs w:val="20"/>
      <w:lang w:val="en-US" w:eastAsia="en-US"/>
    </w:rPr>
  </w:style>
  <w:style w:type="paragraph" w:customStyle="1" w:styleId="EndNoteBibliographyTitle">
    <w:name w:val="EndNote Bibliography Title"/>
    <w:qFormat/>
    <w:pPr>
      <w:jc w:val="center"/>
    </w:pPr>
    <w:rPr>
      <w:rFonts w:ascii="New York" w:eastAsia="SimSun" w:hAnsi="New York" w:cs="New York"/>
      <w:sz w:val="24"/>
      <w:lang w:val="en-US" w:eastAsia="en-US"/>
    </w:rPr>
  </w:style>
  <w:style w:type="paragraph" w:customStyle="1" w:styleId="EndNoteBibliography">
    <w:name w:val="EndNote Bibliography"/>
    <w:qFormat/>
    <w:rPr>
      <w:rFonts w:ascii="New York" w:eastAsia="SimSun" w:hAnsi="New York" w:cs="New York"/>
      <w:sz w:val="24"/>
      <w:lang w:val="en-US" w:eastAsia="en-US"/>
    </w:rPr>
  </w:style>
  <w:style w:type="paragraph" w:customStyle="1" w:styleId="Revision1">
    <w:name w:val="Revision1"/>
    <w:hidden/>
    <w:uiPriority w:val="99"/>
    <w:semiHidden/>
    <w:rPr>
      <w:sz w:val="24"/>
      <w:szCs w:val="24"/>
      <w:lang w:val="de-DE" w:eastAsia="ja-JP"/>
    </w:rPr>
  </w:style>
  <w:style w:type="paragraph" w:styleId="Revision">
    <w:name w:val="Revision"/>
    <w:hidden/>
    <w:uiPriority w:val="99"/>
    <w:unhideWhenUsed/>
    <w:rsid w:val="00D5488D"/>
    <w:rPr>
      <w:sz w:val="24"/>
      <w:szCs w:val="24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0.tiff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5" Type="http://schemas.openxmlformats.org/officeDocument/2006/relationships/image" Target="media/image6.tiff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5.tif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39C91A52DAE147A3AAE706B48AEA86" ma:contentTypeVersion="12" ma:contentTypeDescription="Create a new document." ma:contentTypeScope="" ma:versionID="b32ec8d21c5a376a6fe1750da1e9b5f8">
  <xsd:schema xmlns:xsd="http://www.w3.org/2001/XMLSchema" xmlns:xs="http://www.w3.org/2001/XMLSchema" xmlns:p="http://schemas.microsoft.com/office/2006/metadata/properties" xmlns:ns2="6cee07b3-e163-46d0-9314-e965bb90e770" xmlns:ns3="33468339-1e7a-4346-bdb5-630d0c5742b9" targetNamespace="http://schemas.microsoft.com/office/2006/metadata/properties" ma:root="true" ma:fieldsID="b4f7274c5d4d2bdb5fc9ff24ffe13905" ns2:_="" ns3:_="">
    <xsd:import namespace="6cee07b3-e163-46d0-9314-e965bb90e770"/>
    <xsd:import namespace="33468339-1e7a-4346-bdb5-630d0c5742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ee07b3-e163-46d0-9314-e965bb90e7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468339-1e7a-4346-bdb5-630d0c5742b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5"/>
    <customShpInfo spid="_x0000_s1034"/>
    <customShpInfo spid="_x0000_s1033"/>
    <customShpInfo spid="_x0000_s1026"/>
  </customShpExts>
</s:customData>
</file>

<file path=customXml/itemProps1.xml><?xml version="1.0" encoding="utf-8"?>
<ds:datastoreItem xmlns:ds="http://schemas.openxmlformats.org/officeDocument/2006/customXml" ds:itemID="{1B2ADF0D-0139-477F-ADE4-CDCC0B2ADD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ee07b3-e163-46d0-9314-e965bb90e770"/>
    <ds:schemaRef ds:uri="33468339-1e7a-4346-bdb5-630d0c5742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02EA2C-2F81-4FF4-8767-EB10FDAD34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6136</Words>
  <Characters>34980</Characters>
  <Application>Microsoft Office Word</Application>
  <DocSecurity>0</DocSecurity>
  <Lines>291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((Title))</vt:lpstr>
    </vt:vector>
  </TitlesOfParts>
  <Company>WILEY-VCH Verlag GmbH &amp; Co. KGaA</Company>
  <LinksUpToDate>false</LinksUpToDate>
  <CharactersWithSpaces>41034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((Title))</dc:title>
  <dc:creator>Battle, Gary</dc:creator>
  <cp:lastModifiedBy>Richard Delahaye (LLE - Staff)</cp:lastModifiedBy>
  <cp:revision>2</cp:revision>
  <cp:lastPrinted>2012-11-08T05:19:00Z</cp:lastPrinted>
  <dcterms:created xsi:type="dcterms:W3CDTF">2026-07-08T14:37:00Z</dcterms:created>
  <dcterms:modified xsi:type="dcterms:W3CDTF">2026-07-08T14:37:00Z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0x0101007139C91A52DAE147A3AAE706B48AEA86</vt:lpwstr>
  </property>
  <property fmtid="{D5CDD505-2E9C-101B-9397-08002B2CF9AE}" pid="3" name="GrammarlyDocumentId">
    <vt:lpwstr>9051ffb3-04f9-404c-b75f-79794673efe3</vt:lpwstr>
  </property>
  <property fmtid="{D5CDD505-2E9C-101B-9397-08002B2CF9AE}" pid="4" name="KSOProductBuildVer">
    <vt:lpwstr>2052-11.8.2.11813</vt:lpwstr>
  </property>
  <property fmtid="{D5CDD505-2E9C-101B-9397-08002B2CF9AE}" pid="5" name="ICV">
    <vt:lpwstr>1CABFD1D39494B81AC1A10D3E87B19BA</vt:lpwstr>
  </property>
</Properties>
</file>