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D0E4" w14:textId="77777777" w:rsidR="000417D6" w:rsidRPr="00F10617" w:rsidRDefault="000417D6" w:rsidP="000417D6">
      <w:pPr>
        <w:rPr>
          <w:rFonts w:cs="Times New Roman"/>
          <w:szCs w:val="24"/>
        </w:rPr>
      </w:pPr>
      <w:bookmarkStart w:id="0" w:name="_Hlk211266612"/>
      <w:r w:rsidRPr="00F10617">
        <w:rPr>
          <w:rFonts w:cs="Times New Roman"/>
          <w:b/>
          <w:bCs/>
          <w:szCs w:val="24"/>
        </w:rPr>
        <w:t>The Rhetorical Legacy of John Swales: Metadiscourse, Style, and the Construction of an EAP Community</w:t>
      </w:r>
    </w:p>
    <w:p w14:paraId="5E156E9A" w14:textId="77777777" w:rsidR="000417D6" w:rsidRPr="00F10617" w:rsidRDefault="000417D6" w:rsidP="000417D6">
      <w:pPr>
        <w:rPr>
          <w:rFonts w:cs="Times New Roman"/>
          <w:szCs w:val="24"/>
        </w:rPr>
      </w:pPr>
    </w:p>
    <w:p w14:paraId="7740F77D" w14:textId="77777777" w:rsidR="000417D6" w:rsidRPr="00F10617" w:rsidRDefault="000417D6" w:rsidP="000417D6">
      <w:pPr>
        <w:rPr>
          <w:rFonts w:cs="Times New Roman"/>
          <w:szCs w:val="24"/>
        </w:rPr>
      </w:pPr>
    </w:p>
    <w:p w14:paraId="126365AF" w14:textId="77777777" w:rsidR="000417D6" w:rsidRPr="00F10617" w:rsidRDefault="000417D6" w:rsidP="000417D6">
      <w:pPr>
        <w:rPr>
          <w:rFonts w:cs="Times New Roman"/>
          <w:szCs w:val="24"/>
        </w:rPr>
      </w:pPr>
      <w:r w:rsidRPr="00F10617">
        <w:rPr>
          <w:rFonts w:cs="Times New Roman"/>
          <w:b/>
          <w:bCs/>
          <w:szCs w:val="24"/>
        </w:rPr>
        <w:t>Abstract</w:t>
      </w:r>
    </w:p>
    <w:p w14:paraId="0A409403" w14:textId="77777777" w:rsidR="000417D6" w:rsidRPr="00F10617" w:rsidRDefault="000417D6" w:rsidP="000417D6">
      <w:pPr>
        <w:rPr>
          <w:rFonts w:cs="Times New Roman"/>
          <w:szCs w:val="24"/>
        </w:rPr>
      </w:pPr>
      <w:r w:rsidRPr="00F10617">
        <w:rPr>
          <w:rFonts w:cs="Times New Roman"/>
          <w:szCs w:val="24"/>
        </w:rPr>
        <w:t xml:space="preserve">This paper explores the enduring influence of John Swales on applied linguistics, focusing on how his distinctive authorial style, particularly his use of metadiscourse, contributed to the persuasive power of his scholarship. While Swales is widely celebrated for his theoretical innovations in genre analysis, </w:t>
      </w:r>
      <w:r w:rsidRPr="00585CE8">
        <w:rPr>
          <w:rFonts w:cs="Times New Roman"/>
          <w:szCs w:val="24"/>
        </w:rPr>
        <w:t>discourse community, and English for Academic Purposes, we argue that his rhetorical style was of major importance in promoting his ideas and gaining acceptance for his work. Through a</w:t>
      </w:r>
      <w:r w:rsidRPr="00F10617">
        <w:rPr>
          <w:rFonts w:cs="Times New Roman"/>
          <w:szCs w:val="24"/>
        </w:rPr>
        <w:t xml:space="preserve"> diachronic examination of his single-authored journal articles, we trace the evolution of Swales’s writing from the 1980s to the 2020s, identifying a growing reflexivity and engagement with readers. His increasing use of metadiscourse not only clarifies complex ideas but also constructs an interactive and collegial authorial persona—one that invites readers into a shared exploration of academic discourse. This stylistic evolution reflects both Swales’s professional maturation </w:t>
      </w:r>
      <w:r>
        <w:rPr>
          <w:rFonts w:cs="Times New Roman"/>
          <w:szCs w:val="24"/>
        </w:rPr>
        <w:t>and</w:t>
      </w:r>
      <w:r w:rsidRPr="00CD2282">
        <w:rPr>
          <w:rFonts w:cs="Times New Roman"/>
          <w:szCs w:val="24"/>
        </w:rPr>
        <w:t xml:space="preserve"> helped to </w:t>
      </w:r>
      <w:r w:rsidRPr="00F10617">
        <w:rPr>
          <w:rFonts w:cs="Times New Roman"/>
          <w:szCs w:val="24"/>
        </w:rPr>
        <w:t xml:space="preserve">model effective scholarly communication. By combining analytical precision with humility and accessibility, Swales demonstrated that influential academic writing is not only a vehicle for ideas but also a form of dialogue that inspires curiosity and participation. His legacy thus lies </w:t>
      </w:r>
      <w:r>
        <w:rPr>
          <w:rFonts w:cs="Times New Roman"/>
          <w:szCs w:val="24"/>
        </w:rPr>
        <w:t xml:space="preserve">almost </w:t>
      </w:r>
      <w:r w:rsidRPr="00F10617">
        <w:rPr>
          <w:rFonts w:cs="Times New Roman"/>
          <w:szCs w:val="24"/>
        </w:rPr>
        <w:t>as much in how he wrote as in what he wrote, exemplifying the rhetorical foundations of an evolving EAP discourse community.</w:t>
      </w:r>
    </w:p>
    <w:p w14:paraId="6A7AFBB9" w14:textId="77777777" w:rsidR="000417D6" w:rsidRDefault="000417D6" w:rsidP="000417D6">
      <w:pPr>
        <w:rPr>
          <w:rFonts w:cs="Times New Roman"/>
          <w:b/>
          <w:bCs/>
          <w:szCs w:val="24"/>
        </w:rPr>
      </w:pPr>
    </w:p>
    <w:p w14:paraId="0B17D0BC" w14:textId="77777777" w:rsidR="000417D6" w:rsidRPr="00F10617" w:rsidRDefault="000417D6" w:rsidP="000417D6">
      <w:pPr>
        <w:rPr>
          <w:rFonts w:cs="Times New Roman"/>
          <w:szCs w:val="24"/>
        </w:rPr>
      </w:pPr>
      <w:r w:rsidRPr="00F10617">
        <w:rPr>
          <w:rFonts w:cs="Times New Roman"/>
          <w:b/>
          <w:bCs/>
          <w:szCs w:val="24"/>
        </w:rPr>
        <w:t>Keywords:</w:t>
      </w:r>
      <w:r w:rsidRPr="00F10617">
        <w:rPr>
          <w:rFonts w:cs="Times New Roman"/>
          <w:szCs w:val="24"/>
        </w:rPr>
        <w:br/>
        <w:t xml:space="preserve">John Swales; metadiscourse; authorial stance; genre analysis; </w:t>
      </w:r>
      <w:r>
        <w:rPr>
          <w:rFonts w:cs="Times New Roman"/>
          <w:szCs w:val="24"/>
        </w:rPr>
        <w:t>rhetorical change</w:t>
      </w:r>
    </w:p>
    <w:bookmarkEnd w:id="0"/>
    <w:p w14:paraId="6D57BDC7" w14:textId="77777777" w:rsidR="00745F76" w:rsidRPr="000417D6" w:rsidRDefault="00745F76" w:rsidP="00745F76">
      <w:pPr>
        <w:rPr>
          <w:b/>
          <w:bCs/>
        </w:rPr>
      </w:pPr>
    </w:p>
    <w:p w14:paraId="2915E03B" w14:textId="77777777" w:rsidR="00745F76" w:rsidRPr="00912BEE" w:rsidRDefault="00745F76" w:rsidP="00745F76">
      <w:pPr>
        <w:rPr>
          <w:b/>
          <w:bCs/>
          <w:lang w:val="en-GB"/>
        </w:rPr>
      </w:pPr>
    </w:p>
    <w:p w14:paraId="31D1675B" w14:textId="77777777" w:rsidR="00745F76" w:rsidRPr="00912BEE" w:rsidRDefault="00745F76" w:rsidP="00745F76">
      <w:pPr>
        <w:rPr>
          <w:b/>
          <w:bCs/>
          <w:lang w:val="en-GB"/>
        </w:rPr>
      </w:pPr>
    </w:p>
    <w:p w14:paraId="53606919" w14:textId="77777777" w:rsidR="00745F76" w:rsidRDefault="00745F76" w:rsidP="00745F76">
      <w:pPr>
        <w:rPr>
          <w:b/>
          <w:bCs/>
          <w:lang w:val="en-GB"/>
        </w:rPr>
      </w:pPr>
    </w:p>
    <w:p w14:paraId="5630A624" w14:textId="77777777" w:rsidR="00912BEE" w:rsidRPr="00912BEE" w:rsidRDefault="00912BEE" w:rsidP="00745F76">
      <w:pPr>
        <w:rPr>
          <w:b/>
          <w:bCs/>
          <w:lang w:val="en-GB"/>
        </w:rPr>
      </w:pPr>
    </w:p>
    <w:p w14:paraId="77E8C269" w14:textId="1CA720A4" w:rsidR="00F32239" w:rsidRPr="00912BEE" w:rsidRDefault="00745F76" w:rsidP="00745F76">
      <w:pPr>
        <w:rPr>
          <w:b/>
          <w:bCs/>
          <w:lang w:val="en-GB"/>
        </w:rPr>
      </w:pPr>
      <w:r w:rsidRPr="00912BEE">
        <w:rPr>
          <w:b/>
          <w:bCs/>
          <w:lang w:val="en-GB"/>
        </w:rPr>
        <w:lastRenderedPageBreak/>
        <w:t xml:space="preserve">1. </w:t>
      </w:r>
      <w:r w:rsidR="00A92837" w:rsidRPr="00912BEE">
        <w:rPr>
          <w:b/>
          <w:bCs/>
          <w:lang w:val="en-GB"/>
        </w:rPr>
        <w:t>Introduction</w:t>
      </w:r>
    </w:p>
    <w:p w14:paraId="2DB1DE3A" w14:textId="0886A62E" w:rsidR="00EE64FE" w:rsidRPr="00912BEE" w:rsidRDefault="00581EC5" w:rsidP="000775BE">
      <w:pPr>
        <w:rPr>
          <w:lang w:val="en-GB"/>
        </w:rPr>
      </w:pPr>
      <w:r w:rsidRPr="00912BEE">
        <w:rPr>
          <w:lang w:val="en-GB"/>
        </w:rPr>
        <w:t xml:space="preserve">John Swales (1938–2025) was one of the most influential applied linguists of the last 50 years, </w:t>
      </w:r>
      <w:r w:rsidR="00A35CB5" w:rsidRPr="00912BEE">
        <w:rPr>
          <w:lang w:val="en-GB"/>
        </w:rPr>
        <w:t xml:space="preserve">creating </w:t>
      </w:r>
      <w:r w:rsidRPr="00912BEE">
        <w:rPr>
          <w:lang w:val="en-GB"/>
        </w:rPr>
        <w:t xml:space="preserve">work </w:t>
      </w:r>
      <w:r w:rsidR="00A35CB5" w:rsidRPr="00912BEE">
        <w:rPr>
          <w:lang w:val="en-GB"/>
        </w:rPr>
        <w:t xml:space="preserve">which </w:t>
      </w:r>
      <w:r w:rsidRPr="00912BEE">
        <w:rPr>
          <w:lang w:val="en-GB"/>
        </w:rPr>
        <w:t xml:space="preserve">has left a profound and lasting mark on English for Specific Purposes (ESP) and English for Academic Purposes (EAP). </w:t>
      </w:r>
      <w:r w:rsidR="00EE64FE" w:rsidRPr="00912BEE">
        <w:rPr>
          <w:lang w:val="en-GB"/>
        </w:rPr>
        <w:t xml:space="preserve">Over more than four decades, his scholarship established genre </w:t>
      </w:r>
      <w:r w:rsidR="007E1257" w:rsidRPr="00912BEE">
        <w:rPr>
          <w:lang w:val="en-GB"/>
        </w:rPr>
        <w:t xml:space="preserve">and community </w:t>
      </w:r>
      <w:r w:rsidR="00EE64FE" w:rsidRPr="00912BEE">
        <w:rPr>
          <w:lang w:val="en-GB"/>
        </w:rPr>
        <w:t>as central concept</w:t>
      </w:r>
      <w:r w:rsidR="007E1257" w:rsidRPr="00912BEE">
        <w:rPr>
          <w:lang w:val="en-GB"/>
        </w:rPr>
        <w:t>s</w:t>
      </w:r>
      <w:r w:rsidR="00EE64FE" w:rsidRPr="00912BEE">
        <w:rPr>
          <w:lang w:val="en-GB"/>
        </w:rPr>
        <w:t xml:space="preserve"> in the analysis of academic and professional communication. His seminal works, most notably </w:t>
      </w:r>
      <w:r w:rsidR="00EE64FE" w:rsidRPr="00912BEE">
        <w:rPr>
          <w:i/>
          <w:iCs/>
          <w:lang w:val="en-GB"/>
        </w:rPr>
        <w:t>Genre Analysis</w:t>
      </w:r>
      <w:r w:rsidR="00EE64FE" w:rsidRPr="00912BEE">
        <w:rPr>
          <w:lang w:val="en-GB"/>
        </w:rPr>
        <w:t xml:space="preserve"> (1990)</w:t>
      </w:r>
      <w:r w:rsidR="009F721C" w:rsidRPr="00912BEE">
        <w:rPr>
          <w:lang w:val="en-GB"/>
        </w:rPr>
        <w:t xml:space="preserve">, </w:t>
      </w:r>
      <w:r w:rsidR="00EE64FE" w:rsidRPr="00912BEE">
        <w:rPr>
          <w:i/>
          <w:iCs/>
          <w:lang w:val="en-GB"/>
        </w:rPr>
        <w:t>Research Genres</w:t>
      </w:r>
      <w:r w:rsidR="00EE64FE" w:rsidRPr="00912BEE">
        <w:rPr>
          <w:lang w:val="en-GB"/>
        </w:rPr>
        <w:t xml:space="preserve"> (2004),</w:t>
      </w:r>
      <w:r w:rsidR="009F721C" w:rsidRPr="00912BEE">
        <w:rPr>
          <w:lang w:val="en-GB"/>
        </w:rPr>
        <w:t xml:space="preserve"> and </w:t>
      </w:r>
      <w:r w:rsidR="009F721C" w:rsidRPr="00912BEE">
        <w:rPr>
          <w:i/>
          <w:iCs/>
          <w:lang w:val="en-GB"/>
        </w:rPr>
        <w:t>Other Floor Other Voices</w:t>
      </w:r>
      <w:r w:rsidR="009F721C" w:rsidRPr="00912BEE">
        <w:rPr>
          <w:lang w:val="en-GB"/>
        </w:rPr>
        <w:t xml:space="preserve"> (1998)</w:t>
      </w:r>
      <w:r w:rsidR="007E1257" w:rsidRPr="00912BEE">
        <w:rPr>
          <w:lang w:val="en-GB"/>
        </w:rPr>
        <w:t xml:space="preserve"> </w:t>
      </w:r>
      <w:r w:rsidR="00EE64FE" w:rsidRPr="00912BEE">
        <w:rPr>
          <w:lang w:val="en-GB"/>
        </w:rPr>
        <w:t>advanced rigorous frameworks for understanding how texts operate within discourse communities</w:t>
      </w:r>
      <w:r w:rsidR="007E1257" w:rsidRPr="00912BEE">
        <w:rPr>
          <w:lang w:val="en-GB"/>
        </w:rPr>
        <w:t xml:space="preserve">. Perhaps most famously, </w:t>
      </w:r>
      <w:r w:rsidR="00EE64FE" w:rsidRPr="00912BEE">
        <w:rPr>
          <w:lang w:val="en-GB"/>
        </w:rPr>
        <w:t xml:space="preserve">his “Create a Research Space” (CARS) model </w:t>
      </w:r>
      <w:r w:rsidRPr="00912BEE">
        <w:rPr>
          <w:lang w:val="en-GB"/>
        </w:rPr>
        <w:t xml:space="preserve">provided teachers, researchers, and students with a powerful way to understand and participate in the discourses of academic communities. </w:t>
      </w:r>
      <w:r w:rsidR="00EE64FE" w:rsidRPr="00912BEE">
        <w:rPr>
          <w:lang w:val="en-GB"/>
        </w:rPr>
        <w:t>Through these contributions, Swales provided a systematic basis for linking linguistic description with pedagogical practice, thereby transforming the ways in which academic and professional English are studied and taught worldwide.</w:t>
      </w:r>
    </w:p>
    <w:p w14:paraId="06982FC7" w14:textId="77777777" w:rsidR="00BA0012" w:rsidRPr="00912BEE" w:rsidRDefault="00BA0012" w:rsidP="000775BE">
      <w:pPr>
        <w:rPr>
          <w:lang w:val="en-GB"/>
        </w:rPr>
      </w:pPr>
    </w:p>
    <w:p w14:paraId="656FC4E0" w14:textId="6D5D953C" w:rsidR="00FE21E4" w:rsidRPr="0027790F" w:rsidRDefault="00FE21E4" w:rsidP="00FE21E4">
      <w:pPr>
        <w:rPr>
          <w:lang w:val="en-GB"/>
        </w:rPr>
      </w:pPr>
      <w:r w:rsidRPr="00912BEE">
        <w:rPr>
          <w:lang w:val="en-GB"/>
        </w:rPr>
        <w:t>Swales achievement</w:t>
      </w:r>
      <w:r w:rsidR="00353E68" w:rsidRPr="00912BEE">
        <w:rPr>
          <w:lang w:val="en-GB"/>
        </w:rPr>
        <w:t>, then,</w:t>
      </w:r>
      <w:r w:rsidRPr="00912BEE">
        <w:rPr>
          <w:lang w:val="en-GB"/>
        </w:rPr>
        <w:t xml:space="preserve"> was to carve out a distinct space for ESP by insisting that language use is always related to social contexts and that practice should always be firmly grounded in theory. These ideas often struggled </w:t>
      </w:r>
      <w:r w:rsidR="00353E68" w:rsidRPr="00912BEE">
        <w:rPr>
          <w:lang w:val="en-GB"/>
        </w:rPr>
        <w:t xml:space="preserve">at first, swimming </w:t>
      </w:r>
      <w:r w:rsidRPr="00912BEE">
        <w:rPr>
          <w:lang w:val="en-GB"/>
        </w:rPr>
        <w:t xml:space="preserve">in a world where prevailing fashions focused </w:t>
      </w:r>
      <w:r w:rsidRPr="0027790F">
        <w:rPr>
          <w:lang w:val="en-GB"/>
        </w:rPr>
        <w:t xml:space="preserve">on an idealized linguistic competence and psycholinguistic notions of acquisition and learning. The fact that the concepts of </w:t>
      </w:r>
      <w:r w:rsidRPr="0027790F">
        <w:rPr>
          <w:i/>
          <w:lang w:val="en-GB"/>
        </w:rPr>
        <w:t xml:space="preserve">genre, discourse analysis, </w:t>
      </w:r>
      <w:proofErr w:type="spellStart"/>
      <w:r w:rsidRPr="0027790F">
        <w:rPr>
          <w:i/>
          <w:lang w:val="en-GB"/>
        </w:rPr>
        <w:t>textography</w:t>
      </w:r>
      <w:proofErr w:type="spellEnd"/>
      <w:r w:rsidRPr="0027790F">
        <w:rPr>
          <w:lang w:val="en-GB"/>
        </w:rPr>
        <w:t xml:space="preserve">, </w:t>
      </w:r>
      <w:r w:rsidR="00BB02FE" w:rsidRPr="0027790F">
        <w:rPr>
          <w:i/>
          <w:iCs/>
          <w:lang w:val="en-GB"/>
        </w:rPr>
        <w:t>discourse</w:t>
      </w:r>
      <w:r w:rsidR="00BB02FE" w:rsidRPr="0027790F">
        <w:rPr>
          <w:lang w:val="en-GB"/>
        </w:rPr>
        <w:t xml:space="preserve"> </w:t>
      </w:r>
      <w:r w:rsidRPr="0027790F">
        <w:rPr>
          <w:i/>
          <w:lang w:val="en-GB"/>
        </w:rPr>
        <w:t>community</w:t>
      </w:r>
      <w:r w:rsidRPr="0027790F">
        <w:rPr>
          <w:lang w:val="en-GB"/>
        </w:rPr>
        <w:t xml:space="preserve"> and </w:t>
      </w:r>
      <w:r w:rsidRPr="0027790F">
        <w:rPr>
          <w:i/>
          <w:lang w:val="en-GB"/>
        </w:rPr>
        <w:t>consciousness raising</w:t>
      </w:r>
      <w:r w:rsidRPr="0027790F">
        <w:rPr>
          <w:lang w:val="en-GB"/>
        </w:rPr>
        <w:t xml:space="preserve"> have now established themselves, and</w:t>
      </w:r>
      <w:r w:rsidR="008D6620" w:rsidRPr="0027790F">
        <w:rPr>
          <w:lang w:val="en-GB"/>
        </w:rPr>
        <w:t>,</w:t>
      </w:r>
      <w:r w:rsidRPr="0027790F">
        <w:rPr>
          <w:lang w:val="en-GB"/>
        </w:rPr>
        <w:t xml:space="preserve"> in many cases</w:t>
      </w:r>
      <w:r w:rsidR="008D6620" w:rsidRPr="0027790F">
        <w:rPr>
          <w:lang w:val="en-GB"/>
        </w:rPr>
        <w:t>,</w:t>
      </w:r>
      <w:r w:rsidRPr="0027790F">
        <w:rPr>
          <w:lang w:val="en-GB"/>
        </w:rPr>
        <w:t xml:space="preserve"> supplanted these earlier ideas, is testament to his defining impact on applied linguistics.</w:t>
      </w:r>
    </w:p>
    <w:p w14:paraId="4390989B" w14:textId="77777777" w:rsidR="001B3657" w:rsidRPr="0027790F" w:rsidRDefault="001B3657" w:rsidP="00FE21E4">
      <w:pPr>
        <w:rPr>
          <w:lang w:val="en-GB"/>
        </w:rPr>
      </w:pPr>
    </w:p>
    <w:p w14:paraId="159AB39A" w14:textId="183AECA6" w:rsidR="00353E68" w:rsidRPr="005348FA" w:rsidRDefault="00BA0012" w:rsidP="005348FA">
      <w:pPr>
        <w:rPr>
          <w:rFonts w:cs="Times New Roman"/>
        </w:rPr>
      </w:pPr>
      <w:r w:rsidRPr="0027790F">
        <w:rPr>
          <w:lang w:val="en-GB"/>
        </w:rPr>
        <w:t>Swale</w:t>
      </w:r>
      <w:r w:rsidR="003E54A6" w:rsidRPr="0027790F">
        <w:rPr>
          <w:lang w:val="en-GB"/>
        </w:rPr>
        <w:t>s</w:t>
      </w:r>
      <w:r w:rsidRPr="0027790F">
        <w:rPr>
          <w:lang w:val="en-GB"/>
        </w:rPr>
        <w:t xml:space="preserve"> also played a </w:t>
      </w:r>
      <w:r w:rsidR="00EE64FE" w:rsidRPr="0027790F">
        <w:rPr>
          <w:lang w:val="en-GB"/>
        </w:rPr>
        <w:t xml:space="preserve">significant </w:t>
      </w:r>
      <w:r w:rsidRPr="0027790F">
        <w:rPr>
          <w:lang w:val="en-GB"/>
        </w:rPr>
        <w:t>role in building a leading English language centre</w:t>
      </w:r>
      <w:r w:rsidR="00B93A08" w:rsidRPr="0027790F">
        <w:rPr>
          <w:lang w:val="en-GB"/>
        </w:rPr>
        <w:t xml:space="preserve">, </w:t>
      </w:r>
      <w:r w:rsidR="00E72637" w:rsidRPr="0027790F">
        <w:rPr>
          <w:lang w:val="en-GB"/>
        </w:rPr>
        <w:t xml:space="preserve">supervising a dozen outstanding students, </w:t>
      </w:r>
      <w:r w:rsidR="00B93A08" w:rsidRPr="0027790F">
        <w:rPr>
          <w:lang w:val="en-GB"/>
        </w:rPr>
        <w:t>editing the</w:t>
      </w:r>
      <w:r w:rsidR="00BB02FE" w:rsidRPr="0027790F">
        <w:rPr>
          <w:i/>
          <w:iCs/>
          <w:lang w:val="en-GB"/>
        </w:rPr>
        <w:t xml:space="preserve"> Journal of English for Specific Purposes</w:t>
      </w:r>
      <w:r w:rsidR="00B93A08" w:rsidRPr="0027790F">
        <w:rPr>
          <w:i/>
          <w:iCs/>
          <w:lang w:val="en-GB"/>
        </w:rPr>
        <w:t xml:space="preserve"> </w:t>
      </w:r>
      <w:r w:rsidR="00BB02FE" w:rsidRPr="0027790F">
        <w:rPr>
          <w:i/>
          <w:iCs/>
          <w:lang w:val="en-GB"/>
        </w:rPr>
        <w:t>(</w:t>
      </w:r>
      <w:r w:rsidR="00B93A08" w:rsidRPr="0027790F">
        <w:rPr>
          <w:i/>
          <w:iCs/>
          <w:lang w:val="en-GB"/>
        </w:rPr>
        <w:t>ESPJ</w:t>
      </w:r>
      <w:r w:rsidR="00BB02FE" w:rsidRPr="0027790F">
        <w:rPr>
          <w:i/>
          <w:iCs/>
          <w:lang w:val="en-GB"/>
        </w:rPr>
        <w:t>)</w:t>
      </w:r>
      <w:r w:rsidR="00B93A08" w:rsidRPr="0027790F">
        <w:rPr>
          <w:lang w:val="en-GB"/>
        </w:rPr>
        <w:t>,</w:t>
      </w:r>
      <w:r w:rsidR="00EE64FE" w:rsidRPr="0027790F">
        <w:rPr>
          <w:lang w:val="en-GB"/>
        </w:rPr>
        <w:t xml:space="preserve"> </w:t>
      </w:r>
      <w:r w:rsidRPr="0027790F">
        <w:rPr>
          <w:lang w:val="en-GB"/>
        </w:rPr>
        <w:t xml:space="preserve">and </w:t>
      </w:r>
      <w:r w:rsidR="00EE64FE" w:rsidRPr="0027790F">
        <w:rPr>
          <w:lang w:val="en-GB"/>
        </w:rPr>
        <w:t>spearhead</w:t>
      </w:r>
      <w:r w:rsidRPr="0027790F">
        <w:rPr>
          <w:lang w:val="en-GB"/>
        </w:rPr>
        <w:t>ing</w:t>
      </w:r>
      <w:r w:rsidR="00EE64FE" w:rsidRPr="0027790F">
        <w:rPr>
          <w:lang w:val="en-GB"/>
        </w:rPr>
        <w:t xml:space="preserve"> the</w:t>
      </w:r>
      <w:r w:rsidR="00EE64FE" w:rsidRPr="00912BEE">
        <w:rPr>
          <w:lang w:val="en-GB"/>
        </w:rPr>
        <w:t xml:space="preserve"> Michigan Corpus of Academic Spoken English (MICASE), </w:t>
      </w:r>
      <w:r w:rsidR="005348FA" w:rsidRPr="0042127C">
        <w:rPr>
          <w:rFonts w:cs="Times New Roman"/>
        </w:rPr>
        <w:t>and the Michigan Corpus of Upper</w:t>
      </w:r>
      <w:r w:rsidR="005348FA">
        <w:rPr>
          <w:rFonts w:cs="Times New Roman" w:hint="eastAsia"/>
        </w:rPr>
        <w:t>-</w:t>
      </w:r>
      <w:r w:rsidR="005348FA" w:rsidRPr="0042127C">
        <w:rPr>
          <w:rFonts w:cs="Times New Roman"/>
        </w:rPr>
        <w:t>level Student Papers</w:t>
      </w:r>
      <w:r w:rsidR="005348FA">
        <w:rPr>
          <w:rFonts w:cs="Times New Roman" w:hint="eastAsia"/>
        </w:rPr>
        <w:t xml:space="preserve"> (MICUSP)</w:t>
      </w:r>
      <w:r w:rsidR="005348FA">
        <w:rPr>
          <w:rFonts w:cs="Times New Roman"/>
        </w:rPr>
        <w:t>. Both these innovative corpora</w:t>
      </w:r>
      <w:r w:rsidR="005348FA" w:rsidRPr="0042127C">
        <w:rPr>
          <w:rFonts w:cs="Times New Roman"/>
        </w:rPr>
        <w:t xml:space="preserve"> significantly strengthened the empirical foundations of ESP and EAP research</w:t>
      </w:r>
      <w:r w:rsidR="005348FA" w:rsidRPr="004E2955">
        <w:rPr>
          <w:rFonts w:cs="Times New Roman"/>
        </w:rPr>
        <w:t xml:space="preserve"> </w:t>
      </w:r>
      <w:r w:rsidR="005D07CE" w:rsidRPr="00912BEE">
        <w:rPr>
          <w:lang w:val="en-GB"/>
        </w:rPr>
        <w:t xml:space="preserve">and </w:t>
      </w:r>
      <w:r w:rsidR="000A0B65">
        <w:rPr>
          <w:lang w:val="en-GB"/>
        </w:rPr>
        <w:t xml:space="preserve">field’s </w:t>
      </w:r>
      <w:r w:rsidR="00EE64FE" w:rsidRPr="00912BEE">
        <w:rPr>
          <w:lang w:val="en-GB"/>
        </w:rPr>
        <w:t>enduring commitment to bridg</w:t>
      </w:r>
      <w:r w:rsidR="005B0F75" w:rsidRPr="00912BEE">
        <w:rPr>
          <w:lang w:val="en-GB"/>
        </w:rPr>
        <w:t>e</w:t>
      </w:r>
      <w:r w:rsidR="00EE64FE" w:rsidRPr="00912BEE">
        <w:rPr>
          <w:lang w:val="en-GB"/>
        </w:rPr>
        <w:t xml:space="preserve"> research and pedagogy. </w:t>
      </w:r>
      <w:r w:rsidR="001A71C4" w:rsidRPr="00912BEE">
        <w:rPr>
          <w:lang w:val="en-GB"/>
        </w:rPr>
        <w:lastRenderedPageBreak/>
        <w:t xml:space="preserve">Unusually in applied linguistics, however, Swales has stepped off well-trodden academic paths to experiment with non-academic genres: textbooks and autobiography (e.g. Swales &amp; Feak, 2004; Swales, 2009). </w:t>
      </w:r>
      <w:r w:rsidR="00BC3207" w:rsidRPr="00912BEE">
        <w:rPr>
          <w:lang w:val="en-GB"/>
        </w:rPr>
        <w:t xml:space="preserve">Above all, </w:t>
      </w:r>
      <w:r w:rsidR="001A71C4" w:rsidRPr="00912BEE">
        <w:rPr>
          <w:lang w:val="en-GB"/>
        </w:rPr>
        <w:t>however</w:t>
      </w:r>
      <w:r w:rsidR="00BC3207" w:rsidRPr="00912BEE">
        <w:rPr>
          <w:lang w:val="en-GB"/>
        </w:rPr>
        <w:t>, Swales is known for his writing and for carving out a distinct space for ESP</w:t>
      </w:r>
      <w:r w:rsidR="00353E68" w:rsidRPr="00912BEE">
        <w:rPr>
          <w:lang w:val="en-GB"/>
        </w:rPr>
        <w:t xml:space="preserve"> as a grounded and appliable approach to understanding and teaching specialised language. </w:t>
      </w:r>
    </w:p>
    <w:p w14:paraId="7EF0A62A" w14:textId="77777777" w:rsidR="00353E68" w:rsidRPr="00912BEE" w:rsidRDefault="00353E68" w:rsidP="00353E68">
      <w:pPr>
        <w:rPr>
          <w:lang w:val="en-GB"/>
        </w:rPr>
      </w:pPr>
    </w:p>
    <w:p w14:paraId="1DB145BD" w14:textId="4C6C0E50" w:rsidR="00BC3207" w:rsidRPr="00912BEE" w:rsidRDefault="00353E68" w:rsidP="00C41E79">
      <w:pPr>
        <w:rPr>
          <w:lang w:val="en-GB"/>
        </w:rPr>
      </w:pPr>
      <w:r w:rsidRPr="00C41E79">
        <w:rPr>
          <w:lang w:val="en-GB"/>
        </w:rPr>
        <w:t>But while</w:t>
      </w:r>
      <w:r w:rsidR="00703AB3" w:rsidRPr="00C41E79">
        <w:rPr>
          <w:lang w:val="en-GB"/>
        </w:rPr>
        <w:t xml:space="preserve"> his work has attracted both acclaim and criticism</w:t>
      </w:r>
      <w:r w:rsidRPr="00C41E79">
        <w:rPr>
          <w:lang w:val="en-GB"/>
        </w:rPr>
        <w:t xml:space="preserve">, </w:t>
      </w:r>
      <w:bookmarkStart w:id="1" w:name="_Hlk211173376"/>
      <w:r w:rsidRPr="00C41E79">
        <w:rPr>
          <w:lang w:val="en-GB"/>
        </w:rPr>
        <w:t xml:space="preserve">less has been said </w:t>
      </w:r>
      <w:r w:rsidR="001B3657" w:rsidRPr="00C41E79">
        <w:rPr>
          <w:lang w:val="en-GB"/>
        </w:rPr>
        <w:t>about</w:t>
      </w:r>
      <w:r w:rsidRPr="00C41E79">
        <w:rPr>
          <w:lang w:val="en-GB"/>
        </w:rPr>
        <w:t xml:space="preserve"> his writing style and the language he has employed to construct his ideas and reputation. </w:t>
      </w:r>
      <w:r w:rsidR="0027790F" w:rsidRPr="00C41E79">
        <w:rPr>
          <w:lang w:val="en-GB"/>
        </w:rPr>
        <w:t>We believe this is an important oversight</w:t>
      </w:r>
      <w:r w:rsidR="00F7407D" w:rsidRPr="00C41E79">
        <w:rPr>
          <w:lang w:val="en-GB"/>
        </w:rPr>
        <w:t xml:space="preserve"> as even the most significant insights have to be</w:t>
      </w:r>
      <w:r w:rsidR="00F7407D" w:rsidRPr="00C41E79">
        <w:rPr>
          <w:rFonts w:cs="Times New Roman"/>
        </w:rPr>
        <w:t xml:space="preserve"> argued for, </w:t>
      </w:r>
      <w:proofErr w:type="spellStart"/>
      <w:r w:rsidR="00F7407D" w:rsidRPr="00C41E79">
        <w:rPr>
          <w:rFonts w:cs="Times New Roman"/>
        </w:rPr>
        <w:t>contextualised</w:t>
      </w:r>
      <w:proofErr w:type="spellEnd"/>
      <w:r w:rsidR="00F7407D" w:rsidRPr="00C41E79">
        <w:rPr>
          <w:rFonts w:cs="Times New Roman"/>
        </w:rPr>
        <w:t>, and made accessible to readers in ways they will understand and accept. In EAP, where pedagogy, apprenticeship, and disciplinary enculturation are central concerns, writing style is not merely ornamental but constitutive of how knowledge is shared and scholarly identities modelled. Examining Swales’s rhetorical practices therefore allows us to understand how particular ways of writing come to be perceived as authoritative, collegial, and pedagogically valuable.</w:t>
      </w:r>
      <w:r w:rsidR="00F7407D" w:rsidRPr="00C41E79">
        <w:rPr>
          <w:lang w:val="en-GB"/>
        </w:rPr>
        <w:t xml:space="preserve"> </w:t>
      </w:r>
      <w:r w:rsidR="00C41E79" w:rsidRPr="00C41E79">
        <w:rPr>
          <w:rFonts w:cs="Times New Roman"/>
        </w:rPr>
        <w:t xml:space="preserve">To explore this rhetorical dimension of Swales’s writing, </w:t>
      </w:r>
      <w:r w:rsidR="00C41E79" w:rsidRPr="00C41E79">
        <w:rPr>
          <w:lang w:val="en-GB"/>
        </w:rPr>
        <w:t xml:space="preserve">we examine his single authored papers over 40 years, focusing on metadiscourse, those parts of a text that help organize the discourse, guide the reader, and express the communicator’s stance (Hyland, 2005). </w:t>
      </w:r>
      <w:bookmarkEnd w:id="1"/>
      <w:r w:rsidR="001B3657" w:rsidRPr="00C41E79">
        <w:rPr>
          <w:lang w:val="en-GB"/>
        </w:rPr>
        <w:t xml:space="preserve">While not a concept fully embraced by Swales himself, </w:t>
      </w:r>
      <w:r w:rsidR="00C41E79" w:rsidRPr="00C41E79">
        <w:rPr>
          <w:lang w:val="en-GB"/>
        </w:rPr>
        <w:t>the</w:t>
      </w:r>
      <w:r w:rsidR="001B3657" w:rsidRPr="00C41E79">
        <w:rPr>
          <w:lang w:val="en-GB"/>
        </w:rPr>
        <w:t xml:space="preserve"> deployment of these resources in his own texts allow us </w:t>
      </w:r>
      <w:r w:rsidR="000775BE" w:rsidRPr="00C41E79">
        <w:rPr>
          <w:lang w:val="en-GB"/>
        </w:rPr>
        <w:t>to trace something of his developing style and influence on the field.</w:t>
      </w:r>
      <w:r w:rsidR="000775BE" w:rsidRPr="00912BEE">
        <w:rPr>
          <w:lang w:val="en-GB"/>
        </w:rPr>
        <w:t xml:space="preserve"> </w:t>
      </w:r>
    </w:p>
    <w:p w14:paraId="48A559EF" w14:textId="77777777" w:rsidR="001B3657" w:rsidRPr="00912BEE" w:rsidRDefault="001B3657" w:rsidP="001B3657">
      <w:pPr>
        <w:rPr>
          <w:lang w:val="en-GB"/>
        </w:rPr>
      </w:pPr>
    </w:p>
    <w:p w14:paraId="42554F42" w14:textId="6BB460F7" w:rsidR="005A2BB3" w:rsidRPr="00912BEE" w:rsidRDefault="00FE21E4" w:rsidP="005A2BB3">
      <w:pPr>
        <w:rPr>
          <w:b/>
          <w:bCs/>
          <w:lang w:val="en-GB"/>
        </w:rPr>
      </w:pPr>
      <w:r w:rsidRPr="00912BEE">
        <w:rPr>
          <w:b/>
          <w:bCs/>
          <w:lang w:val="en-GB"/>
        </w:rPr>
        <w:t>2</w:t>
      </w:r>
      <w:r w:rsidR="005A2BB3" w:rsidRPr="00912BEE">
        <w:rPr>
          <w:b/>
          <w:bCs/>
          <w:lang w:val="en-GB"/>
        </w:rPr>
        <w:t xml:space="preserve">. </w:t>
      </w:r>
      <w:r w:rsidR="001B3657" w:rsidRPr="00912BEE">
        <w:rPr>
          <w:b/>
          <w:bCs/>
          <w:lang w:val="en-GB"/>
        </w:rPr>
        <w:t>M</w:t>
      </w:r>
      <w:r w:rsidRPr="00912BEE">
        <w:rPr>
          <w:b/>
          <w:bCs/>
          <w:lang w:val="en-GB"/>
        </w:rPr>
        <w:t xml:space="preserve">ethod and analysis </w:t>
      </w:r>
    </w:p>
    <w:p w14:paraId="5DCE7802" w14:textId="01F8D9BF" w:rsidR="005A2BB3" w:rsidRPr="00912BEE" w:rsidRDefault="00FE21E4" w:rsidP="005A2BB3">
      <w:pPr>
        <w:rPr>
          <w:b/>
          <w:bCs/>
          <w:lang w:val="en-GB"/>
        </w:rPr>
      </w:pPr>
      <w:r w:rsidRPr="00912BEE">
        <w:rPr>
          <w:b/>
          <w:bCs/>
          <w:lang w:val="en-GB"/>
        </w:rPr>
        <w:t>2</w:t>
      </w:r>
      <w:r w:rsidR="005A2BB3" w:rsidRPr="00912BEE">
        <w:rPr>
          <w:b/>
          <w:bCs/>
          <w:lang w:val="en-GB"/>
        </w:rPr>
        <w:t>.1</w:t>
      </w:r>
      <w:r w:rsidR="001B3657" w:rsidRPr="00912BEE">
        <w:rPr>
          <w:b/>
          <w:bCs/>
          <w:lang w:val="en-GB"/>
        </w:rPr>
        <w:t xml:space="preserve"> The data for the study</w:t>
      </w:r>
    </w:p>
    <w:p w14:paraId="682425F7" w14:textId="234D2506" w:rsidR="00C55320" w:rsidRDefault="00C55320" w:rsidP="00C55320">
      <w:pPr>
        <w:rPr>
          <w:lang w:val="en-GB"/>
        </w:rPr>
      </w:pPr>
      <w:r w:rsidRPr="00912BEE">
        <w:rPr>
          <w:lang w:val="en-GB"/>
        </w:rPr>
        <w:t>To investigate the evolution of Swales’s rhetorical style</w:t>
      </w:r>
      <w:r w:rsidR="00694C3C" w:rsidRPr="00912BEE">
        <w:rPr>
          <w:lang w:val="en-GB"/>
        </w:rPr>
        <w:t xml:space="preserve"> and research direction</w:t>
      </w:r>
      <w:r w:rsidRPr="00912BEE">
        <w:rPr>
          <w:lang w:val="en-GB"/>
        </w:rPr>
        <w:t xml:space="preserve">, we constructed three specialised corpora of his </w:t>
      </w:r>
      <w:r w:rsidR="00FB4D58" w:rsidRPr="00912BEE">
        <w:rPr>
          <w:lang w:val="en-GB"/>
        </w:rPr>
        <w:t>single authored published articles</w:t>
      </w:r>
      <w:r w:rsidRPr="00912BEE">
        <w:rPr>
          <w:lang w:val="en-GB"/>
        </w:rPr>
        <w:t xml:space="preserve">. </w:t>
      </w:r>
      <w:r w:rsidR="00BD5A7E" w:rsidRPr="00912BEE">
        <w:rPr>
          <w:lang w:val="en-GB"/>
        </w:rPr>
        <w:t>It comprises 30 papers d</w:t>
      </w:r>
      <w:r w:rsidR="00FB4D58" w:rsidRPr="00912BEE">
        <w:rPr>
          <w:lang w:val="en-GB"/>
        </w:rPr>
        <w:t xml:space="preserve">ivided </w:t>
      </w:r>
      <w:r w:rsidR="00BD5A7E" w:rsidRPr="00912BEE">
        <w:rPr>
          <w:lang w:val="en-GB"/>
        </w:rPr>
        <w:t xml:space="preserve">equally </w:t>
      </w:r>
      <w:r w:rsidR="00FB4D58" w:rsidRPr="00912BEE">
        <w:rPr>
          <w:lang w:val="en-GB"/>
        </w:rPr>
        <w:t xml:space="preserve">into </w:t>
      </w:r>
      <w:r w:rsidR="00890BEB">
        <w:rPr>
          <w:lang w:val="en-GB"/>
        </w:rPr>
        <w:t xml:space="preserve">three blocks of </w:t>
      </w:r>
      <w:r w:rsidR="00FB4D58" w:rsidRPr="00912BEE">
        <w:rPr>
          <w:lang w:val="en-GB"/>
        </w:rPr>
        <w:t>15 years</w:t>
      </w:r>
      <w:r w:rsidR="00BD5A7E" w:rsidRPr="00912BEE">
        <w:rPr>
          <w:lang w:val="en-GB"/>
        </w:rPr>
        <w:t xml:space="preserve"> to </w:t>
      </w:r>
      <w:r w:rsidR="004C2431" w:rsidRPr="00912BEE">
        <w:rPr>
          <w:lang w:val="en-GB"/>
        </w:rPr>
        <w:t xml:space="preserve">roughly </w:t>
      </w:r>
      <w:r w:rsidRPr="00912BEE">
        <w:rPr>
          <w:lang w:val="en-GB"/>
        </w:rPr>
        <w:t>represent the 1980s</w:t>
      </w:r>
      <w:r w:rsidR="00694C3C" w:rsidRPr="00912BEE">
        <w:rPr>
          <w:lang w:val="en-GB"/>
        </w:rPr>
        <w:t>-</w:t>
      </w:r>
      <w:r w:rsidR="00694C3C" w:rsidRPr="009B6FA8">
        <w:rPr>
          <w:lang w:val="en-GB"/>
        </w:rPr>
        <w:t>mid 1990s</w:t>
      </w:r>
      <w:r w:rsidRPr="009B6FA8">
        <w:rPr>
          <w:lang w:val="en-GB"/>
        </w:rPr>
        <w:t xml:space="preserve">, </w:t>
      </w:r>
      <w:r w:rsidR="00694C3C" w:rsidRPr="009B6FA8">
        <w:rPr>
          <w:lang w:val="en-GB"/>
        </w:rPr>
        <w:t xml:space="preserve">mid 1990s through the </w:t>
      </w:r>
      <w:r w:rsidRPr="009B6FA8">
        <w:rPr>
          <w:lang w:val="en-GB"/>
        </w:rPr>
        <w:t>2000s, and 2010</w:t>
      </w:r>
      <w:r w:rsidR="00CF19FC" w:rsidRPr="009B6FA8">
        <w:rPr>
          <w:lang w:val="en-GB"/>
        </w:rPr>
        <w:t xml:space="preserve"> to </w:t>
      </w:r>
      <w:r w:rsidR="0085584C" w:rsidRPr="009B6FA8">
        <w:rPr>
          <w:lang w:val="en-GB"/>
        </w:rPr>
        <w:t>2015</w:t>
      </w:r>
      <w:r w:rsidRPr="009B6FA8">
        <w:rPr>
          <w:lang w:val="en-GB"/>
        </w:rPr>
        <w:t>, correspond</w:t>
      </w:r>
      <w:r w:rsidR="00BD5A7E" w:rsidRPr="009B6FA8">
        <w:rPr>
          <w:lang w:val="en-GB"/>
        </w:rPr>
        <w:t>ing</w:t>
      </w:r>
      <w:r w:rsidRPr="009B6FA8">
        <w:rPr>
          <w:lang w:val="en-GB"/>
        </w:rPr>
        <w:t xml:space="preserve"> to critical</w:t>
      </w:r>
      <w:r w:rsidRPr="00912BEE">
        <w:rPr>
          <w:lang w:val="en-GB"/>
        </w:rPr>
        <w:t xml:space="preserve"> junctures in his career. This trajectory is marked by </w:t>
      </w:r>
      <w:r w:rsidR="004C2431" w:rsidRPr="00912BEE">
        <w:rPr>
          <w:lang w:val="en-GB"/>
        </w:rPr>
        <w:t>a</w:t>
      </w:r>
      <w:r w:rsidRPr="00912BEE">
        <w:rPr>
          <w:lang w:val="en-GB"/>
        </w:rPr>
        <w:t xml:space="preserve"> progression from his foundational years as a lecturer, through his </w:t>
      </w:r>
      <w:r w:rsidR="00694C3C" w:rsidRPr="00912BEE">
        <w:rPr>
          <w:lang w:val="en-GB"/>
        </w:rPr>
        <w:t>work</w:t>
      </w:r>
      <w:r w:rsidRPr="00912BEE">
        <w:rPr>
          <w:lang w:val="en-GB"/>
        </w:rPr>
        <w:t xml:space="preserve"> as a full professor, to his subsequent </w:t>
      </w:r>
      <w:r w:rsidRPr="00912BEE">
        <w:rPr>
          <w:lang w:val="en-GB"/>
        </w:rPr>
        <w:lastRenderedPageBreak/>
        <w:t xml:space="preserve">recognition as a pre-eminent figure in applied linguistics. This tripartite division therefore provides a </w:t>
      </w:r>
      <w:r w:rsidR="004C2431" w:rsidRPr="00912BEE">
        <w:rPr>
          <w:lang w:val="en-GB"/>
        </w:rPr>
        <w:t>practical</w:t>
      </w:r>
      <w:r w:rsidRPr="00912BEE">
        <w:rPr>
          <w:lang w:val="en-GB"/>
        </w:rPr>
        <w:t xml:space="preserve"> framework for longitudinally analysing shifts in his authorial practice</w:t>
      </w:r>
      <w:r w:rsidR="004C2431" w:rsidRPr="00912BEE">
        <w:rPr>
          <w:lang w:val="en-GB"/>
        </w:rPr>
        <w:t>s</w:t>
      </w:r>
      <w:r w:rsidRPr="00912BEE">
        <w:rPr>
          <w:lang w:val="en-GB"/>
        </w:rPr>
        <w:t>.</w:t>
      </w:r>
    </w:p>
    <w:p w14:paraId="5B7C9338" w14:textId="77777777" w:rsidR="00C41E79" w:rsidRPr="00912BEE" w:rsidRDefault="00C41E79" w:rsidP="00C55320">
      <w:pPr>
        <w:rPr>
          <w:lang w:val="en-GB"/>
        </w:rPr>
      </w:pPr>
    </w:p>
    <w:p w14:paraId="1D37665F" w14:textId="41B30E7F" w:rsidR="00C55320" w:rsidRPr="00912BEE" w:rsidRDefault="00C55320" w:rsidP="00C55320">
      <w:pPr>
        <w:rPr>
          <w:lang w:val="en-GB"/>
        </w:rPr>
      </w:pPr>
      <w:r w:rsidRPr="00912BEE">
        <w:rPr>
          <w:lang w:val="en-GB"/>
        </w:rPr>
        <w:t xml:space="preserve">Each corpus </w:t>
      </w:r>
      <w:r w:rsidR="004C2431" w:rsidRPr="00912BEE">
        <w:rPr>
          <w:lang w:val="en-GB"/>
        </w:rPr>
        <w:t xml:space="preserve">of ten papers </w:t>
      </w:r>
      <w:r w:rsidRPr="00912BEE">
        <w:rPr>
          <w:lang w:val="en-GB"/>
        </w:rPr>
        <w:t xml:space="preserve">was </w:t>
      </w:r>
      <w:r w:rsidR="004C2431" w:rsidRPr="00912BEE">
        <w:rPr>
          <w:lang w:val="en-GB"/>
        </w:rPr>
        <w:t xml:space="preserve">assembled according to both </w:t>
      </w:r>
      <w:r w:rsidR="003F744B" w:rsidRPr="00912BEE">
        <w:rPr>
          <w:lang w:val="en-GB"/>
        </w:rPr>
        <w:t>year of publication</w:t>
      </w:r>
      <w:r w:rsidR="004C2431" w:rsidRPr="00912BEE">
        <w:rPr>
          <w:lang w:val="en-GB"/>
        </w:rPr>
        <w:t xml:space="preserve"> and sole authorship</w:t>
      </w:r>
      <w:r w:rsidR="003F744B" w:rsidRPr="00912BEE">
        <w:rPr>
          <w:lang w:val="en-GB"/>
        </w:rPr>
        <w:t xml:space="preserve">, to reflect both the passage of time and to </w:t>
      </w:r>
      <w:r w:rsidRPr="00912BEE">
        <w:rPr>
          <w:lang w:val="en-GB"/>
        </w:rPr>
        <w:t xml:space="preserve">mitigate the confounding variables of collaborative writing, which </w:t>
      </w:r>
      <w:r w:rsidR="003F744B" w:rsidRPr="00912BEE">
        <w:rPr>
          <w:lang w:val="en-GB"/>
        </w:rPr>
        <w:t>impact</w:t>
      </w:r>
      <w:r w:rsidRPr="00912BEE">
        <w:rPr>
          <w:lang w:val="en-GB"/>
        </w:rPr>
        <w:t xml:space="preserve"> authorial voice and stance (Hyland &amp; Jiang, 2019). A </w:t>
      </w:r>
      <w:r w:rsidR="003F744B" w:rsidRPr="00912BEE">
        <w:rPr>
          <w:lang w:val="en-GB"/>
        </w:rPr>
        <w:t xml:space="preserve">list of the selected papers can be found in the </w:t>
      </w:r>
      <w:r w:rsidRPr="00912BEE">
        <w:rPr>
          <w:lang w:val="en-GB"/>
        </w:rPr>
        <w:t xml:space="preserve">Appendix. </w:t>
      </w:r>
      <w:r w:rsidR="003F744B" w:rsidRPr="00912BEE">
        <w:rPr>
          <w:lang w:val="en-GB"/>
        </w:rPr>
        <w:t xml:space="preserve">In compiling the corpus, we stripped out all </w:t>
      </w:r>
      <w:r w:rsidRPr="00912BEE">
        <w:rPr>
          <w:lang w:val="en-GB"/>
        </w:rPr>
        <w:t xml:space="preserve">non-authorial text, </w:t>
      </w:r>
      <w:r w:rsidR="003F744B" w:rsidRPr="00912BEE">
        <w:rPr>
          <w:lang w:val="en-GB"/>
        </w:rPr>
        <w:t xml:space="preserve">removing </w:t>
      </w:r>
      <w:r w:rsidR="00FE21E4" w:rsidRPr="00912BEE">
        <w:rPr>
          <w:lang w:val="en-GB"/>
        </w:rPr>
        <w:t>examples</w:t>
      </w:r>
      <w:r w:rsidRPr="00912BEE">
        <w:rPr>
          <w:lang w:val="en-GB"/>
        </w:rPr>
        <w:t>, reference lists, appendices, and block quotations</w:t>
      </w:r>
      <w:r w:rsidR="00CF19FC" w:rsidRPr="00912BEE">
        <w:rPr>
          <w:lang w:val="en-GB"/>
        </w:rPr>
        <w:t xml:space="preserve"> </w:t>
      </w:r>
      <w:r w:rsidR="003F744B" w:rsidRPr="00912BEE">
        <w:rPr>
          <w:lang w:val="en-GB"/>
        </w:rPr>
        <w:t xml:space="preserve">in order to </w:t>
      </w:r>
      <w:r w:rsidRPr="00912BEE">
        <w:rPr>
          <w:lang w:val="en-GB"/>
        </w:rPr>
        <w:t>isolate Swales’s original prose. The result</w:t>
      </w:r>
      <w:r w:rsidR="003F744B" w:rsidRPr="00912BEE">
        <w:rPr>
          <w:lang w:val="en-GB"/>
        </w:rPr>
        <w:t>ing</w:t>
      </w:r>
      <w:r w:rsidRPr="00912BEE">
        <w:rPr>
          <w:lang w:val="en-GB"/>
        </w:rPr>
        <w:t xml:space="preserve"> three-part corpus comprises a total of 167,150 words. As indicated in Table 1, the mean length of </w:t>
      </w:r>
      <w:r w:rsidR="003F744B" w:rsidRPr="00912BEE">
        <w:rPr>
          <w:lang w:val="en-GB"/>
        </w:rPr>
        <w:t>the</w:t>
      </w:r>
      <w:r w:rsidRPr="00912BEE">
        <w:rPr>
          <w:lang w:val="en-GB"/>
        </w:rPr>
        <w:t xml:space="preserve"> articles shows a marked increase from the 1980s onwards, a trend that </w:t>
      </w:r>
      <w:r w:rsidR="00283740" w:rsidRPr="00912BEE">
        <w:rPr>
          <w:lang w:val="en-GB"/>
        </w:rPr>
        <w:t>aligns with</w:t>
      </w:r>
      <w:r w:rsidRPr="00912BEE">
        <w:rPr>
          <w:lang w:val="en-GB"/>
        </w:rPr>
        <w:t xml:space="preserve"> the general growth in </w:t>
      </w:r>
      <w:r w:rsidR="003F744B" w:rsidRPr="00912BEE">
        <w:rPr>
          <w:lang w:val="en-GB"/>
        </w:rPr>
        <w:t>the length of articles over the period (</w:t>
      </w:r>
      <w:r w:rsidRPr="00912BEE">
        <w:rPr>
          <w:lang w:val="en-GB"/>
        </w:rPr>
        <w:t xml:space="preserve">Hyland </w:t>
      </w:r>
      <w:r w:rsidR="003F744B" w:rsidRPr="00912BEE">
        <w:rPr>
          <w:lang w:val="en-GB"/>
        </w:rPr>
        <w:t>&amp;</w:t>
      </w:r>
      <w:r w:rsidRPr="00912BEE">
        <w:rPr>
          <w:lang w:val="en-GB"/>
        </w:rPr>
        <w:t xml:space="preserve"> Jiang</w:t>
      </w:r>
      <w:r w:rsidR="003F744B" w:rsidRPr="00912BEE">
        <w:rPr>
          <w:lang w:val="en-GB"/>
        </w:rPr>
        <w:t xml:space="preserve">, </w:t>
      </w:r>
      <w:r w:rsidRPr="00912BEE">
        <w:rPr>
          <w:lang w:val="en-GB"/>
        </w:rPr>
        <w:t>201</w:t>
      </w:r>
      <w:r w:rsidR="000A3EC4" w:rsidRPr="00912BEE">
        <w:rPr>
          <w:lang w:val="en-GB"/>
        </w:rPr>
        <w:t>9</w:t>
      </w:r>
      <w:r w:rsidRPr="00912BEE">
        <w:rPr>
          <w:lang w:val="en-GB"/>
        </w:rPr>
        <w:t>).</w:t>
      </w:r>
    </w:p>
    <w:p w14:paraId="62C07770" w14:textId="69BAE254" w:rsidR="005A2BB3" w:rsidRPr="00912BEE" w:rsidRDefault="005A2BB3" w:rsidP="00C63F2C">
      <w:pPr>
        <w:jc w:val="center"/>
        <w:rPr>
          <w:lang w:val="en-GB"/>
        </w:rPr>
      </w:pPr>
      <w:r w:rsidRPr="00912BEE">
        <w:rPr>
          <w:lang w:val="en-GB"/>
        </w:rPr>
        <w:t xml:space="preserve">Table </w:t>
      </w:r>
      <w:r w:rsidRPr="00912BEE">
        <w:rPr>
          <w:lang w:val="en-GB"/>
        </w:rPr>
        <w:fldChar w:fldCharType="begin"/>
      </w:r>
      <w:r w:rsidRPr="00912BEE">
        <w:rPr>
          <w:lang w:val="en-GB"/>
        </w:rPr>
        <w:instrText xml:space="preserve"> SEQ Table \* ARABIC </w:instrText>
      </w:r>
      <w:r w:rsidRPr="00912BEE">
        <w:rPr>
          <w:lang w:val="en-GB"/>
        </w:rPr>
        <w:fldChar w:fldCharType="separate"/>
      </w:r>
      <w:r w:rsidRPr="00912BEE">
        <w:rPr>
          <w:lang w:val="en-GB"/>
        </w:rPr>
        <w:t>1</w:t>
      </w:r>
      <w:r w:rsidRPr="00912BEE">
        <w:rPr>
          <w:lang w:val="en-GB"/>
        </w:rPr>
        <w:fldChar w:fldCharType="end"/>
      </w:r>
      <w:r w:rsidRPr="00912BEE">
        <w:rPr>
          <w:lang w:val="en-GB"/>
        </w:rPr>
        <w:t xml:space="preserve"> The </w:t>
      </w:r>
      <w:r w:rsidR="00FE21E4" w:rsidRPr="00912BEE">
        <w:rPr>
          <w:lang w:val="en-GB"/>
        </w:rPr>
        <w:t xml:space="preserve">Swales article </w:t>
      </w:r>
      <w:r w:rsidRPr="00912BEE">
        <w:rPr>
          <w:lang w:val="en-GB"/>
        </w:rPr>
        <w:t>corpus</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6"/>
        <w:gridCol w:w="1542"/>
        <w:gridCol w:w="1542"/>
        <w:gridCol w:w="1542"/>
        <w:gridCol w:w="1834"/>
      </w:tblGrid>
      <w:tr w:rsidR="005A2BB3" w:rsidRPr="00912BEE" w14:paraId="50C00BE0" w14:textId="77777777" w:rsidTr="00044F71">
        <w:trPr>
          <w:trHeight w:val="276"/>
          <w:jc w:val="center"/>
        </w:trPr>
        <w:tc>
          <w:tcPr>
            <w:tcW w:w="1111" w:type="pct"/>
            <w:tcBorders>
              <w:top w:val="single" w:sz="4" w:space="0" w:color="auto"/>
              <w:bottom w:val="single" w:sz="4" w:space="0" w:color="auto"/>
            </w:tcBorders>
            <w:noWrap/>
            <w:vAlign w:val="center"/>
            <w:hideMark/>
          </w:tcPr>
          <w:p w14:paraId="0CB2E339" w14:textId="5056D162" w:rsidR="005A2BB3" w:rsidRPr="00912BEE" w:rsidRDefault="000775BE" w:rsidP="00044F71">
            <w:pPr>
              <w:spacing w:line="360" w:lineRule="auto"/>
              <w:jc w:val="center"/>
              <w:rPr>
                <w:b/>
                <w:bCs/>
                <w:lang w:val="en-GB"/>
              </w:rPr>
            </w:pPr>
            <w:r w:rsidRPr="00912BEE">
              <w:rPr>
                <w:b/>
                <w:bCs/>
                <w:lang w:val="en-GB"/>
              </w:rPr>
              <w:t>Words</w:t>
            </w:r>
          </w:p>
        </w:tc>
        <w:tc>
          <w:tcPr>
            <w:tcW w:w="928" w:type="pct"/>
            <w:tcBorders>
              <w:top w:val="single" w:sz="4" w:space="0" w:color="auto"/>
              <w:bottom w:val="single" w:sz="4" w:space="0" w:color="auto"/>
            </w:tcBorders>
            <w:noWrap/>
            <w:vAlign w:val="center"/>
            <w:hideMark/>
          </w:tcPr>
          <w:p w14:paraId="45C3CBE3" w14:textId="060B20A8" w:rsidR="005A2BB3" w:rsidRPr="00912BEE" w:rsidRDefault="00044F71" w:rsidP="00044F71">
            <w:pPr>
              <w:spacing w:line="360" w:lineRule="auto"/>
              <w:jc w:val="center"/>
              <w:rPr>
                <w:b/>
                <w:bCs/>
                <w:lang w:val="en-GB"/>
              </w:rPr>
            </w:pPr>
            <w:r w:rsidRPr="00912BEE">
              <w:rPr>
                <w:b/>
                <w:bCs/>
                <w:lang w:val="en-GB"/>
              </w:rPr>
              <w:t>1980-1994</w:t>
            </w:r>
          </w:p>
        </w:tc>
        <w:tc>
          <w:tcPr>
            <w:tcW w:w="928" w:type="pct"/>
            <w:tcBorders>
              <w:top w:val="single" w:sz="4" w:space="0" w:color="auto"/>
              <w:bottom w:val="single" w:sz="4" w:space="0" w:color="auto"/>
            </w:tcBorders>
            <w:noWrap/>
            <w:vAlign w:val="center"/>
            <w:hideMark/>
          </w:tcPr>
          <w:p w14:paraId="03719690" w14:textId="74E6CF2E" w:rsidR="005A2BB3" w:rsidRPr="00912BEE" w:rsidRDefault="00044F71" w:rsidP="00044F71">
            <w:pPr>
              <w:spacing w:line="360" w:lineRule="auto"/>
              <w:jc w:val="center"/>
              <w:rPr>
                <w:b/>
                <w:bCs/>
                <w:lang w:val="en-GB"/>
              </w:rPr>
            </w:pPr>
            <w:r w:rsidRPr="00912BEE">
              <w:rPr>
                <w:b/>
                <w:bCs/>
                <w:lang w:val="en-GB"/>
              </w:rPr>
              <w:t>1995-2009</w:t>
            </w:r>
          </w:p>
        </w:tc>
        <w:tc>
          <w:tcPr>
            <w:tcW w:w="928" w:type="pct"/>
            <w:tcBorders>
              <w:top w:val="single" w:sz="4" w:space="0" w:color="auto"/>
              <w:bottom w:val="single" w:sz="4" w:space="0" w:color="auto"/>
            </w:tcBorders>
            <w:noWrap/>
            <w:vAlign w:val="center"/>
            <w:hideMark/>
          </w:tcPr>
          <w:p w14:paraId="37A9D6A6" w14:textId="20D964F4" w:rsidR="005A2BB3" w:rsidRPr="00912BEE" w:rsidRDefault="00044F71" w:rsidP="00044F71">
            <w:pPr>
              <w:spacing w:line="360" w:lineRule="auto"/>
              <w:jc w:val="center"/>
              <w:rPr>
                <w:b/>
                <w:bCs/>
                <w:lang w:val="en-GB"/>
              </w:rPr>
            </w:pPr>
            <w:r w:rsidRPr="00912BEE">
              <w:rPr>
                <w:b/>
                <w:bCs/>
                <w:lang w:val="en-GB"/>
              </w:rPr>
              <w:t>2010-2024</w:t>
            </w:r>
          </w:p>
        </w:tc>
        <w:tc>
          <w:tcPr>
            <w:tcW w:w="1104" w:type="pct"/>
            <w:tcBorders>
              <w:top w:val="single" w:sz="4" w:space="0" w:color="auto"/>
              <w:bottom w:val="single" w:sz="4" w:space="0" w:color="auto"/>
            </w:tcBorders>
            <w:noWrap/>
            <w:vAlign w:val="center"/>
            <w:hideMark/>
          </w:tcPr>
          <w:p w14:paraId="099C6AF6" w14:textId="77777777" w:rsidR="005A2BB3" w:rsidRPr="00912BEE" w:rsidRDefault="005A2BB3" w:rsidP="00044F71">
            <w:pPr>
              <w:spacing w:line="360" w:lineRule="auto"/>
              <w:jc w:val="center"/>
              <w:rPr>
                <w:b/>
                <w:bCs/>
                <w:lang w:val="en-GB"/>
              </w:rPr>
            </w:pPr>
            <w:r w:rsidRPr="00912BEE">
              <w:rPr>
                <w:b/>
                <w:bCs/>
                <w:lang w:val="en-GB"/>
              </w:rPr>
              <w:t>Overall</w:t>
            </w:r>
          </w:p>
        </w:tc>
      </w:tr>
      <w:tr w:rsidR="00C664EF" w:rsidRPr="00912BEE" w14:paraId="386D79FF" w14:textId="77777777" w:rsidTr="00044F71">
        <w:trPr>
          <w:trHeight w:val="276"/>
          <w:jc w:val="center"/>
        </w:trPr>
        <w:tc>
          <w:tcPr>
            <w:tcW w:w="1111" w:type="pct"/>
            <w:tcBorders>
              <w:top w:val="single" w:sz="4" w:space="0" w:color="auto"/>
              <w:bottom w:val="single" w:sz="4" w:space="0" w:color="auto"/>
            </w:tcBorders>
            <w:noWrap/>
            <w:vAlign w:val="center"/>
          </w:tcPr>
          <w:p w14:paraId="31C2AC27" w14:textId="2DAB8A86" w:rsidR="00C664EF" w:rsidRPr="00912BEE" w:rsidRDefault="00C664EF" w:rsidP="00C664EF">
            <w:pPr>
              <w:spacing w:line="360" w:lineRule="auto"/>
              <w:jc w:val="center"/>
              <w:rPr>
                <w:lang w:val="en-GB"/>
              </w:rPr>
            </w:pPr>
            <w:r w:rsidRPr="00912BEE">
              <w:rPr>
                <w:lang w:val="en-GB"/>
              </w:rPr>
              <w:t xml:space="preserve">Total </w:t>
            </w:r>
          </w:p>
        </w:tc>
        <w:tc>
          <w:tcPr>
            <w:tcW w:w="928" w:type="pct"/>
            <w:tcBorders>
              <w:top w:val="single" w:sz="4" w:space="0" w:color="auto"/>
              <w:bottom w:val="single" w:sz="4" w:space="0" w:color="auto"/>
            </w:tcBorders>
            <w:noWrap/>
            <w:vAlign w:val="center"/>
          </w:tcPr>
          <w:p w14:paraId="14530FE4" w14:textId="411EC7A3" w:rsidR="00C664EF" w:rsidRPr="00912BEE" w:rsidRDefault="00C664EF" w:rsidP="00C664EF">
            <w:pPr>
              <w:spacing w:line="360" w:lineRule="auto"/>
              <w:jc w:val="center"/>
              <w:rPr>
                <w:lang w:val="en-GB"/>
              </w:rPr>
            </w:pPr>
            <w:r w:rsidRPr="00912BEE">
              <w:rPr>
                <w:lang w:val="en-GB"/>
              </w:rPr>
              <w:t>51,177</w:t>
            </w:r>
          </w:p>
        </w:tc>
        <w:tc>
          <w:tcPr>
            <w:tcW w:w="928" w:type="pct"/>
            <w:tcBorders>
              <w:top w:val="single" w:sz="4" w:space="0" w:color="auto"/>
              <w:bottom w:val="single" w:sz="4" w:space="0" w:color="auto"/>
            </w:tcBorders>
            <w:noWrap/>
            <w:vAlign w:val="center"/>
          </w:tcPr>
          <w:p w14:paraId="51954863" w14:textId="262D6011" w:rsidR="00C664EF" w:rsidRPr="00912BEE" w:rsidRDefault="00C664EF" w:rsidP="00C664EF">
            <w:pPr>
              <w:spacing w:line="360" w:lineRule="auto"/>
              <w:jc w:val="center"/>
              <w:rPr>
                <w:lang w:val="en-GB"/>
              </w:rPr>
            </w:pPr>
            <w:r w:rsidRPr="00912BEE">
              <w:rPr>
                <w:lang w:val="en-GB"/>
              </w:rPr>
              <w:t>5</w:t>
            </w:r>
            <w:r w:rsidR="002879D1" w:rsidRPr="00912BEE">
              <w:rPr>
                <w:lang w:val="en-GB"/>
              </w:rPr>
              <w:t>6</w:t>
            </w:r>
            <w:r w:rsidRPr="00912BEE">
              <w:rPr>
                <w:lang w:val="en-GB"/>
              </w:rPr>
              <w:t>,907</w:t>
            </w:r>
          </w:p>
        </w:tc>
        <w:tc>
          <w:tcPr>
            <w:tcW w:w="928" w:type="pct"/>
            <w:tcBorders>
              <w:top w:val="single" w:sz="4" w:space="0" w:color="auto"/>
              <w:bottom w:val="single" w:sz="4" w:space="0" w:color="auto"/>
            </w:tcBorders>
            <w:noWrap/>
            <w:vAlign w:val="center"/>
          </w:tcPr>
          <w:p w14:paraId="6706DE65" w14:textId="508713CC" w:rsidR="00C664EF" w:rsidRPr="00912BEE" w:rsidRDefault="00C664EF" w:rsidP="00C664EF">
            <w:pPr>
              <w:spacing w:line="360" w:lineRule="auto"/>
              <w:jc w:val="center"/>
              <w:rPr>
                <w:lang w:val="en-GB"/>
              </w:rPr>
            </w:pPr>
            <w:r w:rsidRPr="00912BEE">
              <w:rPr>
                <w:lang w:val="en-GB"/>
              </w:rPr>
              <w:t>57,066</w:t>
            </w:r>
          </w:p>
        </w:tc>
        <w:tc>
          <w:tcPr>
            <w:tcW w:w="1104" w:type="pct"/>
            <w:tcBorders>
              <w:top w:val="single" w:sz="4" w:space="0" w:color="auto"/>
              <w:bottom w:val="single" w:sz="4" w:space="0" w:color="auto"/>
            </w:tcBorders>
            <w:noWrap/>
            <w:vAlign w:val="center"/>
          </w:tcPr>
          <w:p w14:paraId="0D8EC021" w14:textId="690F4A1B" w:rsidR="00C664EF" w:rsidRPr="00912BEE" w:rsidRDefault="00C664EF" w:rsidP="00C664EF">
            <w:pPr>
              <w:spacing w:line="360" w:lineRule="auto"/>
              <w:jc w:val="center"/>
              <w:rPr>
                <w:lang w:val="en-GB"/>
              </w:rPr>
            </w:pPr>
            <w:r w:rsidRPr="00912BEE">
              <w:rPr>
                <w:lang w:val="en-GB"/>
              </w:rPr>
              <w:t>167,150</w:t>
            </w:r>
          </w:p>
        </w:tc>
      </w:tr>
      <w:tr w:rsidR="00C664EF" w:rsidRPr="00912BEE" w14:paraId="519850CA" w14:textId="77777777" w:rsidTr="00E11BF1">
        <w:trPr>
          <w:trHeight w:val="276"/>
          <w:jc w:val="center"/>
        </w:trPr>
        <w:tc>
          <w:tcPr>
            <w:tcW w:w="1111" w:type="pct"/>
            <w:tcBorders>
              <w:top w:val="single" w:sz="4" w:space="0" w:color="auto"/>
              <w:bottom w:val="single" w:sz="4" w:space="0" w:color="auto"/>
            </w:tcBorders>
            <w:noWrap/>
            <w:vAlign w:val="center"/>
            <w:hideMark/>
          </w:tcPr>
          <w:p w14:paraId="7294662A" w14:textId="3BD22EE1" w:rsidR="00C664EF" w:rsidRPr="00912BEE" w:rsidRDefault="00C664EF" w:rsidP="00C664EF">
            <w:pPr>
              <w:spacing w:line="360" w:lineRule="auto"/>
              <w:jc w:val="center"/>
              <w:rPr>
                <w:lang w:val="en-GB"/>
              </w:rPr>
            </w:pPr>
            <w:r w:rsidRPr="00912BEE">
              <w:rPr>
                <w:lang w:val="en-GB"/>
              </w:rPr>
              <w:t>Per paper</w:t>
            </w:r>
          </w:p>
        </w:tc>
        <w:tc>
          <w:tcPr>
            <w:tcW w:w="928" w:type="pct"/>
            <w:tcBorders>
              <w:top w:val="single" w:sz="4" w:space="0" w:color="auto"/>
              <w:bottom w:val="single" w:sz="4" w:space="0" w:color="auto"/>
            </w:tcBorders>
            <w:noWrap/>
          </w:tcPr>
          <w:p w14:paraId="422058A3" w14:textId="38D2738C" w:rsidR="00C664EF" w:rsidRPr="00912BEE" w:rsidRDefault="00C664EF" w:rsidP="00C664EF">
            <w:pPr>
              <w:spacing w:line="360" w:lineRule="auto"/>
              <w:jc w:val="center"/>
              <w:rPr>
                <w:lang w:val="en-GB"/>
              </w:rPr>
            </w:pPr>
            <w:r w:rsidRPr="00912BEE">
              <w:rPr>
                <w:lang w:val="en-GB"/>
              </w:rPr>
              <w:t>5,117.7</w:t>
            </w:r>
          </w:p>
        </w:tc>
        <w:tc>
          <w:tcPr>
            <w:tcW w:w="928" w:type="pct"/>
            <w:tcBorders>
              <w:top w:val="single" w:sz="4" w:space="0" w:color="auto"/>
              <w:bottom w:val="single" w:sz="4" w:space="0" w:color="auto"/>
            </w:tcBorders>
            <w:noWrap/>
          </w:tcPr>
          <w:p w14:paraId="6DF536F6" w14:textId="4FCE95B5" w:rsidR="00C664EF" w:rsidRPr="00912BEE" w:rsidRDefault="00C664EF" w:rsidP="00C664EF">
            <w:pPr>
              <w:spacing w:line="360" w:lineRule="auto"/>
              <w:jc w:val="center"/>
              <w:rPr>
                <w:lang w:val="en-GB"/>
              </w:rPr>
            </w:pPr>
            <w:r w:rsidRPr="00912BEE">
              <w:rPr>
                <w:lang w:val="en-GB"/>
              </w:rPr>
              <w:t>5,</w:t>
            </w:r>
            <w:r w:rsidR="002879D1" w:rsidRPr="00912BEE">
              <w:rPr>
                <w:lang w:val="en-GB"/>
              </w:rPr>
              <w:t>6</w:t>
            </w:r>
            <w:r w:rsidRPr="00912BEE">
              <w:rPr>
                <w:lang w:val="en-GB"/>
              </w:rPr>
              <w:t>90.7</w:t>
            </w:r>
          </w:p>
        </w:tc>
        <w:tc>
          <w:tcPr>
            <w:tcW w:w="928" w:type="pct"/>
            <w:tcBorders>
              <w:top w:val="single" w:sz="4" w:space="0" w:color="auto"/>
              <w:bottom w:val="single" w:sz="4" w:space="0" w:color="auto"/>
            </w:tcBorders>
            <w:noWrap/>
          </w:tcPr>
          <w:p w14:paraId="734A5BB9" w14:textId="465A64B3" w:rsidR="00C664EF" w:rsidRPr="00912BEE" w:rsidRDefault="00C664EF" w:rsidP="00C664EF">
            <w:pPr>
              <w:spacing w:line="360" w:lineRule="auto"/>
              <w:jc w:val="center"/>
              <w:rPr>
                <w:lang w:val="en-GB"/>
              </w:rPr>
            </w:pPr>
            <w:r w:rsidRPr="00912BEE">
              <w:rPr>
                <w:lang w:val="en-GB"/>
              </w:rPr>
              <w:t>5,706.6</w:t>
            </w:r>
          </w:p>
        </w:tc>
        <w:tc>
          <w:tcPr>
            <w:tcW w:w="1104" w:type="pct"/>
            <w:tcBorders>
              <w:top w:val="single" w:sz="4" w:space="0" w:color="auto"/>
              <w:bottom w:val="single" w:sz="4" w:space="0" w:color="auto"/>
            </w:tcBorders>
            <w:noWrap/>
          </w:tcPr>
          <w:p w14:paraId="06ADB8D4" w14:textId="14D5EEE3" w:rsidR="00C664EF" w:rsidRPr="00912BEE" w:rsidRDefault="00C664EF" w:rsidP="00C664EF">
            <w:pPr>
              <w:spacing w:line="360" w:lineRule="auto"/>
              <w:jc w:val="center"/>
              <w:rPr>
                <w:lang w:val="en-GB"/>
              </w:rPr>
            </w:pPr>
            <w:r w:rsidRPr="00912BEE">
              <w:rPr>
                <w:lang w:val="en-GB"/>
              </w:rPr>
              <w:t>16,715</w:t>
            </w:r>
          </w:p>
        </w:tc>
      </w:tr>
    </w:tbl>
    <w:p w14:paraId="04626590" w14:textId="77777777" w:rsidR="00D92B07" w:rsidRPr="00912BEE" w:rsidRDefault="00D92B07" w:rsidP="005A2BB3">
      <w:pPr>
        <w:rPr>
          <w:lang w:val="en-GB"/>
        </w:rPr>
      </w:pPr>
    </w:p>
    <w:p w14:paraId="5920A65F" w14:textId="269871C4" w:rsidR="00580B76" w:rsidRPr="00912BEE" w:rsidRDefault="00580B76" w:rsidP="005A2BB3">
      <w:pPr>
        <w:rPr>
          <w:b/>
          <w:bCs/>
          <w:lang w:val="en-GB"/>
        </w:rPr>
      </w:pPr>
      <w:r w:rsidRPr="00912BEE">
        <w:rPr>
          <w:b/>
          <w:bCs/>
          <w:lang w:val="en-GB"/>
        </w:rPr>
        <w:t>2.2 The analytical lens: Metadiscourse</w:t>
      </w:r>
    </w:p>
    <w:p w14:paraId="2A9D3602" w14:textId="3A633A34" w:rsidR="0079155F" w:rsidRPr="00912BEE" w:rsidRDefault="0079155F" w:rsidP="005A2BB3">
      <w:pPr>
        <w:rPr>
          <w:lang w:val="en-GB"/>
        </w:rPr>
      </w:pPr>
      <w:r w:rsidRPr="00912BEE">
        <w:rPr>
          <w:lang w:val="en-GB"/>
        </w:rPr>
        <w:t xml:space="preserve">The concept of metadiscourse has been a key feature of discourse analysis since the 1980s (e.g. Vande Kopple, 1985; Crismore, 1989) but has exploded </w:t>
      </w:r>
      <w:r w:rsidR="003133FE" w:rsidRPr="00912BEE">
        <w:rPr>
          <w:lang w:val="en-GB"/>
        </w:rPr>
        <w:t>since the mid-2000s (</w:t>
      </w:r>
      <w:proofErr w:type="spellStart"/>
      <w:r w:rsidR="003133FE" w:rsidRPr="00912BEE">
        <w:rPr>
          <w:lang w:val="en-GB"/>
        </w:rPr>
        <w:t>Ädel</w:t>
      </w:r>
      <w:proofErr w:type="spellEnd"/>
      <w:r w:rsidR="003133FE" w:rsidRPr="00912BEE">
        <w:rPr>
          <w:lang w:val="en-GB"/>
        </w:rPr>
        <w:t xml:space="preserve">, 2006; Hyland, 2005). It is now one of the most commonly employed methods for approaching specialist written texts, so that a </w:t>
      </w:r>
      <w:r w:rsidR="003133FE" w:rsidRPr="00912BEE">
        <w:rPr>
          <w:i/>
          <w:lang w:val="en-GB"/>
        </w:rPr>
        <w:t>Google</w:t>
      </w:r>
      <w:r w:rsidR="003133FE" w:rsidRPr="00912BEE">
        <w:rPr>
          <w:lang w:val="en-GB"/>
        </w:rPr>
        <w:t xml:space="preserve"> search produces over 350,000 hits</w:t>
      </w:r>
      <w:r w:rsidR="0087365C" w:rsidRPr="00912BEE">
        <w:rPr>
          <w:lang w:val="en-GB"/>
        </w:rPr>
        <w:t xml:space="preserve"> and</w:t>
      </w:r>
      <w:r w:rsidR="003133FE" w:rsidRPr="00912BEE">
        <w:rPr>
          <w:lang w:val="en-GB"/>
        </w:rPr>
        <w:t xml:space="preserve"> </w:t>
      </w:r>
      <w:r w:rsidR="003133FE" w:rsidRPr="00912BEE">
        <w:rPr>
          <w:i/>
          <w:iCs/>
          <w:lang w:val="en-GB"/>
        </w:rPr>
        <w:t>Google Scholar</w:t>
      </w:r>
      <w:r w:rsidR="003133FE" w:rsidRPr="00912BEE">
        <w:rPr>
          <w:lang w:val="en-GB"/>
        </w:rPr>
        <w:t xml:space="preserve"> returns some </w:t>
      </w:r>
      <w:r w:rsidR="0087365C" w:rsidRPr="00912BEE">
        <w:rPr>
          <w:lang w:val="en-GB"/>
        </w:rPr>
        <w:t>34,</w:t>
      </w:r>
      <w:r w:rsidR="006A22A3" w:rsidRPr="00912BEE">
        <w:rPr>
          <w:lang w:val="en-GB"/>
        </w:rPr>
        <w:t>5</w:t>
      </w:r>
      <w:r w:rsidR="0087365C" w:rsidRPr="00912BEE">
        <w:rPr>
          <w:lang w:val="en-GB"/>
        </w:rPr>
        <w:t>00</w:t>
      </w:r>
      <w:r w:rsidR="003133FE" w:rsidRPr="00912BEE">
        <w:rPr>
          <w:lang w:val="en-GB"/>
        </w:rPr>
        <w:t xml:space="preserve"> documents with metadiscourse in the title</w:t>
      </w:r>
      <w:r w:rsidR="007B56DF" w:rsidRPr="00912BEE">
        <w:rPr>
          <w:rStyle w:val="FootnoteReference"/>
          <w:lang w:val="en-GB"/>
        </w:rPr>
        <w:footnoteReference w:id="1"/>
      </w:r>
      <w:r w:rsidR="003133FE" w:rsidRPr="00912BEE">
        <w:rPr>
          <w:lang w:val="en-GB"/>
        </w:rPr>
        <w:t xml:space="preserve">.  </w:t>
      </w:r>
    </w:p>
    <w:p w14:paraId="1535D827" w14:textId="77777777" w:rsidR="00C41E79" w:rsidRDefault="00C41E79" w:rsidP="00FB43F6">
      <w:pPr>
        <w:rPr>
          <w:color w:val="000000" w:themeColor="text1"/>
          <w:lang w:val="en-GB"/>
        </w:rPr>
      </w:pPr>
    </w:p>
    <w:p w14:paraId="249B7706" w14:textId="270125F4" w:rsidR="00FB43F6" w:rsidRPr="00912BEE" w:rsidRDefault="0079155F" w:rsidP="00FB43F6">
      <w:pPr>
        <w:rPr>
          <w:szCs w:val="24"/>
          <w:lang w:val="en-GB"/>
        </w:rPr>
      </w:pPr>
      <w:r w:rsidRPr="00912BEE">
        <w:rPr>
          <w:color w:val="000000" w:themeColor="text1"/>
          <w:lang w:val="en-GB"/>
        </w:rPr>
        <w:t xml:space="preserve">Metadiscourse </w:t>
      </w:r>
      <w:r w:rsidR="00020EDA" w:rsidRPr="00912BEE">
        <w:rPr>
          <w:color w:val="000000" w:themeColor="text1"/>
          <w:lang w:val="en-GB"/>
        </w:rPr>
        <w:t>helps describe</w:t>
      </w:r>
      <w:r w:rsidRPr="00912BEE">
        <w:rPr>
          <w:color w:val="000000" w:themeColor="text1"/>
          <w:lang w:val="en-GB"/>
        </w:rPr>
        <w:t xml:space="preserve"> how we use language out of consideration for our readers or hearers based on our </w:t>
      </w:r>
      <w:r w:rsidRPr="005541B5">
        <w:rPr>
          <w:color w:val="000000" w:themeColor="text1"/>
          <w:lang w:val="en-GB"/>
        </w:rPr>
        <w:t xml:space="preserve">estimation of how best we can help them process and </w:t>
      </w:r>
      <w:r w:rsidRPr="005541B5">
        <w:rPr>
          <w:color w:val="000000" w:themeColor="text1"/>
          <w:lang w:val="en-GB"/>
        </w:rPr>
        <w:lastRenderedPageBreak/>
        <w:t xml:space="preserve">comprehend what we are saying. </w:t>
      </w:r>
      <w:r w:rsidR="005541B5" w:rsidRPr="005541B5">
        <w:rPr>
          <w:rFonts w:cs="Times New Roman" w:hint="eastAsia"/>
        </w:rPr>
        <w:t>I</w:t>
      </w:r>
      <w:r w:rsidR="005541B5" w:rsidRPr="005541B5">
        <w:rPr>
          <w:rFonts w:cs="Times New Roman"/>
        </w:rPr>
        <w:t>t</w:t>
      </w:r>
      <w:r w:rsidR="005541B5" w:rsidRPr="005541B5">
        <w:rPr>
          <w:rFonts w:cs="Times New Roman" w:hint="eastAsia"/>
        </w:rPr>
        <w:t xml:space="preserve"> </w:t>
      </w:r>
      <w:r w:rsidR="005541B5">
        <w:rPr>
          <w:rFonts w:cs="Times New Roman"/>
        </w:rPr>
        <w:t>conveys</w:t>
      </w:r>
      <w:r w:rsidR="005541B5" w:rsidRPr="005541B5">
        <w:rPr>
          <w:rFonts w:cs="Times New Roman"/>
        </w:rPr>
        <w:t xml:space="preserve"> a writer’s orientation to his or her material and his or her readers informed by “recipient design”, or how we intend a message to be understood by offering a running commentary on it</w:t>
      </w:r>
      <w:r w:rsidR="00020EDA" w:rsidRPr="005541B5">
        <w:rPr>
          <w:color w:val="000000" w:themeColor="text1"/>
          <w:szCs w:val="24"/>
          <w:lang w:val="en-GB"/>
        </w:rPr>
        <w:t>. By</w:t>
      </w:r>
      <w:r w:rsidR="00020EDA" w:rsidRPr="00912BEE">
        <w:rPr>
          <w:color w:val="000000" w:themeColor="text1"/>
          <w:szCs w:val="24"/>
          <w:lang w:val="en-GB"/>
        </w:rPr>
        <w:t xml:space="preserve"> </w:t>
      </w:r>
      <w:r w:rsidRPr="00912BEE">
        <w:rPr>
          <w:color w:val="000000" w:themeColor="text1"/>
          <w:szCs w:val="24"/>
          <w:lang w:val="en-GB"/>
        </w:rPr>
        <w:t xml:space="preserve">drawing attention to the text in this way, </w:t>
      </w:r>
      <w:r w:rsidR="00020EDA" w:rsidRPr="00912BEE">
        <w:rPr>
          <w:color w:val="000000" w:themeColor="text1"/>
          <w:szCs w:val="24"/>
          <w:lang w:val="en-GB"/>
        </w:rPr>
        <w:t xml:space="preserve">it </w:t>
      </w:r>
      <w:r w:rsidRPr="00912BEE">
        <w:rPr>
          <w:color w:val="000000" w:themeColor="text1"/>
          <w:szCs w:val="24"/>
          <w:lang w:val="en-GB"/>
        </w:rPr>
        <w:t>reveals a writer’s awareness of reader</w:t>
      </w:r>
      <w:r w:rsidR="00020EDA" w:rsidRPr="00912BEE">
        <w:rPr>
          <w:color w:val="000000" w:themeColor="text1"/>
          <w:szCs w:val="24"/>
          <w:lang w:val="en-GB"/>
        </w:rPr>
        <w:t xml:space="preserve">s and </w:t>
      </w:r>
      <w:r w:rsidRPr="00912BEE">
        <w:rPr>
          <w:color w:val="000000" w:themeColor="text1"/>
          <w:szCs w:val="24"/>
          <w:lang w:val="en-GB"/>
        </w:rPr>
        <w:t xml:space="preserve">the extent of </w:t>
      </w:r>
      <w:r w:rsidR="00020EDA" w:rsidRPr="00912BEE">
        <w:rPr>
          <w:color w:val="000000" w:themeColor="text1"/>
          <w:szCs w:val="24"/>
          <w:lang w:val="en-GB"/>
        </w:rPr>
        <w:t>their</w:t>
      </w:r>
      <w:r w:rsidRPr="00912BEE">
        <w:rPr>
          <w:color w:val="000000" w:themeColor="text1"/>
          <w:szCs w:val="24"/>
          <w:lang w:val="en-GB"/>
        </w:rPr>
        <w:t xml:space="preserve"> need for elaboration, clarification and guidance</w:t>
      </w:r>
      <w:r w:rsidR="00020EDA" w:rsidRPr="00912BEE">
        <w:rPr>
          <w:color w:val="000000" w:themeColor="text1"/>
          <w:szCs w:val="24"/>
          <w:lang w:val="en-GB"/>
        </w:rPr>
        <w:t>.</w:t>
      </w:r>
      <w:r w:rsidR="00FB43F6" w:rsidRPr="00912BEE">
        <w:rPr>
          <w:color w:val="000000" w:themeColor="text1"/>
          <w:szCs w:val="24"/>
          <w:lang w:val="en-GB"/>
        </w:rPr>
        <w:t xml:space="preserve"> Here we follow Hyland’s (2005) model which recognizes a distinction between </w:t>
      </w:r>
      <w:r w:rsidR="00122345" w:rsidRPr="00912BEE">
        <w:rPr>
          <w:szCs w:val="24"/>
          <w:lang w:val="en-GB"/>
        </w:rPr>
        <w:t xml:space="preserve">interactive and interactional </w:t>
      </w:r>
      <w:r w:rsidR="00FB43F6" w:rsidRPr="00912BEE">
        <w:rPr>
          <w:szCs w:val="24"/>
          <w:lang w:val="en-GB"/>
        </w:rPr>
        <w:t xml:space="preserve">metadiscourse </w:t>
      </w:r>
      <w:r w:rsidR="00122345" w:rsidRPr="00912BEE">
        <w:rPr>
          <w:szCs w:val="24"/>
          <w:lang w:val="en-GB"/>
        </w:rPr>
        <w:t>resources</w:t>
      </w:r>
      <w:r w:rsidR="00DF1016" w:rsidRPr="00912BEE">
        <w:rPr>
          <w:szCs w:val="24"/>
          <w:lang w:val="en-GB"/>
        </w:rPr>
        <w:t>:</w:t>
      </w:r>
      <w:r w:rsidR="00122345" w:rsidRPr="00912BEE">
        <w:rPr>
          <w:szCs w:val="24"/>
          <w:lang w:val="en-GB"/>
        </w:rPr>
        <w:t xml:space="preserve"> </w:t>
      </w:r>
    </w:p>
    <w:p w14:paraId="1D56F7D2" w14:textId="7ABFCB9E" w:rsidR="00376275" w:rsidRPr="00912BEE" w:rsidRDefault="00D3042B" w:rsidP="00DF1016">
      <w:pPr>
        <w:ind w:left="426"/>
        <w:rPr>
          <w:lang w:val="en-GB"/>
        </w:rPr>
      </w:pPr>
      <w:r w:rsidRPr="00912BEE">
        <w:rPr>
          <w:b/>
          <w:bCs/>
          <w:i/>
          <w:iCs/>
          <w:szCs w:val="24"/>
          <w:lang w:val="en-GB"/>
        </w:rPr>
        <w:t>I</w:t>
      </w:r>
      <w:r w:rsidR="00122345" w:rsidRPr="00912BEE">
        <w:rPr>
          <w:b/>
          <w:bCs/>
          <w:i/>
          <w:iCs/>
          <w:szCs w:val="24"/>
          <w:lang w:val="en-GB"/>
        </w:rPr>
        <w:t xml:space="preserve">nteractive </w:t>
      </w:r>
      <w:r w:rsidRPr="00912BEE">
        <w:rPr>
          <w:b/>
          <w:bCs/>
          <w:i/>
          <w:iCs/>
          <w:szCs w:val="24"/>
          <w:lang w:val="en-GB"/>
        </w:rPr>
        <w:t>metadiscourse</w:t>
      </w:r>
      <w:r w:rsidR="00122345" w:rsidRPr="00912BEE">
        <w:rPr>
          <w:szCs w:val="24"/>
          <w:lang w:val="en-GB"/>
        </w:rPr>
        <w:t xml:space="preserve"> refer</w:t>
      </w:r>
      <w:r w:rsidRPr="00912BEE">
        <w:rPr>
          <w:szCs w:val="24"/>
          <w:lang w:val="en-GB"/>
        </w:rPr>
        <w:t>s</w:t>
      </w:r>
      <w:r w:rsidR="00122345" w:rsidRPr="00912BEE">
        <w:rPr>
          <w:szCs w:val="24"/>
          <w:lang w:val="en-GB"/>
        </w:rPr>
        <w:t xml:space="preserve"> to the writer’s management of the information flow to guide readers through a text</w:t>
      </w:r>
      <w:r w:rsidRPr="00912BEE">
        <w:rPr>
          <w:szCs w:val="24"/>
          <w:lang w:val="en-GB"/>
        </w:rPr>
        <w:t xml:space="preserve">, </w:t>
      </w:r>
      <w:r w:rsidR="00376275" w:rsidRPr="00912BEE">
        <w:rPr>
          <w:lang w:val="en-GB"/>
        </w:rPr>
        <w:t>structuring arguments, marking the beginning and end of topics, and indicating the order of points to help readers follow text flow, interpret complex ideas, and understand the author's intended meaning. </w:t>
      </w:r>
    </w:p>
    <w:p w14:paraId="61554771" w14:textId="2C6DFED1" w:rsidR="00D3042B" w:rsidRPr="00912BEE" w:rsidRDefault="00D3042B" w:rsidP="00DF1016">
      <w:pPr>
        <w:ind w:left="426"/>
        <w:rPr>
          <w:szCs w:val="24"/>
          <w:lang w:val="en-GB"/>
        </w:rPr>
      </w:pPr>
      <w:r w:rsidRPr="00912BEE">
        <w:rPr>
          <w:szCs w:val="24"/>
          <w:lang w:val="en-GB"/>
        </w:rPr>
        <w:t xml:space="preserve"> </w:t>
      </w:r>
    </w:p>
    <w:p w14:paraId="104A502A" w14:textId="3DDA3C3C" w:rsidR="00376275" w:rsidRPr="00912BEE" w:rsidRDefault="00890BEB" w:rsidP="00DF1016">
      <w:pPr>
        <w:tabs>
          <w:tab w:val="left" w:pos="8789"/>
        </w:tabs>
        <w:ind w:left="426" w:right="133"/>
        <w:rPr>
          <w:lang w:val="en-GB"/>
        </w:rPr>
      </w:pPr>
      <w:r>
        <w:rPr>
          <w:b/>
          <w:bCs/>
          <w:i/>
          <w:iCs/>
          <w:szCs w:val="24"/>
          <w:lang w:val="en-GB"/>
        </w:rPr>
        <w:t>I</w:t>
      </w:r>
      <w:r w:rsidR="00122345" w:rsidRPr="00912BEE">
        <w:rPr>
          <w:b/>
          <w:bCs/>
          <w:i/>
          <w:iCs/>
          <w:szCs w:val="24"/>
          <w:lang w:val="en-GB"/>
        </w:rPr>
        <w:t xml:space="preserve">nteractional </w:t>
      </w:r>
      <w:r w:rsidR="00376275" w:rsidRPr="00912BEE">
        <w:rPr>
          <w:b/>
          <w:bCs/>
          <w:i/>
          <w:iCs/>
          <w:szCs w:val="24"/>
          <w:lang w:val="en-GB"/>
        </w:rPr>
        <w:t>metadiscourse</w:t>
      </w:r>
      <w:r w:rsidR="00376275" w:rsidRPr="00912BEE">
        <w:rPr>
          <w:szCs w:val="24"/>
          <w:lang w:val="en-GB"/>
        </w:rPr>
        <w:t xml:space="preserve"> concerns the writer’s </w:t>
      </w:r>
      <w:r w:rsidR="00122345" w:rsidRPr="00912BEE">
        <w:rPr>
          <w:szCs w:val="24"/>
          <w:lang w:val="en-GB"/>
        </w:rPr>
        <w:t>interventions to comment on material</w:t>
      </w:r>
      <w:r w:rsidR="00376275" w:rsidRPr="00912BEE">
        <w:rPr>
          <w:szCs w:val="24"/>
          <w:lang w:val="en-GB"/>
        </w:rPr>
        <w:t xml:space="preserve">, signalling his or her presence, indicating attitudes and conveying the </w:t>
      </w:r>
      <w:r w:rsidR="00376275" w:rsidRPr="00912BEE">
        <w:rPr>
          <w:lang w:val="en-GB"/>
        </w:rPr>
        <w:t xml:space="preserve">degree of certainty </w:t>
      </w:r>
      <w:r w:rsidR="00FC6D4E" w:rsidRPr="00912BEE">
        <w:rPr>
          <w:lang w:val="en-GB"/>
        </w:rPr>
        <w:t xml:space="preserve">they have </w:t>
      </w:r>
      <w:r w:rsidR="00376275" w:rsidRPr="00912BEE">
        <w:rPr>
          <w:lang w:val="en-GB"/>
        </w:rPr>
        <w:t>about statements, managing the writer-reader relationship and facilitating a more interactive and personalized communication. </w:t>
      </w:r>
    </w:p>
    <w:p w14:paraId="4FFD2523" w14:textId="77777777" w:rsidR="00EB772C" w:rsidRDefault="00EB772C" w:rsidP="00FB43F6">
      <w:pPr>
        <w:rPr>
          <w:lang w:val="en-GB"/>
        </w:rPr>
      </w:pPr>
    </w:p>
    <w:p w14:paraId="07AFE0AB" w14:textId="3F919B3C" w:rsidR="00FC6D4E" w:rsidRPr="00912BEE" w:rsidRDefault="00FC6D4E" w:rsidP="00FB43F6">
      <w:pPr>
        <w:rPr>
          <w:lang w:val="en-GB"/>
        </w:rPr>
      </w:pPr>
      <w:r w:rsidRPr="00912BEE">
        <w:rPr>
          <w:lang w:val="en-GB"/>
        </w:rPr>
        <w:t>Table 1 s</w:t>
      </w:r>
      <w:r w:rsidR="00D401CA" w:rsidRPr="00912BEE">
        <w:rPr>
          <w:lang w:val="en-GB"/>
        </w:rPr>
        <w:t>ummarises the features of these metadiscourse types and their functions.</w:t>
      </w:r>
    </w:p>
    <w:p w14:paraId="1DC728A2" w14:textId="3B76CE30" w:rsidR="00122345" w:rsidRPr="00912BEE" w:rsidRDefault="00122345" w:rsidP="006647D3">
      <w:pPr>
        <w:pBdr>
          <w:bottom w:val="single" w:sz="4" w:space="1" w:color="auto"/>
        </w:pBdr>
        <w:tabs>
          <w:tab w:val="left" w:pos="8789"/>
        </w:tabs>
        <w:ind w:right="133"/>
        <w:jc w:val="center"/>
        <w:rPr>
          <w:lang w:val="en-GB"/>
        </w:rPr>
      </w:pPr>
      <w:r w:rsidRPr="00912BEE">
        <w:rPr>
          <w:lang w:val="en-GB"/>
        </w:rPr>
        <w:t>Table 1</w:t>
      </w:r>
      <w:r w:rsidR="006647D3">
        <w:rPr>
          <w:rFonts w:hint="eastAsia"/>
          <w:lang w:val="en-GB"/>
        </w:rPr>
        <w:t xml:space="preserve"> </w:t>
      </w:r>
      <w:r w:rsidRPr="00912BEE">
        <w:rPr>
          <w:lang w:val="en-GB"/>
        </w:rPr>
        <w:t>A model of metadiscourse in academic texts (Hyland, 2005)</w:t>
      </w:r>
    </w:p>
    <w:p w14:paraId="7C6EA35E" w14:textId="77777777" w:rsidR="00122345" w:rsidRPr="00912BEE" w:rsidRDefault="00122345" w:rsidP="00122345">
      <w:pPr>
        <w:pStyle w:val="Heading6"/>
        <w:tabs>
          <w:tab w:val="left" w:pos="284"/>
          <w:tab w:val="left" w:pos="2410"/>
          <w:tab w:val="left" w:pos="6237"/>
        </w:tabs>
        <w:spacing w:before="0" w:line="240" w:lineRule="auto"/>
        <w:ind w:right="-483"/>
        <w:rPr>
          <w:rFonts w:ascii="Times New Roman" w:hAnsi="Times New Roman" w:cs="Times New Roman"/>
          <w:b w:val="0"/>
          <w:i/>
          <w:color w:val="auto"/>
          <w:lang w:val="en-GB"/>
        </w:rPr>
      </w:pPr>
      <w:r w:rsidRPr="00912BEE">
        <w:rPr>
          <w:rFonts w:ascii="Times New Roman" w:hAnsi="Times New Roman" w:cs="Times New Roman"/>
          <w:color w:val="auto"/>
          <w:lang w:val="en-GB"/>
        </w:rPr>
        <w:tab/>
        <w:t>Category</w:t>
      </w:r>
      <w:r w:rsidRPr="00912BEE">
        <w:rPr>
          <w:rFonts w:ascii="Times New Roman" w:hAnsi="Times New Roman" w:cs="Times New Roman"/>
          <w:color w:val="auto"/>
          <w:lang w:val="en-GB"/>
        </w:rPr>
        <w:tab/>
        <w:t>Function</w:t>
      </w:r>
      <w:r w:rsidRPr="00912BEE">
        <w:rPr>
          <w:rFonts w:ascii="Times New Roman" w:hAnsi="Times New Roman" w:cs="Times New Roman"/>
          <w:color w:val="auto"/>
          <w:lang w:val="en-GB"/>
        </w:rPr>
        <w:tab/>
        <w:t>Examples</w:t>
      </w:r>
    </w:p>
    <w:p w14:paraId="3B7E4928" w14:textId="270CF26F" w:rsidR="00122345" w:rsidRPr="00912BEE" w:rsidRDefault="00122345" w:rsidP="00122345">
      <w:pPr>
        <w:pStyle w:val="Heading8"/>
        <w:pBdr>
          <w:between w:val="single" w:sz="6" w:space="1" w:color="auto"/>
        </w:pBdr>
        <w:tabs>
          <w:tab w:val="left" w:pos="1701"/>
        </w:tabs>
        <w:spacing w:line="240" w:lineRule="auto"/>
        <w:ind w:right="-483"/>
        <w:rPr>
          <w:rFonts w:ascii="Times New Roman" w:hAnsi="Times New Roman" w:cs="Times New Roman"/>
          <w:b/>
          <w:bCs/>
          <w:i/>
          <w:iCs/>
          <w:color w:val="auto"/>
          <w:lang w:val="en-GB"/>
        </w:rPr>
      </w:pPr>
      <w:r w:rsidRPr="00912BEE">
        <w:rPr>
          <w:rFonts w:ascii="Times New Roman" w:hAnsi="Times New Roman" w:cs="Times New Roman"/>
          <w:b/>
          <w:bCs/>
          <w:color w:val="auto"/>
          <w:lang w:val="en-GB"/>
        </w:rPr>
        <w:t>Interactive</w:t>
      </w:r>
      <w:r w:rsidRPr="00912BEE">
        <w:rPr>
          <w:rFonts w:ascii="Times New Roman" w:hAnsi="Times New Roman" w:cs="Times New Roman"/>
          <w:b/>
          <w:bCs/>
          <w:color w:val="auto"/>
          <w:lang w:val="en-GB"/>
        </w:rPr>
        <w:tab/>
      </w:r>
      <w:r w:rsidR="00FB43F6" w:rsidRPr="00912BEE">
        <w:rPr>
          <w:rFonts w:ascii="Times New Roman" w:hAnsi="Times New Roman" w:cs="Times New Roman"/>
          <w:b/>
          <w:bCs/>
          <w:color w:val="auto"/>
          <w:lang w:val="en-GB"/>
        </w:rPr>
        <w:t>G</w:t>
      </w:r>
      <w:r w:rsidRPr="00912BEE">
        <w:rPr>
          <w:rFonts w:ascii="Times New Roman" w:hAnsi="Times New Roman" w:cs="Times New Roman"/>
          <w:b/>
          <w:bCs/>
          <w:color w:val="auto"/>
          <w:lang w:val="en-GB"/>
        </w:rPr>
        <w:t>uide reader</w:t>
      </w:r>
      <w:r w:rsidR="00CA16DC" w:rsidRPr="00912BEE">
        <w:rPr>
          <w:rFonts w:ascii="Times New Roman" w:hAnsi="Times New Roman" w:cs="Times New Roman"/>
          <w:b/>
          <w:bCs/>
          <w:color w:val="auto"/>
          <w:lang w:val="en-GB"/>
        </w:rPr>
        <w:t>s</w:t>
      </w:r>
      <w:r w:rsidRPr="00912BEE">
        <w:rPr>
          <w:rFonts w:ascii="Times New Roman" w:hAnsi="Times New Roman" w:cs="Times New Roman"/>
          <w:b/>
          <w:bCs/>
          <w:color w:val="auto"/>
          <w:lang w:val="en-GB"/>
        </w:rPr>
        <w:t xml:space="preserve"> through the text</w:t>
      </w:r>
    </w:p>
    <w:p w14:paraId="23DC7089" w14:textId="77777777" w:rsidR="00122345" w:rsidRPr="00912BEE" w:rsidRDefault="00122345" w:rsidP="00122345">
      <w:pPr>
        <w:tabs>
          <w:tab w:val="left" w:pos="300"/>
          <w:tab w:val="bar" w:pos="1580"/>
          <w:tab w:val="left" w:pos="1701"/>
          <w:tab w:val="left" w:pos="3340"/>
          <w:tab w:val="bar" w:pos="5812"/>
          <w:tab w:val="left" w:pos="5954"/>
          <w:tab w:val="left" w:pos="8789"/>
        </w:tabs>
        <w:spacing w:line="240" w:lineRule="auto"/>
        <w:ind w:right="-483"/>
        <w:rPr>
          <w:sz w:val="20"/>
          <w:lang w:val="en-GB"/>
        </w:rPr>
      </w:pPr>
      <w:r w:rsidRPr="00912BEE">
        <w:rPr>
          <w:sz w:val="20"/>
          <w:lang w:val="en-GB"/>
        </w:rPr>
        <w:t>Transitions</w:t>
      </w:r>
      <w:r w:rsidRPr="00912BEE">
        <w:rPr>
          <w:sz w:val="20"/>
          <w:lang w:val="en-GB"/>
        </w:rPr>
        <w:tab/>
        <w:t>express semantic relation between main clauses</w:t>
      </w:r>
      <w:r w:rsidRPr="00912BEE">
        <w:rPr>
          <w:sz w:val="20"/>
          <w:lang w:val="en-GB"/>
        </w:rPr>
        <w:tab/>
        <w:t>in addition / but / thus / and</w:t>
      </w:r>
    </w:p>
    <w:p w14:paraId="5AD5ED0B" w14:textId="77777777" w:rsidR="00122345" w:rsidRPr="00912BEE" w:rsidRDefault="00122345" w:rsidP="00122345">
      <w:pPr>
        <w:tabs>
          <w:tab w:val="left" w:pos="300"/>
          <w:tab w:val="bar" w:pos="1580"/>
          <w:tab w:val="left" w:pos="1701"/>
          <w:tab w:val="left" w:pos="3340"/>
          <w:tab w:val="bar" w:pos="5812"/>
          <w:tab w:val="left" w:pos="5954"/>
          <w:tab w:val="left" w:pos="8789"/>
        </w:tabs>
        <w:spacing w:line="240" w:lineRule="auto"/>
        <w:ind w:right="-483"/>
        <w:rPr>
          <w:sz w:val="20"/>
          <w:lang w:val="en-GB"/>
        </w:rPr>
      </w:pPr>
      <w:r w:rsidRPr="00912BEE">
        <w:rPr>
          <w:sz w:val="20"/>
          <w:lang w:val="en-GB"/>
        </w:rPr>
        <w:t>Frame markers</w:t>
      </w:r>
      <w:r w:rsidRPr="00912BEE">
        <w:rPr>
          <w:sz w:val="20"/>
          <w:lang w:val="en-GB"/>
        </w:rPr>
        <w:tab/>
        <w:t>refer to discourse acts, sequences, or text stages</w:t>
      </w:r>
      <w:r w:rsidRPr="00912BEE">
        <w:rPr>
          <w:sz w:val="20"/>
          <w:lang w:val="en-GB"/>
        </w:rPr>
        <w:tab/>
        <w:t xml:space="preserve">finally / to conclude / my purpose is </w:t>
      </w:r>
    </w:p>
    <w:p w14:paraId="5BF39E74" w14:textId="77777777" w:rsidR="00122345" w:rsidRPr="00912BEE" w:rsidRDefault="00122345" w:rsidP="00122345">
      <w:pPr>
        <w:tabs>
          <w:tab w:val="left" w:pos="300"/>
          <w:tab w:val="bar" w:pos="1580"/>
          <w:tab w:val="left" w:pos="1701"/>
          <w:tab w:val="left" w:pos="3340"/>
          <w:tab w:val="bar" w:pos="5812"/>
          <w:tab w:val="left" w:pos="5954"/>
          <w:tab w:val="left" w:pos="8789"/>
        </w:tabs>
        <w:spacing w:line="240" w:lineRule="auto"/>
        <w:ind w:right="-483"/>
        <w:rPr>
          <w:sz w:val="20"/>
          <w:lang w:val="en-GB"/>
        </w:rPr>
      </w:pPr>
      <w:proofErr w:type="spellStart"/>
      <w:r w:rsidRPr="00912BEE">
        <w:rPr>
          <w:sz w:val="20"/>
          <w:lang w:val="en-GB"/>
        </w:rPr>
        <w:t>Endophoric</w:t>
      </w:r>
      <w:proofErr w:type="spellEnd"/>
      <w:r w:rsidRPr="00912BEE">
        <w:rPr>
          <w:sz w:val="20"/>
          <w:lang w:val="en-GB"/>
        </w:rPr>
        <w:t xml:space="preserve"> </w:t>
      </w:r>
      <w:proofErr w:type="spellStart"/>
      <w:r w:rsidRPr="00912BEE">
        <w:rPr>
          <w:sz w:val="20"/>
          <w:lang w:val="en-GB"/>
        </w:rPr>
        <w:t>mrkrs</w:t>
      </w:r>
      <w:proofErr w:type="spellEnd"/>
      <w:r w:rsidRPr="00912BEE">
        <w:rPr>
          <w:sz w:val="20"/>
          <w:lang w:val="en-GB"/>
        </w:rPr>
        <w:t xml:space="preserve"> </w:t>
      </w:r>
      <w:r w:rsidRPr="00912BEE">
        <w:rPr>
          <w:sz w:val="20"/>
          <w:lang w:val="en-GB"/>
        </w:rPr>
        <w:tab/>
        <w:t>refer to information in other parts of the text</w:t>
      </w:r>
      <w:r w:rsidRPr="00912BEE">
        <w:rPr>
          <w:sz w:val="20"/>
          <w:lang w:val="en-GB"/>
        </w:rPr>
        <w:tab/>
        <w:t xml:space="preserve">noted above / see Fig / in section 2 </w:t>
      </w:r>
    </w:p>
    <w:p w14:paraId="2C12B1B7" w14:textId="77777777" w:rsidR="00122345" w:rsidRPr="00912BEE" w:rsidRDefault="00122345" w:rsidP="00122345">
      <w:pPr>
        <w:tabs>
          <w:tab w:val="left" w:pos="300"/>
          <w:tab w:val="bar" w:pos="1580"/>
          <w:tab w:val="left" w:pos="1701"/>
          <w:tab w:val="left" w:pos="3340"/>
          <w:tab w:val="bar" w:pos="5812"/>
          <w:tab w:val="left" w:pos="5954"/>
          <w:tab w:val="left" w:pos="8789"/>
        </w:tabs>
        <w:spacing w:line="240" w:lineRule="auto"/>
        <w:ind w:right="-483"/>
        <w:rPr>
          <w:sz w:val="20"/>
          <w:lang w:val="en-GB"/>
        </w:rPr>
      </w:pPr>
      <w:r w:rsidRPr="00912BEE">
        <w:rPr>
          <w:sz w:val="20"/>
          <w:lang w:val="en-GB"/>
        </w:rPr>
        <w:t>Evidentials</w:t>
      </w:r>
      <w:r w:rsidRPr="00912BEE">
        <w:rPr>
          <w:sz w:val="20"/>
          <w:lang w:val="en-GB"/>
        </w:rPr>
        <w:tab/>
        <w:t>refer to source of information from other texts</w:t>
      </w:r>
      <w:r w:rsidRPr="00912BEE">
        <w:rPr>
          <w:sz w:val="20"/>
          <w:lang w:val="en-GB"/>
        </w:rPr>
        <w:tab/>
        <w:t>according to X / (Y, 1990) / Z states</w:t>
      </w:r>
    </w:p>
    <w:p w14:paraId="643890B2" w14:textId="3C66259C" w:rsidR="00122345" w:rsidRPr="00912BEE" w:rsidRDefault="00122345" w:rsidP="00122345">
      <w:pPr>
        <w:pBdr>
          <w:bottom w:val="single" w:sz="4" w:space="1" w:color="auto"/>
        </w:pBdr>
        <w:tabs>
          <w:tab w:val="left" w:pos="300"/>
          <w:tab w:val="bar" w:pos="1580"/>
          <w:tab w:val="left" w:pos="1701"/>
          <w:tab w:val="left" w:pos="3340"/>
          <w:tab w:val="bar" w:pos="5812"/>
          <w:tab w:val="left" w:pos="5954"/>
          <w:tab w:val="left" w:pos="8789"/>
        </w:tabs>
        <w:spacing w:line="240" w:lineRule="auto"/>
        <w:ind w:right="-483"/>
        <w:rPr>
          <w:sz w:val="20"/>
          <w:lang w:val="en-GB"/>
        </w:rPr>
      </w:pPr>
      <w:r w:rsidRPr="00912BEE">
        <w:rPr>
          <w:sz w:val="20"/>
          <w:lang w:val="en-GB"/>
        </w:rPr>
        <w:t>Code glosses</w:t>
      </w:r>
      <w:r w:rsidRPr="00912BEE">
        <w:rPr>
          <w:sz w:val="20"/>
          <w:lang w:val="en-GB"/>
        </w:rPr>
        <w:tab/>
        <w:t>help readers grasp meanings of ideational material</w:t>
      </w:r>
      <w:r w:rsidRPr="00912BEE">
        <w:rPr>
          <w:sz w:val="20"/>
          <w:lang w:val="en-GB"/>
        </w:rPr>
        <w:tab/>
        <w:t>namely/e.g./such as / in other words</w:t>
      </w:r>
    </w:p>
    <w:p w14:paraId="6913E6FC" w14:textId="36BD5215" w:rsidR="00122345" w:rsidRPr="00912BEE" w:rsidRDefault="00122345" w:rsidP="00122345">
      <w:pPr>
        <w:pStyle w:val="Heading9"/>
        <w:spacing w:line="240" w:lineRule="auto"/>
        <w:ind w:right="-483"/>
        <w:rPr>
          <w:rFonts w:ascii="Times New Roman" w:hAnsi="Times New Roman" w:cs="Times New Roman"/>
          <w:b/>
          <w:i/>
          <w:color w:val="auto"/>
          <w:lang w:val="en-GB"/>
        </w:rPr>
      </w:pPr>
      <w:r w:rsidRPr="00912BEE">
        <w:rPr>
          <w:rFonts w:ascii="Times New Roman" w:hAnsi="Times New Roman" w:cs="Times New Roman"/>
          <w:b/>
          <w:color w:val="auto"/>
          <w:lang w:val="en-GB"/>
        </w:rPr>
        <w:t xml:space="preserve">Interactional </w:t>
      </w:r>
      <w:r w:rsidRPr="00912BEE">
        <w:rPr>
          <w:rFonts w:ascii="Times New Roman" w:hAnsi="Times New Roman" w:cs="Times New Roman"/>
          <w:b/>
          <w:color w:val="auto"/>
          <w:lang w:val="en-GB"/>
        </w:rPr>
        <w:tab/>
        <w:t xml:space="preserve">  Involve reader</w:t>
      </w:r>
      <w:r w:rsidR="00CA16DC" w:rsidRPr="00912BEE">
        <w:rPr>
          <w:rFonts w:ascii="Times New Roman" w:hAnsi="Times New Roman" w:cs="Times New Roman"/>
          <w:b/>
          <w:color w:val="auto"/>
          <w:lang w:val="en-GB"/>
        </w:rPr>
        <w:t>s</w:t>
      </w:r>
      <w:r w:rsidRPr="00912BEE">
        <w:rPr>
          <w:rFonts w:ascii="Times New Roman" w:hAnsi="Times New Roman" w:cs="Times New Roman"/>
          <w:b/>
          <w:color w:val="auto"/>
          <w:lang w:val="en-GB"/>
        </w:rPr>
        <w:t xml:space="preserve"> in the argument</w:t>
      </w:r>
    </w:p>
    <w:p w14:paraId="4F87351B" w14:textId="77777777" w:rsidR="00122345" w:rsidRPr="00912BEE" w:rsidRDefault="00122345" w:rsidP="00122345">
      <w:pPr>
        <w:pBdr>
          <w:top w:val="single" w:sz="4" w:space="1" w:color="auto"/>
        </w:pBdr>
        <w:tabs>
          <w:tab w:val="left" w:pos="300"/>
          <w:tab w:val="bar" w:pos="1580"/>
          <w:tab w:val="left" w:pos="1701"/>
          <w:tab w:val="left" w:pos="3340"/>
          <w:tab w:val="bar" w:pos="5812"/>
          <w:tab w:val="left" w:pos="5954"/>
          <w:tab w:val="left" w:pos="8789"/>
        </w:tabs>
        <w:spacing w:line="240" w:lineRule="auto"/>
        <w:ind w:right="-483"/>
        <w:rPr>
          <w:sz w:val="20"/>
          <w:lang w:val="en-GB"/>
        </w:rPr>
      </w:pPr>
      <w:r w:rsidRPr="00912BEE">
        <w:rPr>
          <w:sz w:val="20"/>
          <w:lang w:val="en-GB"/>
        </w:rPr>
        <w:t>Hedges</w:t>
      </w:r>
      <w:r w:rsidRPr="00912BEE">
        <w:rPr>
          <w:sz w:val="20"/>
          <w:lang w:val="en-GB"/>
        </w:rPr>
        <w:tab/>
        <w:t>withhold writer’s full commitment to proposition</w:t>
      </w:r>
      <w:r w:rsidRPr="00912BEE">
        <w:rPr>
          <w:sz w:val="20"/>
          <w:lang w:val="en-GB"/>
        </w:rPr>
        <w:tab/>
        <w:t>might / perhaps / possible /about</w:t>
      </w:r>
    </w:p>
    <w:p w14:paraId="110D20BB" w14:textId="77777777" w:rsidR="00122345" w:rsidRPr="00912BEE" w:rsidRDefault="00122345" w:rsidP="00122345">
      <w:pPr>
        <w:tabs>
          <w:tab w:val="left" w:pos="300"/>
          <w:tab w:val="bar" w:pos="1580"/>
          <w:tab w:val="left" w:pos="1701"/>
          <w:tab w:val="left" w:pos="3340"/>
          <w:tab w:val="bar" w:pos="5812"/>
          <w:tab w:val="left" w:pos="5954"/>
          <w:tab w:val="left" w:pos="8789"/>
        </w:tabs>
        <w:spacing w:line="240" w:lineRule="auto"/>
        <w:ind w:right="-483"/>
        <w:rPr>
          <w:sz w:val="20"/>
          <w:lang w:val="en-GB"/>
        </w:rPr>
      </w:pPr>
      <w:r w:rsidRPr="00912BEE">
        <w:rPr>
          <w:sz w:val="20"/>
          <w:lang w:val="en-GB"/>
        </w:rPr>
        <w:t>Boosters</w:t>
      </w:r>
      <w:r w:rsidRPr="00912BEE">
        <w:rPr>
          <w:sz w:val="20"/>
          <w:lang w:val="en-GB"/>
        </w:rPr>
        <w:tab/>
        <w:t>emphasise force or writer’s certainty in proposition</w:t>
      </w:r>
      <w:r w:rsidRPr="00912BEE">
        <w:rPr>
          <w:sz w:val="20"/>
          <w:lang w:val="en-GB"/>
        </w:rPr>
        <w:tab/>
        <w:t>in fact / definitely / it is clear that</w:t>
      </w:r>
    </w:p>
    <w:p w14:paraId="3FAD6A32" w14:textId="77777777" w:rsidR="00122345" w:rsidRPr="00912BEE" w:rsidRDefault="00122345" w:rsidP="00122345">
      <w:pPr>
        <w:tabs>
          <w:tab w:val="left" w:pos="300"/>
          <w:tab w:val="bar" w:pos="1580"/>
          <w:tab w:val="left" w:pos="1701"/>
          <w:tab w:val="left" w:pos="3340"/>
          <w:tab w:val="bar" w:pos="5812"/>
          <w:tab w:val="left" w:pos="5954"/>
          <w:tab w:val="left" w:pos="8789"/>
        </w:tabs>
        <w:spacing w:line="240" w:lineRule="auto"/>
        <w:ind w:right="-483"/>
        <w:rPr>
          <w:sz w:val="20"/>
          <w:lang w:val="en-GB"/>
        </w:rPr>
      </w:pPr>
      <w:r w:rsidRPr="00912BEE">
        <w:rPr>
          <w:sz w:val="20"/>
          <w:lang w:val="en-GB"/>
        </w:rPr>
        <w:t>Attitude markers</w:t>
      </w:r>
      <w:r w:rsidRPr="00912BEE">
        <w:rPr>
          <w:sz w:val="20"/>
          <w:lang w:val="en-GB"/>
        </w:rPr>
        <w:tab/>
        <w:t>express writer’s attitude to proposition</w:t>
      </w:r>
      <w:r w:rsidRPr="00912BEE">
        <w:rPr>
          <w:sz w:val="20"/>
          <w:lang w:val="en-GB"/>
        </w:rPr>
        <w:tab/>
        <w:t>unfortunately / I agree / surprisingly</w:t>
      </w:r>
    </w:p>
    <w:p w14:paraId="7ACFC5D8" w14:textId="349F76B9" w:rsidR="00122345" w:rsidRPr="00912BEE" w:rsidRDefault="00122345" w:rsidP="00122345">
      <w:pPr>
        <w:pBdr>
          <w:bottom w:val="single" w:sz="6" w:space="0" w:color="auto"/>
        </w:pBdr>
        <w:tabs>
          <w:tab w:val="left" w:pos="0"/>
          <w:tab w:val="bar" w:pos="1580"/>
          <w:tab w:val="left" w:pos="1701"/>
          <w:tab w:val="left" w:pos="3340"/>
          <w:tab w:val="bar" w:pos="5812"/>
          <w:tab w:val="left" w:pos="5954"/>
          <w:tab w:val="left" w:pos="8789"/>
        </w:tabs>
        <w:spacing w:line="240" w:lineRule="auto"/>
        <w:ind w:right="-483"/>
        <w:rPr>
          <w:sz w:val="20"/>
          <w:lang w:val="en-GB"/>
        </w:rPr>
      </w:pPr>
      <w:r w:rsidRPr="00912BEE">
        <w:rPr>
          <w:sz w:val="20"/>
          <w:lang w:val="en-GB"/>
        </w:rPr>
        <w:t xml:space="preserve">Engagement </w:t>
      </w:r>
      <w:proofErr w:type="spellStart"/>
      <w:r w:rsidRPr="00912BEE">
        <w:rPr>
          <w:sz w:val="20"/>
          <w:lang w:val="en-GB"/>
        </w:rPr>
        <w:t>mrkrs</w:t>
      </w:r>
      <w:proofErr w:type="spellEnd"/>
      <w:r w:rsidRPr="00912BEE">
        <w:rPr>
          <w:sz w:val="20"/>
          <w:lang w:val="en-GB"/>
        </w:rPr>
        <w:tab/>
        <w:t>explicitly refer to or build relationship with reader</w:t>
      </w:r>
      <w:r w:rsidRPr="00912BEE">
        <w:rPr>
          <w:sz w:val="20"/>
          <w:lang w:val="en-GB"/>
        </w:rPr>
        <w:tab/>
        <w:t xml:space="preserve">consider / note that / you can see </w:t>
      </w:r>
    </w:p>
    <w:p w14:paraId="0FE5ECD4" w14:textId="46A92670" w:rsidR="00122345" w:rsidRPr="00912BEE" w:rsidRDefault="00122345" w:rsidP="00122345">
      <w:pPr>
        <w:pBdr>
          <w:bottom w:val="single" w:sz="6" w:space="0" w:color="auto"/>
        </w:pBdr>
        <w:tabs>
          <w:tab w:val="left" w:pos="0"/>
          <w:tab w:val="bar" w:pos="1580"/>
          <w:tab w:val="left" w:pos="1701"/>
          <w:tab w:val="left" w:pos="3340"/>
          <w:tab w:val="bar" w:pos="5812"/>
          <w:tab w:val="left" w:pos="5954"/>
          <w:tab w:val="left" w:pos="8789"/>
        </w:tabs>
        <w:spacing w:line="240" w:lineRule="auto"/>
        <w:ind w:right="-483"/>
        <w:rPr>
          <w:sz w:val="20"/>
          <w:lang w:val="en-GB"/>
        </w:rPr>
      </w:pPr>
      <w:r w:rsidRPr="00912BEE">
        <w:rPr>
          <w:sz w:val="20"/>
          <w:lang w:val="en-GB"/>
        </w:rPr>
        <w:t>Self</w:t>
      </w:r>
      <w:r w:rsidR="00D401CA" w:rsidRPr="00912BEE">
        <w:rPr>
          <w:sz w:val="20"/>
          <w:lang w:val="en-GB"/>
        </w:rPr>
        <w:t>-</w:t>
      </w:r>
      <w:r w:rsidRPr="00912BEE">
        <w:rPr>
          <w:sz w:val="20"/>
          <w:lang w:val="en-GB"/>
        </w:rPr>
        <w:t>mentions</w:t>
      </w:r>
      <w:r w:rsidRPr="00912BEE">
        <w:rPr>
          <w:sz w:val="20"/>
          <w:lang w:val="en-GB"/>
        </w:rPr>
        <w:tab/>
        <w:t>explicit reference to author(s)</w:t>
      </w:r>
      <w:r w:rsidRPr="00912BEE">
        <w:rPr>
          <w:sz w:val="20"/>
          <w:lang w:val="en-GB"/>
        </w:rPr>
        <w:tab/>
        <w:t>I / we / my / our</w:t>
      </w:r>
    </w:p>
    <w:p w14:paraId="02BB3026" w14:textId="77777777" w:rsidR="00122345" w:rsidRPr="00912BEE" w:rsidRDefault="00122345" w:rsidP="00122345">
      <w:pPr>
        <w:pStyle w:val="BodyText2"/>
        <w:spacing w:line="360" w:lineRule="auto"/>
        <w:ind w:right="-150"/>
        <w:jc w:val="left"/>
        <w:rPr>
          <w:sz w:val="22"/>
          <w:szCs w:val="22"/>
        </w:rPr>
      </w:pPr>
    </w:p>
    <w:p w14:paraId="7343A9B9" w14:textId="254A7FF1" w:rsidR="00122345" w:rsidRPr="00912BEE" w:rsidRDefault="00D401CA" w:rsidP="003D5901">
      <w:pPr>
        <w:jc w:val="left"/>
        <w:rPr>
          <w:color w:val="000000" w:themeColor="text1"/>
          <w:lang w:val="en-GB"/>
        </w:rPr>
      </w:pPr>
      <w:r w:rsidRPr="00912BEE">
        <w:rPr>
          <w:color w:val="000000" w:themeColor="text1"/>
          <w:lang w:val="en-GB"/>
        </w:rPr>
        <w:t>This interactive/interactional distinction recognises the interpersonal character of metadiscourse and, because the</w:t>
      </w:r>
      <w:r w:rsidR="00CB7CB7" w:rsidRPr="00912BEE">
        <w:rPr>
          <w:color w:val="000000" w:themeColor="text1"/>
          <w:lang w:val="en-GB"/>
        </w:rPr>
        <w:t>ir</w:t>
      </w:r>
      <w:r w:rsidRPr="00912BEE">
        <w:rPr>
          <w:color w:val="000000" w:themeColor="text1"/>
          <w:lang w:val="en-GB"/>
        </w:rPr>
        <w:t xml:space="preserve"> successful deployment helps achieve immediate </w:t>
      </w:r>
      <w:r w:rsidRPr="00912BEE">
        <w:rPr>
          <w:color w:val="000000" w:themeColor="text1"/>
          <w:lang w:val="en-GB"/>
        </w:rPr>
        <w:lastRenderedPageBreak/>
        <w:t>social and communicative objectives, the</w:t>
      </w:r>
      <w:r w:rsidR="00890BEB">
        <w:rPr>
          <w:color w:val="000000" w:themeColor="text1"/>
          <w:lang w:val="en-GB"/>
        </w:rPr>
        <w:t xml:space="preserve">y </w:t>
      </w:r>
      <w:r w:rsidRPr="00912BEE">
        <w:rPr>
          <w:color w:val="000000" w:themeColor="text1"/>
          <w:lang w:val="en-GB"/>
        </w:rPr>
        <w:t>also reveal</w:t>
      </w:r>
      <w:r w:rsidR="00890BEB">
        <w:rPr>
          <w:color w:val="000000" w:themeColor="text1"/>
          <w:lang w:val="en-GB"/>
        </w:rPr>
        <w:t>s</w:t>
      </w:r>
      <w:r w:rsidRPr="00912BEE">
        <w:rPr>
          <w:color w:val="000000" w:themeColor="text1"/>
          <w:lang w:val="en-GB"/>
        </w:rPr>
        <w:t xml:space="preserve"> something of the writer.</w:t>
      </w:r>
      <w:r w:rsidR="00CB7CB7" w:rsidRPr="00912BEE">
        <w:rPr>
          <w:color w:val="000000" w:themeColor="text1"/>
          <w:lang w:val="en-GB"/>
        </w:rPr>
        <w:t xml:space="preserve"> The</w:t>
      </w:r>
      <w:r w:rsidR="00890BEB">
        <w:rPr>
          <w:color w:val="000000" w:themeColor="text1"/>
          <w:lang w:val="en-GB"/>
        </w:rPr>
        <w:t xml:space="preserve"> use of metadiscourse</w:t>
      </w:r>
      <w:r w:rsidR="00CB7CB7" w:rsidRPr="00912BEE">
        <w:rPr>
          <w:color w:val="000000" w:themeColor="text1"/>
          <w:lang w:val="en-GB"/>
        </w:rPr>
        <w:t xml:space="preserve"> suggest</w:t>
      </w:r>
      <w:r w:rsidR="00890BEB">
        <w:rPr>
          <w:color w:val="000000" w:themeColor="text1"/>
          <w:lang w:val="en-GB"/>
        </w:rPr>
        <w:t xml:space="preserve">s </w:t>
      </w:r>
      <w:r w:rsidR="00CB7CB7" w:rsidRPr="00912BEE">
        <w:rPr>
          <w:color w:val="000000" w:themeColor="text1"/>
          <w:lang w:val="en-GB"/>
        </w:rPr>
        <w:t xml:space="preserve">the degree of familiarity an author has with an audience and how </w:t>
      </w:r>
      <w:r w:rsidRPr="00912BEE">
        <w:rPr>
          <w:color w:val="000000" w:themeColor="text1"/>
          <w:lang w:val="en-GB"/>
        </w:rPr>
        <w:t xml:space="preserve">the writer understands the community being addressed. </w:t>
      </w:r>
      <w:r w:rsidR="003D5901" w:rsidRPr="00912BEE">
        <w:rPr>
          <w:color w:val="000000" w:themeColor="text1"/>
          <w:lang w:val="en-GB"/>
        </w:rPr>
        <w:t xml:space="preserve">This is important here as </w:t>
      </w:r>
      <w:r w:rsidR="004F608A" w:rsidRPr="00912BEE">
        <w:rPr>
          <w:color w:val="000000" w:themeColor="text1"/>
          <w:lang w:val="en-GB"/>
        </w:rPr>
        <w:t xml:space="preserve">Swales’ </w:t>
      </w:r>
      <w:r w:rsidR="00890BEB">
        <w:rPr>
          <w:color w:val="000000" w:themeColor="text1"/>
          <w:lang w:val="en-GB"/>
        </w:rPr>
        <w:t>eminence</w:t>
      </w:r>
      <w:r w:rsidR="004F608A" w:rsidRPr="00912BEE">
        <w:rPr>
          <w:color w:val="000000" w:themeColor="text1"/>
          <w:lang w:val="en-GB"/>
        </w:rPr>
        <w:t xml:space="preserve"> </w:t>
      </w:r>
      <w:r w:rsidR="003D5901" w:rsidRPr="00912BEE">
        <w:rPr>
          <w:color w:val="000000" w:themeColor="text1"/>
          <w:lang w:val="en-GB"/>
        </w:rPr>
        <w:t xml:space="preserve">relies </w:t>
      </w:r>
      <w:r w:rsidR="00122345" w:rsidRPr="00912BEE">
        <w:rPr>
          <w:color w:val="000000" w:themeColor="text1"/>
          <w:lang w:val="en-GB"/>
        </w:rPr>
        <w:t xml:space="preserve">not </w:t>
      </w:r>
      <w:r w:rsidR="003D5901" w:rsidRPr="00912BEE">
        <w:rPr>
          <w:color w:val="000000" w:themeColor="text1"/>
          <w:lang w:val="en-GB"/>
        </w:rPr>
        <w:t>only on</w:t>
      </w:r>
      <w:r w:rsidR="00122345" w:rsidRPr="00912BEE">
        <w:rPr>
          <w:color w:val="000000" w:themeColor="text1"/>
          <w:lang w:val="en-GB"/>
        </w:rPr>
        <w:t xml:space="preserve"> his </w:t>
      </w:r>
      <w:r w:rsidR="004F608A" w:rsidRPr="00912BEE">
        <w:rPr>
          <w:color w:val="000000" w:themeColor="text1"/>
          <w:lang w:val="en-GB"/>
        </w:rPr>
        <w:t xml:space="preserve">insights into specialized language use but also </w:t>
      </w:r>
      <w:r w:rsidR="00122345" w:rsidRPr="00912BEE">
        <w:rPr>
          <w:color w:val="000000" w:themeColor="text1"/>
          <w:lang w:val="en-GB"/>
        </w:rPr>
        <w:t>his</w:t>
      </w:r>
      <w:r w:rsidR="004F608A" w:rsidRPr="00912BEE">
        <w:rPr>
          <w:color w:val="000000" w:themeColor="text1"/>
          <w:lang w:val="en-GB"/>
        </w:rPr>
        <w:t xml:space="preserve"> </w:t>
      </w:r>
      <w:r w:rsidR="00122345" w:rsidRPr="00912BEE">
        <w:rPr>
          <w:lang w:val="en-GB"/>
        </w:rPr>
        <w:t xml:space="preserve">ability to “read an audience” and make his ideas </w:t>
      </w:r>
      <w:r w:rsidR="00122345" w:rsidRPr="00912BEE">
        <w:rPr>
          <w:color w:val="000000" w:themeColor="text1"/>
          <w:lang w:val="en-GB"/>
        </w:rPr>
        <w:t>accessible</w:t>
      </w:r>
      <w:r w:rsidR="003D5901" w:rsidRPr="00912BEE">
        <w:rPr>
          <w:color w:val="000000" w:themeColor="text1"/>
          <w:lang w:val="en-GB"/>
        </w:rPr>
        <w:t>. Ho</w:t>
      </w:r>
      <w:r w:rsidR="00122345" w:rsidRPr="00912BEE">
        <w:rPr>
          <w:color w:val="000000" w:themeColor="text1"/>
          <w:lang w:val="en-GB"/>
        </w:rPr>
        <w:t>w he deploys metadiscourse</w:t>
      </w:r>
      <w:r w:rsidR="003D5901" w:rsidRPr="00912BEE">
        <w:rPr>
          <w:color w:val="000000" w:themeColor="text1"/>
          <w:lang w:val="en-GB"/>
        </w:rPr>
        <w:t xml:space="preserve">, then, </w:t>
      </w:r>
      <w:r w:rsidR="00122345" w:rsidRPr="00912BEE">
        <w:rPr>
          <w:color w:val="000000" w:themeColor="text1"/>
          <w:lang w:val="en-GB"/>
        </w:rPr>
        <w:t xml:space="preserve">is likely to be a significant factor in </w:t>
      </w:r>
      <w:r w:rsidR="003D5901" w:rsidRPr="00912BEE">
        <w:rPr>
          <w:color w:val="000000" w:themeColor="text1"/>
          <w:lang w:val="en-GB"/>
        </w:rPr>
        <w:t>his influence on the field.</w:t>
      </w:r>
    </w:p>
    <w:p w14:paraId="0C2BF762" w14:textId="77777777" w:rsidR="00122345" w:rsidRPr="00912BEE" w:rsidRDefault="00122345" w:rsidP="003D5901">
      <w:pPr>
        <w:jc w:val="left"/>
        <w:rPr>
          <w:lang w:val="en-GB"/>
        </w:rPr>
      </w:pPr>
    </w:p>
    <w:p w14:paraId="33FFC752" w14:textId="77777777" w:rsidR="003D5901" w:rsidRPr="00912BEE" w:rsidRDefault="003D5901" w:rsidP="003D5901">
      <w:pPr>
        <w:jc w:val="left"/>
        <w:rPr>
          <w:b/>
          <w:bCs/>
          <w:lang w:val="en-GB"/>
        </w:rPr>
      </w:pPr>
      <w:r w:rsidRPr="00912BEE">
        <w:rPr>
          <w:b/>
          <w:bCs/>
          <w:lang w:val="en-GB"/>
        </w:rPr>
        <w:t>2.3 Analysis of features</w:t>
      </w:r>
    </w:p>
    <w:p w14:paraId="1D118E25" w14:textId="3BA745A3" w:rsidR="00582082" w:rsidRPr="00912BEE" w:rsidRDefault="00EB772C" w:rsidP="00EB772C">
      <w:pPr>
        <w:jc w:val="left"/>
        <w:rPr>
          <w:lang w:val="en-GB"/>
        </w:rPr>
      </w:pPr>
      <w:r>
        <w:rPr>
          <w:lang w:val="en-GB"/>
        </w:rPr>
        <w:t>To understand Swales use of metadiscourse we were g</w:t>
      </w:r>
      <w:r w:rsidRPr="00EB772C">
        <w:rPr>
          <w:lang w:val="en-GB"/>
        </w:rPr>
        <w:t>uided by Hyland’s (2005) inventory of some 400 items, undert</w:t>
      </w:r>
      <w:r>
        <w:rPr>
          <w:lang w:val="en-GB"/>
        </w:rPr>
        <w:t>aking</w:t>
      </w:r>
      <w:r w:rsidRPr="00EB772C">
        <w:rPr>
          <w:lang w:val="en-GB"/>
        </w:rPr>
        <w:t xml:space="preserve"> a close manual reading of the entire corpus to identify all features which served metadiscourse functions. This help</w:t>
      </w:r>
      <w:r>
        <w:rPr>
          <w:lang w:val="en-GB"/>
        </w:rPr>
        <w:t>ed</w:t>
      </w:r>
      <w:r w:rsidRPr="00EB772C">
        <w:rPr>
          <w:lang w:val="en-GB"/>
        </w:rPr>
        <w:t xml:space="preserve"> to overcome the </w:t>
      </w:r>
      <w:r w:rsidR="003133FE" w:rsidRPr="00EB772C">
        <w:rPr>
          <w:lang w:val="en-GB"/>
        </w:rPr>
        <w:t xml:space="preserve">criticisms levelled at </w:t>
      </w:r>
      <w:r w:rsidRPr="00EB772C">
        <w:rPr>
          <w:lang w:val="en-GB"/>
        </w:rPr>
        <w:t>corpus approaches which simply</w:t>
      </w:r>
      <w:r w:rsidR="006D3C1A" w:rsidRPr="00EB772C">
        <w:rPr>
          <w:lang w:val="en-GB"/>
        </w:rPr>
        <w:t xml:space="preserve"> prioritise </w:t>
      </w:r>
      <w:r w:rsidR="003133FE" w:rsidRPr="00EB772C">
        <w:rPr>
          <w:lang w:val="en-GB"/>
        </w:rPr>
        <w:t>sur</w:t>
      </w:r>
      <w:r w:rsidR="003133FE" w:rsidRPr="00912BEE">
        <w:rPr>
          <w:lang w:val="en-GB"/>
        </w:rPr>
        <w:t xml:space="preserve">face features and make the formal </w:t>
      </w:r>
      <w:r w:rsidR="003D5901" w:rsidRPr="00912BEE">
        <w:rPr>
          <w:lang w:val="en-GB"/>
        </w:rPr>
        <w:t>expression</w:t>
      </w:r>
      <w:r w:rsidR="003133FE" w:rsidRPr="00912BEE">
        <w:rPr>
          <w:lang w:val="en-GB"/>
        </w:rPr>
        <w:t xml:space="preserve"> rather than </w:t>
      </w:r>
      <w:r w:rsidR="003D5901" w:rsidRPr="00912BEE">
        <w:rPr>
          <w:lang w:val="en-GB"/>
        </w:rPr>
        <w:t>pragmatic</w:t>
      </w:r>
      <w:r w:rsidR="003133FE" w:rsidRPr="00912BEE">
        <w:rPr>
          <w:lang w:val="en-GB"/>
        </w:rPr>
        <w:t xml:space="preserve"> function the object of analysis</w:t>
      </w:r>
      <w:r w:rsidR="003D5901" w:rsidRPr="00912BEE">
        <w:rPr>
          <w:lang w:val="en-GB"/>
        </w:rPr>
        <w:t xml:space="preserve"> (Hyland, 201</w:t>
      </w:r>
      <w:r w:rsidR="00003131" w:rsidRPr="00912BEE">
        <w:rPr>
          <w:lang w:val="en-GB"/>
        </w:rPr>
        <w:t>7</w:t>
      </w:r>
      <w:r w:rsidR="003D5901" w:rsidRPr="00912BEE">
        <w:rPr>
          <w:lang w:val="en-GB"/>
        </w:rPr>
        <w:t>; Sun &amp; Jiang, 2024).</w:t>
      </w:r>
      <w:r w:rsidR="006D3C1A" w:rsidRPr="00912BEE">
        <w:rPr>
          <w:lang w:val="en-GB"/>
        </w:rPr>
        <w:t xml:space="preserve"> </w:t>
      </w:r>
      <w:r w:rsidR="00DE0911" w:rsidRPr="00912BEE">
        <w:rPr>
          <w:lang w:val="en-GB"/>
        </w:rPr>
        <w:t>The list was only ever intended to be a starting point, a first fix on high frequency items that commonly function as metadiscourse in a particular register rather than a comprehensive catalogue.</w:t>
      </w:r>
      <w:r>
        <w:rPr>
          <w:lang w:val="en-GB"/>
        </w:rPr>
        <w:t xml:space="preserve"> Examining every item in context </w:t>
      </w:r>
      <w:r w:rsidR="00582082" w:rsidRPr="00912BEE">
        <w:rPr>
          <w:lang w:val="en-GB"/>
        </w:rPr>
        <w:t xml:space="preserve">allowed </w:t>
      </w:r>
      <w:r>
        <w:rPr>
          <w:lang w:val="en-GB"/>
        </w:rPr>
        <w:t xml:space="preserve">us to adopt </w:t>
      </w:r>
      <w:r w:rsidR="00582082" w:rsidRPr="00912BEE">
        <w:rPr>
          <w:lang w:val="en-GB"/>
        </w:rPr>
        <w:t xml:space="preserve">a more exhaustive and nuanced identification of metadiscourse than a simple list-based retrieval method. It enabled us to capture context-specific realisations not included in the inventory, such as </w:t>
      </w:r>
      <w:proofErr w:type="spellStart"/>
      <w:r w:rsidR="00582082" w:rsidRPr="00912BEE">
        <w:rPr>
          <w:i/>
          <w:iCs/>
          <w:lang w:val="en-GB"/>
        </w:rPr>
        <w:t>as</w:t>
      </w:r>
      <w:proofErr w:type="spellEnd"/>
      <w:r w:rsidR="00582082" w:rsidRPr="00912BEE">
        <w:rPr>
          <w:i/>
          <w:iCs/>
          <w:lang w:val="en-GB"/>
        </w:rPr>
        <w:t xml:space="preserve"> we shall shortly see</w:t>
      </w:r>
      <w:r w:rsidR="00582082" w:rsidRPr="00912BEE">
        <w:rPr>
          <w:lang w:val="en-GB"/>
        </w:rPr>
        <w:t xml:space="preserve"> in example (1) and </w:t>
      </w:r>
      <w:r w:rsidR="00F730E6" w:rsidRPr="00F730E6">
        <w:rPr>
          <w:i/>
          <w:iCs/>
        </w:rPr>
        <w:t>This question will be held over until the conclusion</w:t>
      </w:r>
      <w:r w:rsidR="00F730E6" w:rsidRPr="00912BEE">
        <w:rPr>
          <w:lang w:val="en-GB"/>
        </w:rPr>
        <w:t xml:space="preserve"> </w:t>
      </w:r>
      <w:r w:rsidR="00582082" w:rsidRPr="00912BEE">
        <w:rPr>
          <w:lang w:val="en-GB"/>
        </w:rPr>
        <w:t>(2).</w:t>
      </w:r>
    </w:p>
    <w:p w14:paraId="4586D046" w14:textId="77777777" w:rsidR="00582082" w:rsidRPr="00912BEE" w:rsidRDefault="00582082" w:rsidP="00582082">
      <w:pPr>
        <w:ind w:left="709"/>
        <w:jc w:val="left"/>
        <w:rPr>
          <w:lang w:val="en-GB"/>
        </w:rPr>
      </w:pPr>
      <w:r w:rsidRPr="00912BEE">
        <w:rPr>
          <w:lang w:val="en-GB"/>
        </w:rPr>
        <w:t xml:space="preserve">(1) </w:t>
      </w:r>
      <w:r w:rsidRPr="00912BEE">
        <w:rPr>
          <w:i/>
          <w:iCs/>
          <w:lang w:val="en-GB"/>
        </w:rPr>
        <w:t>As we shall shortly see</w:t>
      </w:r>
      <w:r w:rsidRPr="00912BEE">
        <w:rPr>
          <w:lang w:val="en-GB"/>
        </w:rPr>
        <w:t>, the resolution of what is seen as Adam Smith’s puzzle offers certain rhetorical opportunities to writers of economics textbooks.                                            (2020)</w:t>
      </w:r>
    </w:p>
    <w:p w14:paraId="5FF0D50F" w14:textId="233E0D7C" w:rsidR="00582082" w:rsidRPr="00912BEE" w:rsidRDefault="00582082" w:rsidP="00F730E6">
      <w:pPr>
        <w:ind w:left="709"/>
        <w:jc w:val="left"/>
        <w:rPr>
          <w:lang w:val="en-GB"/>
        </w:rPr>
      </w:pPr>
      <w:r w:rsidRPr="00F730E6">
        <w:rPr>
          <w:lang w:val="en-GB"/>
        </w:rPr>
        <w:t xml:space="preserve">(2) </w:t>
      </w:r>
      <w:r w:rsidR="00F730E6" w:rsidRPr="00F730E6">
        <w:rPr>
          <w:i/>
          <w:iCs/>
        </w:rPr>
        <w:t>This question will be held over until the conclusion</w:t>
      </w:r>
      <w:r w:rsidR="00F730E6" w:rsidRPr="00F730E6">
        <w:t xml:space="preserve">. </w:t>
      </w:r>
      <w:r w:rsidRPr="00F730E6">
        <w:rPr>
          <w:lang w:val="en-GB"/>
        </w:rPr>
        <w:t>(</w:t>
      </w:r>
      <w:r w:rsidR="00F730E6" w:rsidRPr="00F730E6">
        <w:rPr>
          <w:lang w:val="en-GB"/>
        </w:rPr>
        <w:t>1995</w:t>
      </w:r>
      <w:r w:rsidRPr="00F730E6">
        <w:rPr>
          <w:lang w:val="en-GB"/>
        </w:rPr>
        <w:t>)</w:t>
      </w:r>
    </w:p>
    <w:p w14:paraId="33106064" w14:textId="18239783" w:rsidR="00582082" w:rsidRPr="00912BEE" w:rsidRDefault="00582082" w:rsidP="003D5901">
      <w:pPr>
        <w:jc w:val="left"/>
        <w:rPr>
          <w:lang w:val="en-GB"/>
        </w:rPr>
      </w:pPr>
    </w:p>
    <w:p w14:paraId="5E4EB02C" w14:textId="674FD454" w:rsidR="00E35921" w:rsidRPr="00912BEE" w:rsidRDefault="00DE0911" w:rsidP="00DE0911">
      <w:pPr>
        <w:jc w:val="left"/>
        <w:rPr>
          <w:lang w:val="en-GB"/>
        </w:rPr>
      </w:pPr>
      <w:r w:rsidRPr="00912BEE">
        <w:rPr>
          <w:lang w:val="en-GB"/>
        </w:rPr>
        <w:t xml:space="preserve">It also meant that </w:t>
      </w:r>
      <w:r w:rsidR="001F739A" w:rsidRPr="00912BEE">
        <w:rPr>
          <w:lang w:val="en-GB"/>
        </w:rPr>
        <w:t xml:space="preserve">we </w:t>
      </w:r>
      <w:r w:rsidRPr="00912BEE">
        <w:rPr>
          <w:lang w:val="en-GB"/>
        </w:rPr>
        <w:t>were able to</w:t>
      </w:r>
      <w:r w:rsidR="003133FE" w:rsidRPr="00912BEE">
        <w:rPr>
          <w:lang w:val="en-GB"/>
        </w:rPr>
        <w:t xml:space="preserve"> examine </w:t>
      </w:r>
      <w:r w:rsidRPr="00912BEE">
        <w:rPr>
          <w:lang w:val="en-GB"/>
        </w:rPr>
        <w:t xml:space="preserve">all items </w:t>
      </w:r>
      <w:r w:rsidR="003133FE" w:rsidRPr="00912BEE">
        <w:rPr>
          <w:lang w:val="en-GB"/>
        </w:rPr>
        <w:t xml:space="preserve">in context to ensure they </w:t>
      </w:r>
      <w:r w:rsidRPr="00912BEE">
        <w:rPr>
          <w:lang w:val="en-GB"/>
        </w:rPr>
        <w:t>we</w:t>
      </w:r>
      <w:r w:rsidR="003133FE" w:rsidRPr="00912BEE">
        <w:rPr>
          <w:lang w:val="en-GB"/>
        </w:rPr>
        <w:t>re performing metadiscourse functions. In other words, reading concordance lines is more important than recording frequency counts</w:t>
      </w:r>
      <w:r w:rsidRPr="00912BEE">
        <w:rPr>
          <w:lang w:val="en-GB"/>
        </w:rPr>
        <w:t xml:space="preserve">. </w:t>
      </w:r>
      <w:r w:rsidR="00931C5A" w:rsidRPr="00912BEE">
        <w:rPr>
          <w:lang w:val="en-GB"/>
        </w:rPr>
        <w:t xml:space="preserve">To ensure analytical rigour, both </w:t>
      </w:r>
      <w:r w:rsidR="00931C5A" w:rsidRPr="00912BEE">
        <w:rPr>
          <w:lang w:val="en-GB"/>
        </w:rPr>
        <w:lastRenderedPageBreak/>
        <w:t>authors independently coded each potential instance of metadiscourse. A high level of initial inter-rater agreement was achieved (Cohen’s κ &gt; 0.86), and all remaining discrepancies were subsequently resolved through</w:t>
      </w:r>
      <w:r w:rsidRPr="00912BEE">
        <w:rPr>
          <w:lang w:val="en-GB"/>
        </w:rPr>
        <w:t xml:space="preserve"> </w:t>
      </w:r>
      <w:r w:rsidR="00931C5A" w:rsidRPr="00912BEE">
        <w:rPr>
          <w:lang w:val="en-GB"/>
        </w:rPr>
        <w:t xml:space="preserve">discussion. During this process, items functioning solely to convey propositional information, rather than to organise the discourse or engage the reader, were excluded. </w:t>
      </w:r>
      <w:r w:rsidR="000852BA" w:rsidRPr="00912BEE">
        <w:rPr>
          <w:lang w:val="en-GB"/>
        </w:rPr>
        <w:t>Compare</w:t>
      </w:r>
      <w:r w:rsidR="00931C5A" w:rsidRPr="00912BEE">
        <w:rPr>
          <w:lang w:val="en-GB"/>
        </w:rPr>
        <w:t xml:space="preserve"> </w:t>
      </w:r>
      <w:r w:rsidR="000852BA" w:rsidRPr="00912BEE">
        <w:rPr>
          <w:lang w:val="en-GB"/>
        </w:rPr>
        <w:t>the</w:t>
      </w:r>
      <w:r w:rsidR="00931C5A" w:rsidRPr="00912BEE">
        <w:rPr>
          <w:lang w:val="en-GB"/>
        </w:rPr>
        <w:t xml:space="preserve"> non-metadiscursive</w:t>
      </w:r>
      <w:r w:rsidR="000852BA" w:rsidRPr="00912BEE">
        <w:rPr>
          <w:lang w:val="en-GB"/>
        </w:rPr>
        <w:t xml:space="preserve"> (underlined) and metadiscursive (bolded) use of the same marker </w:t>
      </w:r>
      <w:r w:rsidR="000852BA" w:rsidRPr="00912BEE">
        <w:rPr>
          <w:i/>
          <w:iCs/>
          <w:lang w:val="en-GB"/>
        </w:rPr>
        <w:t>first</w:t>
      </w:r>
      <w:r w:rsidR="00931C5A" w:rsidRPr="00912BEE">
        <w:rPr>
          <w:lang w:val="en-GB"/>
        </w:rPr>
        <w:t xml:space="preserve"> in (3) and (4).</w:t>
      </w:r>
    </w:p>
    <w:p w14:paraId="0BC967D2" w14:textId="2010BF66" w:rsidR="00E35921" w:rsidRPr="00912BEE" w:rsidRDefault="00E35921" w:rsidP="00346EEA">
      <w:pPr>
        <w:ind w:leftChars="236" w:left="566" w:rightChars="330" w:right="792"/>
        <w:rPr>
          <w:bCs/>
          <w:lang w:val="en-GB"/>
        </w:rPr>
      </w:pPr>
      <w:r w:rsidRPr="00912BEE">
        <w:rPr>
          <w:bCs/>
          <w:lang w:val="en-GB"/>
        </w:rPr>
        <w:t>(</w:t>
      </w:r>
      <w:r w:rsidR="00346EEA" w:rsidRPr="00912BEE">
        <w:rPr>
          <w:bCs/>
          <w:lang w:val="en-GB"/>
        </w:rPr>
        <w:t>3</w:t>
      </w:r>
      <w:r w:rsidRPr="00912BEE">
        <w:rPr>
          <w:bCs/>
          <w:lang w:val="en-GB"/>
        </w:rPr>
        <w:t xml:space="preserve">) </w:t>
      </w:r>
      <w:r w:rsidR="000852BA" w:rsidRPr="00912BEE">
        <w:rPr>
          <w:bCs/>
          <w:lang w:val="en-GB"/>
        </w:rPr>
        <w:t xml:space="preserve">In fact, I </w:t>
      </w:r>
      <w:r w:rsidR="000852BA" w:rsidRPr="00912BEE">
        <w:rPr>
          <w:bCs/>
          <w:u w:val="single"/>
          <w:lang w:val="en-GB"/>
        </w:rPr>
        <w:t>first</w:t>
      </w:r>
      <w:r w:rsidR="000852BA" w:rsidRPr="00912BEE">
        <w:rPr>
          <w:bCs/>
          <w:lang w:val="en-GB"/>
        </w:rPr>
        <w:t xml:space="preserve"> became aware of this </w:t>
      </w:r>
      <w:r w:rsidR="00020EDA" w:rsidRPr="00912BEE">
        <w:rPr>
          <w:bCs/>
          <w:lang w:val="en-GB"/>
        </w:rPr>
        <w:t xml:space="preserve">… </w:t>
      </w:r>
      <w:r w:rsidR="000852BA" w:rsidRPr="00912BEE">
        <w:rPr>
          <w:bCs/>
          <w:lang w:val="en-GB"/>
        </w:rPr>
        <w:t>when, on a college promotion committee..</w:t>
      </w:r>
      <w:r w:rsidR="00346EEA" w:rsidRPr="00912BEE">
        <w:rPr>
          <w:bCs/>
          <w:lang w:val="en-GB"/>
        </w:rPr>
        <w:t>.</w:t>
      </w:r>
    </w:p>
    <w:p w14:paraId="559939CB" w14:textId="3CB96B75" w:rsidR="00E35921" w:rsidRPr="00912BEE" w:rsidRDefault="00E35921" w:rsidP="00346EEA">
      <w:pPr>
        <w:ind w:leftChars="236" w:left="566" w:rightChars="330" w:right="792"/>
        <w:rPr>
          <w:bCs/>
          <w:lang w:val="en-GB"/>
        </w:rPr>
      </w:pPr>
      <w:r w:rsidRPr="00912BEE">
        <w:rPr>
          <w:bCs/>
          <w:lang w:val="en-GB"/>
        </w:rPr>
        <w:t>(</w:t>
      </w:r>
      <w:r w:rsidR="00346EEA" w:rsidRPr="00912BEE">
        <w:rPr>
          <w:bCs/>
          <w:lang w:val="en-GB"/>
        </w:rPr>
        <w:t>4</w:t>
      </w:r>
      <w:r w:rsidRPr="00912BEE">
        <w:rPr>
          <w:bCs/>
          <w:lang w:val="en-GB"/>
        </w:rPr>
        <w:t xml:space="preserve">) </w:t>
      </w:r>
      <w:r w:rsidR="000852BA" w:rsidRPr="00912BEE">
        <w:rPr>
          <w:bCs/>
          <w:lang w:val="en-GB"/>
        </w:rPr>
        <w:t xml:space="preserve">Let us </w:t>
      </w:r>
      <w:r w:rsidR="000852BA" w:rsidRPr="00912BEE">
        <w:rPr>
          <w:b/>
          <w:lang w:val="en-GB"/>
        </w:rPr>
        <w:t>first</w:t>
      </w:r>
      <w:r w:rsidR="000852BA" w:rsidRPr="00912BEE">
        <w:rPr>
          <w:bCs/>
          <w:lang w:val="en-GB"/>
        </w:rPr>
        <w:t xml:space="preserve"> consider how all the datable citations for Hyon (1996) in Google Scholar are distributed over time..</w:t>
      </w:r>
      <w:r w:rsidRPr="00912BEE">
        <w:rPr>
          <w:bCs/>
          <w:lang w:val="en-GB"/>
        </w:rPr>
        <w:t>.</w:t>
      </w:r>
    </w:p>
    <w:p w14:paraId="724B0CF1" w14:textId="77777777" w:rsidR="00E35921" w:rsidRPr="00912BEE" w:rsidRDefault="00E35921" w:rsidP="00E35921">
      <w:pPr>
        <w:rPr>
          <w:bCs/>
          <w:lang w:val="en-GB"/>
        </w:rPr>
      </w:pPr>
    </w:p>
    <w:p w14:paraId="13CB78FA" w14:textId="7F95D706" w:rsidR="00DF2171" w:rsidRPr="00912BEE" w:rsidRDefault="00DE0911">
      <w:pPr>
        <w:rPr>
          <w:lang w:val="en-GB"/>
        </w:rPr>
      </w:pPr>
      <w:r w:rsidRPr="00912BEE">
        <w:rPr>
          <w:lang w:val="en-GB"/>
        </w:rPr>
        <w:t>Finally, we</w:t>
      </w:r>
      <w:r w:rsidR="00931C5A" w:rsidRPr="00912BEE">
        <w:rPr>
          <w:lang w:val="en-GB"/>
        </w:rPr>
        <w:t xml:space="preserve"> determine</w:t>
      </w:r>
      <w:r w:rsidRPr="00912BEE">
        <w:rPr>
          <w:lang w:val="en-GB"/>
        </w:rPr>
        <w:t>d</w:t>
      </w:r>
      <w:r w:rsidR="00931C5A" w:rsidRPr="00912BEE">
        <w:rPr>
          <w:lang w:val="en-GB"/>
        </w:rPr>
        <w:t xml:space="preserve"> the statistical significance of frequency differences across the three sub-corpora, Log-Likelihood (</w:t>
      </w:r>
      <w:r w:rsidR="00931C5A" w:rsidRPr="00912BEE">
        <w:rPr>
          <w:i/>
          <w:iCs/>
          <w:lang w:val="en-GB"/>
        </w:rPr>
        <w:t>LL</w:t>
      </w:r>
      <w:r w:rsidR="00931C5A" w:rsidRPr="00912BEE">
        <w:rPr>
          <w:lang w:val="en-GB"/>
        </w:rPr>
        <w:t xml:space="preserve">) tests were conducted using Rayson’s (2016) online calculator. Following convention, an </w:t>
      </w:r>
      <w:r w:rsidR="00931C5A" w:rsidRPr="00912BEE">
        <w:rPr>
          <w:i/>
          <w:iCs/>
          <w:lang w:val="en-GB"/>
        </w:rPr>
        <w:t>LL</w:t>
      </w:r>
      <w:r w:rsidR="00931C5A" w:rsidRPr="00912BEE">
        <w:rPr>
          <w:lang w:val="en-GB"/>
        </w:rPr>
        <w:t xml:space="preserve"> value of 3.8 or greater was considered significant at a p-value of &lt; .05. In addition to significance, we measured the effect size using the percentage difference statistic (</w:t>
      </w:r>
      <w:r w:rsidR="00931C5A" w:rsidRPr="00912BEE">
        <w:rPr>
          <w:i/>
          <w:iCs/>
          <w:lang w:val="en-GB"/>
        </w:rPr>
        <w:t>%DIFF</w:t>
      </w:r>
      <w:r w:rsidR="00931C5A" w:rsidRPr="00912BEE">
        <w:rPr>
          <w:lang w:val="en-GB"/>
        </w:rPr>
        <w:t>), which indicates the magnitude of divergence between two normalised frequencies (</w:t>
      </w:r>
      <w:proofErr w:type="spellStart"/>
      <w:r w:rsidR="00931C5A" w:rsidRPr="00912BEE">
        <w:rPr>
          <w:lang w:val="en-GB"/>
        </w:rPr>
        <w:t>Gabrielatos</w:t>
      </w:r>
      <w:proofErr w:type="spellEnd"/>
      <w:r w:rsidR="00931C5A" w:rsidRPr="00912BEE">
        <w:rPr>
          <w:lang w:val="en-GB"/>
        </w:rPr>
        <w:t>, 2018).</w:t>
      </w:r>
    </w:p>
    <w:p w14:paraId="6486FE42" w14:textId="77777777" w:rsidR="006D2EDE" w:rsidRPr="00912BEE" w:rsidRDefault="006D2EDE" w:rsidP="006D2EDE">
      <w:pPr>
        <w:rPr>
          <w:lang w:val="en-GB"/>
        </w:rPr>
      </w:pPr>
    </w:p>
    <w:p w14:paraId="6FDD0E1B" w14:textId="20099B2A" w:rsidR="006D2EDE" w:rsidRPr="00912BEE" w:rsidRDefault="000576AC" w:rsidP="006D2EDE">
      <w:pPr>
        <w:rPr>
          <w:b/>
          <w:bCs/>
          <w:lang w:val="en-GB"/>
        </w:rPr>
      </w:pPr>
      <w:r w:rsidRPr="00912BEE">
        <w:rPr>
          <w:b/>
          <w:bCs/>
          <w:lang w:val="en-GB"/>
        </w:rPr>
        <w:t>3</w:t>
      </w:r>
      <w:r w:rsidR="00C95FD6" w:rsidRPr="00912BEE">
        <w:rPr>
          <w:b/>
          <w:bCs/>
          <w:lang w:val="en-GB"/>
        </w:rPr>
        <w:t xml:space="preserve">. </w:t>
      </w:r>
      <w:r w:rsidRPr="00912BEE">
        <w:rPr>
          <w:b/>
          <w:bCs/>
          <w:lang w:val="en-GB"/>
        </w:rPr>
        <w:t>Metadiscourse in Swales writing</w:t>
      </w:r>
    </w:p>
    <w:p w14:paraId="57D5190F" w14:textId="0F3E307A" w:rsidR="00AF6116" w:rsidRPr="00AF6116" w:rsidRDefault="00AF6116" w:rsidP="00141448">
      <w:pPr>
        <w:jc w:val="left"/>
        <w:rPr>
          <w:b/>
          <w:bCs/>
          <w:lang w:val="en-GB"/>
        </w:rPr>
      </w:pPr>
      <w:r w:rsidRPr="00AF6116">
        <w:rPr>
          <w:rFonts w:hint="eastAsia"/>
          <w:b/>
          <w:bCs/>
          <w:lang w:val="en-GB"/>
        </w:rPr>
        <w:t xml:space="preserve">3.1 An </w:t>
      </w:r>
      <w:r w:rsidRPr="00AF6116">
        <w:rPr>
          <w:b/>
          <w:bCs/>
          <w:lang w:val="en-GB"/>
        </w:rPr>
        <w:t>overview</w:t>
      </w:r>
    </w:p>
    <w:p w14:paraId="3E95EB27" w14:textId="36E7CF46" w:rsidR="00CA16DC" w:rsidRPr="00912BEE" w:rsidRDefault="00E96C46" w:rsidP="00141448">
      <w:pPr>
        <w:jc w:val="left"/>
        <w:rPr>
          <w:lang w:val="en-GB"/>
        </w:rPr>
      </w:pPr>
      <w:r w:rsidRPr="00912BEE">
        <w:rPr>
          <w:lang w:val="en-GB"/>
        </w:rPr>
        <w:t xml:space="preserve">We identified 12,598 instances of metadiscourse in the corpora across time, averaging 419.9 cases per paper and 762.82 cases per 10,000 words. This normalised frequency is higher than that reported for a general corpus of applied linguistics research by Hyland and Jiang (2018), which suggests that Swales’s writing is exceptionally rich in rhetorical investment. In addition, </w:t>
      </w:r>
      <w:r w:rsidR="00F730E6">
        <w:rPr>
          <w:lang w:val="en-GB"/>
        </w:rPr>
        <w:t xml:space="preserve">although unsurprisingly, </w:t>
      </w:r>
      <w:r w:rsidR="001F739A" w:rsidRPr="00912BEE">
        <w:rPr>
          <w:lang w:val="en-GB"/>
        </w:rPr>
        <w:t>in all three</w:t>
      </w:r>
      <w:r w:rsidRPr="00912BEE">
        <w:rPr>
          <w:lang w:val="en-GB"/>
        </w:rPr>
        <w:t xml:space="preserve"> periods</w:t>
      </w:r>
      <w:r w:rsidR="00AB564A" w:rsidRPr="00912BEE">
        <w:rPr>
          <w:lang w:val="en-GB"/>
        </w:rPr>
        <w:t xml:space="preserve">, </w:t>
      </w:r>
      <w:r w:rsidR="001F739A" w:rsidRPr="00912BEE">
        <w:rPr>
          <w:lang w:val="en-GB"/>
        </w:rPr>
        <w:t xml:space="preserve">he employs </w:t>
      </w:r>
      <w:r w:rsidRPr="00912BEE">
        <w:rPr>
          <w:lang w:val="en-GB"/>
        </w:rPr>
        <w:t>interactional metadiscourse</w:t>
      </w:r>
      <w:r w:rsidR="001F739A" w:rsidRPr="00912BEE">
        <w:rPr>
          <w:lang w:val="en-GB"/>
        </w:rPr>
        <w:t xml:space="preserve"> </w:t>
      </w:r>
      <w:r w:rsidRPr="00912BEE">
        <w:rPr>
          <w:lang w:val="en-GB"/>
        </w:rPr>
        <w:t>significantly more than interactive features</w:t>
      </w:r>
      <w:r w:rsidR="00AB564A" w:rsidRPr="00912BEE">
        <w:rPr>
          <w:lang w:val="en-GB"/>
        </w:rPr>
        <w:t xml:space="preserve"> (</w:t>
      </w:r>
      <w:r w:rsidR="00AB564A" w:rsidRPr="00912BEE">
        <w:rPr>
          <w:i/>
          <w:iCs/>
          <w:lang w:val="en-GB"/>
        </w:rPr>
        <w:t>LL</w:t>
      </w:r>
      <w:r w:rsidR="00AB564A" w:rsidRPr="00912BEE">
        <w:rPr>
          <w:lang w:val="en-GB"/>
        </w:rPr>
        <w:t xml:space="preserve"> = 449.29, </w:t>
      </w:r>
      <w:r w:rsidR="00AB564A" w:rsidRPr="00912BEE">
        <w:rPr>
          <w:i/>
          <w:iCs/>
          <w:lang w:val="en-GB"/>
        </w:rPr>
        <w:t>p</w:t>
      </w:r>
      <w:r w:rsidR="00AB564A" w:rsidRPr="00912BEE">
        <w:rPr>
          <w:lang w:val="en-GB"/>
        </w:rPr>
        <w:t xml:space="preserve"> &lt; 0.001). </w:t>
      </w:r>
      <w:r w:rsidRPr="00912BEE">
        <w:rPr>
          <w:lang w:val="en-GB"/>
        </w:rPr>
        <w:t xml:space="preserve">This marked preference </w:t>
      </w:r>
      <w:r w:rsidR="001F739A" w:rsidRPr="00912BEE">
        <w:rPr>
          <w:lang w:val="en-GB"/>
        </w:rPr>
        <w:t>for</w:t>
      </w:r>
      <w:r w:rsidRPr="00912BEE">
        <w:rPr>
          <w:lang w:val="en-GB"/>
        </w:rPr>
        <w:t xml:space="preserve"> build</w:t>
      </w:r>
      <w:r w:rsidR="001F739A" w:rsidRPr="00912BEE">
        <w:rPr>
          <w:lang w:val="en-GB"/>
        </w:rPr>
        <w:t>ing</w:t>
      </w:r>
      <w:r w:rsidRPr="00912BEE">
        <w:rPr>
          <w:lang w:val="en-GB"/>
        </w:rPr>
        <w:t xml:space="preserve"> a personal connection with the reader (interactional) over organis</w:t>
      </w:r>
      <w:r w:rsidR="001F739A" w:rsidRPr="00912BEE">
        <w:rPr>
          <w:lang w:val="en-GB"/>
        </w:rPr>
        <w:t>ing</w:t>
      </w:r>
      <w:r w:rsidRPr="00912BEE">
        <w:rPr>
          <w:lang w:val="en-GB"/>
        </w:rPr>
        <w:t xml:space="preserve"> the text (interactive) is the source of his distinctively dialogic style, which Hyland (2008) characterised as </w:t>
      </w:r>
      <w:r w:rsidR="00E3590E" w:rsidRPr="00912BEE">
        <w:rPr>
          <w:lang w:val="en-GB"/>
        </w:rPr>
        <w:t>“highly personal,</w:t>
      </w:r>
      <w:r w:rsidR="00FD6B72" w:rsidRPr="00912BEE">
        <w:rPr>
          <w:lang w:val="en-GB"/>
        </w:rPr>
        <w:t xml:space="preserve"> </w:t>
      </w:r>
      <w:r w:rsidR="00E3590E" w:rsidRPr="00912BEE">
        <w:rPr>
          <w:lang w:val="en-GB"/>
        </w:rPr>
        <w:t>modest and interactive” (p.144).</w:t>
      </w:r>
      <w:r w:rsidR="00141448" w:rsidRPr="00912BEE">
        <w:rPr>
          <w:lang w:val="en-GB"/>
        </w:rPr>
        <w:t xml:space="preserve"> </w:t>
      </w:r>
    </w:p>
    <w:p w14:paraId="5EEE2618" w14:textId="77777777" w:rsidR="00CA16DC" w:rsidRPr="00912BEE" w:rsidRDefault="00CA16DC" w:rsidP="00141448">
      <w:pPr>
        <w:jc w:val="left"/>
        <w:rPr>
          <w:lang w:val="en-GB"/>
        </w:rPr>
      </w:pPr>
    </w:p>
    <w:p w14:paraId="6440E9E7" w14:textId="6A59D1B8" w:rsidR="001F739A" w:rsidRPr="00912BEE" w:rsidRDefault="00CA16DC" w:rsidP="00141448">
      <w:pPr>
        <w:jc w:val="left"/>
        <w:rPr>
          <w:lang w:val="en-GB"/>
        </w:rPr>
      </w:pPr>
      <w:r w:rsidRPr="00912BEE">
        <w:rPr>
          <w:lang w:val="en-GB"/>
        </w:rPr>
        <w:t>This</w:t>
      </w:r>
      <w:r w:rsidR="001F739A" w:rsidRPr="00912BEE">
        <w:rPr>
          <w:lang w:val="en-GB"/>
        </w:rPr>
        <w:t xml:space="preserve"> helps explain the very strong sense of personal investment we get from Swales’ writing. It is not the faceless</w:t>
      </w:r>
      <w:r w:rsidRPr="00912BEE">
        <w:rPr>
          <w:lang w:val="en-GB"/>
        </w:rPr>
        <w:t>, objective</w:t>
      </w:r>
      <w:r w:rsidR="001F739A" w:rsidRPr="00912BEE">
        <w:rPr>
          <w:lang w:val="en-GB"/>
        </w:rPr>
        <w:t xml:space="preserve"> discourse we still see all too often in academic prose, but a style of writing infused with the subjectivity of a writer making decisions, weighing evidence and drawing conclusions:</w:t>
      </w:r>
    </w:p>
    <w:p w14:paraId="3A15EEF4" w14:textId="77777777" w:rsidR="00E807C4" w:rsidRPr="00912BEE" w:rsidRDefault="00E96C46" w:rsidP="00E807C4">
      <w:pPr>
        <w:ind w:leftChars="236" w:left="566" w:rightChars="330" w:right="792"/>
        <w:rPr>
          <w:lang w:val="en-GB"/>
        </w:rPr>
      </w:pPr>
      <w:r w:rsidRPr="00912BEE">
        <w:rPr>
          <w:lang w:val="en-GB"/>
        </w:rPr>
        <w:t>(5)</w:t>
      </w:r>
      <w:r w:rsidR="00E807C4" w:rsidRPr="00912BEE">
        <w:rPr>
          <w:lang w:val="en-GB"/>
        </w:rPr>
        <w:t xml:space="preserve"> there is </w:t>
      </w:r>
      <w:r w:rsidR="00E807C4" w:rsidRPr="00912BEE">
        <w:rPr>
          <w:b/>
          <w:bCs/>
          <w:lang w:val="en-GB"/>
        </w:rPr>
        <w:t>little</w:t>
      </w:r>
      <w:r w:rsidR="00E807C4" w:rsidRPr="00912BEE">
        <w:rPr>
          <w:lang w:val="en-GB"/>
        </w:rPr>
        <w:t xml:space="preserve"> </w:t>
      </w:r>
      <w:r w:rsidR="00E807C4" w:rsidRPr="00912BEE">
        <w:rPr>
          <w:b/>
          <w:bCs/>
          <w:lang w:val="en-GB"/>
        </w:rPr>
        <w:t>compelling</w:t>
      </w:r>
      <w:r w:rsidR="00E807C4" w:rsidRPr="00912BEE">
        <w:rPr>
          <w:lang w:val="en-GB"/>
        </w:rPr>
        <w:t xml:space="preserve"> evidence that these kinds of projection </w:t>
      </w:r>
      <w:r w:rsidR="00E807C4" w:rsidRPr="00912BEE">
        <w:rPr>
          <w:b/>
          <w:bCs/>
          <w:lang w:val="en-GB"/>
        </w:rPr>
        <w:t>actually</w:t>
      </w:r>
      <w:r w:rsidR="00E807C4" w:rsidRPr="00912BEE">
        <w:rPr>
          <w:lang w:val="en-GB"/>
        </w:rPr>
        <w:t xml:space="preserve"> coincide with </w:t>
      </w:r>
      <w:r w:rsidR="00E807C4" w:rsidRPr="00912BEE">
        <w:rPr>
          <w:b/>
          <w:bCs/>
          <w:lang w:val="en-GB"/>
        </w:rPr>
        <w:t>most</w:t>
      </w:r>
      <w:r w:rsidR="00E807C4" w:rsidRPr="00912BEE">
        <w:rPr>
          <w:lang w:val="en-GB"/>
        </w:rPr>
        <w:t xml:space="preserve"> writers’ conscious thoughts and deliberative actions. </w:t>
      </w:r>
      <w:r w:rsidR="00E807C4" w:rsidRPr="00912BEE">
        <w:rPr>
          <w:b/>
          <w:bCs/>
          <w:lang w:val="en-GB"/>
        </w:rPr>
        <w:t>Certainly</w:t>
      </w:r>
      <w:r w:rsidR="00E807C4" w:rsidRPr="00912BEE">
        <w:rPr>
          <w:lang w:val="en-GB"/>
        </w:rPr>
        <w:t xml:space="preserve">, audience awareness figures </w:t>
      </w:r>
      <w:r w:rsidR="00E807C4" w:rsidRPr="00912BEE">
        <w:rPr>
          <w:b/>
          <w:bCs/>
          <w:lang w:val="en-GB"/>
        </w:rPr>
        <w:t>prominently</w:t>
      </w:r>
      <w:r w:rsidR="00E807C4" w:rsidRPr="00912BEE">
        <w:rPr>
          <w:lang w:val="en-GB"/>
        </w:rPr>
        <w:t xml:space="preserve"> in love letters, family letters and in various other missives to a single recipient. </w:t>
      </w:r>
    </w:p>
    <w:p w14:paraId="3C5C7A22" w14:textId="1560B53F" w:rsidR="00E96C46" w:rsidRPr="00912BEE" w:rsidRDefault="00E807C4" w:rsidP="00E807C4">
      <w:pPr>
        <w:ind w:leftChars="236" w:left="566" w:rightChars="330" w:right="792"/>
        <w:jc w:val="right"/>
        <w:rPr>
          <w:lang w:val="en-GB"/>
        </w:rPr>
      </w:pPr>
      <w:r w:rsidRPr="00912BEE">
        <w:rPr>
          <w:lang w:val="en-GB"/>
        </w:rPr>
        <w:t>(2019)</w:t>
      </w:r>
    </w:p>
    <w:p w14:paraId="5A3ACB81" w14:textId="77777777" w:rsidR="00CE641D" w:rsidRPr="00912BEE" w:rsidRDefault="00E96C46" w:rsidP="00E807C4">
      <w:pPr>
        <w:ind w:leftChars="236" w:left="566" w:rightChars="330" w:right="792"/>
        <w:rPr>
          <w:lang w:val="en-GB"/>
        </w:rPr>
      </w:pPr>
      <w:r w:rsidRPr="00912BEE">
        <w:rPr>
          <w:lang w:val="en-GB"/>
        </w:rPr>
        <w:t>(6)</w:t>
      </w:r>
      <w:r w:rsidR="00E807C4" w:rsidRPr="00912BEE">
        <w:rPr>
          <w:lang w:val="en-GB"/>
        </w:rPr>
        <w:t xml:space="preserve"> </w:t>
      </w:r>
      <w:r w:rsidR="00CE641D" w:rsidRPr="00912BEE">
        <w:rPr>
          <w:lang w:val="en-GB"/>
        </w:rPr>
        <w:t xml:space="preserve">These explorations of the genre add up to a </w:t>
      </w:r>
      <w:r w:rsidR="00CE641D" w:rsidRPr="00912BEE">
        <w:rPr>
          <w:b/>
          <w:bCs/>
          <w:lang w:val="en-GB"/>
        </w:rPr>
        <w:t>useful</w:t>
      </w:r>
      <w:r w:rsidR="00CE641D" w:rsidRPr="00912BEE">
        <w:rPr>
          <w:lang w:val="en-GB"/>
        </w:rPr>
        <w:t xml:space="preserve"> and </w:t>
      </w:r>
      <w:r w:rsidR="00CE641D" w:rsidRPr="00912BEE">
        <w:rPr>
          <w:b/>
          <w:bCs/>
          <w:lang w:val="en-GB"/>
        </w:rPr>
        <w:t>important</w:t>
      </w:r>
      <w:r w:rsidR="00CE641D" w:rsidRPr="00912BEE">
        <w:rPr>
          <w:lang w:val="en-GB"/>
        </w:rPr>
        <w:t xml:space="preserve"> body of literature, but their </w:t>
      </w:r>
      <w:r w:rsidR="00CE641D" w:rsidRPr="00912BEE">
        <w:rPr>
          <w:b/>
          <w:bCs/>
          <w:lang w:val="en-GB"/>
        </w:rPr>
        <w:t>admirable</w:t>
      </w:r>
      <w:r w:rsidR="00CE641D" w:rsidRPr="00912BEE">
        <w:rPr>
          <w:lang w:val="en-GB"/>
        </w:rPr>
        <w:t xml:space="preserve"> search for generality does not quite fit my purpose of working towards </w:t>
      </w:r>
      <w:r w:rsidR="00CE641D" w:rsidRPr="00912BEE">
        <w:rPr>
          <w:b/>
          <w:bCs/>
          <w:lang w:val="en-GB"/>
        </w:rPr>
        <w:t>some</w:t>
      </w:r>
      <w:r w:rsidR="00CE641D" w:rsidRPr="00912BEE">
        <w:rPr>
          <w:lang w:val="en-GB"/>
        </w:rPr>
        <w:t xml:space="preserve"> provisional set of ancillary materials for engaging students with the rhetoric of economics textbooks. </w:t>
      </w:r>
    </w:p>
    <w:p w14:paraId="53853F0C" w14:textId="66A16F61" w:rsidR="00E96C46" w:rsidRPr="00912BEE" w:rsidRDefault="00CE641D" w:rsidP="00CE641D">
      <w:pPr>
        <w:ind w:leftChars="236" w:left="566" w:rightChars="330" w:right="792"/>
        <w:jc w:val="right"/>
        <w:rPr>
          <w:lang w:val="en-GB"/>
        </w:rPr>
      </w:pPr>
      <w:r w:rsidRPr="00912BEE">
        <w:rPr>
          <w:lang w:val="en-GB"/>
        </w:rPr>
        <w:t>(2020)</w:t>
      </w:r>
    </w:p>
    <w:p w14:paraId="3D26B3D5" w14:textId="77777777" w:rsidR="00C95FD6" w:rsidRPr="00912BEE" w:rsidRDefault="00C95FD6" w:rsidP="006D2EDE">
      <w:pPr>
        <w:rPr>
          <w:lang w:val="en-GB"/>
        </w:rPr>
      </w:pPr>
    </w:p>
    <w:p w14:paraId="6F9CD109" w14:textId="589CA531" w:rsidR="00E704B7" w:rsidRPr="00912BEE" w:rsidRDefault="00E704B7" w:rsidP="00141448">
      <w:pPr>
        <w:jc w:val="left"/>
        <w:rPr>
          <w:lang w:val="en-GB"/>
        </w:rPr>
      </w:pPr>
      <w:r w:rsidRPr="00912BEE">
        <w:rPr>
          <w:lang w:val="en-GB"/>
        </w:rPr>
        <w:t xml:space="preserve">We also found </w:t>
      </w:r>
      <w:r w:rsidR="00EF6F24" w:rsidRPr="00912BEE">
        <w:rPr>
          <w:lang w:val="en-GB"/>
        </w:rPr>
        <w:t>a significant increase in Swales’s use of metadiscourse over his career</w:t>
      </w:r>
      <w:r w:rsidR="00141448" w:rsidRPr="00912BEE">
        <w:rPr>
          <w:lang w:val="en-GB"/>
        </w:rPr>
        <w:t>. Figure 1 shows a</w:t>
      </w:r>
      <w:r w:rsidR="00EF6F24" w:rsidRPr="00912BEE">
        <w:rPr>
          <w:lang w:val="en-GB"/>
        </w:rPr>
        <w:t xml:space="preserve"> </w:t>
      </w:r>
      <w:r w:rsidR="00141448" w:rsidRPr="00912BEE">
        <w:rPr>
          <w:lang w:val="en-GB"/>
        </w:rPr>
        <w:t>rise</w:t>
      </w:r>
      <w:r w:rsidR="00EF6F24" w:rsidRPr="00912BEE">
        <w:rPr>
          <w:lang w:val="en-GB"/>
        </w:rPr>
        <w:t xml:space="preserve"> from 744.1 per 10,000 words in the 1980s to 804.5 in the 2010s (</w:t>
      </w:r>
      <w:r w:rsidR="00EF6F24" w:rsidRPr="00912BEE">
        <w:rPr>
          <w:i/>
          <w:iCs/>
          <w:lang w:val="en-GB"/>
        </w:rPr>
        <w:t>LL</w:t>
      </w:r>
      <w:r w:rsidR="00EF6F24" w:rsidRPr="00912BEE">
        <w:rPr>
          <w:lang w:val="en-GB"/>
        </w:rPr>
        <w:t xml:space="preserve"> = </w:t>
      </w:r>
      <w:r w:rsidRPr="00912BEE">
        <w:rPr>
          <w:lang w:val="en-GB"/>
        </w:rPr>
        <w:t xml:space="preserve">12.72, </w:t>
      </w:r>
      <w:r w:rsidR="00EF6F24" w:rsidRPr="00912BEE">
        <w:rPr>
          <w:i/>
          <w:iCs/>
          <w:lang w:val="en-GB"/>
        </w:rPr>
        <w:t>%DIFF</w:t>
      </w:r>
      <w:r w:rsidR="00EF6F24" w:rsidRPr="00912BEE">
        <w:rPr>
          <w:lang w:val="en-GB"/>
        </w:rPr>
        <w:t xml:space="preserve"> = </w:t>
      </w:r>
      <w:r w:rsidRPr="00912BEE">
        <w:rPr>
          <w:lang w:val="en-GB"/>
        </w:rPr>
        <w:t>7.51</w:t>
      </w:r>
      <w:r w:rsidR="00EF6F24" w:rsidRPr="00912BEE">
        <w:rPr>
          <w:lang w:val="en-GB"/>
        </w:rPr>
        <w:t xml:space="preserve">, </w:t>
      </w:r>
      <w:r w:rsidR="00EF6F24" w:rsidRPr="00912BEE">
        <w:rPr>
          <w:i/>
          <w:iCs/>
          <w:lang w:val="en-GB"/>
        </w:rPr>
        <w:t>p</w:t>
      </w:r>
      <w:r w:rsidR="00EF6F24" w:rsidRPr="00912BEE">
        <w:rPr>
          <w:lang w:val="en-GB"/>
        </w:rPr>
        <w:t xml:space="preserve"> &lt; 0.001). This change suggests </w:t>
      </w:r>
      <w:r w:rsidR="00141448" w:rsidRPr="00912BEE">
        <w:rPr>
          <w:lang w:val="en-GB"/>
        </w:rPr>
        <w:t>a rhetorical evolution</w:t>
      </w:r>
      <w:r w:rsidR="00EF6F24" w:rsidRPr="00912BEE">
        <w:rPr>
          <w:lang w:val="en-GB"/>
        </w:rPr>
        <w:t xml:space="preserve"> </w:t>
      </w:r>
      <w:r w:rsidR="00141448" w:rsidRPr="00912BEE">
        <w:rPr>
          <w:lang w:val="en-GB"/>
        </w:rPr>
        <w:t xml:space="preserve">as he gains </w:t>
      </w:r>
      <w:r w:rsidR="00EF6F24" w:rsidRPr="00912BEE">
        <w:rPr>
          <w:lang w:val="en-GB"/>
        </w:rPr>
        <w:t xml:space="preserve">professional experience and status. </w:t>
      </w:r>
    </w:p>
    <w:p w14:paraId="0A0B1467" w14:textId="222289D7" w:rsidR="00721087" w:rsidRPr="00912BEE" w:rsidRDefault="00E704B7" w:rsidP="00E704B7">
      <w:pPr>
        <w:jc w:val="center"/>
        <w:rPr>
          <w:lang w:val="en-GB"/>
        </w:rPr>
      </w:pPr>
      <w:r w:rsidRPr="00912BEE">
        <w:rPr>
          <w:noProof/>
          <w:lang w:val="en-GB"/>
        </w:rPr>
        <w:drawing>
          <wp:inline distT="0" distB="0" distL="0" distR="0" wp14:anchorId="220ECF9B" wp14:editId="79C059E0">
            <wp:extent cx="4377616" cy="2540882"/>
            <wp:effectExtent l="0" t="0" r="4445" b="1206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650C413" w14:textId="60A32238" w:rsidR="00E704B7" w:rsidRPr="00912BEE" w:rsidRDefault="00E704B7" w:rsidP="006D2EDE">
      <w:pPr>
        <w:rPr>
          <w:lang w:val="en-GB"/>
        </w:rPr>
      </w:pPr>
      <w:r w:rsidRPr="00912BEE">
        <w:rPr>
          <w:lang w:val="en-GB"/>
        </w:rPr>
        <w:t xml:space="preserve">Figure 1 </w:t>
      </w:r>
      <w:r w:rsidR="00580B76" w:rsidRPr="00912BEE">
        <w:rPr>
          <w:lang w:val="en-GB"/>
        </w:rPr>
        <w:t>D</w:t>
      </w:r>
      <w:r w:rsidRPr="00912BEE">
        <w:rPr>
          <w:lang w:val="en-GB"/>
        </w:rPr>
        <w:t>istribution of metadiscourse in Swales’ writing across time (per 10,000 words)</w:t>
      </w:r>
    </w:p>
    <w:p w14:paraId="395A4EC3" w14:textId="77777777" w:rsidR="004A2B58" w:rsidRDefault="004A2B58" w:rsidP="006D2EDE">
      <w:pPr>
        <w:rPr>
          <w:lang w:val="en-GB"/>
        </w:rPr>
      </w:pPr>
    </w:p>
    <w:p w14:paraId="22BC44AF" w14:textId="790845A9" w:rsidR="00012982" w:rsidRPr="00912BEE" w:rsidRDefault="00F47416" w:rsidP="00F47416">
      <w:pPr>
        <w:jc w:val="left"/>
        <w:rPr>
          <w:lang w:val="en-GB"/>
        </w:rPr>
      </w:pPr>
      <w:r w:rsidRPr="00F47416">
        <w:rPr>
          <w:lang w:val="en-GB"/>
        </w:rPr>
        <w:t>We see a sustained and statistically significant increase in interactional forms over the three decades (</w:t>
      </w:r>
      <w:r w:rsidRPr="00F47416">
        <w:rPr>
          <w:i/>
          <w:iCs/>
          <w:lang w:val="en-GB"/>
        </w:rPr>
        <w:t>LL</w:t>
      </w:r>
      <w:r w:rsidRPr="00F47416">
        <w:rPr>
          <w:lang w:val="en-GB"/>
        </w:rPr>
        <w:t xml:space="preserve"> = 12.04, </w:t>
      </w:r>
      <w:r w:rsidRPr="00F47416">
        <w:rPr>
          <w:i/>
          <w:iCs/>
          <w:lang w:val="en-GB"/>
        </w:rPr>
        <w:t>% DIFF</w:t>
      </w:r>
      <w:r w:rsidRPr="00F47416">
        <w:rPr>
          <w:lang w:val="en-GB"/>
        </w:rPr>
        <w:t xml:space="preserve"> = 9.39, </w:t>
      </w:r>
      <w:r w:rsidRPr="00F47416">
        <w:rPr>
          <w:i/>
          <w:iCs/>
          <w:lang w:val="en-GB"/>
        </w:rPr>
        <w:t>p</w:t>
      </w:r>
      <w:r w:rsidRPr="00F47416">
        <w:rPr>
          <w:lang w:val="en-GB"/>
        </w:rPr>
        <w:t xml:space="preserve"> &lt; 0.001), with interactive resources measuring only a slight rise. This suggests that as Swales gained seniority, and perhaps confidence in his role and influence, he became increasingly aware of how he might influence his audience. </w:t>
      </w:r>
      <w:r w:rsidR="00012982" w:rsidRPr="00F47416">
        <w:rPr>
          <w:lang w:val="en-GB"/>
        </w:rPr>
        <w:t>Conveying a real human voice is integral to his style of argument,</w:t>
      </w:r>
      <w:r w:rsidR="00D225E4" w:rsidRPr="00F47416">
        <w:rPr>
          <w:lang w:val="en-GB"/>
        </w:rPr>
        <w:t xml:space="preserve"> providing a</w:t>
      </w:r>
      <w:r w:rsidR="00012982" w:rsidRPr="00F47416">
        <w:rPr>
          <w:lang w:val="en-GB"/>
        </w:rPr>
        <w:t xml:space="preserve"> sense that we are being engaged by an actual, accountable person </w:t>
      </w:r>
      <w:r w:rsidR="00D225E4" w:rsidRPr="00F47416">
        <w:rPr>
          <w:lang w:val="en-GB"/>
        </w:rPr>
        <w:t xml:space="preserve">with his own clear views </w:t>
      </w:r>
      <w:r w:rsidR="00012982" w:rsidRPr="00F47416">
        <w:rPr>
          <w:lang w:val="en-GB"/>
        </w:rPr>
        <w:t xml:space="preserve">and not simply an anonymous </w:t>
      </w:r>
      <w:r w:rsidR="00D225E4" w:rsidRPr="00F47416">
        <w:rPr>
          <w:lang w:val="en-GB"/>
        </w:rPr>
        <w:t xml:space="preserve">academic </w:t>
      </w:r>
      <w:r w:rsidR="00012982" w:rsidRPr="00F47416">
        <w:rPr>
          <w:lang w:val="en-GB"/>
        </w:rPr>
        <w:t>animator</w:t>
      </w:r>
      <w:r w:rsidR="00D014C4" w:rsidRPr="00F47416">
        <w:rPr>
          <w:lang w:val="en-GB"/>
        </w:rPr>
        <w:t xml:space="preserve"> or AI bot.</w:t>
      </w:r>
      <w:r w:rsidR="00012982" w:rsidRPr="00F47416">
        <w:rPr>
          <w:lang w:val="en-GB"/>
        </w:rPr>
        <w:t xml:space="preserve"> The personal conviction expressed in these claims both engages the reader in the argument and acts a strong persuasive force, investing his rhetoric with the personal and experiential, often </w:t>
      </w:r>
      <w:r w:rsidR="009800F2" w:rsidRPr="00F47416">
        <w:rPr>
          <w:lang w:val="en-GB"/>
        </w:rPr>
        <w:t>informed</w:t>
      </w:r>
      <w:r w:rsidR="00D225E4" w:rsidRPr="00F47416">
        <w:rPr>
          <w:lang w:val="en-GB"/>
        </w:rPr>
        <w:t xml:space="preserve"> by </w:t>
      </w:r>
      <w:r w:rsidR="00012982" w:rsidRPr="00F47416">
        <w:rPr>
          <w:lang w:val="en-GB"/>
        </w:rPr>
        <w:t>his own teaching practices</w:t>
      </w:r>
      <w:r w:rsidR="00D225E4" w:rsidRPr="00F47416">
        <w:rPr>
          <w:lang w:val="en-GB"/>
        </w:rPr>
        <w:t xml:space="preserve">. </w:t>
      </w:r>
      <w:r w:rsidR="00D014C4" w:rsidRPr="00F47416">
        <w:rPr>
          <w:lang w:val="en-GB"/>
        </w:rPr>
        <w:t>These give</w:t>
      </w:r>
      <w:r w:rsidR="0061659D" w:rsidRPr="00F47416">
        <w:rPr>
          <w:lang w:val="en-GB"/>
        </w:rPr>
        <w:t xml:space="preserve"> a strong flavour of his efforts to engage readers through personal reflection and shared experience</w:t>
      </w:r>
      <w:r w:rsidR="00012982" w:rsidRPr="00F47416">
        <w:rPr>
          <w:lang w:val="en-GB"/>
        </w:rPr>
        <w:t>:</w:t>
      </w:r>
    </w:p>
    <w:p w14:paraId="2BA3A53F" w14:textId="17AFDCE0" w:rsidR="00012982" w:rsidRPr="00912BEE" w:rsidRDefault="00012982" w:rsidP="00D225E4">
      <w:pPr>
        <w:tabs>
          <w:tab w:val="right" w:pos="8505"/>
        </w:tabs>
        <w:ind w:left="567" w:right="561"/>
        <w:rPr>
          <w:lang w:val="en-GB"/>
        </w:rPr>
      </w:pPr>
      <w:r w:rsidRPr="00912BEE">
        <w:rPr>
          <w:lang w:val="en-GB"/>
        </w:rPr>
        <w:t>(</w:t>
      </w:r>
      <w:r w:rsidR="005B31AF" w:rsidRPr="00912BEE">
        <w:rPr>
          <w:lang w:val="en-GB"/>
        </w:rPr>
        <w:t>7</w:t>
      </w:r>
      <w:r w:rsidRPr="00912BEE">
        <w:rPr>
          <w:lang w:val="en-GB"/>
        </w:rPr>
        <w:t xml:space="preserve">) </w:t>
      </w:r>
      <w:r w:rsidR="00E955F7" w:rsidRPr="00912BEE">
        <w:rPr>
          <w:bCs/>
          <w:lang w:val="en-GB"/>
        </w:rPr>
        <w:t xml:space="preserve">In </w:t>
      </w:r>
      <w:r w:rsidR="00E955F7" w:rsidRPr="00912BEE">
        <w:rPr>
          <w:b/>
          <w:lang w:val="en-GB"/>
        </w:rPr>
        <w:t>my</w:t>
      </w:r>
      <w:r w:rsidR="00E955F7" w:rsidRPr="00912BEE">
        <w:rPr>
          <w:bCs/>
          <w:lang w:val="en-GB"/>
        </w:rPr>
        <w:t xml:space="preserve"> own case, </w:t>
      </w:r>
      <w:r w:rsidR="00E955F7" w:rsidRPr="00912BEE">
        <w:rPr>
          <w:b/>
          <w:lang w:val="en-GB"/>
        </w:rPr>
        <w:t xml:space="preserve">I </w:t>
      </w:r>
      <w:r w:rsidR="00E955F7" w:rsidRPr="00912BEE">
        <w:rPr>
          <w:bCs/>
          <w:lang w:val="en-GB"/>
        </w:rPr>
        <w:t xml:space="preserve">used the person who knows </w:t>
      </w:r>
      <w:r w:rsidR="00E955F7" w:rsidRPr="00912BEE">
        <w:rPr>
          <w:b/>
          <w:lang w:val="en-GB"/>
        </w:rPr>
        <w:t>my</w:t>
      </w:r>
      <w:r w:rsidR="00E955F7" w:rsidRPr="00912BEE">
        <w:rPr>
          <w:bCs/>
          <w:lang w:val="en-GB"/>
        </w:rPr>
        <w:t xml:space="preserve"> work the best to act as an ‘interlinear commentator’ on </w:t>
      </w:r>
      <w:r w:rsidR="00E955F7" w:rsidRPr="00912BEE">
        <w:rPr>
          <w:b/>
          <w:lang w:val="en-GB"/>
        </w:rPr>
        <w:t>my</w:t>
      </w:r>
      <w:r w:rsidR="00E955F7" w:rsidRPr="00912BEE">
        <w:rPr>
          <w:bCs/>
          <w:lang w:val="en-GB"/>
        </w:rPr>
        <w:t xml:space="preserve"> drafts. In each case, in order to keep each account to about 10,000 words, </w:t>
      </w:r>
      <w:r w:rsidR="00E955F7" w:rsidRPr="00912BEE">
        <w:rPr>
          <w:b/>
          <w:lang w:val="en-GB"/>
        </w:rPr>
        <w:t>I</w:t>
      </w:r>
      <w:r w:rsidR="00E955F7" w:rsidRPr="00912BEE">
        <w:rPr>
          <w:bCs/>
          <w:lang w:val="en-GB"/>
        </w:rPr>
        <w:t xml:space="preserve"> selected one facet of a writerly life for special attention. For Bill, the director of the Herbarium, </w:t>
      </w:r>
      <w:r w:rsidR="00E955F7" w:rsidRPr="00912BEE">
        <w:rPr>
          <w:b/>
          <w:lang w:val="en-GB"/>
        </w:rPr>
        <w:t>I</w:t>
      </w:r>
      <w:r w:rsidR="00E955F7" w:rsidRPr="00912BEE">
        <w:rPr>
          <w:bCs/>
          <w:lang w:val="en-GB"/>
        </w:rPr>
        <w:t xml:space="preserve"> concentrated on his massive Flora Novo-</w:t>
      </w:r>
      <w:proofErr w:type="spellStart"/>
      <w:r w:rsidR="00E955F7" w:rsidRPr="00912BEE">
        <w:rPr>
          <w:bCs/>
          <w:lang w:val="en-GB"/>
        </w:rPr>
        <w:t>Galiciana</w:t>
      </w:r>
      <w:proofErr w:type="spellEnd"/>
      <w:r w:rsidR="00E955F7" w:rsidRPr="00912BEE">
        <w:rPr>
          <w:bCs/>
          <w:lang w:val="en-GB"/>
        </w:rPr>
        <w:t xml:space="preserve"> project…               (1994)</w:t>
      </w:r>
    </w:p>
    <w:p w14:paraId="2B3B51DD" w14:textId="6FE97AF2" w:rsidR="009C2B4F" w:rsidRPr="00912BEE" w:rsidRDefault="00E955F7" w:rsidP="00E955F7">
      <w:pPr>
        <w:ind w:leftChars="236" w:left="566" w:right="651" w:firstLineChars="13" w:firstLine="31"/>
        <w:rPr>
          <w:lang w:val="en-GB"/>
        </w:rPr>
      </w:pPr>
      <w:r w:rsidRPr="00912BEE">
        <w:rPr>
          <w:lang w:val="en-GB"/>
        </w:rPr>
        <w:t>(</w:t>
      </w:r>
      <w:r w:rsidR="005B31AF" w:rsidRPr="00912BEE">
        <w:rPr>
          <w:lang w:val="en-GB"/>
        </w:rPr>
        <w:t>8</w:t>
      </w:r>
      <w:r w:rsidRPr="00912BEE">
        <w:rPr>
          <w:lang w:val="en-GB"/>
        </w:rPr>
        <w:t xml:space="preserve">) </w:t>
      </w:r>
      <w:r w:rsidRPr="00912BEE">
        <w:rPr>
          <w:b/>
          <w:bCs/>
          <w:lang w:val="en-GB"/>
        </w:rPr>
        <w:t>I</w:t>
      </w:r>
      <w:r w:rsidRPr="00912BEE">
        <w:rPr>
          <w:lang w:val="en-GB"/>
        </w:rPr>
        <w:t xml:space="preserve"> originally wrote this current paper in the best way </w:t>
      </w:r>
      <w:r w:rsidRPr="00912BEE">
        <w:rPr>
          <w:b/>
          <w:bCs/>
          <w:lang w:val="en-GB"/>
        </w:rPr>
        <w:t>I</w:t>
      </w:r>
      <w:r w:rsidRPr="00912BEE">
        <w:rPr>
          <w:lang w:val="en-GB"/>
        </w:rPr>
        <w:t xml:space="preserve"> could, revising it more than once to try and strengthen </w:t>
      </w:r>
      <w:r w:rsidRPr="00912BEE">
        <w:rPr>
          <w:b/>
          <w:bCs/>
          <w:lang w:val="en-GB"/>
        </w:rPr>
        <w:t>my</w:t>
      </w:r>
      <w:r w:rsidRPr="00912BEE">
        <w:rPr>
          <w:lang w:val="en-GB"/>
        </w:rPr>
        <w:t xml:space="preserve"> arguments...          (2019)</w:t>
      </w:r>
    </w:p>
    <w:p w14:paraId="649F1D53" w14:textId="77777777" w:rsidR="00E955F7" w:rsidRPr="00912BEE" w:rsidRDefault="00E955F7" w:rsidP="00012982">
      <w:pPr>
        <w:ind w:right="-8"/>
        <w:rPr>
          <w:lang w:val="en-GB"/>
        </w:rPr>
      </w:pPr>
    </w:p>
    <w:p w14:paraId="55008E36" w14:textId="089D1016" w:rsidR="00EF6F24" w:rsidRPr="00912BEE" w:rsidRDefault="0099549A" w:rsidP="00DA31DF">
      <w:pPr>
        <w:jc w:val="left"/>
        <w:rPr>
          <w:lang w:val="en-GB"/>
        </w:rPr>
      </w:pPr>
      <w:r w:rsidRPr="00912BEE">
        <w:rPr>
          <w:lang w:val="en-GB"/>
        </w:rPr>
        <w:t xml:space="preserve">The </w:t>
      </w:r>
      <w:r w:rsidR="00DA31DF" w:rsidRPr="00912BEE">
        <w:rPr>
          <w:lang w:val="en-GB"/>
        </w:rPr>
        <w:t xml:space="preserve">period between </w:t>
      </w:r>
      <w:r w:rsidRPr="00912BEE">
        <w:rPr>
          <w:lang w:val="en-GB"/>
        </w:rPr>
        <w:t>2010</w:t>
      </w:r>
      <w:r w:rsidR="00DA31DF" w:rsidRPr="00912BEE">
        <w:rPr>
          <w:lang w:val="en-GB"/>
        </w:rPr>
        <w:t xml:space="preserve"> and 2024</w:t>
      </w:r>
      <w:r w:rsidRPr="00912BEE">
        <w:rPr>
          <w:lang w:val="en-GB"/>
        </w:rPr>
        <w:t xml:space="preserve"> represents Swales at the zenith of his career, a </w:t>
      </w:r>
      <w:r w:rsidR="009174D8" w:rsidRPr="00912BEE">
        <w:rPr>
          <w:lang w:val="en-GB"/>
        </w:rPr>
        <w:t>stage</w:t>
      </w:r>
      <w:r w:rsidRPr="00912BEE">
        <w:rPr>
          <w:lang w:val="en-GB"/>
        </w:rPr>
        <w:t xml:space="preserve"> where he </w:t>
      </w:r>
      <w:r w:rsidR="009174D8" w:rsidRPr="00912BEE">
        <w:rPr>
          <w:lang w:val="en-GB"/>
        </w:rPr>
        <w:t xml:space="preserve">has the assurance and reputation to express </w:t>
      </w:r>
      <w:r w:rsidRPr="00912BEE">
        <w:rPr>
          <w:lang w:val="en-GB"/>
        </w:rPr>
        <w:t>what Hyland (2008) terms “the freedom of established disciplinary celebrities” (p. 158). This freedom allows for a more overtly personal, reflective, and dialogic style, which is realised through a greater deployment of metadiscoursal resources</w:t>
      </w:r>
      <w:r w:rsidR="009B1A74">
        <w:rPr>
          <w:rStyle w:val="FootnoteReference"/>
          <w:lang w:val="en-GB"/>
        </w:rPr>
        <w:footnoteReference w:id="2"/>
      </w:r>
      <w:r w:rsidRPr="00912BEE">
        <w:rPr>
          <w:lang w:val="en-GB"/>
        </w:rPr>
        <w:t xml:space="preserve">. The significant increase in metadiscourse in this final period is thus evidence of a senior scholar fully embracing </w:t>
      </w:r>
      <w:r w:rsidRPr="00912BEE">
        <w:rPr>
          <w:lang w:val="en-GB"/>
        </w:rPr>
        <w:lastRenderedPageBreak/>
        <w:t>an authorial persona as a “cautious and inquiring colleague” (Hyland, 2010, p. 174), confident in his standing to engage more directly and personally with his readers.</w:t>
      </w:r>
      <w:r w:rsidR="00B02876" w:rsidRPr="00912BEE">
        <w:rPr>
          <w:lang w:val="en-GB"/>
        </w:rPr>
        <w:t xml:space="preserve"> We may have a taste of his rhetorical </w:t>
      </w:r>
      <w:r w:rsidR="00AD4835" w:rsidRPr="00912BEE">
        <w:rPr>
          <w:lang w:val="en-GB"/>
        </w:rPr>
        <w:t>skill</w:t>
      </w:r>
      <w:r w:rsidR="00B02876" w:rsidRPr="00912BEE">
        <w:rPr>
          <w:lang w:val="en-GB"/>
        </w:rPr>
        <w:t xml:space="preserve"> in the following extracts (</w:t>
      </w:r>
      <w:r w:rsidR="00690568" w:rsidRPr="00912BEE">
        <w:rPr>
          <w:lang w:val="en-GB"/>
        </w:rPr>
        <w:t>9</w:t>
      </w:r>
      <w:r w:rsidR="00B02876" w:rsidRPr="00912BEE">
        <w:rPr>
          <w:lang w:val="en-GB"/>
        </w:rPr>
        <w:t xml:space="preserve"> &amp; </w:t>
      </w:r>
      <w:r w:rsidR="00690568" w:rsidRPr="00912BEE">
        <w:rPr>
          <w:lang w:val="en-GB"/>
        </w:rPr>
        <w:t>10</w:t>
      </w:r>
      <w:r w:rsidR="00B02876" w:rsidRPr="00912BEE">
        <w:rPr>
          <w:lang w:val="en-GB"/>
        </w:rPr>
        <w:t>).</w:t>
      </w:r>
    </w:p>
    <w:p w14:paraId="0DF0869A" w14:textId="5E435A4D" w:rsidR="00DF5DB1" w:rsidRPr="00912BEE" w:rsidRDefault="0099549A" w:rsidP="00DF5DB1">
      <w:pPr>
        <w:ind w:leftChars="236" w:left="566" w:rightChars="271" w:right="650"/>
        <w:rPr>
          <w:lang w:val="en-GB"/>
        </w:rPr>
      </w:pPr>
      <w:r w:rsidRPr="00912BEE">
        <w:rPr>
          <w:lang w:val="en-GB"/>
        </w:rPr>
        <w:t>(</w:t>
      </w:r>
      <w:r w:rsidR="00690568" w:rsidRPr="00912BEE">
        <w:rPr>
          <w:lang w:val="en-GB"/>
        </w:rPr>
        <w:t>9</w:t>
      </w:r>
      <w:r w:rsidRPr="00912BEE">
        <w:rPr>
          <w:lang w:val="en-GB"/>
        </w:rPr>
        <w:t xml:space="preserve">) </w:t>
      </w:r>
      <w:r w:rsidRPr="00912BEE">
        <w:rPr>
          <w:b/>
          <w:bCs/>
          <w:lang w:val="en-GB"/>
        </w:rPr>
        <w:t>In other words</w:t>
      </w:r>
      <w:r w:rsidRPr="00912BEE">
        <w:rPr>
          <w:lang w:val="en-GB"/>
        </w:rPr>
        <w:t xml:space="preserve">, the better textbooks are at transmitting a canon of knowledge </w:t>
      </w:r>
      <w:r w:rsidRPr="00912BEE">
        <w:rPr>
          <w:b/>
          <w:bCs/>
          <w:lang w:val="en-GB"/>
        </w:rPr>
        <w:t>(one good)</w:t>
      </w:r>
      <w:r w:rsidRPr="00912BEE">
        <w:rPr>
          <w:lang w:val="en-GB"/>
        </w:rPr>
        <w:t xml:space="preserve">, the worse they are at fostering critical reading </w:t>
      </w:r>
      <w:r w:rsidRPr="00912BEE">
        <w:rPr>
          <w:b/>
          <w:bCs/>
          <w:lang w:val="en-GB"/>
        </w:rPr>
        <w:t>(another good)</w:t>
      </w:r>
      <w:r w:rsidRPr="00912BEE">
        <w:rPr>
          <w:lang w:val="en-GB"/>
        </w:rPr>
        <w:t xml:space="preserve">. </w:t>
      </w:r>
      <w:r w:rsidR="002A2A2F" w:rsidRPr="00912BEE">
        <w:rPr>
          <w:lang w:val="en-GB"/>
        </w:rPr>
        <w:t xml:space="preserve">                                      </w:t>
      </w:r>
      <w:r w:rsidRPr="00912BEE">
        <w:rPr>
          <w:lang w:val="en-GB"/>
        </w:rPr>
        <w:t>(2020)</w:t>
      </w:r>
    </w:p>
    <w:p w14:paraId="5E2BACB8" w14:textId="4CCD90E3" w:rsidR="0099549A" w:rsidRPr="00912BEE" w:rsidRDefault="0099549A" w:rsidP="002A2A2F">
      <w:pPr>
        <w:ind w:leftChars="236" w:left="566" w:rightChars="271" w:right="650"/>
        <w:rPr>
          <w:lang w:val="en-GB"/>
        </w:rPr>
      </w:pPr>
      <w:r w:rsidRPr="00912BEE">
        <w:rPr>
          <w:lang w:val="en-GB"/>
        </w:rPr>
        <w:t>(</w:t>
      </w:r>
      <w:r w:rsidR="00690568" w:rsidRPr="00912BEE">
        <w:rPr>
          <w:lang w:val="en-GB"/>
        </w:rPr>
        <w:t>10</w:t>
      </w:r>
      <w:r w:rsidRPr="00912BEE">
        <w:rPr>
          <w:lang w:val="en-GB"/>
        </w:rPr>
        <w:t xml:space="preserve">) </w:t>
      </w:r>
      <w:r w:rsidR="002A2A2F" w:rsidRPr="00912BEE">
        <w:rPr>
          <w:lang w:val="en-GB"/>
        </w:rPr>
        <w:t xml:space="preserve">However, </w:t>
      </w:r>
      <w:r w:rsidR="002A2A2F" w:rsidRPr="00912BEE">
        <w:rPr>
          <w:b/>
          <w:bCs/>
          <w:lang w:val="en-GB"/>
        </w:rPr>
        <w:t xml:space="preserve">I </w:t>
      </w:r>
      <w:r w:rsidR="002A2A2F" w:rsidRPr="00912BEE">
        <w:rPr>
          <w:lang w:val="en-GB"/>
        </w:rPr>
        <w:t xml:space="preserve">am beginning to wonder whether these kinds of juxtapositions are more a </w:t>
      </w:r>
      <w:proofErr w:type="spellStart"/>
      <w:r w:rsidR="002A2A2F" w:rsidRPr="00912BEE">
        <w:rPr>
          <w:lang w:val="en-GB"/>
        </w:rPr>
        <w:t>predeliction</w:t>
      </w:r>
      <w:proofErr w:type="spellEnd"/>
      <w:r w:rsidR="002A2A2F" w:rsidRPr="00912BEE">
        <w:rPr>
          <w:lang w:val="en-GB"/>
        </w:rPr>
        <w:t xml:space="preserve"> of English-language cultures rather than universals of </w:t>
      </w:r>
      <w:r w:rsidR="002A2A2F" w:rsidRPr="00912BEE">
        <w:rPr>
          <w:b/>
          <w:bCs/>
          <w:lang w:val="en-GB"/>
        </w:rPr>
        <w:t>effective</w:t>
      </w:r>
      <w:r w:rsidR="002A2A2F" w:rsidRPr="00912BEE">
        <w:rPr>
          <w:lang w:val="en-GB"/>
        </w:rPr>
        <w:t xml:space="preserve"> argumentation. </w:t>
      </w:r>
      <w:r w:rsidR="002A2A2F" w:rsidRPr="00912BEE">
        <w:rPr>
          <w:b/>
          <w:bCs/>
          <w:lang w:val="en-GB"/>
        </w:rPr>
        <w:t>(My occasional reading of academic Italian suggests that there is less of it there.)</w:t>
      </w:r>
      <w:r w:rsidR="002A2A2F" w:rsidRPr="00912BEE">
        <w:rPr>
          <w:lang w:val="en-GB"/>
        </w:rPr>
        <w:t xml:space="preserve">      (2019)</w:t>
      </w:r>
    </w:p>
    <w:p w14:paraId="294861A4" w14:textId="77777777" w:rsidR="00D014C4" w:rsidRDefault="00D014C4" w:rsidP="00F7013F">
      <w:pPr>
        <w:jc w:val="left"/>
        <w:rPr>
          <w:lang w:val="en-GB"/>
        </w:rPr>
      </w:pPr>
    </w:p>
    <w:p w14:paraId="4F13F4BA" w14:textId="4DEFB608" w:rsidR="001F7CC9" w:rsidRDefault="001F7CC9" w:rsidP="001F7CC9">
      <w:pPr>
        <w:rPr>
          <w:rFonts w:cs="Times New Roman"/>
        </w:rPr>
      </w:pPr>
      <w:r w:rsidRPr="001F7CC9">
        <w:rPr>
          <w:rFonts w:cs="Times New Roman"/>
        </w:rPr>
        <w:t>More importantly, this diachronic increase in interactional metadiscourse suggests a qualitative change in how Swales positions himself in relation to his readers. Rather than simply refining the organization of his texts, his later writing increasingly foregrounds a more interpersonal dimension of argumentation. This shift reflects a growing willingness to treat readers as interlocutors rather than passive recipients of knowledge, a stance that aligns closely with Swales’s long standing pedagogical commitment to apprenticeship and guided participation</w:t>
      </w:r>
      <w:r w:rsidRPr="001F7CC9">
        <w:rPr>
          <w:rFonts w:cs="Times New Roman" w:hint="eastAsia"/>
        </w:rPr>
        <w:t xml:space="preserve"> (Swales, 2009; Swales &amp; Feak, 2012)</w:t>
      </w:r>
      <w:r w:rsidRPr="001F7CC9">
        <w:rPr>
          <w:rFonts w:cs="Times New Roman"/>
        </w:rPr>
        <w:t>. The evolution observed here therefore does not simply signal stylistic elaboration, but a reorientation towards a more openly dialogic conception of academic communication.</w:t>
      </w:r>
    </w:p>
    <w:p w14:paraId="23174738" w14:textId="77777777" w:rsidR="001F7CC9" w:rsidRPr="001F7CC9" w:rsidRDefault="001F7CC9" w:rsidP="00F7013F">
      <w:pPr>
        <w:jc w:val="left"/>
      </w:pPr>
    </w:p>
    <w:p w14:paraId="797F191A" w14:textId="5547D668" w:rsidR="00464546" w:rsidRPr="00912BEE" w:rsidRDefault="002246AD" w:rsidP="00464546">
      <w:pPr>
        <w:jc w:val="left"/>
        <w:rPr>
          <w:lang w:val="en-GB"/>
        </w:rPr>
      </w:pPr>
      <w:r w:rsidRPr="00912BEE">
        <w:rPr>
          <w:lang w:val="en-GB"/>
        </w:rPr>
        <w:t>As we have observed</w:t>
      </w:r>
      <w:r w:rsidR="007C2A05" w:rsidRPr="00912BEE">
        <w:rPr>
          <w:lang w:val="en-GB"/>
        </w:rPr>
        <w:t>, this</w:t>
      </w:r>
      <w:r w:rsidR="0041146B" w:rsidRPr="00912BEE">
        <w:rPr>
          <w:lang w:val="en-GB"/>
        </w:rPr>
        <w:t xml:space="preserve"> increase in interactional </w:t>
      </w:r>
      <w:r w:rsidR="007C2A05" w:rsidRPr="00912BEE">
        <w:rPr>
          <w:lang w:val="en-GB"/>
        </w:rPr>
        <w:t>forms</w:t>
      </w:r>
      <w:r w:rsidR="0041146B" w:rsidRPr="00912BEE">
        <w:rPr>
          <w:lang w:val="en-GB"/>
        </w:rPr>
        <w:t xml:space="preserve"> shows a greater commitment to positioning</w:t>
      </w:r>
      <w:r w:rsidR="007C2A05" w:rsidRPr="00912BEE">
        <w:rPr>
          <w:lang w:val="en-GB"/>
        </w:rPr>
        <w:t xml:space="preserve">. </w:t>
      </w:r>
      <w:r w:rsidR="00F47416">
        <w:rPr>
          <w:lang w:val="en-GB"/>
        </w:rPr>
        <w:t>A</w:t>
      </w:r>
      <w:r w:rsidR="007C2A05" w:rsidRPr="00912BEE">
        <w:rPr>
          <w:lang w:val="en-GB"/>
        </w:rPr>
        <w:t>ssum</w:t>
      </w:r>
      <w:r w:rsidR="00F47416">
        <w:rPr>
          <w:lang w:val="en-GB"/>
        </w:rPr>
        <w:t>ing</w:t>
      </w:r>
      <w:r w:rsidR="007C2A05" w:rsidRPr="00912BEE">
        <w:rPr>
          <w:lang w:val="en-GB"/>
        </w:rPr>
        <w:t xml:space="preserve"> that all decisions made in writing are motivated, Swales appears to be honing </w:t>
      </w:r>
      <w:r w:rsidR="0041146B" w:rsidRPr="00912BEE">
        <w:rPr>
          <w:lang w:val="en-GB"/>
        </w:rPr>
        <w:t>a personal stance and a unique authorial voice (Hyland, 2012, p. 35).</w:t>
      </w:r>
      <w:r w:rsidR="00464546" w:rsidRPr="00912BEE">
        <w:rPr>
          <w:lang w:val="en-GB"/>
        </w:rPr>
        <w:t xml:space="preserve"> Examples abound in the corpus, and these are representative:</w:t>
      </w:r>
      <w:r w:rsidR="0041146B" w:rsidRPr="00912BEE">
        <w:rPr>
          <w:lang w:val="en-GB"/>
        </w:rPr>
        <w:t xml:space="preserve"> </w:t>
      </w:r>
    </w:p>
    <w:p w14:paraId="5BAA7DCA" w14:textId="06361566" w:rsidR="00464546" w:rsidRPr="00912BEE" w:rsidRDefault="00464546" w:rsidP="00464546">
      <w:pPr>
        <w:ind w:leftChars="236" w:left="566" w:rightChars="271" w:right="650"/>
        <w:rPr>
          <w:lang w:val="en-GB"/>
        </w:rPr>
      </w:pPr>
      <w:r w:rsidRPr="00912BEE">
        <w:rPr>
          <w:lang w:val="en-GB"/>
        </w:rPr>
        <w:t>(</w:t>
      </w:r>
      <w:r w:rsidR="00690568" w:rsidRPr="00912BEE">
        <w:rPr>
          <w:lang w:val="en-GB"/>
        </w:rPr>
        <w:t>11</w:t>
      </w:r>
      <w:r w:rsidRPr="00912BEE">
        <w:rPr>
          <w:lang w:val="en-GB"/>
        </w:rPr>
        <w:t xml:space="preserve">) Now, let </w:t>
      </w:r>
      <w:r w:rsidRPr="00912BEE">
        <w:rPr>
          <w:b/>
          <w:bCs/>
          <w:lang w:val="en-GB"/>
        </w:rPr>
        <w:t>me</w:t>
      </w:r>
      <w:r w:rsidRPr="00912BEE">
        <w:rPr>
          <w:lang w:val="en-GB"/>
        </w:rPr>
        <w:t xml:space="preserve"> be </w:t>
      </w:r>
      <w:r w:rsidRPr="00912BEE">
        <w:rPr>
          <w:b/>
          <w:bCs/>
          <w:lang w:val="en-GB"/>
        </w:rPr>
        <w:t>clear</w:t>
      </w:r>
      <w:r w:rsidRPr="00912BEE">
        <w:rPr>
          <w:lang w:val="en-GB"/>
        </w:rPr>
        <w:t xml:space="preserve"> about this. </w:t>
      </w:r>
      <w:r w:rsidRPr="00912BEE">
        <w:rPr>
          <w:b/>
          <w:bCs/>
          <w:lang w:val="en-GB"/>
        </w:rPr>
        <w:t>I</w:t>
      </w:r>
      <w:r w:rsidRPr="00912BEE">
        <w:rPr>
          <w:lang w:val="en-GB"/>
        </w:rPr>
        <w:t xml:space="preserve"> </w:t>
      </w:r>
      <w:r w:rsidRPr="00912BEE">
        <w:rPr>
          <w:b/>
          <w:bCs/>
          <w:lang w:val="en-GB"/>
        </w:rPr>
        <w:t>accept</w:t>
      </w:r>
      <w:r w:rsidRPr="00912BEE">
        <w:rPr>
          <w:lang w:val="en-GB"/>
        </w:rPr>
        <w:t xml:space="preserve">, and </w:t>
      </w:r>
      <w:r w:rsidRPr="00912BEE">
        <w:rPr>
          <w:b/>
          <w:bCs/>
          <w:lang w:val="en-GB"/>
        </w:rPr>
        <w:t>largely</w:t>
      </w:r>
      <w:r w:rsidRPr="00912BEE">
        <w:rPr>
          <w:lang w:val="en-GB"/>
        </w:rPr>
        <w:t xml:space="preserve"> </w:t>
      </w:r>
      <w:r w:rsidRPr="00912BEE">
        <w:rPr>
          <w:b/>
          <w:bCs/>
          <w:lang w:val="en-GB"/>
        </w:rPr>
        <w:t>welcome</w:t>
      </w:r>
      <w:r w:rsidRPr="00912BEE">
        <w:rPr>
          <w:lang w:val="en-GB"/>
        </w:rPr>
        <w:t>, discoursal attention to such texts as part of a process of familiarizing new graduate students with the ESL/applied linguistics/ESP literature.  (2019)</w:t>
      </w:r>
    </w:p>
    <w:p w14:paraId="36A89868" w14:textId="1701212E" w:rsidR="00464546" w:rsidRPr="00912BEE" w:rsidRDefault="00464546" w:rsidP="00464546">
      <w:pPr>
        <w:ind w:leftChars="236" w:left="566" w:rightChars="271" w:right="650"/>
        <w:rPr>
          <w:lang w:val="en-GB"/>
        </w:rPr>
      </w:pPr>
      <w:r w:rsidRPr="00912BEE">
        <w:rPr>
          <w:lang w:val="en-GB"/>
        </w:rPr>
        <w:lastRenderedPageBreak/>
        <w:t>(1</w:t>
      </w:r>
      <w:r w:rsidR="00690568" w:rsidRPr="00912BEE">
        <w:rPr>
          <w:lang w:val="en-GB"/>
        </w:rPr>
        <w:t>2</w:t>
      </w:r>
      <w:r w:rsidRPr="00912BEE">
        <w:rPr>
          <w:lang w:val="en-GB"/>
        </w:rPr>
        <w:t xml:space="preserve">) What is </w:t>
      </w:r>
      <w:r w:rsidRPr="00912BEE">
        <w:rPr>
          <w:b/>
          <w:bCs/>
          <w:lang w:val="en-GB"/>
        </w:rPr>
        <w:t>surprising</w:t>
      </w:r>
      <w:r w:rsidRPr="00912BEE">
        <w:rPr>
          <w:lang w:val="en-GB"/>
        </w:rPr>
        <w:t xml:space="preserve"> is the </w:t>
      </w:r>
      <w:r w:rsidRPr="00912BEE">
        <w:rPr>
          <w:b/>
          <w:bCs/>
          <w:lang w:val="en-GB"/>
        </w:rPr>
        <w:t>curious</w:t>
      </w:r>
      <w:r w:rsidRPr="00912BEE">
        <w:rPr>
          <w:lang w:val="en-GB"/>
        </w:rPr>
        <w:t xml:space="preserve"> conjunction of interests that have been brought to bear on the texts.                           (2020)</w:t>
      </w:r>
    </w:p>
    <w:p w14:paraId="6D2041F1" w14:textId="2B80A011" w:rsidR="007351A6" w:rsidRPr="00912BEE" w:rsidRDefault="0041146B" w:rsidP="001A71C4">
      <w:pPr>
        <w:jc w:val="left"/>
        <w:rPr>
          <w:lang w:val="en-GB"/>
        </w:rPr>
      </w:pPr>
      <w:r w:rsidRPr="00912BEE">
        <w:rPr>
          <w:lang w:val="en-GB"/>
        </w:rPr>
        <w:t xml:space="preserve">This reflects </w:t>
      </w:r>
      <w:r w:rsidR="006E6C06" w:rsidRPr="00912BEE">
        <w:rPr>
          <w:lang w:val="en-GB"/>
        </w:rPr>
        <w:t xml:space="preserve">the greater rhetorical latitude </w:t>
      </w:r>
      <w:r w:rsidR="00464546" w:rsidRPr="00912BEE">
        <w:rPr>
          <w:lang w:val="en-GB"/>
        </w:rPr>
        <w:t xml:space="preserve">generally </w:t>
      </w:r>
      <w:r w:rsidR="006E6C06" w:rsidRPr="00912BEE">
        <w:rPr>
          <w:lang w:val="en-GB"/>
        </w:rPr>
        <w:t>afforded to senior figures in the discipline</w:t>
      </w:r>
      <w:r w:rsidRPr="00912BEE">
        <w:rPr>
          <w:lang w:val="en-GB"/>
        </w:rPr>
        <w:t xml:space="preserve"> (</w:t>
      </w:r>
      <w:r w:rsidR="00464546" w:rsidRPr="00912BEE">
        <w:rPr>
          <w:lang w:val="en-GB"/>
        </w:rPr>
        <w:t xml:space="preserve">e.g. </w:t>
      </w:r>
      <w:r w:rsidRPr="00912BEE">
        <w:rPr>
          <w:lang w:val="en-GB"/>
        </w:rPr>
        <w:t xml:space="preserve">Hyland, </w:t>
      </w:r>
      <w:r w:rsidR="00715E3B" w:rsidRPr="00912BEE">
        <w:rPr>
          <w:lang w:val="en-GB"/>
        </w:rPr>
        <w:t>201</w:t>
      </w:r>
      <w:r w:rsidR="00C011F9" w:rsidRPr="00912BEE">
        <w:rPr>
          <w:lang w:val="en-GB"/>
        </w:rPr>
        <w:t>2</w:t>
      </w:r>
      <w:r w:rsidR="006E6C06" w:rsidRPr="00912BEE">
        <w:rPr>
          <w:lang w:val="en-GB"/>
        </w:rPr>
        <w:t>; Swales, 2004</w:t>
      </w:r>
      <w:r w:rsidRPr="00912BEE">
        <w:rPr>
          <w:lang w:val="en-GB"/>
        </w:rPr>
        <w:t xml:space="preserve">), who </w:t>
      </w:r>
      <w:r w:rsidR="00464546" w:rsidRPr="00912BEE">
        <w:rPr>
          <w:lang w:val="en-GB"/>
        </w:rPr>
        <w:t xml:space="preserve">perhaps </w:t>
      </w:r>
      <w:r w:rsidRPr="00912BEE">
        <w:rPr>
          <w:lang w:val="en-GB"/>
        </w:rPr>
        <w:t>feel less constrained by</w:t>
      </w:r>
      <w:r w:rsidR="00464546" w:rsidRPr="00912BEE">
        <w:rPr>
          <w:lang w:val="en-GB"/>
        </w:rPr>
        <w:t xml:space="preserve"> the pressures of conventional</w:t>
      </w:r>
      <w:r w:rsidRPr="00912BEE">
        <w:rPr>
          <w:lang w:val="en-GB"/>
        </w:rPr>
        <w:t xml:space="preserve"> author-evacuated</w:t>
      </w:r>
      <w:r w:rsidR="00464546" w:rsidRPr="00912BEE">
        <w:rPr>
          <w:lang w:val="en-GB"/>
        </w:rPr>
        <w:t xml:space="preserve"> prose</w:t>
      </w:r>
      <w:r w:rsidRPr="00912BEE">
        <w:rPr>
          <w:lang w:val="en-GB"/>
        </w:rPr>
        <w:t xml:space="preserve"> and more empowered to perform a distinctive and overtly dialogic identity</w:t>
      </w:r>
      <w:r w:rsidR="00464546" w:rsidRPr="00912BEE">
        <w:rPr>
          <w:lang w:val="en-GB"/>
        </w:rPr>
        <w:t>.</w:t>
      </w:r>
    </w:p>
    <w:p w14:paraId="34495742" w14:textId="77777777" w:rsidR="00C011F9" w:rsidRPr="00912BEE" w:rsidRDefault="00C011F9" w:rsidP="001A71C4">
      <w:pPr>
        <w:jc w:val="left"/>
        <w:rPr>
          <w:lang w:val="en-GB"/>
        </w:rPr>
      </w:pPr>
    </w:p>
    <w:p w14:paraId="2DA25AF7" w14:textId="39A4A912" w:rsidR="0040639B" w:rsidRDefault="001A71C4" w:rsidP="001A71C4">
      <w:pPr>
        <w:jc w:val="left"/>
        <w:rPr>
          <w:lang w:val="en-GB"/>
        </w:rPr>
      </w:pPr>
      <w:r w:rsidRPr="00912BEE">
        <w:rPr>
          <w:lang w:val="en-GB"/>
        </w:rPr>
        <w:t xml:space="preserve">These regular patterns of language choices, we suggest, help Swales, and in fact all writers, to convey coherent and relatively consistent identities. Almost everything we say or write says something about </w:t>
      </w:r>
      <w:r w:rsidR="000D771D" w:rsidRPr="00912BEE">
        <w:rPr>
          <w:lang w:val="en-GB"/>
        </w:rPr>
        <w:t xml:space="preserve">who we are and </w:t>
      </w:r>
      <w:r w:rsidRPr="00912BEE">
        <w:rPr>
          <w:lang w:val="en-GB"/>
        </w:rPr>
        <w:t xml:space="preserve">the kind of relationship we want to </w:t>
      </w:r>
      <w:r w:rsidR="000D771D" w:rsidRPr="00912BEE">
        <w:rPr>
          <w:lang w:val="en-GB"/>
        </w:rPr>
        <w:t>create</w:t>
      </w:r>
      <w:r w:rsidRPr="00912BEE">
        <w:rPr>
          <w:lang w:val="en-GB"/>
        </w:rPr>
        <w:t xml:space="preserve"> with our interactants. In the following two sections, we look at </w:t>
      </w:r>
      <w:r w:rsidR="004C185F" w:rsidRPr="00912BEE">
        <w:rPr>
          <w:lang w:val="en-GB"/>
        </w:rPr>
        <w:t xml:space="preserve">the expression and role of interactive and interactional metadiscourse </w:t>
      </w:r>
      <w:r w:rsidRPr="00912BEE">
        <w:rPr>
          <w:lang w:val="en-GB"/>
        </w:rPr>
        <w:t>in greater detail</w:t>
      </w:r>
      <w:r w:rsidR="004C185F" w:rsidRPr="00912BEE">
        <w:rPr>
          <w:lang w:val="en-GB"/>
        </w:rPr>
        <w:t>.</w:t>
      </w:r>
    </w:p>
    <w:p w14:paraId="703C38B4" w14:textId="77777777" w:rsidR="001F7CC9" w:rsidRPr="00912BEE" w:rsidRDefault="001F7CC9" w:rsidP="001A71C4">
      <w:pPr>
        <w:jc w:val="left"/>
        <w:rPr>
          <w:lang w:val="en-GB"/>
        </w:rPr>
      </w:pPr>
    </w:p>
    <w:p w14:paraId="7BB04B78" w14:textId="14E525A8" w:rsidR="000257EF" w:rsidRPr="00912BEE" w:rsidRDefault="00AF6116" w:rsidP="006D2EDE">
      <w:pPr>
        <w:rPr>
          <w:b/>
          <w:bCs/>
          <w:lang w:val="en-GB"/>
        </w:rPr>
      </w:pPr>
      <w:r>
        <w:rPr>
          <w:rFonts w:hint="eastAsia"/>
          <w:b/>
          <w:bCs/>
          <w:lang w:val="en-GB"/>
        </w:rPr>
        <w:t>3</w:t>
      </w:r>
      <w:r w:rsidR="001307F8" w:rsidRPr="00912BEE">
        <w:rPr>
          <w:b/>
          <w:bCs/>
          <w:lang w:val="en-GB"/>
        </w:rPr>
        <w:t>.</w:t>
      </w:r>
      <w:r>
        <w:rPr>
          <w:rFonts w:hint="eastAsia"/>
          <w:b/>
          <w:bCs/>
          <w:lang w:val="en-GB"/>
        </w:rPr>
        <w:t>2</w:t>
      </w:r>
      <w:r w:rsidR="00464546" w:rsidRPr="00912BEE">
        <w:rPr>
          <w:b/>
          <w:bCs/>
          <w:lang w:val="en-GB"/>
        </w:rPr>
        <w:t xml:space="preserve"> </w:t>
      </w:r>
      <w:r w:rsidR="000257EF" w:rsidRPr="00912BEE">
        <w:rPr>
          <w:b/>
          <w:bCs/>
          <w:lang w:val="en-GB"/>
        </w:rPr>
        <w:t>Interactive metadiscourse</w:t>
      </w:r>
      <w:r w:rsidR="00464546" w:rsidRPr="00912BEE">
        <w:rPr>
          <w:b/>
          <w:bCs/>
          <w:lang w:val="en-GB"/>
        </w:rPr>
        <w:t xml:space="preserve"> in Swales writing</w:t>
      </w:r>
    </w:p>
    <w:p w14:paraId="54AA1311" w14:textId="411A2A2D" w:rsidR="000257EF" w:rsidRPr="00912BEE" w:rsidRDefault="00445727" w:rsidP="004C185F">
      <w:pPr>
        <w:jc w:val="left"/>
        <w:rPr>
          <w:lang w:val="en-GB"/>
        </w:rPr>
      </w:pPr>
      <w:r w:rsidRPr="00912BEE">
        <w:rPr>
          <w:lang w:val="en-GB"/>
        </w:rPr>
        <w:t xml:space="preserve">Although </w:t>
      </w:r>
      <w:r w:rsidR="004C185F" w:rsidRPr="00912BEE">
        <w:rPr>
          <w:lang w:val="en-GB"/>
        </w:rPr>
        <w:t>Swales did not significantly increase his</w:t>
      </w:r>
      <w:r w:rsidRPr="00912BEE">
        <w:rPr>
          <w:lang w:val="en-GB"/>
        </w:rPr>
        <w:t xml:space="preserve"> overall </w:t>
      </w:r>
      <w:r w:rsidR="004C185F" w:rsidRPr="00912BEE">
        <w:rPr>
          <w:lang w:val="en-GB"/>
        </w:rPr>
        <w:t>use</w:t>
      </w:r>
      <w:r w:rsidRPr="00912BEE">
        <w:rPr>
          <w:lang w:val="en-GB"/>
        </w:rPr>
        <w:t xml:space="preserve"> of interactive metadiscourse over the three periods, a more granular analysis reveals a </w:t>
      </w:r>
      <w:r w:rsidR="004C185F" w:rsidRPr="00912BEE">
        <w:rPr>
          <w:lang w:val="en-GB"/>
        </w:rPr>
        <w:t>notable</w:t>
      </w:r>
      <w:r w:rsidRPr="00912BEE">
        <w:rPr>
          <w:lang w:val="en-GB"/>
        </w:rPr>
        <w:t xml:space="preserve"> evolution in Swales’s rhetorical practice. As shown in Table </w:t>
      </w:r>
      <w:r w:rsidR="001F7CC9">
        <w:rPr>
          <w:lang w:val="en-GB"/>
        </w:rPr>
        <w:t>3</w:t>
      </w:r>
      <w:r w:rsidRPr="00912BEE">
        <w:rPr>
          <w:lang w:val="en-GB"/>
        </w:rPr>
        <w:t xml:space="preserve">, there was a statistically significant increase in his use of both </w:t>
      </w:r>
      <w:proofErr w:type="spellStart"/>
      <w:r w:rsidRPr="00912BEE">
        <w:rPr>
          <w:lang w:val="en-GB"/>
        </w:rPr>
        <w:t>endophoric</w:t>
      </w:r>
      <w:proofErr w:type="spellEnd"/>
      <w:r w:rsidRPr="00912BEE">
        <w:rPr>
          <w:lang w:val="en-GB"/>
        </w:rPr>
        <w:t xml:space="preserve"> markers (</w:t>
      </w:r>
      <w:r w:rsidRPr="00912BEE">
        <w:rPr>
          <w:i/>
          <w:iCs/>
          <w:lang w:val="en-GB"/>
        </w:rPr>
        <w:t>LL</w:t>
      </w:r>
      <w:r w:rsidRPr="00912BEE">
        <w:rPr>
          <w:lang w:val="en-GB"/>
        </w:rPr>
        <w:t xml:space="preserve"> = 17.37, </w:t>
      </w:r>
      <w:r w:rsidRPr="00912BEE">
        <w:rPr>
          <w:i/>
          <w:iCs/>
          <w:lang w:val="en-GB"/>
        </w:rPr>
        <w:t>%DIFF</w:t>
      </w:r>
      <w:r w:rsidRPr="00912BEE">
        <w:rPr>
          <w:lang w:val="en-GB"/>
        </w:rPr>
        <w:t xml:space="preserve"> = 47.96, </w:t>
      </w:r>
      <w:r w:rsidRPr="00912BEE">
        <w:rPr>
          <w:i/>
          <w:iCs/>
          <w:lang w:val="en-GB"/>
        </w:rPr>
        <w:t>p</w:t>
      </w:r>
      <w:r w:rsidRPr="00912BEE">
        <w:rPr>
          <w:lang w:val="en-GB"/>
        </w:rPr>
        <w:t xml:space="preserve"> &lt; 0.001) and code glosses (</w:t>
      </w:r>
      <w:r w:rsidRPr="00912BEE">
        <w:rPr>
          <w:i/>
          <w:iCs/>
          <w:lang w:val="en-GB"/>
        </w:rPr>
        <w:t>LL</w:t>
      </w:r>
      <w:r w:rsidRPr="00912BEE">
        <w:rPr>
          <w:lang w:val="en-GB"/>
        </w:rPr>
        <w:t xml:space="preserve"> = 10.02, </w:t>
      </w:r>
      <w:r w:rsidRPr="00912BEE">
        <w:rPr>
          <w:i/>
          <w:iCs/>
          <w:lang w:val="en-GB"/>
        </w:rPr>
        <w:t>%DIFF</w:t>
      </w:r>
      <w:r w:rsidRPr="00912BEE">
        <w:rPr>
          <w:lang w:val="en-GB"/>
        </w:rPr>
        <w:t xml:space="preserve"> = 25.93, </w:t>
      </w:r>
      <w:r w:rsidRPr="00912BEE">
        <w:rPr>
          <w:i/>
          <w:iCs/>
          <w:lang w:val="en-GB"/>
        </w:rPr>
        <w:t>p</w:t>
      </w:r>
      <w:r w:rsidRPr="00912BEE">
        <w:rPr>
          <w:lang w:val="en-GB"/>
        </w:rPr>
        <w:t xml:space="preserve"> &lt; 0.001). This finding suggests that while Swales did not necessarily add more organisational signposts in general</w:t>
      </w:r>
      <w:r w:rsidR="004C185F" w:rsidRPr="00912BEE">
        <w:rPr>
          <w:lang w:val="en-GB"/>
        </w:rPr>
        <w:t xml:space="preserve"> as his career progressed</w:t>
      </w:r>
      <w:r w:rsidRPr="00912BEE">
        <w:rPr>
          <w:lang w:val="en-GB"/>
        </w:rPr>
        <w:t xml:space="preserve">, he became considerably more attentive to </w:t>
      </w:r>
      <w:r w:rsidR="00EB2A39" w:rsidRPr="00912BEE">
        <w:rPr>
          <w:lang w:val="en-GB"/>
        </w:rPr>
        <w:t xml:space="preserve">accommodating </w:t>
      </w:r>
      <w:r w:rsidRPr="00912BEE">
        <w:rPr>
          <w:lang w:val="en-GB"/>
        </w:rPr>
        <w:t xml:space="preserve">his readers’ </w:t>
      </w:r>
      <w:r w:rsidR="00EB2A39" w:rsidRPr="00912BEE">
        <w:rPr>
          <w:lang w:val="en-GB"/>
        </w:rPr>
        <w:t xml:space="preserve">possible </w:t>
      </w:r>
      <w:r w:rsidRPr="00912BEE">
        <w:rPr>
          <w:lang w:val="en-GB"/>
        </w:rPr>
        <w:t>comprehension</w:t>
      </w:r>
      <w:r w:rsidR="004C185F" w:rsidRPr="00912BEE">
        <w:rPr>
          <w:lang w:val="en-GB"/>
        </w:rPr>
        <w:t xml:space="preserve"> needs</w:t>
      </w:r>
      <w:r w:rsidRPr="00912BEE">
        <w:rPr>
          <w:lang w:val="en-GB"/>
        </w:rPr>
        <w:t>.</w:t>
      </w:r>
    </w:p>
    <w:p w14:paraId="5CFAB33B" w14:textId="77777777" w:rsidR="00445727" w:rsidRPr="00912BEE" w:rsidRDefault="00445727" w:rsidP="008D443E">
      <w:pPr>
        <w:jc w:val="center"/>
        <w:rPr>
          <w:lang w:val="en-GB"/>
        </w:rPr>
      </w:pPr>
    </w:p>
    <w:p w14:paraId="4B05B2BD" w14:textId="1FBC44B0" w:rsidR="008D443E" w:rsidRPr="00912BEE" w:rsidRDefault="008D443E" w:rsidP="008D443E">
      <w:pPr>
        <w:jc w:val="center"/>
        <w:rPr>
          <w:lang w:val="en-GB"/>
        </w:rPr>
      </w:pPr>
      <w:r w:rsidRPr="00912BEE">
        <w:rPr>
          <w:lang w:val="en-GB"/>
        </w:rPr>
        <w:t xml:space="preserve">Table </w:t>
      </w:r>
      <w:r w:rsidR="001F7CC9">
        <w:rPr>
          <w:lang w:val="en-GB"/>
        </w:rPr>
        <w:t>3</w:t>
      </w:r>
      <w:r w:rsidRPr="00912BEE">
        <w:rPr>
          <w:lang w:val="en-GB"/>
        </w:rPr>
        <w:t xml:space="preserve"> </w:t>
      </w:r>
      <w:r w:rsidR="00DF5DB1" w:rsidRPr="00912BEE">
        <w:rPr>
          <w:lang w:val="en-GB"/>
        </w:rPr>
        <w:t>I</w:t>
      </w:r>
      <w:r w:rsidRPr="00912BEE">
        <w:rPr>
          <w:lang w:val="en-GB"/>
        </w:rPr>
        <w:t xml:space="preserve">nteractive metadiscourse </w:t>
      </w:r>
      <w:r w:rsidR="00DF5DB1" w:rsidRPr="00912BEE">
        <w:rPr>
          <w:lang w:val="en-GB"/>
        </w:rPr>
        <w:t xml:space="preserve">items </w:t>
      </w:r>
      <w:r w:rsidRPr="00912BEE">
        <w:rPr>
          <w:lang w:val="en-GB"/>
        </w:rPr>
        <w:t>in Swales’ writing across time</w:t>
      </w:r>
    </w:p>
    <w:tbl>
      <w:tblPr>
        <w:tblStyle w:val="TableGrid"/>
        <w:tblW w:w="9680" w:type="dxa"/>
        <w:jc w:val="center"/>
        <w:tblLook w:val="04A0" w:firstRow="1" w:lastRow="0" w:firstColumn="1" w:lastColumn="0" w:noHBand="0" w:noVBand="1"/>
      </w:tblPr>
      <w:tblGrid>
        <w:gridCol w:w="2273"/>
        <w:gridCol w:w="777"/>
        <w:gridCol w:w="1056"/>
        <w:gridCol w:w="636"/>
        <w:gridCol w:w="777"/>
        <w:gridCol w:w="1056"/>
        <w:gridCol w:w="636"/>
        <w:gridCol w:w="777"/>
        <w:gridCol w:w="1056"/>
        <w:gridCol w:w="636"/>
      </w:tblGrid>
      <w:tr w:rsidR="00FC2D1B" w:rsidRPr="00912BEE" w14:paraId="58800D5D" w14:textId="77777777" w:rsidTr="00A91AD3">
        <w:trPr>
          <w:trHeight w:val="285"/>
          <w:jc w:val="center"/>
        </w:trPr>
        <w:tc>
          <w:tcPr>
            <w:tcW w:w="2273" w:type="dxa"/>
            <w:noWrap/>
          </w:tcPr>
          <w:p w14:paraId="0D359654" w14:textId="77777777" w:rsidR="00FC2D1B" w:rsidRPr="00912BEE" w:rsidRDefault="00FC2D1B" w:rsidP="004A2B58">
            <w:pPr>
              <w:jc w:val="center"/>
              <w:rPr>
                <w:b/>
                <w:bCs/>
                <w:lang w:val="en-GB"/>
              </w:rPr>
            </w:pPr>
          </w:p>
        </w:tc>
        <w:tc>
          <w:tcPr>
            <w:tcW w:w="2469" w:type="dxa"/>
            <w:gridSpan w:val="3"/>
            <w:noWrap/>
            <w:vAlign w:val="center"/>
          </w:tcPr>
          <w:p w14:paraId="08C1229F" w14:textId="044D559C" w:rsidR="00FC2D1B" w:rsidRPr="00912BEE" w:rsidRDefault="00FC2D1B" w:rsidP="004A2B58">
            <w:pPr>
              <w:jc w:val="center"/>
              <w:rPr>
                <w:b/>
                <w:bCs/>
                <w:lang w:val="en-GB"/>
              </w:rPr>
            </w:pPr>
            <w:r w:rsidRPr="00912BEE">
              <w:rPr>
                <w:b/>
                <w:bCs/>
                <w:lang w:val="en-GB"/>
              </w:rPr>
              <w:t>1980-1994</w:t>
            </w:r>
          </w:p>
        </w:tc>
        <w:tc>
          <w:tcPr>
            <w:tcW w:w="2469" w:type="dxa"/>
            <w:gridSpan w:val="3"/>
            <w:noWrap/>
            <w:vAlign w:val="center"/>
          </w:tcPr>
          <w:p w14:paraId="2C10805A" w14:textId="7422CF5B" w:rsidR="00FC2D1B" w:rsidRPr="00912BEE" w:rsidRDefault="00FC2D1B" w:rsidP="004A2B58">
            <w:pPr>
              <w:jc w:val="center"/>
              <w:rPr>
                <w:b/>
                <w:bCs/>
                <w:lang w:val="en-GB"/>
              </w:rPr>
            </w:pPr>
            <w:r w:rsidRPr="00912BEE">
              <w:rPr>
                <w:b/>
                <w:bCs/>
                <w:lang w:val="en-GB"/>
              </w:rPr>
              <w:t>1995-2009</w:t>
            </w:r>
          </w:p>
        </w:tc>
        <w:tc>
          <w:tcPr>
            <w:tcW w:w="2469" w:type="dxa"/>
            <w:gridSpan w:val="3"/>
            <w:noWrap/>
            <w:vAlign w:val="center"/>
          </w:tcPr>
          <w:p w14:paraId="5FDA65CB" w14:textId="212BE9C8" w:rsidR="00FC2D1B" w:rsidRPr="00912BEE" w:rsidRDefault="00FC2D1B" w:rsidP="004A2B58">
            <w:pPr>
              <w:jc w:val="center"/>
              <w:rPr>
                <w:b/>
                <w:bCs/>
                <w:lang w:val="en-GB"/>
              </w:rPr>
            </w:pPr>
            <w:r w:rsidRPr="00912BEE">
              <w:rPr>
                <w:b/>
                <w:bCs/>
                <w:lang w:val="en-GB"/>
              </w:rPr>
              <w:t>2010-2024</w:t>
            </w:r>
          </w:p>
        </w:tc>
      </w:tr>
      <w:tr w:rsidR="004A2B58" w:rsidRPr="00912BEE" w14:paraId="10E75A52" w14:textId="77777777" w:rsidTr="00FC2D1B">
        <w:trPr>
          <w:trHeight w:val="285"/>
          <w:jc w:val="center"/>
        </w:trPr>
        <w:tc>
          <w:tcPr>
            <w:tcW w:w="2273" w:type="dxa"/>
            <w:noWrap/>
            <w:hideMark/>
          </w:tcPr>
          <w:p w14:paraId="5A3302E4" w14:textId="77777777" w:rsidR="00721087" w:rsidRPr="00912BEE" w:rsidRDefault="00721087" w:rsidP="004A2B58">
            <w:pPr>
              <w:jc w:val="center"/>
              <w:rPr>
                <w:b/>
                <w:bCs/>
                <w:lang w:val="en-GB"/>
              </w:rPr>
            </w:pPr>
            <w:r w:rsidRPr="00912BEE">
              <w:rPr>
                <w:b/>
                <w:bCs/>
                <w:lang w:val="en-GB"/>
              </w:rPr>
              <w:t>Category</w:t>
            </w:r>
          </w:p>
        </w:tc>
        <w:tc>
          <w:tcPr>
            <w:tcW w:w="777" w:type="dxa"/>
            <w:noWrap/>
            <w:vAlign w:val="center"/>
            <w:hideMark/>
          </w:tcPr>
          <w:p w14:paraId="7202D85D" w14:textId="77777777" w:rsidR="00721087" w:rsidRPr="00912BEE" w:rsidRDefault="00721087" w:rsidP="004A2B58">
            <w:pPr>
              <w:jc w:val="center"/>
              <w:rPr>
                <w:b/>
                <w:bCs/>
                <w:lang w:val="en-GB"/>
              </w:rPr>
            </w:pPr>
            <w:r w:rsidRPr="00912BEE">
              <w:rPr>
                <w:b/>
                <w:bCs/>
                <w:lang w:val="en-GB"/>
              </w:rPr>
              <w:t>RAW</w:t>
            </w:r>
          </w:p>
        </w:tc>
        <w:tc>
          <w:tcPr>
            <w:tcW w:w="1056" w:type="dxa"/>
            <w:noWrap/>
            <w:vAlign w:val="center"/>
            <w:hideMark/>
          </w:tcPr>
          <w:p w14:paraId="72336B6E" w14:textId="77777777" w:rsidR="00721087" w:rsidRPr="00912BEE" w:rsidRDefault="00721087" w:rsidP="004A2B58">
            <w:pPr>
              <w:jc w:val="center"/>
              <w:rPr>
                <w:b/>
                <w:bCs/>
                <w:lang w:val="en-GB"/>
              </w:rPr>
            </w:pPr>
            <w:r w:rsidRPr="00912BEE">
              <w:rPr>
                <w:b/>
                <w:bCs/>
                <w:lang w:val="en-GB"/>
              </w:rPr>
              <w:t>Normed</w:t>
            </w:r>
          </w:p>
        </w:tc>
        <w:tc>
          <w:tcPr>
            <w:tcW w:w="636" w:type="dxa"/>
            <w:noWrap/>
            <w:vAlign w:val="center"/>
            <w:hideMark/>
          </w:tcPr>
          <w:p w14:paraId="39AD60B5" w14:textId="3113B4E9" w:rsidR="00721087" w:rsidRPr="00912BEE" w:rsidRDefault="00721087" w:rsidP="004A2B58">
            <w:pPr>
              <w:jc w:val="center"/>
              <w:rPr>
                <w:b/>
                <w:bCs/>
                <w:lang w:val="en-GB"/>
              </w:rPr>
            </w:pPr>
            <w:r w:rsidRPr="00912BEE">
              <w:rPr>
                <w:b/>
                <w:bCs/>
                <w:lang w:val="en-GB"/>
              </w:rPr>
              <w:t>SD</w:t>
            </w:r>
          </w:p>
        </w:tc>
        <w:tc>
          <w:tcPr>
            <w:tcW w:w="777" w:type="dxa"/>
            <w:noWrap/>
            <w:vAlign w:val="center"/>
            <w:hideMark/>
          </w:tcPr>
          <w:p w14:paraId="4B63E26F" w14:textId="77777777" w:rsidR="00721087" w:rsidRPr="00912BEE" w:rsidRDefault="00721087" w:rsidP="004A2B58">
            <w:pPr>
              <w:jc w:val="center"/>
              <w:rPr>
                <w:b/>
                <w:bCs/>
                <w:lang w:val="en-GB"/>
              </w:rPr>
            </w:pPr>
            <w:r w:rsidRPr="00912BEE">
              <w:rPr>
                <w:b/>
                <w:bCs/>
                <w:lang w:val="en-GB"/>
              </w:rPr>
              <w:t>RAW</w:t>
            </w:r>
          </w:p>
        </w:tc>
        <w:tc>
          <w:tcPr>
            <w:tcW w:w="1056" w:type="dxa"/>
            <w:noWrap/>
            <w:vAlign w:val="center"/>
            <w:hideMark/>
          </w:tcPr>
          <w:p w14:paraId="51F29EA1" w14:textId="77777777" w:rsidR="00721087" w:rsidRPr="00912BEE" w:rsidRDefault="00721087" w:rsidP="004A2B58">
            <w:pPr>
              <w:jc w:val="center"/>
              <w:rPr>
                <w:b/>
                <w:bCs/>
                <w:lang w:val="en-GB"/>
              </w:rPr>
            </w:pPr>
            <w:r w:rsidRPr="00912BEE">
              <w:rPr>
                <w:b/>
                <w:bCs/>
                <w:lang w:val="en-GB"/>
              </w:rPr>
              <w:t>Normed</w:t>
            </w:r>
          </w:p>
        </w:tc>
        <w:tc>
          <w:tcPr>
            <w:tcW w:w="636" w:type="dxa"/>
            <w:noWrap/>
            <w:vAlign w:val="center"/>
            <w:hideMark/>
          </w:tcPr>
          <w:p w14:paraId="63BC6C50" w14:textId="4CFAC620" w:rsidR="00721087" w:rsidRPr="00912BEE" w:rsidRDefault="00721087" w:rsidP="004A2B58">
            <w:pPr>
              <w:jc w:val="center"/>
              <w:rPr>
                <w:b/>
                <w:bCs/>
                <w:lang w:val="en-GB"/>
              </w:rPr>
            </w:pPr>
            <w:r w:rsidRPr="00912BEE">
              <w:rPr>
                <w:b/>
                <w:bCs/>
                <w:lang w:val="en-GB"/>
              </w:rPr>
              <w:t>SD</w:t>
            </w:r>
          </w:p>
        </w:tc>
        <w:tc>
          <w:tcPr>
            <w:tcW w:w="777" w:type="dxa"/>
            <w:noWrap/>
            <w:vAlign w:val="center"/>
            <w:hideMark/>
          </w:tcPr>
          <w:p w14:paraId="4E94337F" w14:textId="77777777" w:rsidR="00721087" w:rsidRPr="00912BEE" w:rsidRDefault="00721087" w:rsidP="004A2B58">
            <w:pPr>
              <w:jc w:val="center"/>
              <w:rPr>
                <w:b/>
                <w:bCs/>
                <w:lang w:val="en-GB"/>
              </w:rPr>
            </w:pPr>
            <w:r w:rsidRPr="00912BEE">
              <w:rPr>
                <w:b/>
                <w:bCs/>
                <w:lang w:val="en-GB"/>
              </w:rPr>
              <w:t>RAW</w:t>
            </w:r>
          </w:p>
        </w:tc>
        <w:tc>
          <w:tcPr>
            <w:tcW w:w="1056" w:type="dxa"/>
            <w:noWrap/>
            <w:vAlign w:val="center"/>
            <w:hideMark/>
          </w:tcPr>
          <w:p w14:paraId="26886156" w14:textId="77777777" w:rsidR="00721087" w:rsidRPr="00912BEE" w:rsidRDefault="00721087" w:rsidP="004A2B58">
            <w:pPr>
              <w:jc w:val="center"/>
              <w:rPr>
                <w:b/>
                <w:bCs/>
                <w:lang w:val="en-GB"/>
              </w:rPr>
            </w:pPr>
            <w:r w:rsidRPr="00912BEE">
              <w:rPr>
                <w:b/>
                <w:bCs/>
                <w:lang w:val="en-GB"/>
              </w:rPr>
              <w:t>Normed</w:t>
            </w:r>
          </w:p>
        </w:tc>
        <w:tc>
          <w:tcPr>
            <w:tcW w:w="636" w:type="dxa"/>
            <w:noWrap/>
            <w:vAlign w:val="center"/>
            <w:hideMark/>
          </w:tcPr>
          <w:p w14:paraId="590ADDAF" w14:textId="63E5C753" w:rsidR="00721087" w:rsidRPr="00912BEE" w:rsidRDefault="00721087" w:rsidP="004A2B58">
            <w:pPr>
              <w:jc w:val="center"/>
              <w:rPr>
                <w:b/>
                <w:bCs/>
                <w:lang w:val="en-GB"/>
              </w:rPr>
            </w:pPr>
            <w:r w:rsidRPr="00912BEE">
              <w:rPr>
                <w:b/>
                <w:bCs/>
                <w:lang w:val="en-GB"/>
              </w:rPr>
              <w:t>SD</w:t>
            </w:r>
          </w:p>
        </w:tc>
      </w:tr>
      <w:tr w:rsidR="004A2B58" w:rsidRPr="00912BEE" w14:paraId="0D450D9B" w14:textId="77777777" w:rsidTr="00FC2D1B">
        <w:trPr>
          <w:trHeight w:val="285"/>
          <w:jc w:val="center"/>
        </w:trPr>
        <w:tc>
          <w:tcPr>
            <w:tcW w:w="2273" w:type="dxa"/>
            <w:noWrap/>
            <w:hideMark/>
          </w:tcPr>
          <w:p w14:paraId="1680A3CE" w14:textId="77777777" w:rsidR="00721087" w:rsidRPr="00912BEE" w:rsidRDefault="00721087" w:rsidP="00721087">
            <w:pPr>
              <w:rPr>
                <w:lang w:val="en-GB"/>
              </w:rPr>
            </w:pPr>
            <w:r w:rsidRPr="00912BEE">
              <w:rPr>
                <w:lang w:val="en-GB"/>
              </w:rPr>
              <w:t>Transitions</w:t>
            </w:r>
          </w:p>
        </w:tc>
        <w:tc>
          <w:tcPr>
            <w:tcW w:w="777" w:type="dxa"/>
            <w:noWrap/>
            <w:vAlign w:val="center"/>
            <w:hideMark/>
          </w:tcPr>
          <w:p w14:paraId="6018C929" w14:textId="77777777" w:rsidR="00721087" w:rsidRPr="00912BEE" w:rsidRDefault="00721087" w:rsidP="004A2B58">
            <w:pPr>
              <w:jc w:val="center"/>
              <w:rPr>
                <w:lang w:val="en-GB"/>
              </w:rPr>
            </w:pPr>
            <w:r w:rsidRPr="00912BEE">
              <w:rPr>
                <w:lang w:val="en-GB"/>
              </w:rPr>
              <w:t>766</w:t>
            </w:r>
          </w:p>
        </w:tc>
        <w:tc>
          <w:tcPr>
            <w:tcW w:w="1056" w:type="dxa"/>
            <w:noWrap/>
            <w:vAlign w:val="center"/>
            <w:hideMark/>
          </w:tcPr>
          <w:p w14:paraId="31EA13FF" w14:textId="3AE1EB85" w:rsidR="00721087" w:rsidRPr="00912BEE" w:rsidRDefault="00721087" w:rsidP="004A2B58">
            <w:pPr>
              <w:jc w:val="center"/>
              <w:rPr>
                <w:lang w:val="en-GB"/>
              </w:rPr>
            </w:pPr>
            <w:r w:rsidRPr="00912BEE">
              <w:rPr>
                <w:lang w:val="en-GB"/>
              </w:rPr>
              <w:t>149.7</w:t>
            </w:r>
          </w:p>
        </w:tc>
        <w:tc>
          <w:tcPr>
            <w:tcW w:w="636" w:type="dxa"/>
            <w:noWrap/>
            <w:vAlign w:val="center"/>
            <w:hideMark/>
          </w:tcPr>
          <w:p w14:paraId="7C0DD8E7" w14:textId="77777777" w:rsidR="00721087" w:rsidRPr="00912BEE" w:rsidRDefault="00721087" w:rsidP="004A2B58">
            <w:pPr>
              <w:jc w:val="center"/>
              <w:rPr>
                <w:lang w:val="en-GB"/>
              </w:rPr>
            </w:pPr>
            <w:r w:rsidRPr="00912BEE">
              <w:rPr>
                <w:lang w:val="en-GB"/>
              </w:rPr>
              <w:t>16.6</w:t>
            </w:r>
          </w:p>
        </w:tc>
        <w:tc>
          <w:tcPr>
            <w:tcW w:w="777" w:type="dxa"/>
            <w:noWrap/>
            <w:vAlign w:val="center"/>
            <w:hideMark/>
          </w:tcPr>
          <w:p w14:paraId="3A4709C2" w14:textId="77777777" w:rsidR="00721087" w:rsidRPr="00912BEE" w:rsidRDefault="00721087" w:rsidP="004A2B58">
            <w:pPr>
              <w:jc w:val="center"/>
              <w:rPr>
                <w:lang w:val="en-GB"/>
              </w:rPr>
            </w:pPr>
            <w:r w:rsidRPr="00912BEE">
              <w:rPr>
                <w:lang w:val="en-GB"/>
              </w:rPr>
              <w:t>829</w:t>
            </w:r>
          </w:p>
        </w:tc>
        <w:tc>
          <w:tcPr>
            <w:tcW w:w="1056" w:type="dxa"/>
            <w:noWrap/>
            <w:vAlign w:val="center"/>
            <w:hideMark/>
          </w:tcPr>
          <w:p w14:paraId="524E2A6C" w14:textId="081522F7" w:rsidR="00721087" w:rsidRPr="00912BEE" w:rsidRDefault="00721087" w:rsidP="004A2B58">
            <w:pPr>
              <w:jc w:val="center"/>
              <w:rPr>
                <w:lang w:val="en-GB"/>
              </w:rPr>
            </w:pPr>
            <w:r w:rsidRPr="00912BEE">
              <w:rPr>
                <w:lang w:val="en-GB"/>
              </w:rPr>
              <w:t>153.0</w:t>
            </w:r>
          </w:p>
        </w:tc>
        <w:tc>
          <w:tcPr>
            <w:tcW w:w="636" w:type="dxa"/>
            <w:noWrap/>
            <w:vAlign w:val="center"/>
            <w:hideMark/>
          </w:tcPr>
          <w:p w14:paraId="1BBE4E00" w14:textId="2DEB0272" w:rsidR="00721087" w:rsidRPr="00912BEE" w:rsidRDefault="00721087" w:rsidP="004A2B58">
            <w:pPr>
              <w:jc w:val="center"/>
              <w:rPr>
                <w:lang w:val="en-GB"/>
              </w:rPr>
            </w:pPr>
            <w:r w:rsidRPr="00912BEE">
              <w:rPr>
                <w:lang w:val="en-GB"/>
              </w:rPr>
              <w:t>12.9</w:t>
            </w:r>
          </w:p>
        </w:tc>
        <w:tc>
          <w:tcPr>
            <w:tcW w:w="777" w:type="dxa"/>
            <w:noWrap/>
            <w:vAlign w:val="center"/>
            <w:hideMark/>
          </w:tcPr>
          <w:p w14:paraId="6EC30487" w14:textId="77777777" w:rsidR="00721087" w:rsidRPr="00912BEE" w:rsidRDefault="00721087" w:rsidP="004A2B58">
            <w:pPr>
              <w:jc w:val="center"/>
              <w:rPr>
                <w:lang w:val="en-GB"/>
              </w:rPr>
            </w:pPr>
            <w:r w:rsidRPr="00912BEE">
              <w:rPr>
                <w:lang w:val="en-GB"/>
              </w:rPr>
              <w:t>892</w:t>
            </w:r>
          </w:p>
        </w:tc>
        <w:tc>
          <w:tcPr>
            <w:tcW w:w="1056" w:type="dxa"/>
            <w:noWrap/>
            <w:vAlign w:val="center"/>
            <w:hideMark/>
          </w:tcPr>
          <w:p w14:paraId="4A91A787" w14:textId="0B4BAB83" w:rsidR="00721087" w:rsidRPr="00912BEE" w:rsidRDefault="00721087" w:rsidP="004A2B58">
            <w:pPr>
              <w:jc w:val="center"/>
              <w:rPr>
                <w:lang w:val="en-GB"/>
              </w:rPr>
            </w:pPr>
            <w:r w:rsidRPr="00912BEE">
              <w:rPr>
                <w:lang w:val="en-GB"/>
              </w:rPr>
              <w:t>156.3</w:t>
            </w:r>
          </w:p>
        </w:tc>
        <w:tc>
          <w:tcPr>
            <w:tcW w:w="636" w:type="dxa"/>
            <w:noWrap/>
            <w:vAlign w:val="center"/>
            <w:hideMark/>
          </w:tcPr>
          <w:p w14:paraId="50D4C2E1" w14:textId="77777777" w:rsidR="00721087" w:rsidRPr="00912BEE" w:rsidRDefault="00721087" w:rsidP="004A2B58">
            <w:pPr>
              <w:jc w:val="center"/>
              <w:rPr>
                <w:lang w:val="en-GB"/>
              </w:rPr>
            </w:pPr>
            <w:r w:rsidRPr="00912BEE">
              <w:rPr>
                <w:lang w:val="en-GB"/>
              </w:rPr>
              <w:t>9.2</w:t>
            </w:r>
          </w:p>
        </w:tc>
      </w:tr>
      <w:tr w:rsidR="004A2B58" w:rsidRPr="00912BEE" w14:paraId="6FEDD768" w14:textId="77777777" w:rsidTr="00FC2D1B">
        <w:trPr>
          <w:trHeight w:val="285"/>
          <w:jc w:val="center"/>
        </w:trPr>
        <w:tc>
          <w:tcPr>
            <w:tcW w:w="2273" w:type="dxa"/>
            <w:noWrap/>
            <w:hideMark/>
          </w:tcPr>
          <w:p w14:paraId="2D279AF2" w14:textId="6CFC75B4" w:rsidR="00721087" w:rsidRPr="00912BEE" w:rsidRDefault="00721087" w:rsidP="00721087">
            <w:pPr>
              <w:rPr>
                <w:lang w:val="en-GB"/>
              </w:rPr>
            </w:pPr>
            <w:r w:rsidRPr="00912BEE">
              <w:rPr>
                <w:lang w:val="en-GB"/>
              </w:rPr>
              <w:t xml:space="preserve">Frame </w:t>
            </w:r>
            <w:r w:rsidR="004A2B58" w:rsidRPr="00912BEE">
              <w:rPr>
                <w:lang w:val="en-GB"/>
              </w:rPr>
              <w:t>m</w:t>
            </w:r>
            <w:r w:rsidRPr="00912BEE">
              <w:rPr>
                <w:lang w:val="en-GB"/>
              </w:rPr>
              <w:t>arkers</w:t>
            </w:r>
          </w:p>
        </w:tc>
        <w:tc>
          <w:tcPr>
            <w:tcW w:w="777" w:type="dxa"/>
            <w:noWrap/>
            <w:vAlign w:val="center"/>
            <w:hideMark/>
          </w:tcPr>
          <w:p w14:paraId="6370131F" w14:textId="77777777" w:rsidR="00721087" w:rsidRPr="00912BEE" w:rsidRDefault="00721087" w:rsidP="004A2B58">
            <w:pPr>
              <w:jc w:val="center"/>
              <w:rPr>
                <w:lang w:val="en-GB"/>
              </w:rPr>
            </w:pPr>
            <w:r w:rsidRPr="00912BEE">
              <w:rPr>
                <w:lang w:val="en-GB"/>
              </w:rPr>
              <w:t>386</w:t>
            </w:r>
          </w:p>
        </w:tc>
        <w:tc>
          <w:tcPr>
            <w:tcW w:w="1056" w:type="dxa"/>
            <w:noWrap/>
            <w:vAlign w:val="center"/>
            <w:hideMark/>
          </w:tcPr>
          <w:p w14:paraId="5D9A8AF7" w14:textId="7274B406" w:rsidR="00721087" w:rsidRPr="00912BEE" w:rsidRDefault="00721087" w:rsidP="004A2B58">
            <w:pPr>
              <w:jc w:val="center"/>
              <w:rPr>
                <w:lang w:val="en-GB"/>
              </w:rPr>
            </w:pPr>
            <w:r w:rsidRPr="00912BEE">
              <w:rPr>
                <w:lang w:val="en-GB"/>
              </w:rPr>
              <w:t>75.4</w:t>
            </w:r>
          </w:p>
        </w:tc>
        <w:tc>
          <w:tcPr>
            <w:tcW w:w="636" w:type="dxa"/>
            <w:noWrap/>
            <w:vAlign w:val="center"/>
            <w:hideMark/>
          </w:tcPr>
          <w:p w14:paraId="0CD2057E" w14:textId="77777777" w:rsidR="00721087" w:rsidRPr="00912BEE" w:rsidRDefault="00721087" w:rsidP="004A2B58">
            <w:pPr>
              <w:jc w:val="center"/>
              <w:rPr>
                <w:lang w:val="en-GB"/>
              </w:rPr>
            </w:pPr>
            <w:r w:rsidRPr="00912BEE">
              <w:rPr>
                <w:lang w:val="en-GB"/>
              </w:rPr>
              <w:t>8.6</w:t>
            </w:r>
          </w:p>
        </w:tc>
        <w:tc>
          <w:tcPr>
            <w:tcW w:w="777" w:type="dxa"/>
            <w:noWrap/>
            <w:vAlign w:val="center"/>
            <w:hideMark/>
          </w:tcPr>
          <w:p w14:paraId="70296B7E" w14:textId="77777777" w:rsidR="00721087" w:rsidRPr="00912BEE" w:rsidRDefault="00721087" w:rsidP="004A2B58">
            <w:pPr>
              <w:jc w:val="center"/>
              <w:rPr>
                <w:lang w:val="en-GB"/>
              </w:rPr>
            </w:pPr>
            <w:r w:rsidRPr="00912BEE">
              <w:rPr>
                <w:lang w:val="en-GB"/>
              </w:rPr>
              <w:t>402</w:t>
            </w:r>
          </w:p>
        </w:tc>
        <w:tc>
          <w:tcPr>
            <w:tcW w:w="1056" w:type="dxa"/>
            <w:noWrap/>
            <w:vAlign w:val="center"/>
            <w:hideMark/>
          </w:tcPr>
          <w:p w14:paraId="000DADE0" w14:textId="022B41B2" w:rsidR="00721087" w:rsidRPr="00912BEE" w:rsidRDefault="00721087" w:rsidP="004A2B58">
            <w:pPr>
              <w:jc w:val="center"/>
              <w:rPr>
                <w:lang w:val="en-GB"/>
              </w:rPr>
            </w:pPr>
            <w:r w:rsidRPr="00912BEE">
              <w:rPr>
                <w:lang w:val="en-GB"/>
              </w:rPr>
              <w:t>74.2</w:t>
            </w:r>
          </w:p>
        </w:tc>
        <w:tc>
          <w:tcPr>
            <w:tcW w:w="636" w:type="dxa"/>
            <w:noWrap/>
            <w:vAlign w:val="center"/>
            <w:hideMark/>
          </w:tcPr>
          <w:p w14:paraId="27D40979" w14:textId="5083F259" w:rsidR="00721087" w:rsidRPr="00912BEE" w:rsidRDefault="00721087" w:rsidP="004A2B58">
            <w:pPr>
              <w:jc w:val="center"/>
              <w:rPr>
                <w:lang w:val="en-GB"/>
              </w:rPr>
            </w:pPr>
            <w:r w:rsidRPr="00912BEE">
              <w:rPr>
                <w:lang w:val="en-GB"/>
              </w:rPr>
              <w:t>7.2</w:t>
            </w:r>
          </w:p>
        </w:tc>
        <w:tc>
          <w:tcPr>
            <w:tcW w:w="777" w:type="dxa"/>
            <w:noWrap/>
            <w:vAlign w:val="center"/>
            <w:hideMark/>
          </w:tcPr>
          <w:p w14:paraId="0C7C290C" w14:textId="77777777" w:rsidR="00721087" w:rsidRPr="00912BEE" w:rsidRDefault="00721087" w:rsidP="004A2B58">
            <w:pPr>
              <w:jc w:val="center"/>
              <w:rPr>
                <w:lang w:val="en-GB"/>
              </w:rPr>
            </w:pPr>
            <w:r w:rsidRPr="00912BEE">
              <w:rPr>
                <w:lang w:val="en-GB"/>
              </w:rPr>
              <w:t>417</w:t>
            </w:r>
          </w:p>
        </w:tc>
        <w:tc>
          <w:tcPr>
            <w:tcW w:w="1056" w:type="dxa"/>
            <w:noWrap/>
            <w:vAlign w:val="center"/>
            <w:hideMark/>
          </w:tcPr>
          <w:p w14:paraId="123F7A6B" w14:textId="12CF84F4" w:rsidR="00721087" w:rsidRPr="00912BEE" w:rsidRDefault="00721087" w:rsidP="004A2B58">
            <w:pPr>
              <w:jc w:val="center"/>
              <w:rPr>
                <w:lang w:val="en-GB"/>
              </w:rPr>
            </w:pPr>
            <w:r w:rsidRPr="00912BEE">
              <w:rPr>
                <w:lang w:val="en-GB"/>
              </w:rPr>
              <w:t>73.</w:t>
            </w:r>
            <w:r w:rsidR="004A2B58" w:rsidRPr="00912BEE">
              <w:rPr>
                <w:lang w:val="en-GB"/>
              </w:rPr>
              <w:t>1</w:t>
            </w:r>
          </w:p>
        </w:tc>
        <w:tc>
          <w:tcPr>
            <w:tcW w:w="636" w:type="dxa"/>
            <w:noWrap/>
            <w:vAlign w:val="center"/>
            <w:hideMark/>
          </w:tcPr>
          <w:p w14:paraId="2848122C" w14:textId="77777777" w:rsidR="00721087" w:rsidRPr="00912BEE" w:rsidRDefault="00721087" w:rsidP="004A2B58">
            <w:pPr>
              <w:jc w:val="center"/>
              <w:rPr>
                <w:lang w:val="en-GB"/>
              </w:rPr>
            </w:pPr>
            <w:r w:rsidRPr="00912BEE">
              <w:rPr>
                <w:lang w:val="en-GB"/>
              </w:rPr>
              <w:t>2.7</w:t>
            </w:r>
          </w:p>
        </w:tc>
      </w:tr>
      <w:tr w:rsidR="004A2B58" w:rsidRPr="00912BEE" w14:paraId="54E7D1A7" w14:textId="77777777" w:rsidTr="00FC2D1B">
        <w:trPr>
          <w:trHeight w:val="285"/>
          <w:jc w:val="center"/>
        </w:trPr>
        <w:tc>
          <w:tcPr>
            <w:tcW w:w="2273" w:type="dxa"/>
            <w:noWrap/>
            <w:hideMark/>
          </w:tcPr>
          <w:p w14:paraId="126D9E2E" w14:textId="1A54833E" w:rsidR="00721087" w:rsidRPr="00912BEE" w:rsidRDefault="00721087" w:rsidP="00721087">
            <w:pPr>
              <w:rPr>
                <w:lang w:val="en-GB"/>
              </w:rPr>
            </w:pPr>
            <w:bookmarkStart w:id="2" w:name="_Hlk202899935"/>
            <w:proofErr w:type="spellStart"/>
            <w:r w:rsidRPr="00912BEE">
              <w:rPr>
                <w:lang w:val="en-GB"/>
              </w:rPr>
              <w:t>Endophoric</w:t>
            </w:r>
            <w:proofErr w:type="spellEnd"/>
            <w:r w:rsidRPr="00912BEE">
              <w:rPr>
                <w:lang w:val="en-GB"/>
              </w:rPr>
              <w:t xml:space="preserve"> </w:t>
            </w:r>
            <w:r w:rsidR="004A2B58" w:rsidRPr="00912BEE">
              <w:rPr>
                <w:lang w:val="en-GB"/>
              </w:rPr>
              <w:t>m</w:t>
            </w:r>
            <w:r w:rsidRPr="00912BEE">
              <w:rPr>
                <w:lang w:val="en-GB"/>
              </w:rPr>
              <w:t>arkers</w:t>
            </w:r>
            <w:bookmarkEnd w:id="2"/>
          </w:p>
        </w:tc>
        <w:tc>
          <w:tcPr>
            <w:tcW w:w="777" w:type="dxa"/>
            <w:noWrap/>
            <w:vAlign w:val="center"/>
            <w:hideMark/>
          </w:tcPr>
          <w:p w14:paraId="125A05AF" w14:textId="77777777" w:rsidR="00721087" w:rsidRPr="00912BEE" w:rsidRDefault="00721087" w:rsidP="004A2B58">
            <w:pPr>
              <w:jc w:val="center"/>
              <w:rPr>
                <w:lang w:val="en-GB"/>
              </w:rPr>
            </w:pPr>
            <w:r w:rsidRPr="00912BEE">
              <w:rPr>
                <w:lang w:val="en-GB"/>
              </w:rPr>
              <w:t>56</w:t>
            </w:r>
          </w:p>
        </w:tc>
        <w:tc>
          <w:tcPr>
            <w:tcW w:w="1056" w:type="dxa"/>
            <w:noWrap/>
            <w:vAlign w:val="center"/>
            <w:hideMark/>
          </w:tcPr>
          <w:p w14:paraId="2298BC2E" w14:textId="099A68E4" w:rsidR="00721087" w:rsidRPr="00912BEE" w:rsidRDefault="00721087" w:rsidP="004A2B58">
            <w:pPr>
              <w:jc w:val="center"/>
              <w:rPr>
                <w:lang w:val="en-GB"/>
              </w:rPr>
            </w:pPr>
            <w:r w:rsidRPr="00912BEE">
              <w:rPr>
                <w:lang w:val="en-GB"/>
              </w:rPr>
              <w:t>10.9</w:t>
            </w:r>
          </w:p>
        </w:tc>
        <w:tc>
          <w:tcPr>
            <w:tcW w:w="636" w:type="dxa"/>
            <w:noWrap/>
            <w:vAlign w:val="center"/>
            <w:hideMark/>
          </w:tcPr>
          <w:p w14:paraId="5877EDA0" w14:textId="77777777" w:rsidR="00721087" w:rsidRPr="00912BEE" w:rsidRDefault="00721087" w:rsidP="004A2B58">
            <w:pPr>
              <w:jc w:val="center"/>
              <w:rPr>
                <w:lang w:val="en-GB"/>
              </w:rPr>
            </w:pPr>
            <w:r w:rsidRPr="00912BEE">
              <w:rPr>
                <w:lang w:val="en-GB"/>
              </w:rPr>
              <w:t>1.6</w:t>
            </w:r>
          </w:p>
        </w:tc>
        <w:tc>
          <w:tcPr>
            <w:tcW w:w="777" w:type="dxa"/>
            <w:noWrap/>
            <w:vAlign w:val="center"/>
            <w:hideMark/>
          </w:tcPr>
          <w:p w14:paraId="0BE406D1" w14:textId="77777777" w:rsidR="00721087" w:rsidRPr="00912BEE" w:rsidRDefault="00721087" w:rsidP="004A2B58">
            <w:pPr>
              <w:jc w:val="center"/>
              <w:rPr>
                <w:lang w:val="en-GB"/>
              </w:rPr>
            </w:pPr>
            <w:r w:rsidRPr="00912BEE">
              <w:rPr>
                <w:lang w:val="en-GB"/>
              </w:rPr>
              <w:t>88</w:t>
            </w:r>
          </w:p>
        </w:tc>
        <w:tc>
          <w:tcPr>
            <w:tcW w:w="1056" w:type="dxa"/>
            <w:noWrap/>
            <w:vAlign w:val="center"/>
            <w:hideMark/>
          </w:tcPr>
          <w:p w14:paraId="45E644C9" w14:textId="03B6A868" w:rsidR="00721087" w:rsidRPr="00912BEE" w:rsidRDefault="00721087" w:rsidP="004A2B58">
            <w:pPr>
              <w:jc w:val="center"/>
              <w:rPr>
                <w:lang w:val="en-GB"/>
              </w:rPr>
            </w:pPr>
            <w:r w:rsidRPr="00912BEE">
              <w:rPr>
                <w:lang w:val="en-GB"/>
              </w:rPr>
              <w:t>16.0</w:t>
            </w:r>
          </w:p>
        </w:tc>
        <w:tc>
          <w:tcPr>
            <w:tcW w:w="636" w:type="dxa"/>
            <w:noWrap/>
            <w:vAlign w:val="center"/>
            <w:hideMark/>
          </w:tcPr>
          <w:p w14:paraId="2DE9AA16" w14:textId="11674C64" w:rsidR="00721087" w:rsidRPr="00912BEE" w:rsidRDefault="00721087" w:rsidP="004A2B58">
            <w:pPr>
              <w:jc w:val="center"/>
              <w:rPr>
                <w:lang w:val="en-GB"/>
              </w:rPr>
            </w:pPr>
            <w:r w:rsidRPr="00912BEE">
              <w:rPr>
                <w:lang w:val="en-GB"/>
              </w:rPr>
              <w:t>1.8</w:t>
            </w:r>
          </w:p>
        </w:tc>
        <w:tc>
          <w:tcPr>
            <w:tcW w:w="777" w:type="dxa"/>
            <w:noWrap/>
            <w:vAlign w:val="center"/>
            <w:hideMark/>
          </w:tcPr>
          <w:p w14:paraId="782EEA60" w14:textId="77777777" w:rsidR="00721087" w:rsidRPr="00912BEE" w:rsidRDefault="00721087" w:rsidP="004A2B58">
            <w:pPr>
              <w:jc w:val="center"/>
              <w:rPr>
                <w:lang w:val="en-GB"/>
              </w:rPr>
            </w:pPr>
            <w:r w:rsidRPr="00912BEE">
              <w:rPr>
                <w:lang w:val="en-GB"/>
              </w:rPr>
              <w:t>120</w:t>
            </w:r>
          </w:p>
        </w:tc>
        <w:tc>
          <w:tcPr>
            <w:tcW w:w="1056" w:type="dxa"/>
            <w:noWrap/>
            <w:vAlign w:val="center"/>
            <w:hideMark/>
          </w:tcPr>
          <w:p w14:paraId="3AE263A8" w14:textId="3E2C4DFF" w:rsidR="00721087" w:rsidRPr="00912BEE" w:rsidRDefault="00721087" w:rsidP="004A2B58">
            <w:pPr>
              <w:jc w:val="center"/>
              <w:rPr>
                <w:lang w:val="en-GB"/>
              </w:rPr>
            </w:pPr>
            <w:r w:rsidRPr="00912BEE">
              <w:rPr>
                <w:lang w:val="en-GB"/>
              </w:rPr>
              <w:t>21.0</w:t>
            </w:r>
          </w:p>
        </w:tc>
        <w:tc>
          <w:tcPr>
            <w:tcW w:w="636" w:type="dxa"/>
            <w:noWrap/>
            <w:vAlign w:val="center"/>
            <w:hideMark/>
          </w:tcPr>
          <w:p w14:paraId="1A15E466" w14:textId="5C1B39BB" w:rsidR="00721087" w:rsidRPr="00912BEE" w:rsidRDefault="00721087" w:rsidP="004A2B58">
            <w:pPr>
              <w:jc w:val="center"/>
              <w:rPr>
                <w:lang w:val="en-GB"/>
              </w:rPr>
            </w:pPr>
            <w:r w:rsidRPr="00912BEE">
              <w:rPr>
                <w:lang w:val="en-GB"/>
              </w:rPr>
              <w:t>2</w:t>
            </w:r>
            <w:r w:rsidR="007442EF" w:rsidRPr="00912BEE">
              <w:rPr>
                <w:lang w:val="en-GB"/>
              </w:rPr>
              <w:t>.0</w:t>
            </w:r>
          </w:p>
        </w:tc>
      </w:tr>
      <w:tr w:rsidR="004A2B58" w:rsidRPr="00912BEE" w14:paraId="1BF912C5" w14:textId="77777777" w:rsidTr="00FC2D1B">
        <w:trPr>
          <w:trHeight w:val="285"/>
          <w:jc w:val="center"/>
        </w:trPr>
        <w:tc>
          <w:tcPr>
            <w:tcW w:w="2273" w:type="dxa"/>
            <w:noWrap/>
            <w:hideMark/>
          </w:tcPr>
          <w:p w14:paraId="5C62E123" w14:textId="77777777" w:rsidR="00721087" w:rsidRPr="00912BEE" w:rsidRDefault="00721087" w:rsidP="00721087">
            <w:pPr>
              <w:rPr>
                <w:lang w:val="en-GB"/>
              </w:rPr>
            </w:pPr>
            <w:r w:rsidRPr="00912BEE">
              <w:rPr>
                <w:lang w:val="en-GB"/>
              </w:rPr>
              <w:t>Evidentials</w:t>
            </w:r>
          </w:p>
        </w:tc>
        <w:tc>
          <w:tcPr>
            <w:tcW w:w="777" w:type="dxa"/>
            <w:noWrap/>
            <w:vAlign w:val="center"/>
            <w:hideMark/>
          </w:tcPr>
          <w:p w14:paraId="5863E404" w14:textId="77777777" w:rsidR="00721087" w:rsidRPr="00912BEE" w:rsidRDefault="00721087" w:rsidP="004A2B58">
            <w:pPr>
              <w:jc w:val="center"/>
              <w:rPr>
                <w:lang w:val="en-GB"/>
              </w:rPr>
            </w:pPr>
            <w:r w:rsidRPr="00912BEE">
              <w:rPr>
                <w:lang w:val="en-GB"/>
              </w:rPr>
              <w:t>181</w:t>
            </w:r>
          </w:p>
        </w:tc>
        <w:tc>
          <w:tcPr>
            <w:tcW w:w="1056" w:type="dxa"/>
            <w:noWrap/>
            <w:vAlign w:val="center"/>
            <w:hideMark/>
          </w:tcPr>
          <w:p w14:paraId="0B2F414D" w14:textId="314E30CD" w:rsidR="00721087" w:rsidRPr="00912BEE" w:rsidRDefault="00721087" w:rsidP="004A2B58">
            <w:pPr>
              <w:jc w:val="center"/>
              <w:rPr>
                <w:lang w:val="en-GB"/>
              </w:rPr>
            </w:pPr>
            <w:r w:rsidRPr="00912BEE">
              <w:rPr>
                <w:lang w:val="en-GB"/>
              </w:rPr>
              <w:t>35.4</w:t>
            </w:r>
          </w:p>
        </w:tc>
        <w:tc>
          <w:tcPr>
            <w:tcW w:w="636" w:type="dxa"/>
            <w:noWrap/>
            <w:vAlign w:val="center"/>
            <w:hideMark/>
          </w:tcPr>
          <w:p w14:paraId="2EE8E444" w14:textId="77777777" w:rsidR="00721087" w:rsidRPr="00912BEE" w:rsidRDefault="00721087" w:rsidP="004A2B58">
            <w:pPr>
              <w:jc w:val="center"/>
              <w:rPr>
                <w:lang w:val="en-GB"/>
              </w:rPr>
            </w:pPr>
            <w:r w:rsidRPr="00912BEE">
              <w:rPr>
                <w:lang w:val="en-GB"/>
              </w:rPr>
              <w:t>5.1</w:t>
            </w:r>
          </w:p>
        </w:tc>
        <w:tc>
          <w:tcPr>
            <w:tcW w:w="777" w:type="dxa"/>
            <w:noWrap/>
            <w:vAlign w:val="center"/>
            <w:hideMark/>
          </w:tcPr>
          <w:p w14:paraId="3789CE82" w14:textId="77777777" w:rsidR="00721087" w:rsidRPr="00912BEE" w:rsidRDefault="00721087" w:rsidP="004A2B58">
            <w:pPr>
              <w:jc w:val="center"/>
              <w:rPr>
                <w:lang w:val="en-GB"/>
              </w:rPr>
            </w:pPr>
            <w:r w:rsidRPr="00912BEE">
              <w:rPr>
                <w:lang w:val="en-GB"/>
              </w:rPr>
              <w:t>158</w:t>
            </w:r>
          </w:p>
        </w:tc>
        <w:tc>
          <w:tcPr>
            <w:tcW w:w="1056" w:type="dxa"/>
            <w:noWrap/>
            <w:vAlign w:val="center"/>
            <w:hideMark/>
          </w:tcPr>
          <w:p w14:paraId="3CC427D8" w14:textId="1FB304B6" w:rsidR="00721087" w:rsidRPr="00912BEE" w:rsidRDefault="00721087" w:rsidP="004A2B58">
            <w:pPr>
              <w:jc w:val="center"/>
              <w:rPr>
                <w:lang w:val="en-GB"/>
              </w:rPr>
            </w:pPr>
            <w:r w:rsidRPr="00912BEE">
              <w:rPr>
                <w:lang w:val="en-GB"/>
              </w:rPr>
              <w:t>29.5</w:t>
            </w:r>
          </w:p>
        </w:tc>
        <w:tc>
          <w:tcPr>
            <w:tcW w:w="636" w:type="dxa"/>
            <w:noWrap/>
            <w:vAlign w:val="center"/>
            <w:hideMark/>
          </w:tcPr>
          <w:p w14:paraId="4C396269" w14:textId="31C88499" w:rsidR="00721087" w:rsidRPr="00912BEE" w:rsidRDefault="00721087" w:rsidP="004A2B58">
            <w:pPr>
              <w:jc w:val="center"/>
              <w:rPr>
                <w:lang w:val="en-GB"/>
              </w:rPr>
            </w:pPr>
            <w:r w:rsidRPr="00912BEE">
              <w:rPr>
                <w:lang w:val="en-GB"/>
              </w:rPr>
              <w:t>2.9</w:t>
            </w:r>
          </w:p>
        </w:tc>
        <w:tc>
          <w:tcPr>
            <w:tcW w:w="777" w:type="dxa"/>
            <w:noWrap/>
            <w:vAlign w:val="center"/>
            <w:hideMark/>
          </w:tcPr>
          <w:p w14:paraId="508120EC" w14:textId="77777777" w:rsidR="00721087" w:rsidRPr="00912BEE" w:rsidRDefault="00721087" w:rsidP="004A2B58">
            <w:pPr>
              <w:jc w:val="center"/>
              <w:rPr>
                <w:lang w:val="en-GB"/>
              </w:rPr>
            </w:pPr>
            <w:r w:rsidRPr="00912BEE">
              <w:rPr>
                <w:lang w:val="en-GB"/>
              </w:rPr>
              <w:t>135</w:t>
            </w:r>
          </w:p>
        </w:tc>
        <w:tc>
          <w:tcPr>
            <w:tcW w:w="1056" w:type="dxa"/>
            <w:noWrap/>
            <w:vAlign w:val="center"/>
            <w:hideMark/>
          </w:tcPr>
          <w:p w14:paraId="04D8E238" w14:textId="08AD8A81" w:rsidR="00721087" w:rsidRPr="00912BEE" w:rsidRDefault="00721087" w:rsidP="004A2B58">
            <w:pPr>
              <w:jc w:val="center"/>
              <w:rPr>
                <w:lang w:val="en-GB"/>
              </w:rPr>
            </w:pPr>
            <w:r w:rsidRPr="00912BEE">
              <w:rPr>
                <w:lang w:val="en-GB"/>
              </w:rPr>
              <w:t>23.</w:t>
            </w:r>
            <w:r w:rsidR="004A2B58" w:rsidRPr="00912BEE">
              <w:rPr>
                <w:lang w:val="en-GB"/>
              </w:rPr>
              <w:t>7</w:t>
            </w:r>
          </w:p>
        </w:tc>
        <w:tc>
          <w:tcPr>
            <w:tcW w:w="636" w:type="dxa"/>
            <w:noWrap/>
            <w:vAlign w:val="center"/>
            <w:hideMark/>
          </w:tcPr>
          <w:p w14:paraId="0F6B21B7" w14:textId="77777777" w:rsidR="00721087" w:rsidRPr="00912BEE" w:rsidRDefault="00721087" w:rsidP="004A2B58">
            <w:pPr>
              <w:jc w:val="center"/>
              <w:rPr>
                <w:lang w:val="en-GB"/>
              </w:rPr>
            </w:pPr>
            <w:r w:rsidRPr="00912BEE">
              <w:rPr>
                <w:lang w:val="en-GB"/>
              </w:rPr>
              <w:t>2.3</w:t>
            </w:r>
          </w:p>
        </w:tc>
      </w:tr>
      <w:tr w:rsidR="004A2B58" w:rsidRPr="00912BEE" w14:paraId="6077BA13" w14:textId="77777777" w:rsidTr="00FC2D1B">
        <w:trPr>
          <w:trHeight w:val="285"/>
          <w:jc w:val="center"/>
        </w:trPr>
        <w:tc>
          <w:tcPr>
            <w:tcW w:w="2273" w:type="dxa"/>
            <w:noWrap/>
            <w:hideMark/>
          </w:tcPr>
          <w:p w14:paraId="3D51C644" w14:textId="084DBEF2" w:rsidR="00721087" w:rsidRPr="00912BEE" w:rsidRDefault="00721087" w:rsidP="00721087">
            <w:pPr>
              <w:rPr>
                <w:lang w:val="en-GB"/>
              </w:rPr>
            </w:pPr>
            <w:r w:rsidRPr="00912BEE">
              <w:rPr>
                <w:lang w:val="en-GB"/>
              </w:rPr>
              <w:t xml:space="preserve">Code </w:t>
            </w:r>
            <w:r w:rsidR="004A2B58" w:rsidRPr="00912BEE">
              <w:rPr>
                <w:lang w:val="en-GB"/>
              </w:rPr>
              <w:t>g</w:t>
            </w:r>
            <w:r w:rsidRPr="00912BEE">
              <w:rPr>
                <w:lang w:val="en-GB"/>
              </w:rPr>
              <w:t>losses</w:t>
            </w:r>
          </w:p>
        </w:tc>
        <w:tc>
          <w:tcPr>
            <w:tcW w:w="777" w:type="dxa"/>
            <w:noWrap/>
            <w:vAlign w:val="center"/>
            <w:hideMark/>
          </w:tcPr>
          <w:p w14:paraId="052FE91C" w14:textId="77777777" w:rsidR="00721087" w:rsidRPr="00912BEE" w:rsidRDefault="00721087" w:rsidP="004A2B58">
            <w:pPr>
              <w:jc w:val="center"/>
              <w:rPr>
                <w:lang w:val="en-GB"/>
              </w:rPr>
            </w:pPr>
            <w:r w:rsidRPr="00912BEE">
              <w:rPr>
                <w:lang w:val="en-GB"/>
              </w:rPr>
              <w:t>182</w:t>
            </w:r>
          </w:p>
        </w:tc>
        <w:tc>
          <w:tcPr>
            <w:tcW w:w="1056" w:type="dxa"/>
            <w:noWrap/>
            <w:vAlign w:val="center"/>
            <w:hideMark/>
          </w:tcPr>
          <w:p w14:paraId="1A0E98D0" w14:textId="5FF4CDA6" w:rsidR="00721087" w:rsidRPr="00912BEE" w:rsidRDefault="00721087" w:rsidP="004A2B58">
            <w:pPr>
              <w:jc w:val="center"/>
              <w:rPr>
                <w:lang w:val="en-GB"/>
              </w:rPr>
            </w:pPr>
            <w:r w:rsidRPr="00912BEE">
              <w:rPr>
                <w:lang w:val="en-GB"/>
              </w:rPr>
              <w:t>35.6</w:t>
            </w:r>
          </w:p>
        </w:tc>
        <w:tc>
          <w:tcPr>
            <w:tcW w:w="636" w:type="dxa"/>
            <w:noWrap/>
            <w:vAlign w:val="center"/>
            <w:hideMark/>
          </w:tcPr>
          <w:p w14:paraId="3D091B89" w14:textId="77777777" w:rsidR="00721087" w:rsidRPr="00912BEE" w:rsidRDefault="00721087" w:rsidP="004A2B58">
            <w:pPr>
              <w:jc w:val="center"/>
              <w:rPr>
                <w:lang w:val="en-GB"/>
              </w:rPr>
            </w:pPr>
            <w:r w:rsidRPr="00912BEE">
              <w:rPr>
                <w:lang w:val="en-GB"/>
              </w:rPr>
              <w:t>5.2</w:t>
            </w:r>
          </w:p>
        </w:tc>
        <w:tc>
          <w:tcPr>
            <w:tcW w:w="777" w:type="dxa"/>
            <w:noWrap/>
            <w:vAlign w:val="center"/>
            <w:hideMark/>
          </w:tcPr>
          <w:p w14:paraId="2172248C" w14:textId="77777777" w:rsidR="00721087" w:rsidRPr="00912BEE" w:rsidRDefault="00721087" w:rsidP="004A2B58">
            <w:pPr>
              <w:jc w:val="center"/>
              <w:rPr>
                <w:lang w:val="en-GB"/>
              </w:rPr>
            </w:pPr>
            <w:r w:rsidRPr="00912BEE">
              <w:rPr>
                <w:lang w:val="en-GB"/>
              </w:rPr>
              <w:t>228</w:t>
            </w:r>
          </w:p>
        </w:tc>
        <w:tc>
          <w:tcPr>
            <w:tcW w:w="1056" w:type="dxa"/>
            <w:noWrap/>
            <w:vAlign w:val="center"/>
            <w:hideMark/>
          </w:tcPr>
          <w:p w14:paraId="32F0D72B" w14:textId="4D824DD1" w:rsidR="00721087" w:rsidRPr="00912BEE" w:rsidRDefault="00721087" w:rsidP="004A2B58">
            <w:pPr>
              <w:jc w:val="center"/>
              <w:rPr>
                <w:lang w:val="en-GB"/>
              </w:rPr>
            </w:pPr>
            <w:r w:rsidRPr="00912BEE">
              <w:rPr>
                <w:lang w:val="en-GB"/>
              </w:rPr>
              <w:t>41.8</w:t>
            </w:r>
          </w:p>
        </w:tc>
        <w:tc>
          <w:tcPr>
            <w:tcW w:w="636" w:type="dxa"/>
            <w:noWrap/>
            <w:vAlign w:val="center"/>
            <w:hideMark/>
          </w:tcPr>
          <w:p w14:paraId="5C7B4AF6" w14:textId="1AF03613" w:rsidR="00721087" w:rsidRPr="00912BEE" w:rsidRDefault="00721087" w:rsidP="004A2B58">
            <w:pPr>
              <w:jc w:val="center"/>
              <w:rPr>
                <w:lang w:val="en-GB"/>
              </w:rPr>
            </w:pPr>
            <w:r w:rsidRPr="00912BEE">
              <w:rPr>
                <w:lang w:val="en-GB"/>
              </w:rPr>
              <w:t>4.8</w:t>
            </w:r>
          </w:p>
        </w:tc>
        <w:tc>
          <w:tcPr>
            <w:tcW w:w="777" w:type="dxa"/>
            <w:noWrap/>
            <w:vAlign w:val="center"/>
            <w:hideMark/>
          </w:tcPr>
          <w:p w14:paraId="00F79E01" w14:textId="77777777" w:rsidR="00721087" w:rsidRPr="00912BEE" w:rsidRDefault="00721087" w:rsidP="004A2B58">
            <w:pPr>
              <w:jc w:val="center"/>
              <w:rPr>
                <w:lang w:val="en-GB"/>
              </w:rPr>
            </w:pPr>
            <w:r w:rsidRPr="00912BEE">
              <w:rPr>
                <w:lang w:val="en-GB"/>
              </w:rPr>
              <w:t>274</w:t>
            </w:r>
          </w:p>
        </w:tc>
        <w:tc>
          <w:tcPr>
            <w:tcW w:w="1056" w:type="dxa"/>
            <w:noWrap/>
            <w:vAlign w:val="center"/>
            <w:hideMark/>
          </w:tcPr>
          <w:p w14:paraId="36754FA6" w14:textId="04A73F66" w:rsidR="00721087" w:rsidRPr="00912BEE" w:rsidRDefault="00721087" w:rsidP="004A2B58">
            <w:pPr>
              <w:jc w:val="center"/>
              <w:rPr>
                <w:lang w:val="en-GB"/>
              </w:rPr>
            </w:pPr>
            <w:r w:rsidRPr="00912BEE">
              <w:rPr>
                <w:lang w:val="en-GB"/>
              </w:rPr>
              <w:t>48.0</w:t>
            </w:r>
          </w:p>
        </w:tc>
        <w:tc>
          <w:tcPr>
            <w:tcW w:w="636" w:type="dxa"/>
            <w:noWrap/>
            <w:vAlign w:val="center"/>
            <w:hideMark/>
          </w:tcPr>
          <w:p w14:paraId="4D7D717D" w14:textId="77777777" w:rsidR="00721087" w:rsidRPr="00912BEE" w:rsidRDefault="00721087" w:rsidP="004A2B58">
            <w:pPr>
              <w:jc w:val="center"/>
              <w:rPr>
                <w:lang w:val="en-GB"/>
              </w:rPr>
            </w:pPr>
            <w:r w:rsidRPr="00912BEE">
              <w:rPr>
                <w:lang w:val="en-GB"/>
              </w:rPr>
              <w:t>4.4</w:t>
            </w:r>
          </w:p>
        </w:tc>
      </w:tr>
      <w:tr w:rsidR="004A2B58" w:rsidRPr="00912BEE" w14:paraId="23D5A3BF" w14:textId="77777777" w:rsidTr="00FC2D1B">
        <w:trPr>
          <w:trHeight w:val="285"/>
          <w:jc w:val="center"/>
        </w:trPr>
        <w:tc>
          <w:tcPr>
            <w:tcW w:w="2273" w:type="dxa"/>
            <w:noWrap/>
          </w:tcPr>
          <w:p w14:paraId="7B27EF74" w14:textId="36920C7F" w:rsidR="004A2B58" w:rsidRPr="00912BEE" w:rsidRDefault="004A2B58" w:rsidP="004A2B58">
            <w:pPr>
              <w:jc w:val="right"/>
              <w:rPr>
                <w:b/>
                <w:bCs/>
                <w:lang w:val="en-GB"/>
              </w:rPr>
            </w:pPr>
            <w:r w:rsidRPr="00912BEE">
              <w:rPr>
                <w:b/>
                <w:bCs/>
                <w:lang w:val="en-GB"/>
              </w:rPr>
              <w:t>Total</w:t>
            </w:r>
          </w:p>
        </w:tc>
        <w:tc>
          <w:tcPr>
            <w:tcW w:w="777" w:type="dxa"/>
            <w:noWrap/>
          </w:tcPr>
          <w:p w14:paraId="461A2ED3" w14:textId="63A537FC" w:rsidR="004A2B58" w:rsidRPr="00912BEE" w:rsidRDefault="004A2B58" w:rsidP="004A2B58">
            <w:pPr>
              <w:jc w:val="center"/>
              <w:rPr>
                <w:b/>
                <w:bCs/>
                <w:lang w:val="en-GB"/>
              </w:rPr>
            </w:pPr>
            <w:r w:rsidRPr="00912BEE">
              <w:rPr>
                <w:b/>
                <w:bCs/>
                <w:lang w:val="en-GB"/>
              </w:rPr>
              <w:t>1571</w:t>
            </w:r>
          </w:p>
        </w:tc>
        <w:tc>
          <w:tcPr>
            <w:tcW w:w="1056" w:type="dxa"/>
            <w:noWrap/>
          </w:tcPr>
          <w:p w14:paraId="75832DE4" w14:textId="5461ABB7" w:rsidR="004A2B58" w:rsidRPr="00912BEE" w:rsidRDefault="004A2B58" w:rsidP="004A2B58">
            <w:pPr>
              <w:jc w:val="center"/>
              <w:rPr>
                <w:b/>
                <w:bCs/>
                <w:lang w:val="en-GB"/>
              </w:rPr>
            </w:pPr>
            <w:r w:rsidRPr="00912BEE">
              <w:rPr>
                <w:b/>
                <w:bCs/>
                <w:lang w:val="en-GB"/>
              </w:rPr>
              <w:t xml:space="preserve">307.0 </w:t>
            </w:r>
          </w:p>
        </w:tc>
        <w:tc>
          <w:tcPr>
            <w:tcW w:w="636" w:type="dxa"/>
            <w:noWrap/>
          </w:tcPr>
          <w:p w14:paraId="44846A7B" w14:textId="42057E45" w:rsidR="004A2B58" w:rsidRPr="00912BEE" w:rsidRDefault="004A2B58" w:rsidP="004A2B58">
            <w:pPr>
              <w:jc w:val="center"/>
              <w:rPr>
                <w:b/>
                <w:bCs/>
                <w:lang w:val="en-GB"/>
              </w:rPr>
            </w:pPr>
            <w:r w:rsidRPr="00912BEE">
              <w:rPr>
                <w:b/>
                <w:bCs/>
                <w:lang w:val="en-GB"/>
              </w:rPr>
              <w:t>21.1</w:t>
            </w:r>
          </w:p>
        </w:tc>
        <w:tc>
          <w:tcPr>
            <w:tcW w:w="777" w:type="dxa"/>
            <w:noWrap/>
          </w:tcPr>
          <w:p w14:paraId="26F5C4D4" w14:textId="67CA0165" w:rsidR="004A2B58" w:rsidRPr="00912BEE" w:rsidRDefault="004A2B58" w:rsidP="004A2B58">
            <w:pPr>
              <w:jc w:val="center"/>
              <w:rPr>
                <w:b/>
                <w:bCs/>
                <w:lang w:val="en-GB"/>
              </w:rPr>
            </w:pPr>
            <w:r w:rsidRPr="00912BEE">
              <w:rPr>
                <w:b/>
                <w:bCs/>
                <w:lang w:val="en-GB"/>
              </w:rPr>
              <w:t>1704</w:t>
            </w:r>
          </w:p>
        </w:tc>
        <w:tc>
          <w:tcPr>
            <w:tcW w:w="1056" w:type="dxa"/>
            <w:noWrap/>
          </w:tcPr>
          <w:p w14:paraId="3D8CD22E" w14:textId="4BA461D9" w:rsidR="004A2B58" w:rsidRPr="00912BEE" w:rsidRDefault="004A2B58" w:rsidP="004A2B58">
            <w:pPr>
              <w:jc w:val="center"/>
              <w:rPr>
                <w:b/>
                <w:bCs/>
                <w:lang w:val="en-GB"/>
              </w:rPr>
            </w:pPr>
            <w:r w:rsidRPr="00912BEE">
              <w:rPr>
                <w:b/>
                <w:bCs/>
                <w:lang w:val="en-GB"/>
              </w:rPr>
              <w:t xml:space="preserve">314.5 </w:t>
            </w:r>
          </w:p>
        </w:tc>
        <w:tc>
          <w:tcPr>
            <w:tcW w:w="636" w:type="dxa"/>
            <w:noWrap/>
          </w:tcPr>
          <w:p w14:paraId="5E680E65" w14:textId="7C4A99B8" w:rsidR="004A2B58" w:rsidRPr="00912BEE" w:rsidRDefault="004A2B58" w:rsidP="004A2B58">
            <w:pPr>
              <w:jc w:val="center"/>
              <w:rPr>
                <w:b/>
                <w:bCs/>
                <w:lang w:val="en-GB"/>
              </w:rPr>
            </w:pPr>
            <w:r w:rsidRPr="00912BEE">
              <w:rPr>
                <w:b/>
                <w:bCs/>
                <w:lang w:val="en-GB"/>
              </w:rPr>
              <w:t xml:space="preserve">16.5 </w:t>
            </w:r>
          </w:p>
        </w:tc>
        <w:tc>
          <w:tcPr>
            <w:tcW w:w="777" w:type="dxa"/>
            <w:noWrap/>
          </w:tcPr>
          <w:p w14:paraId="58FD10CE" w14:textId="54F82A85" w:rsidR="004A2B58" w:rsidRPr="00912BEE" w:rsidRDefault="004A2B58" w:rsidP="004A2B58">
            <w:pPr>
              <w:jc w:val="center"/>
              <w:rPr>
                <w:b/>
                <w:bCs/>
                <w:lang w:val="en-GB"/>
              </w:rPr>
            </w:pPr>
            <w:r w:rsidRPr="00912BEE">
              <w:rPr>
                <w:b/>
                <w:bCs/>
                <w:lang w:val="en-GB"/>
              </w:rPr>
              <w:t>1838</w:t>
            </w:r>
          </w:p>
        </w:tc>
        <w:tc>
          <w:tcPr>
            <w:tcW w:w="1056" w:type="dxa"/>
            <w:noWrap/>
          </w:tcPr>
          <w:p w14:paraId="7F7AA00D" w14:textId="594597AC" w:rsidR="004A2B58" w:rsidRPr="00912BEE" w:rsidRDefault="004A2B58" w:rsidP="004A2B58">
            <w:pPr>
              <w:jc w:val="center"/>
              <w:rPr>
                <w:b/>
                <w:bCs/>
                <w:lang w:val="en-GB"/>
              </w:rPr>
            </w:pPr>
            <w:r w:rsidRPr="00912BEE">
              <w:rPr>
                <w:b/>
                <w:bCs/>
                <w:lang w:val="en-GB"/>
              </w:rPr>
              <w:t xml:space="preserve">322.1 </w:t>
            </w:r>
          </w:p>
        </w:tc>
        <w:tc>
          <w:tcPr>
            <w:tcW w:w="636" w:type="dxa"/>
            <w:noWrap/>
          </w:tcPr>
          <w:p w14:paraId="1E5AFE2C" w14:textId="164480B1" w:rsidR="004A2B58" w:rsidRPr="00912BEE" w:rsidRDefault="004A2B58" w:rsidP="004A2B58">
            <w:pPr>
              <w:jc w:val="center"/>
              <w:rPr>
                <w:b/>
                <w:bCs/>
                <w:lang w:val="en-GB"/>
              </w:rPr>
            </w:pPr>
            <w:r w:rsidRPr="00912BEE">
              <w:rPr>
                <w:b/>
                <w:bCs/>
                <w:lang w:val="en-GB"/>
              </w:rPr>
              <w:t>13.8</w:t>
            </w:r>
          </w:p>
        </w:tc>
      </w:tr>
    </w:tbl>
    <w:p w14:paraId="32127A05" w14:textId="77777777" w:rsidR="00721087" w:rsidRPr="00912BEE" w:rsidRDefault="00721087" w:rsidP="006D2EDE">
      <w:pPr>
        <w:rPr>
          <w:lang w:val="en-GB"/>
        </w:rPr>
      </w:pPr>
    </w:p>
    <w:p w14:paraId="2B706E6C" w14:textId="3899C42F" w:rsidR="00EB2A39" w:rsidRPr="00912BEE" w:rsidRDefault="00EB2A39" w:rsidP="004452F0">
      <w:pPr>
        <w:jc w:val="left"/>
        <w:rPr>
          <w:i/>
          <w:iCs/>
          <w:lang w:val="en-GB"/>
        </w:rPr>
      </w:pPr>
      <w:proofErr w:type="spellStart"/>
      <w:r w:rsidRPr="00912BEE">
        <w:rPr>
          <w:lang w:val="en-GB"/>
        </w:rPr>
        <w:t>Endophoric</w:t>
      </w:r>
      <w:proofErr w:type="spellEnd"/>
      <w:r w:rsidRPr="00912BEE">
        <w:rPr>
          <w:lang w:val="en-GB"/>
        </w:rPr>
        <w:t xml:space="preserve"> markers </w:t>
      </w:r>
      <w:r w:rsidR="004452F0" w:rsidRPr="00912BEE">
        <w:rPr>
          <w:lang w:val="en-GB"/>
        </w:rPr>
        <w:t xml:space="preserve">aid comprehension of detailed arguments by directing readers around the text, pointing them towards examples or other parts of the discourse, as here:   </w:t>
      </w:r>
    </w:p>
    <w:p w14:paraId="6F6ED01A" w14:textId="4AA9088D" w:rsidR="00EB2A39" w:rsidRPr="00912BEE" w:rsidRDefault="004452F0" w:rsidP="000963CF">
      <w:pPr>
        <w:ind w:left="426"/>
        <w:rPr>
          <w:lang w:val="en-GB"/>
        </w:rPr>
      </w:pPr>
      <w:r w:rsidRPr="00912BEE">
        <w:rPr>
          <w:lang w:val="en-GB"/>
        </w:rPr>
        <w:t>(1</w:t>
      </w:r>
      <w:r w:rsidR="006746BD" w:rsidRPr="00912BEE">
        <w:rPr>
          <w:lang w:val="en-GB"/>
        </w:rPr>
        <w:t>3</w:t>
      </w:r>
      <w:r w:rsidRPr="00912BEE">
        <w:rPr>
          <w:lang w:val="en-GB"/>
        </w:rPr>
        <w:t xml:space="preserve">) </w:t>
      </w:r>
      <w:r w:rsidR="00CF5B59" w:rsidRPr="00912BEE">
        <w:rPr>
          <w:lang w:val="en-GB"/>
        </w:rPr>
        <w:t xml:space="preserve">The dilemma raised in </w:t>
      </w:r>
      <w:r w:rsidR="00CF5B59" w:rsidRPr="00912BEE">
        <w:rPr>
          <w:b/>
          <w:bCs/>
          <w:lang w:val="en-GB"/>
        </w:rPr>
        <w:t>the previous paragraph</w:t>
      </w:r>
      <w:r w:rsidR="00CF5B59" w:rsidRPr="00912BEE">
        <w:rPr>
          <w:lang w:val="en-GB"/>
        </w:rPr>
        <w:t xml:space="preserve"> is rarely brought out into the open in the major ESP/EAP textbooks and resource books. </w:t>
      </w:r>
      <w:r w:rsidR="00265038" w:rsidRPr="00912BEE">
        <w:rPr>
          <w:lang w:val="en-GB"/>
        </w:rPr>
        <w:t xml:space="preserve">            </w:t>
      </w:r>
      <w:r w:rsidR="00CF5B59" w:rsidRPr="00912BEE">
        <w:rPr>
          <w:lang w:val="en-GB"/>
        </w:rPr>
        <w:t>(2009)</w:t>
      </w:r>
    </w:p>
    <w:p w14:paraId="5A0C8F5F" w14:textId="61C5A31F" w:rsidR="004452F0" w:rsidRPr="00912BEE" w:rsidRDefault="004452F0" w:rsidP="000963CF">
      <w:pPr>
        <w:ind w:left="426"/>
        <w:rPr>
          <w:lang w:val="en-GB"/>
        </w:rPr>
      </w:pPr>
      <w:r w:rsidRPr="00912BEE">
        <w:rPr>
          <w:lang w:val="en-GB"/>
        </w:rPr>
        <w:t>(1</w:t>
      </w:r>
      <w:r w:rsidR="006746BD" w:rsidRPr="00912BEE">
        <w:rPr>
          <w:lang w:val="en-GB"/>
        </w:rPr>
        <w:t>4</w:t>
      </w:r>
      <w:r w:rsidRPr="00912BEE">
        <w:rPr>
          <w:lang w:val="en-GB"/>
        </w:rPr>
        <w:t xml:space="preserve">) </w:t>
      </w:r>
      <w:r w:rsidR="009A6DE2" w:rsidRPr="00912BEE">
        <w:rPr>
          <w:lang w:val="en-GB"/>
        </w:rPr>
        <w:t xml:space="preserve">All of the </w:t>
      </w:r>
      <w:r w:rsidR="009A6DE2" w:rsidRPr="00912BEE">
        <w:rPr>
          <w:b/>
          <w:bCs/>
          <w:lang w:val="en-GB"/>
        </w:rPr>
        <w:t>above findings</w:t>
      </w:r>
      <w:r w:rsidR="009A6DE2" w:rsidRPr="00912BEE">
        <w:rPr>
          <w:lang w:val="en-GB"/>
        </w:rPr>
        <w:t xml:space="preserve"> are largely what we might expect from a well-cited but non-controversial article in applied language studies.</w:t>
      </w:r>
      <w:r w:rsidR="00A744B8" w:rsidRPr="00912BEE">
        <w:rPr>
          <w:lang w:val="en-GB"/>
        </w:rPr>
        <w:t xml:space="preserve">  </w:t>
      </w:r>
      <w:r w:rsidR="009A6DE2" w:rsidRPr="00912BEE">
        <w:rPr>
          <w:lang w:val="en-GB"/>
        </w:rPr>
        <w:t xml:space="preserve"> </w:t>
      </w:r>
      <w:r w:rsidR="00265038" w:rsidRPr="00912BEE">
        <w:rPr>
          <w:lang w:val="en-GB"/>
        </w:rPr>
        <w:t xml:space="preserve">           </w:t>
      </w:r>
      <w:r w:rsidR="009A6DE2" w:rsidRPr="00912BEE">
        <w:rPr>
          <w:lang w:val="en-GB"/>
        </w:rPr>
        <w:t>(2012)</w:t>
      </w:r>
    </w:p>
    <w:p w14:paraId="0C456FD7" w14:textId="22A883EB" w:rsidR="004452F0" w:rsidRPr="00912BEE" w:rsidRDefault="009A6DE2" w:rsidP="000963CF">
      <w:pPr>
        <w:ind w:left="426"/>
        <w:rPr>
          <w:lang w:val="en-GB"/>
        </w:rPr>
      </w:pPr>
      <w:r w:rsidRPr="00912BEE">
        <w:rPr>
          <w:lang w:val="en-GB"/>
        </w:rPr>
        <w:t>(1</w:t>
      </w:r>
      <w:r w:rsidR="00265038" w:rsidRPr="00912BEE">
        <w:rPr>
          <w:lang w:val="en-GB"/>
        </w:rPr>
        <w:t>5</w:t>
      </w:r>
      <w:r w:rsidRPr="00912BEE">
        <w:rPr>
          <w:lang w:val="en-GB"/>
        </w:rPr>
        <w:t xml:space="preserve">) </w:t>
      </w:r>
      <w:r w:rsidR="000963CF" w:rsidRPr="00912BEE">
        <w:rPr>
          <w:lang w:val="en-GB"/>
        </w:rPr>
        <w:t xml:space="preserve">The </w:t>
      </w:r>
      <w:r w:rsidR="000963CF" w:rsidRPr="00912BEE">
        <w:rPr>
          <w:b/>
          <w:bCs/>
          <w:lang w:val="en-GB"/>
        </w:rPr>
        <w:t>following three examples</w:t>
      </w:r>
      <w:r w:rsidR="000963CF" w:rsidRPr="00912BEE">
        <w:rPr>
          <w:lang w:val="en-GB"/>
        </w:rPr>
        <w:t>, all from G2.02.1, illustrate the way this author engages with the literature</w:t>
      </w:r>
      <w:r w:rsidR="00A744B8" w:rsidRPr="00912BEE">
        <w:rPr>
          <w:lang w:val="en-GB"/>
        </w:rPr>
        <w:t>.</w:t>
      </w:r>
      <w:r w:rsidR="000963CF" w:rsidRPr="00912BEE">
        <w:rPr>
          <w:b/>
          <w:bCs/>
          <w:lang w:val="en-GB"/>
        </w:rPr>
        <w:t xml:space="preserve"> </w:t>
      </w:r>
      <w:r w:rsidR="00A744B8" w:rsidRPr="00912BEE">
        <w:rPr>
          <w:b/>
          <w:bCs/>
          <w:lang w:val="en-GB"/>
        </w:rPr>
        <w:t xml:space="preserve">   </w:t>
      </w:r>
      <w:r w:rsidR="00265038" w:rsidRPr="00912BEE">
        <w:rPr>
          <w:b/>
          <w:bCs/>
          <w:lang w:val="en-GB"/>
        </w:rPr>
        <w:t xml:space="preserve">                                 </w:t>
      </w:r>
      <w:r w:rsidR="00A744B8" w:rsidRPr="00912BEE">
        <w:rPr>
          <w:b/>
          <w:bCs/>
          <w:lang w:val="en-GB"/>
        </w:rPr>
        <w:t xml:space="preserve"> </w:t>
      </w:r>
      <w:r w:rsidRPr="00912BEE">
        <w:rPr>
          <w:lang w:val="en-GB"/>
        </w:rPr>
        <w:t>(</w:t>
      </w:r>
      <w:r w:rsidR="000963CF" w:rsidRPr="00912BEE">
        <w:rPr>
          <w:lang w:val="en-GB"/>
        </w:rPr>
        <w:t>2014)</w:t>
      </w:r>
    </w:p>
    <w:p w14:paraId="78C3C08C" w14:textId="77777777" w:rsidR="00265038" w:rsidRPr="00912BEE" w:rsidRDefault="00265038" w:rsidP="00971747">
      <w:pPr>
        <w:jc w:val="left"/>
        <w:rPr>
          <w:lang w:val="en-GB"/>
        </w:rPr>
      </w:pPr>
    </w:p>
    <w:p w14:paraId="149ECCA1" w14:textId="35D99F5F" w:rsidR="00003A18" w:rsidRPr="00912BEE" w:rsidRDefault="00003A18" w:rsidP="00971747">
      <w:pPr>
        <w:jc w:val="left"/>
        <w:rPr>
          <w:szCs w:val="24"/>
          <w:lang w:val="en-GB"/>
        </w:rPr>
      </w:pPr>
      <w:r w:rsidRPr="00912BEE">
        <w:rPr>
          <w:lang w:val="en-GB"/>
        </w:rPr>
        <w:t xml:space="preserve">By bringing salient </w:t>
      </w:r>
      <w:r w:rsidRPr="00912BEE">
        <w:rPr>
          <w:szCs w:val="24"/>
          <w:lang w:val="en-GB"/>
        </w:rPr>
        <w:t>material to the reader’s notice, Swales not only facilitates their comprehension of the text flow</w:t>
      </w:r>
      <w:r w:rsidR="0099546D" w:rsidRPr="00912BEE">
        <w:rPr>
          <w:szCs w:val="24"/>
          <w:lang w:val="en-GB"/>
        </w:rPr>
        <w:t>, and so</w:t>
      </w:r>
      <w:r w:rsidRPr="00912BEE">
        <w:rPr>
          <w:szCs w:val="24"/>
          <w:lang w:val="en-GB"/>
        </w:rPr>
        <w:t xml:space="preserve"> </w:t>
      </w:r>
      <w:r w:rsidR="0099546D" w:rsidRPr="00912BEE">
        <w:rPr>
          <w:szCs w:val="24"/>
          <w:lang w:val="en-GB"/>
        </w:rPr>
        <w:t xml:space="preserve">aids the recovery of his meanings, </w:t>
      </w:r>
      <w:r w:rsidRPr="00912BEE">
        <w:rPr>
          <w:szCs w:val="24"/>
          <w:lang w:val="en-GB"/>
        </w:rPr>
        <w:t>but also steers them to a preferred interpretation or reading of the discourse.</w:t>
      </w:r>
      <w:r w:rsidR="0099546D" w:rsidRPr="00912BEE">
        <w:rPr>
          <w:szCs w:val="24"/>
          <w:lang w:val="en-GB"/>
        </w:rPr>
        <w:t xml:space="preserve"> Moving forward and back through the text, referring to earlier material or anticipating something yet to come, we see a confident author in control of his </w:t>
      </w:r>
      <w:r w:rsidRPr="00912BEE">
        <w:rPr>
          <w:szCs w:val="24"/>
          <w:lang w:val="en-GB"/>
        </w:rPr>
        <w:t>arguments</w:t>
      </w:r>
      <w:r w:rsidR="0099546D" w:rsidRPr="00912BEE">
        <w:rPr>
          <w:szCs w:val="24"/>
          <w:lang w:val="en-GB"/>
        </w:rPr>
        <w:t xml:space="preserve">. </w:t>
      </w:r>
    </w:p>
    <w:p w14:paraId="5A4C7D21" w14:textId="77777777" w:rsidR="004452F0" w:rsidRPr="00912BEE" w:rsidRDefault="004452F0" w:rsidP="00971747">
      <w:pPr>
        <w:jc w:val="left"/>
        <w:rPr>
          <w:lang w:val="en-GB"/>
        </w:rPr>
      </w:pPr>
    </w:p>
    <w:p w14:paraId="6BADC7D9" w14:textId="5EA524A9" w:rsidR="00A744B8" w:rsidRPr="00912BEE" w:rsidRDefault="00A744B8" w:rsidP="00971747">
      <w:pPr>
        <w:pStyle w:val="BodyText2"/>
        <w:tabs>
          <w:tab w:val="clear" w:pos="9214"/>
          <w:tab w:val="left" w:pos="2694"/>
          <w:tab w:val="left" w:pos="8789"/>
        </w:tabs>
        <w:spacing w:line="360" w:lineRule="auto"/>
        <w:ind w:right="27"/>
        <w:jc w:val="left"/>
        <w:rPr>
          <w:color w:val="000000" w:themeColor="text1"/>
          <w:szCs w:val="24"/>
        </w:rPr>
      </w:pPr>
      <w:r w:rsidRPr="00FA0368">
        <w:rPr>
          <w:color w:val="000000" w:themeColor="text1"/>
        </w:rPr>
        <w:t>While Swales</w:t>
      </w:r>
      <w:r w:rsidR="00B93E43" w:rsidRPr="00FA0368">
        <w:rPr>
          <w:rFonts w:eastAsiaTheme="minorEastAsia"/>
          <w:color w:val="000000" w:themeColor="text1"/>
          <w:lang w:eastAsia="zh-CN"/>
        </w:rPr>
        <w:t>’</w:t>
      </w:r>
      <w:r w:rsidRPr="00FA0368">
        <w:rPr>
          <w:color w:val="000000" w:themeColor="text1"/>
        </w:rPr>
        <w:t xml:space="preserve"> use of </w:t>
      </w:r>
      <w:proofErr w:type="spellStart"/>
      <w:r w:rsidRPr="00FA0368">
        <w:rPr>
          <w:color w:val="000000" w:themeColor="text1"/>
        </w:rPr>
        <w:t>endophorics</w:t>
      </w:r>
      <w:proofErr w:type="spellEnd"/>
      <w:r w:rsidRPr="00FA0368">
        <w:rPr>
          <w:color w:val="000000" w:themeColor="text1"/>
        </w:rPr>
        <w:t xml:space="preserve"> comprises a relatively small proportion of his use of interactive markers, </w:t>
      </w:r>
      <w:r w:rsidR="00EB2A39" w:rsidRPr="00FA0368">
        <w:rPr>
          <w:color w:val="000000" w:themeColor="text1"/>
        </w:rPr>
        <w:t>code glosses</w:t>
      </w:r>
      <w:r w:rsidRPr="00FA0368">
        <w:rPr>
          <w:color w:val="000000" w:themeColor="text1"/>
        </w:rPr>
        <w:t xml:space="preserve"> figure more prominently in the corpus. As the term suggests, these devices </w:t>
      </w:r>
      <w:r w:rsidRPr="00FA0368">
        <w:rPr>
          <w:color w:val="000000" w:themeColor="text1"/>
          <w:szCs w:val="24"/>
        </w:rPr>
        <w:t>supply additional informa</w:t>
      </w:r>
      <w:r w:rsidRPr="00FA0368">
        <w:rPr>
          <w:color w:val="000000" w:themeColor="text1"/>
          <w:szCs w:val="24"/>
        </w:rPr>
        <w:softHyphen/>
        <w:t xml:space="preserve">tion, by rephrasing, explaining or elaborating what has been said, to ensure the reader is able to recover the writer’s intended meaning (Hyland, </w:t>
      </w:r>
      <w:r w:rsidR="001E435B" w:rsidRPr="00FA0368">
        <w:rPr>
          <w:color w:val="000000" w:themeColor="text1"/>
          <w:szCs w:val="24"/>
        </w:rPr>
        <w:t>2007)</w:t>
      </w:r>
      <w:r w:rsidRPr="00FA0368">
        <w:rPr>
          <w:color w:val="000000" w:themeColor="text1"/>
          <w:szCs w:val="24"/>
        </w:rPr>
        <w:t xml:space="preserve">. They </w:t>
      </w:r>
      <w:r w:rsidR="00971747" w:rsidRPr="00FA0368">
        <w:rPr>
          <w:color w:val="000000" w:themeColor="text1"/>
          <w:szCs w:val="24"/>
        </w:rPr>
        <w:t xml:space="preserve">are based on the </w:t>
      </w:r>
      <w:r w:rsidRPr="00FA0368">
        <w:rPr>
          <w:color w:val="000000" w:themeColor="text1"/>
          <w:szCs w:val="24"/>
        </w:rPr>
        <w:t>writer’s predictions about the reader’s knowledge</w:t>
      </w:r>
      <w:r w:rsidR="00B93E43" w:rsidRPr="00FA0368">
        <w:rPr>
          <w:rFonts w:eastAsiaTheme="minorEastAsia"/>
          <w:color w:val="000000" w:themeColor="text1"/>
          <w:szCs w:val="24"/>
          <w:lang w:eastAsia="zh-CN"/>
        </w:rPr>
        <w:t xml:space="preserve"> </w:t>
      </w:r>
      <w:r w:rsidRPr="00FA0368">
        <w:rPr>
          <w:color w:val="000000" w:themeColor="text1"/>
          <w:szCs w:val="24"/>
        </w:rPr>
        <w:t xml:space="preserve">base and are introduced by phrases like </w:t>
      </w:r>
      <w:r w:rsidR="00971747" w:rsidRPr="00FA0368">
        <w:rPr>
          <w:i/>
          <w:color w:val="000000" w:themeColor="text1"/>
          <w:szCs w:val="24"/>
        </w:rPr>
        <w:t xml:space="preserve">that is, this can be defined as, </w:t>
      </w:r>
      <w:r w:rsidRPr="00FA0368">
        <w:rPr>
          <w:i/>
          <w:color w:val="000000" w:themeColor="text1"/>
          <w:szCs w:val="24"/>
        </w:rPr>
        <w:t>this is called</w:t>
      </w:r>
      <w:r w:rsidRPr="00912BEE">
        <w:rPr>
          <w:i/>
          <w:color w:val="000000" w:themeColor="text1"/>
          <w:szCs w:val="24"/>
        </w:rPr>
        <w:t>, in other words, for example, etc.</w:t>
      </w:r>
      <w:r w:rsidR="00E913B1" w:rsidRPr="00912BEE">
        <w:rPr>
          <w:i/>
          <w:color w:val="000000" w:themeColor="text1"/>
          <w:szCs w:val="24"/>
        </w:rPr>
        <w:t xml:space="preserve"> </w:t>
      </w:r>
      <w:r w:rsidR="00E913B1" w:rsidRPr="00912BEE">
        <w:rPr>
          <w:iCs/>
          <w:color w:val="000000" w:themeColor="text1"/>
          <w:szCs w:val="24"/>
        </w:rPr>
        <w:t>or are marked off by</w:t>
      </w:r>
      <w:r w:rsidRPr="00912BEE">
        <w:rPr>
          <w:i/>
          <w:color w:val="000000" w:themeColor="text1"/>
          <w:szCs w:val="24"/>
        </w:rPr>
        <w:t xml:space="preserve"> </w:t>
      </w:r>
      <w:r w:rsidRPr="00912BEE">
        <w:rPr>
          <w:color w:val="000000" w:themeColor="text1"/>
          <w:szCs w:val="24"/>
        </w:rPr>
        <w:t>parenthe</w:t>
      </w:r>
      <w:r w:rsidRPr="00912BEE">
        <w:rPr>
          <w:color w:val="000000" w:themeColor="text1"/>
          <w:szCs w:val="24"/>
        </w:rPr>
        <w:softHyphen/>
        <w:t xml:space="preserve">sis. </w:t>
      </w:r>
    </w:p>
    <w:p w14:paraId="71C780BF" w14:textId="2BD99D2B" w:rsidR="00EB2A39" w:rsidRPr="00912BEE" w:rsidRDefault="009A6DE2" w:rsidP="00971747">
      <w:pPr>
        <w:ind w:left="567"/>
        <w:rPr>
          <w:lang w:val="en-GB"/>
        </w:rPr>
      </w:pPr>
      <w:r w:rsidRPr="00912BEE">
        <w:rPr>
          <w:lang w:val="en-GB"/>
        </w:rPr>
        <w:t>(</w:t>
      </w:r>
      <w:r w:rsidR="00A744B8" w:rsidRPr="00912BEE">
        <w:rPr>
          <w:lang w:val="en-GB"/>
        </w:rPr>
        <w:t>1</w:t>
      </w:r>
      <w:r w:rsidR="00E12E4F" w:rsidRPr="00912BEE">
        <w:rPr>
          <w:lang w:val="en-GB"/>
        </w:rPr>
        <w:t>6</w:t>
      </w:r>
      <w:r w:rsidRPr="00912BEE">
        <w:rPr>
          <w:lang w:val="en-GB"/>
        </w:rPr>
        <w:t xml:space="preserve">) </w:t>
      </w:r>
      <w:r w:rsidRPr="00912BEE">
        <w:rPr>
          <w:b/>
          <w:bCs/>
          <w:lang w:val="en-GB"/>
        </w:rPr>
        <w:t>In other words</w:t>
      </w:r>
      <w:r w:rsidRPr="00912BEE">
        <w:rPr>
          <w:lang w:val="en-GB"/>
        </w:rPr>
        <w:t xml:space="preserve">, Hyon’s frame is reperformed again and again as a mechanism for structuring new introductory material   </w:t>
      </w:r>
      <w:r w:rsidR="0046424C" w:rsidRPr="00912BEE">
        <w:rPr>
          <w:lang w:val="en-GB"/>
        </w:rPr>
        <w:t xml:space="preserve">           </w:t>
      </w:r>
      <w:r w:rsidRPr="00912BEE">
        <w:rPr>
          <w:lang w:val="en-GB"/>
        </w:rPr>
        <w:t>(2012)</w:t>
      </w:r>
    </w:p>
    <w:p w14:paraId="4461C83A" w14:textId="0464AE72" w:rsidR="00EB2A39" w:rsidRPr="00912BEE" w:rsidRDefault="00971747" w:rsidP="00971747">
      <w:pPr>
        <w:ind w:left="567"/>
        <w:rPr>
          <w:lang w:val="en-GB"/>
        </w:rPr>
      </w:pPr>
      <w:r w:rsidRPr="00912BEE">
        <w:rPr>
          <w:lang w:val="en-GB"/>
        </w:rPr>
        <w:t>(1</w:t>
      </w:r>
      <w:r w:rsidR="00E12E4F" w:rsidRPr="00912BEE">
        <w:rPr>
          <w:lang w:val="en-GB"/>
        </w:rPr>
        <w:t>7</w:t>
      </w:r>
      <w:r w:rsidRPr="00912BEE">
        <w:rPr>
          <w:lang w:val="en-GB"/>
        </w:rPr>
        <w:t>)</w:t>
      </w:r>
      <w:r w:rsidR="0052327C" w:rsidRPr="00912BEE">
        <w:rPr>
          <w:lang w:val="en-GB"/>
        </w:rPr>
        <w:t xml:space="preserve"> </w:t>
      </w:r>
      <w:r w:rsidR="0046424C" w:rsidRPr="00912BEE">
        <w:rPr>
          <w:lang w:val="en-GB"/>
        </w:rPr>
        <w:t xml:space="preserve">The one exception appeared to be pre-nominal modifiers </w:t>
      </w:r>
      <w:r w:rsidR="0046424C" w:rsidRPr="00912BEE">
        <w:rPr>
          <w:b/>
          <w:bCs/>
          <w:lang w:val="en-GB"/>
        </w:rPr>
        <w:t>such as</w:t>
      </w:r>
      <w:r w:rsidR="0046424C" w:rsidRPr="00912BEE">
        <w:rPr>
          <w:lang w:val="en-GB"/>
        </w:rPr>
        <w:t xml:space="preserve"> “purified liquid hydrogen”; however, “bare” participles occurring after the NP </w:t>
      </w:r>
      <w:r w:rsidR="0046424C" w:rsidRPr="00912BEE">
        <w:rPr>
          <w:b/>
          <w:bCs/>
          <w:lang w:val="en-GB"/>
        </w:rPr>
        <w:t>(</w:t>
      </w:r>
      <w:r w:rsidR="0046424C" w:rsidRPr="00912BEE">
        <w:rPr>
          <w:lang w:val="en-GB"/>
        </w:rPr>
        <w:t>“The pressure shown”</w:t>
      </w:r>
      <w:r w:rsidR="0046424C" w:rsidRPr="00912BEE">
        <w:rPr>
          <w:b/>
          <w:bCs/>
          <w:lang w:val="en-GB"/>
        </w:rPr>
        <w:t xml:space="preserve">) </w:t>
      </w:r>
      <w:r w:rsidR="0046424C" w:rsidRPr="00912BEE">
        <w:rPr>
          <w:lang w:val="en-GB"/>
        </w:rPr>
        <w:t>were apparently included…                    (2004)</w:t>
      </w:r>
    </w:p>
    <w:p w14:paraId="1EFEB105" w14:textId="79029035" w:rsidR="00971747" w:rsidRPr="00912BEE" w:rsidRDefault="00971747" w:rsidP="00971747">
      <w:pPr>
        <w:ind w:left="567"/>
        <w:rPr>
          <w:lang w:val="en-GB"/>
        </w:rPr>
      </w:pPr>
      <w:r w:rsidRPr="00912BEE">
        <w:rPr>
          <w:lang w:val="en-GB"/>
        </w:rPr>
        <w:lastRenderedPageBreak/>
        <w:t>(1</w:t>
      </w:r>
      <w:r w:rsidR="00E12E4F" w:rsidRPr="00912BEE">
        <w:rPr>
          <w:lang w:val="en-GB"/>
        </w:rPr>
        <w:t>8</w:t>
      </w:r>
      <w:r w:rsidRPr="00912BEE">
        <w:rPr>
          <w:lang w:val="en-GB"/>
        </w:rPr>
        <w:t>)</w:t>
      </w:r>
      <w:r w:rsidR="0052327C" w:rsidRPr="00912BEE">
        <w:rPr>
          <w:lang w:val="en-GB"/>
        </w:rPr>
        <w:t xml:space="preserve"> </w:t>
      </w:r>
      <w:r w:rsidR="00F26981" w:rsidRPr="00912BEE">
        <w:rPr>
          <w:lang w:val="en-GB"/>
        </w:rPr>
        <w:t xml:space="preserve">Reporting verbs can be divided into those that are </w:t>
      </w:r>
      <w:proofErr w:type="spellStart"/>
      <w:r w:rsidR="00F26981" w:rsidRPr="00912BEE">
        <w:rPr>
          <w:lang w:val="en-GB"/>
        </w:rPr>
        <w:t>factive</w:t>
      </w:r>
      <w:proofErr w:type="spellEnd"/>
      <w:r w:rsidR="00F26981" w:rsidRPr="00912BEE">
        <w:rPr>
          <w:lang w:val="en-GB"/>
        </w:rPr>
        <w:t xml:space="preserve">, </w:t>
      </w:r>
      <w:r w:rsidR="00F26981" w:rsidRPr="00912BEE">
        <w:rPr>
          <w:b/>
          <w:bCs/>
          <w:lang w:val="en-GB"/>
        </w:rPr>
        <w:t>that is</w:t>
      </w:r>
      <w:r w:rsidR="00F26981" w:rsidRPr="00912BEE">
        <w:rPr>
          <w:lang w:val="en-GB"/>
        </w:rPr>
        <w:t>, the writer indicates by such a choice that she or he believes that the reported proposition is correct…                                                 (2014)</w:t>
      </w:r>
    </w:p>
    <w:p w14:paraId="6B80C260" w14:textId="77777777" w:rsidR="000B3C75" w:rsidRPr="00912BEE" w:rsidRDefault="000B3C75" w:rsidP="00971747">
      <w:pPr>
        <w:rPr>
          <w:lang w:val="en-GB"/>
        </w:rPr>
      </w:pPr>
    </w:p>
    <w:p w14:paraId="6F8F6CDE" w14:textId="149004D9" w:rsidR="00971747" w:rsidRPr="00912BEE" w:rsidRDefault="00971747" w:rsidP="00A91765">
      <w:pPr>
        <w:jc w:val="left"/>
        <w:rPr>
          <w:lang w:val="en-GB"/>
        </w:rPr>
      </w:pPr>
      <w:r w:rsidRPr="00912BEE">
        <w:rPr>
          <w:lang w:val="en-GB"/>
        </w:rPr>
        <w:t>Clearly, code glosses can assist in comprehension, constructing definitions and explanations by reformulating or restating propositional material</w:t>
      </w:r>
      <w:r w:rsidR="00914040" w:rsidRPr="00912BEE">
        <w:rPr>
          <w:lang w:val="en-GB"/>
        </w:rPr>
        <w:t xml:space="preserve">. But while they reduce ambiguity and convey something of Swales’ reader-sensitivity, they nevertheless contribute to the </w:t>
      </w:r>
      <w:r w:rsidR="000B3C75" w:rsidRPr="00912BEE">
        <w:rPr>
          <w:lang w:val="en-GB"/>
        </w:rPr>
        <w:t>persuasiveness</w:t>
      </w:r>
      <w:r w:rsidR="00914040" w:rsidRPr="00912BEE">
        <w:rPr>
          <w:lang w:val="en-GB"/>
        </w:rPr>
        <w:t xml:space="preserve"> of a text</w:t>
      </w:r>
      <w:r w:rsidR="00A91765" w:rsidRPr="00912BEE">
        <w:rPr>
          <w:lang w:val="en-GB"/>
        </w:rPr>
        <w:t>. R</w:t>
      </w:r>
      <w:r w:rsidR="000B3C75" w:rsidRPr="00912BEE">
        <w:rPr>
          <w:lang w:val="en-GB"/>
        </w:rPr>
        <w:t>eformulating, ‘</w:t>
      </w:r>
      <w:proofErr w:type="spellStart"/>
      <w:r w:rsidR="000B3C75" w:rsidRPr="00912BEE">
        <w:rPr>
          <w:lang w:val="en-GB"/>
        </w:rPr>
        <w:t>gisting</w:t>
      </w:r>
      <w:proofErr w:type="spellEnd"/>
      <w:r w:rsidR="000B3C75" w:rsidRPr="00912BEE">
        <w:rPr>
          <w:lang w:val="en-GB"/>
        </w:rPr>
        <w:t>’, and exemplifying are all ways of saying something twice, increasing the chances that readers will get the idea</w:t>
      </w:r>
      <w:r w:rsidR="00FA0368">
        <w:rPr>
          <w:lang w:val="en-GB"/>
        </w:rPr>
        <w:t>. A</w:t>
      </w:r>
      <w:r w:rsidR="00A91765" w:rsidRPr="00912BEE">
        <w:rPr>
          <w:lang w:val="en-GB"/>
        </w:rPr>
        <w:t xml:space="preserve">lthough this </w:t>
      </w:r>
      <w:r w:rsidR="000B3C75" w:rsidRPr="00912BEE">
        <w:rPr>
          <w:bCs/>
          <w:iCs/>
          <w:lang w:val="en-GB"/>
        </w:rPr>
        <w:t xml:space="preserve">may present two ‘versions’ of the same </w:t>
      </w:r>
      <w:r w:rsidR="00A91765" w:rsidRPr="00912BEE">
        <w:rPr>
          <w:bCs/>
          <w:iCs/>
          <w:lang w:val="en-GB"/>
        </w:rPr>
        <w:t>idea</w:t>
      </w:r>
      <w:r w:rsidR="000B3C75" w:rsidRPr="00912BEE">
        <w:rPr>
          <w:bCs/>
          <w:iCs/>
          <w:lang w:val="en-GB"/>
        </w:rPr>
        <w:t>, alternative formulations rarely constitute identical meanings and go beyond paraphrase to present what the writer considers to be the key elements of a prior utterance.</w:t>
      </w:r>
      <w:r w:rsidR="00A91765" w:rsidRPr="00912BEE">
        <w:rPr>
          <w:bCs/>
          <w:iCs/>
          <w:lang w:val="en-GB"/>
        </w:rPr>
        <w:t xml:space="preserve"> </w:t>
      </w:r>
    </w:p>
    <w:p w14:paraId="2029D393" w14:textId="124CDBD8" w:rsidR="000B3C75" w:rsidRPr="00912BEE" w:rsidRDefault="00A91765" w:rsidP="004B025C">
      <w:pPr>
        <w:ind w:left="566" w:hangingChars="236" w:hanging="566"/>
        <w:jc w:val="left"/>
        <w:rPr>
          <w:bCs/>
          <w:iCs/>
          <w:lang w:val="en-GB"/>
        </w:rPr>
      </w:pPr>
      <w:r w:rsidRPr="00912BEE">
        <w:rPr>
          <w:bCs/>
          <w:iCs/>
          <w:lang w:val="en-GB"/>
        </w:rPr>
        <w:tab/>
        <w:t>(1</w:t>
      </w:r>
      <w:r w:rsidR="004B025C" w:rsidRPr="00912BEE">
        <w:rPr>
          <w:bCs/>
          <w:iCs/>
          <w:lang w:val="en-GB"/>
        </w:rPr>
        <w:t>9</w:t>
      </w:r>
      <w:r w:rsidRPr="00912BEE">
        <w:rPr>
          <w:bCs/>
          <w:iCs/>
          <w:lang w:val="en-GB"/>
        </w:rPr>
        <w:t xml:space="preserve">) </w:t>
      </w:r>
      <w:r w:rsidR="004B025C" w:rsidRPr="00912BEE">
        <w:rPr>
          <w:bCs/>
          <w:iCs/>
          <w:lang w:val="en-GB"/>
        </w:rPr>
        <w:t xml:space="preserve">‘the students’ experience with textbooks may make it harder for them to deal with other text types they encounter later in a scientific career, or with their own writing at university, because they get no sense of how facts are established’ (1992: 13). </w:t>
      </w:r>
      <w:r w:rsidR="004B025C" w:rsidRPr="00912BEE">
        <w:rPr>
          <w:b/>
          <w:iCs/>
          <w:lang w:val="en-GB"/>
        </w:rPr>
        <w:t>In other words</w:t>
      </w:r>
      <w:r w:rsidR="004B025C" w:rsidRPr="00912BEE">
        <w:rPr>
          <w:bCs/>
          <w:iCs/>
          <w:lang w:val="en-GB"/>
        </w:rPr>
        <w:t>, the better textbooks are at transmitting a canon of knowledge (one good), the worse they are at fostering critical reading (another good).                                      (2020)</w:t>
      </w:r>
    </w:p>
    <w:p w14:paraId="4C0B5CD8" w14:textId="77777777" w:rsidR="004B025C" w:rsidRPr="00912BEE" w:rsidRDefault="004B025C" w:rsidP="00DF1CA1">
      <w:pPr>
        <w:jc w:val="left"/>
        <w:rPr>
          <w:bCs/>
          <w:iCs/>
          <w:lang w:val="en-GB"/>
        </w:rPr>
      </w:pPr>
    </w:p>
    <w:p w14:paraId="2F198E7C" w14:textId="4A76A90A" w:rsidR="000B3C75" w:rsidRPr="00912BEE" w:rsidRDefault="00A267A6" w:rsidP="00DF1CA1">
      <w:pPr>
        <w:jc w:val="left"/>
        <w:rPr>
          <w:lang w:val="en-GB"/>
        </w:rPr>
      </w:pPr>
      <w:r w:rsidRPr="00FA0368">
        <w:rPr>
          <w:lang w:val="en-GB"/>
        </w:rPr>
        <w:t xml:space="preserve">Here we see an </w:t>
      </w:r>
      <w:r w:rsidR="00A154FE" w:rsidRPr="00FA0368">
        <w:rPr>
          <w:lang w:val="en-GB"/>
        </w:rPr>
        <w:t>explicitly interpretative</w:t>
      </w:r>
      <w:r w:rsidRPr="00FA0368">
        <w:rPr>
          <w:lang w:val="en-GB"/>
        </w:rPr>
        <w:t xml:space="preserve"> </w:t>
      </w:r>
      <w:r w:rsidR="00A154FE" w:rsidRPr="00FA0368">
        <w:rPr>
          <w:lang w:val="en-GB"/>
        </w:rPr>
        <w:t xml:space="preserve">reformulation </w:t>
      </w:r>
      <w:r w:rsidRPr="00FA0368">
        <w:rPr>
          <w:lang w:val="en-GB"/>
        </w:rPr>
        <w:t xml:space="preserve">which both restates and </w:t>
      </w:r>
      <w:r w:rsidR="00A154FE" w:rsidRPr="00FA0368">
        <w:rPr>
          <w:lang w:val="en-GB"/>
        </w:rPr>
        <w:t>draw</w:t>
      </w:r>
      <w:r w:rsidRPr="00FA0368">
        <w:rPr>
          <w:lang w:val="en-GB"/>
        </w:rPr>
        <w:t>s</w:t>
      </w:r>
      <w:r w:rsidR="00A154FE" w:rsidRPr="00FA0368">
        <w:rPr>
          <w:lang w:val="en-GB"/>
        </w:rPr>
        <w:t xml:space="preserve"> implications </w:t>
      </w:r>
      <w:r w:rsidRPr="00FA0368">
        <w:rPr>
          <w:lang w:val="en-GB"/>
        </w:rPr>
        <w:t>of the argument to ensure that readers do</w:t>
      </w:r>
      <w:r w:rsidR="004B1A40" w:rsidRPr="00FA0368">
        <w:rPr>
          <w:lang w:val="en-GB"/>
        </w:rPr>
        <w:t xml:space="preserve"> not</w:t>
      </w:r>
      <w:r w:rsidRPr="00FA0368">
        <w:rPr>
          <w:lang w:val="en-GB"/>
        </w:rPr>
        <w:t xml:space="preserve"> miss the main point, moving from </w:t>
      </w:r>
      <w:r w:rsidR="00A154FE" w:rsidRPr="00FA0368">
        <w:rPr>
          <w:lang w:val="en-GB"/>
        </w:rPr>
        <w:t>abstraction to real-world reference.</w:t>
      </w:r>
    </w:p>
    <w:p w14:paraId="1D46288A" w14:textId="77777777" w:rsidR="00904F77" w:rsidRPr="00912BEE" w:rsidRDefault="00904F77" w:rsidP="00DF1CA1">
      <w:pPr>
        <w:jc w:val="left"/>
        <w:rPr>
          <w:lang w:val="en-GB"/>
        </w:rPr>
      </w:pPr>
    </w:p>
    <w:p w14:paraId="3E017CD9" w14:textId="77777777" w:rsidR="00FD754F" w:rsidRDefault="00A154FE" w:rsidP="00FD754F">
      <w:pPr>
        <w:jc w:val="left"/>
        <w:rPr>
          <w:rFonts w:cs="Times New Roman"/>
        </w:rPr>
      </w:pPr>
      <w:r w:rsidRPr="00912BEE">
        <w:rPr>
          <w:lang w:val="en-GB"/>
        </w:rPr>
        <w:t>Despite Swales</w:t>
      </w:r>
      <w:r w:rsidR="000F7A21" w:rsidRPr="00912BEE">
        <w:rPr>
          <w:lang w:val="en-GB"/>
        </w:rPr>
        <w:t xml:space="preserve"> becoming </w:t>
      </w:r>
      <w:r w:rsidR="00DF1CA1" w:rsidRPr="00912BEE">
        <w:rPr>
          <w:lang w:val="en-GB"/>
        </w:rPr>
        <w:t xml:space="preserve">increasingly </w:t>
      </w:r>
      <w:r w:rsidR="000F7A21" w:rsidRPr="00912BEE">
        <w:rPr>
          <w:lang w:val="en-GB"/>
        </w:rPr>
        <w:t xml:space="preserve">more invested in ensuring his arguments were transparent through greater use of textual navigation and clarification, we found </w:t>
      </w:r>
      <w:r w:rsidR="00A348EC" w:rsidRPr="00912BEE">
        <w:rPr>
          <w:lang w:val="en-GB"/>
        </w:rPr>
        <w:t>a concurrent and significant decrease in his use of evidentials</w:t>
      </w:r>
      <w:r w:rsidR="005C76AB" w:rsidRPr="00912BEE">
        <w:rPr>
          <w:lang w:val="en-GB"/>
        </w:rPr>
        <w:t xml:space="preserve"> (</w:t>
      </w:r>
      <w:r w:rsidR="005C76AB" w:rsidRPr="00912BEE">
        <w:rPr>
          <w:i/>
          <w:iCs/>
          <w:lang w:val="en-GB"/>
        </w:rPr>
        <w:t>LL</w:t>
      </w:r>
      <w:r w:rsidR="005C76AB" w:rsidRPr="00912BEE">
        <w:rPr>
          <w:lang w:val="en-GB"/>
        </w:rPr>
        <w:t xml:space="preserve"> = 12.67, </w:t>
      </w:r>
      <w:r w:rsidR="005C76AB" w:rsidRPr="00912BEE">
        <w:rPr>
          <w:i/>
          <w:iCs/>
          <w:lang w:val="en-GB"/>
        </w:rPr>
        <w:t>%DIFF</w:t>
      </w:r>
      <w:r w:rsidR="005C76AB" w:rsidRPr="00912BEE">
        <w:rPr>
          <w:lang w:val="en-GB"/>
        </w:rPr>
        <w:t xml:space="preserve"> = 49.50, </w:t>
      </w:r>
      <w:r w:rsidR="005C76AB" w:rsidRPr="00912BEE">
        <w:rPr>
          <w:i/>
          <w:iCs/>
          <w:lang w:val="en-GB"/>
        </w:rPr>
        <w:t>p</w:t>
      </w:r>
      <w:r w:rsidR="005C76AB" w:rsidRPr="00912BEE">
        <w:rPr>
          <w:lang w:val="en-GB"/>
        </w:rPr>
        <w:t xml:space="preserve"> &lt; 0.001)</w:t>
      </w:r>
      <w:r w:rsidR="00A348EC" w:rsidRPr="00912BEE">
        <w:rPr>
          <w:lang w:val="en-GB"/>
        </w:rPr>
        <w:t>.</w:t>
      </w:r>
      <w:r w:rsidR="005C76AB" w:rsidRPr="00912BEE">
        <w:rPr>
          <w:lang w:val="en-GB"/>
        </w:rPr>
        <w:t xml:space="preserve"> </w:t>
      </w:r>
      <w:r w:rsidR="00904F77" w:rsidRPr="0070460E">
        <w:rPr>
          <w:rFonts w:cs="Times New Roman"/>
        </w:rPr>
        <w:t xml:space="preserve">Evidentials </w:t>
      </w:r>
      <w:r w:rsidR="00904F77" w:rsidRPr="0070460E">
        <w:rPr>
          <w:rFonts w:cs="Times New Roman" w:hint="eastAsia"/>
        </w:rPr>
        <w:t>typically</w:t>
      </w:r>
      <w:r w:rsidR="00904F77" w:rsidRPr="0070460E">
        <w:rPr>
          <w:rFonts w:cs="Times New Roman"/>
        </w:rPr>
        <w:t xml:space="preserve"> function to </w:t>
      </w:r>
      <w:r w:rsidR="0070460E" w:rsidRPr="0070460E">
        <w:rPr>
          <w:rFonts w:cs="Times New Roman"/>
        </w:rPr>
        <w:t xml:space="preserve">support the legitimacy of claims by </w:t>
      </w:r>
      <w:r w:rsidR="00904F77" w:rsidRPr="0070460E">
        <w:rPr>
          <w:rFonts w:cs="Times New Roman"/>
        </w:rPr>
        <w:t>locat</w:t>
      </w:r>
      <w:r w:rsidR="0070460E" w:rsidRPr="0070460E">
        <w:rPr>
          <w:rFonts w:cs="Times New Roman"/>
        </w:rPr>
        <w:t xml:space="preserve">ing them </w:t>
      </w:r>
      <w:r w:rsidR="00904F77" w:rsidRPr="0070460E">
        <w:rPr>
          <w:rFonts w:cs="Times New Roman"/>
        </w:rPr>
        <w:t>within a recognized disciplinary literature. Th</w:t>
      </w:r>
      <w:r w:rsidR="0070460E" w:rsidRPr="0070460E">
        <w:rPr>
          <w:rFonts w:cs="Times New Roman"/>
        </w:rPr>
        <w:t xml:space="preserve">is </w:t>
      </w:r>
      <w:r w:rsidR="00904F77" w:rsidRPr="0070460E">
        <w:rPr>
          <w:rFonts w:cs="Times New Roman"/>
        </w:rPr>
        <w:t xml:space="preserve">reduction therefore </w:t>
      </w:r>
      <w:r w:rsidR="0070460E">
        <w:rPr>
          <w:rFonts w:cs="Times New Roman"/>
        </w:rPr>
        <w:t xml:space="preserve">reveals an important </w:t>
      </w:r>
      <w:r w:rsidR="00904F77" w:rsidRPr="0070460E">
        <w:rPr>
          <w:rFonts w:cs="Times New Roman"/>
        </w:rPr>
        <w:t xml:space="preserve">shift in how Swales constructs </w:t>
      </w:r>
      <w:r w:rsidR="0070460E" w:rsidRPr="0070460E">
        <w:rPr>
          <w:rFonts w:cs="Times New Roman"/>
        </w:rPr>
        <w:t>his arguments</w:t>
      </w:r>
      <w:r w:rsidR="00904F77" w:rsidRPr="0070460E">
        <w:rPr>
          <w:rFonts w:cs="Times New Roman"/>
        </w:rPr>
        <w:t xml:space="preserve"> over time</w:t>
      </w:r>
      <w:r w:rsidR="0070460E" w:rsidRPr="0070460E">
        <w:rPr>
          <w:rFonts w:cs="Times New Roman"/>
        </w:rPr>
        <w:t xml:space="preserve">, perhaps </w:t>
      </w:r>
      <w:r w:rsidR="00611825">
        <w:rPr>
          <w:rFonts w:cs="Times New Roman"/>
        </w:rPr>
        <w:lastRenderedPageBreak/>
        <w:t xml:space="preserve">reflecting both his </w:t>
      </w:r>
      <w:r w:rsidR="0070460E" w:rsidRPr="0070460E">
        <w:rPr>
          <w:rFonts w:cs="Times New Roman"/>
        </w:rPr>
        <w:t xml:space="preserve">growing </w:t>
      </w:r>
      <w:r w:rsidR="00904F77" w:rsidRPr="0070460E">
        <w:rPr>
          <w:rFonts w:cs="Times New Roman"/>
        </w:rPr>
        <w:t xml:space="preserve">disciplinary </w:t>
      </w:r>
      <w:r w:rsidR="0070460E" w:rsidRPr="0070460E">
        <w:rPr>
          <w:rFonts w:cs="Times New Roman"/>
        </w:rPr>
        <w:t>authority</w:t>
      </w:r>
      <w:r w:rsidR="00611825">
        <w:rPr>
          <w:rFonts w:cs="Times New Roman"/>
        </w:rPr>
        <w:t xml:space="preserve"> and an increasing </w:t>
      </w:r>
      <w:r w:rsidR="00FB182A">
        <w:rPr>
          <w:rFonts w:cs="Times New Roman"/>
        </w:rPr>
        <w:t xml:space="preserve">expectation that readers </w:t>
      </w:r>
      <w:r w:rsidR="00BB00A6">
        <w:rPr>
          <w:rFonts w:cs="Times New Roman"/>
        </w:rPr>
        <w:t xml:space="preserve">will recognize the evidential bases of his </w:t>
      </w:r>
      <w:r w:rsidR="00BB00A6" w:rsidRPr="00BB00A6">
        <w:rPr>
          <w:rFonts w:cs="Times New Roman"/>
        </w:rPr>
        <w:t>claims. On one hand there is perhaps greater reliance on his own interpretive voice as his views becom</w:t>
      </w:r>
      <w:r w:rsidR="00BB00A6">
        <w:rPr>
          <w:rFonts w:cs="Times New Roman"/>
        </w:rPr>
        <w:t>e</w:t>
      </w:r>
      <w:r w:rsidR="00BB00A6" w:rsidRPr="00BB00A6">
        <w:rPr>
          <w:rFonts w:cs="Times New Roman"/>
        </w:rPr>
        <w:t xml:space="preserve"> more </w:t>
      </w:r>
      <w:r w:rsidR="00904F77" w:rsidRPr="00BB00A6">
        <w:rPr>
          <w:rFonts w:cs="Times New Roman"/>
        </w:rPr>
        <w:t xml:space="preserve">established and widely </w:t>
      </w:r>
      <w:r w:rsidR="00BB00A6" w:rsidRPr="00BB00A6">
        <w:rPr>
          <w:rFonts w:cs="Times New Roman"/>
        </w:rPr>
        <w:t>recognized</w:t>
      </w:r>
      <w:r w:rsidR="00904F77" w:rsidRPr="00BB00A6">
        <w:rPr>
          <w:rFonts w:cs="Times New Roman"/>
        </w:rPr>
        <w:t xml:space="preserve">, </w:t>
      </w:r>
      <w:r w:rsidR="00BB00A6" w:rsidRPr="00BB00A6">
        <w:rPr>
          <w:rFonts w:cs="Times New Roman"/>
        </w:rPr>
        <w:t>with less need to explicitly align with the work of others.</w:t>
      </w:r>
      <w:r w:rsidR="00BB00A6">
        <w:rPr>
          <w:rFonts w:cs="Times New Roman"/>
        </w:rPr>
        <w:t xml:space="preserve"> On the other hand, </w:t>
      </w:r>
      <w:r w:rsidR="00FD754F">
        <w:rPr>
          <w:rFonts w:cs="Times New Roman"/>
        </w:rPr>
        <w:t xml:space="preserve">EAP was developing quickly as a community with a growing awareness of the </w:t>
      </w:r>
      <w:r w:rsidR="00BB00A6">
        <w:rPr>
          <w:rFonts w:cs="Times New Roman"/>
        </w:rPr>
        <w:t xml:space="preserve">corpus-based, community-informed genre analysis </w:t>
      </w:r>
      <w:r w:rsidR="00FD754F">
        <w:rPr>
          <w:rFonts w:cs="Times New Roman"/>
        </w:rPr>
        <w:t xml:space="preserve">Swales was pioneering. The field was becoming </w:t>
      </w:r>
      <w:r w:rsidR="00BB00A6">
        <w:rPr>
          <w:rFonts w:cs="Times New Roman"/>
        </w:rPr>
        <w:t>mainstream and</w:t>
      </w:r>
      <w:r w:rsidR="00FD754F">
        <w:rPr>
          <w:rFonts w:cs="Times New Roman"/>
        </w:rPr>
        <w:t xml:space="preserve"> accepted, perhaps allowing him to adopt a certain confidence that readers might not need the same support as earlier.</w:t>
      </w:r>
    </w:p>
    <w:p w14:paraId="7FE06483" w14:textId="77777777" w:rsidR="00611825" w:rsidRDefault="00611825" w:rsidP="00611825">
      <w:pPr>
        <w:jc w:val="left"/>
        <w:rPr>
          <w:rFonts w:cs="Times New Roman"/>
          <w:highlight w:val="yellow"/>
        </w:rPr>
      </w:pPr>
    </w:p>
    <w:p w14:paraId="26080CDE" w14:textId="0A53DEEF" w:rsidR="00904F77" w:rsidRPr="00FD754F" w:rsidRDefault="00904F77" w:rsidP="00611825">
      <w:pPr>
        <w:jc w:val="left"/>
        <w:rPr>
          <w:rFonts w:cs="Times New Roman"/>
        </w:rPr>
      </w:pPr>
      <w:r w:rsidRPr="00FD754F">
        <w:rPr>
          <w:rFonts w:cs="Times New Roman"/>
        </w:rPr>
        <w:t xml:space="preserve">In this sense, </w:t>
      </w:r>
      <w:r w:rsidR="00FD754F" w:rsidRPr="00FD754F">
        <w:rPr>
          <w:rFonts w:cs="Times New Roman"/>
        </w:rPr>
        <w:t xml:space="preserve">then, </w:t>
      </w:r>
      <w:r w:rsidRPr="00FD754F">
        <w:rPr>
          <w:rFonts w:cs="Times New Roman"/>
        </w:rPr>
        <w:t xml:space="preserve">citation moves from a primary </w:t>
      </w:r>
      <w:proofErr w:type="spellStart"/>
      <w:r w:rsidRPr="00FD754F">
        <w:rPr>
          <w:rFonts w:cs="Times New Roman"/>
        </w:rPr>
        <w:t>legitimising</w:t>
      </w:r>
      <w:proofErr w:type="spellEnd"/>
      <w:r w:rsidRPr="00FD754F">
        <w:rPr>
          <w:rFonts w:cs="Times New Roman"/>
        </w:rPr>
        <w:t xml:space="preserve"> resource to a more selective means of </w:t>
      </w:r>
      <w:proofErr w:type="spellStart"/>
      <w:r w:rsidRPr="00FD754F">
        <w:rPr>
          <w:rFonts w:cs="Times New Roman"/>
        </w:rPr>
        <w:t>contextualising</w:t>
      </w:r>
      <w:proofErr w:type="spellEnd"/>
      <w:r w:rsidRPr="00FD754F">
        <w:rPr>
          <w:rFonts w:cs="Times New Roman"/>
        </w:rPr>
        <w:t xml:space="preserve"> discussion. This pattern is particularly striking given the </w:t>
      </w:r>
      <w:r w:rsidR="00FD754F" w:rsidRPr="00FD754F">
        <w:rPr>
          <w:rFonts w:cs="Times New Roman"/>
        </w:rPr>
        <w:t>growth of literature and the</w:t>
      </w:r>
      <w:r w:rsidRPr="00FD754F">
        <w:rPr>
          <w:rFonts w:cs="Times New Roman"/>
        </w:rPr>
        <w:t xml:space="preserve"> expansion of referenc</w:t>
      </w:r>
      <w:r w:rsidR="00FD754F" w:rsidRPr="00FD754F">
        <w:rPr>
          <w:rFonts w:cs="Times New Roman"/>
        </w:rPr>
        <w:t>ing</w:t>
      </w:r>
      <w:r w:rsidRPr="00FD754F">
        <w:rPr>
          <w:rFonts w:cs="Times New Roman"/>
        </w:rPr>
        <w:t xml:space="preserve"> in academic writing more generally. Hyland and Jiang (2019)</w:t>
      </w:r>
      <w:r w:rsidR="00FD754F" w:rsidRPr="00FD754F">
        <w:rPr>
          <w:rFonts w:cs="Times New Roman"/>
        </w:rPr>
        <w:t>, for example,</w:t>
      </w:r>
      <w:r w:rsidRPr="00FD754F">
        <w:rPr>
          <w:rFonts w:cs="Times New Roman"/>
        </w:rPr>
        <w:t xml:space="preserve"> report a substantial increase in </w:t>
      </w:r>
      <w:r w:rsidR="00FD754F" w:rsidRPr="00FD754F">
        <w:rPr>
          <w:rFonts w:cs="Times New Roman"/>
        </w:rPr>
        <w:t xml:space="preserve">the length of </w:t>
      </w:r>
      <w:r w:rsidRPr="00FD754F">
        <w:rPr>
          <w:rFonts w:cs="Times New Roman"/>
        </w:rPr>
        <w:t>reference list</w:t>
      </w:r>
      <w:r w:rsidR="00FD754F" w:rsidRPr="00FD754F">
        <w:rPr>
          <w:rFonts w:cs="Times New Roman"/>
        </w:rPr>
        <w:t>s</w:t>
      </w:r>
      <w:r w:rsidRPr="00FD754F">
        <w:rPr>
          <w:rFonts w:cs="Times New Roman"/>
        </w:rPr>
        <w:t xml:space="preserve"> over </w:t>
      </w:r>
      <w:r w:rsidR="00FD754F" w:rsidRPr="00FD754F">
        <w:rPr>
          <w:rFonts w:cs="Times New Roman"/>
        </w:rPr>
        <w:t>the previous 50 years</w:t>
      </w:r>
      <w:r w:rsidRPr="00FD754F">
        <w:rPr>
          <w:rFonts w:cs="Times New Roman"/>
        </w:rPr>
        <w:t xml:space="preserve">, even when controlling for article length. Swales’s </w:t>
      </w:r>
      <w:r w:rsidR="00FD754F" w:rsidRPr="00FD754F">
        <w:rPr>
          <w:rFonts w:cs="Times New Roman"/>
        </w:rPr>
        <w:t xml:space="preserve">work is therefore an outlier, although we would hesitate to label this </w:t>
      </w:r>
      <w:r w:rsidRPr="00FD754F">
        <w:rPr>
          <w:rFonts w:cs="Times New Roman"/>
        </w:rPr>
        <w:t xml:space="preserve">divergence as disengagement from the literature, but as a rhetorical </w:t>
      </w:r>
      <w:r w:rsidR="00FD754F" w:rsidRPr="00FD754F">
        <w:rPr>
          <w:rFonts w:cs="Times New Roman"/>
        </w:rPr>
        <w:t xml:space="preserve">practice itself. An </w:t>
      </w:r>
      <w:r w:rsidRPr="00FD754F">
        <w:rPr>
          <w:rFonts w:cs="Times New Roman"/>
        </w:rPr>
        <w:t>expression of growing confidence in speaking from within the field he helped to shape.</w:t>
      </w:r>
    </w:p>
    <w:p w14:paraId="3B80444F" w14:textId="77777777" w:rsidR="000B3C75" w:rsidRPr="00912BEE" w:rsidRDefault="000B3C75" w:rsidP="006D2EDE">
      <w:pPr>
        <w:rPr>
          <w:lang w:val="en-GB"/>
        </w:rPr>
      </w:pPr>
    </w:p>
    <w:p w14:paraId="12EF5968" w14:textId="0FCCAC2E" w:rsidR="00F04303" w:rsidRPr="00912BEE" w:rsidRDefault="002E77B3" w:rsidP="006D2EDE">
      <w:pPr>
        <w:rPr>
          <w:lang w:val="en-GB"/>
        </w:rPr>
      </w:pPr>
      <w:r w:rsidRPr="00912BEE">
        <w:rPr>
          <w:lang w:val="en-GB"/>
        </w:rPr>
        <w:t>Interactive metadiscourse markers also include t</w:t>
      </w:r>
      <w:r w:rsidR="00E56525" w:rsidRPr="00912BEE">
        <w:rPr>
          <w:lang w:val="en-GB"/>
        </w:rPr>
        <w:t>ransition signals</w:t>
      </w:r>
      <w:r w:rsidRPr="00912BEE">
        <w:rPr>
          <w:lang w:val="en-GB"/>
        </w:rPr>
        <w:t xml:space="preserve"> which are</w:t>
      </w:r>
      <w:r w:rsidR="00E56525" w:rsidRPr="00912BEE">
        <w:rPr>
          <w:lang w:val="en-GB"/>
        </w:rPr>
        <w:t xml:space="preserve"> </w:t>
      </w:r>
      <w:r w:rsidR="00F04303" w:rsidRPr="00912BEE">
        <w:rPr>
          <w:lang w:val="en-GB"/>
        </w:rPr>
        <w:t>mainly conjunctions used to mark additive, contrastive, and consequential relations</w:t>
      </w:r>
      <w:r w:rsidRPr="00912BEE">
        <w:rPr>
          <w:lang w:val="en-GB"/>
        </w:rPr>
        <w:t>. These have also</w:t>
      </w:r>
      <w:r w:rsidR="00E56525" w:rsidRPr="00912BEE">
        <w:rPr>
          <w:lang w:val="en-GB"/>
        </w:rPr>
        <w:t xml:space="preserve"> remained more or less stable</w:t>
      </w:r>
      <w:r w:rsidR="00F04303" w:rsidRPr="00912BEE">
        <w:rPr>
          <w:lang w:val="en-GB"/>
        </w:rPr>
        <w:t xml:space="preserve"> as Swales </w:t>
      </w:r>
      <w:r w:rsidR="00FA0368">
        <w:rPr>
          <w:lang w:val="en-GB"/>
        </w:rPr>
        <w:t>rather</w:t>
      </w:r>
      <w:r w:rsidR="00F04303" w:rsidRPr="00912BEE">
        <w:rPr>
          <w:lang w:val="en-GB"/>
        </w:rPr>
        <w:t xml:space="preserve"> narrative style of exposition requires a </w:t>
      </w:r>
      <w:r w:rsidR="00704C85" w:rsidRPr="00912BEE">
        <w:rPr>
          <w:lang w:val="en-GB"/>
        </w:rPr>
        <w:t xml:space="preserve">relatively </w:t>
      </w:r>
      <w:r w:rsidR="00F04303" w:rsidRPr="00912BEE">
        <w:rPr>
          <w:lang w:val="en-GB"/>
        </w:rPr>
        <w:t>heavy use, and greater range</w:t>
      </w:r>
      <w:r w:rsidR="00704C85" w:rsidRPr="00912BEE">
        <w:rPr>
          <w:lang w:val="en-GB"/>
        </w:rPr>
        <w:t>,</w:t>
      </w:r>
      <w:r w:rsidR="00F04303" w:rsidRPr="00912BEE">
        <w:rPr>
          <w:lang w:val="en-GB"/>
        </w:rPr>
        <w:t xml:space="preserve"> of </w:t>
      </w:r>
      <w:r w:rsidRPr="00912BEE">
        <w:rPr>
          <w:lang w:val="en-GB"/>
        </w:rPr>
        <w:t xml:space="preserve">such </w:t>
      </w:r>
      <w:r w:rsidR="00F04303" w:rsidRPr="00912BEE">
        <w:rPr>
          <w:lang w:val="en-GB"/>
        </w:rPr>
        <w:t>markers, particularly those signalling addition and contrast.</w:t>
      </w:r>
    </w:p>
    <w:p w14:paraId="0AB69A49" w14:textId="4CD04C4A" w:rsidR="00851F51" w:rsidRPr="00912BEE" w:rsidRDefault="00851F51" w:rsidP="004D30A5">
      <w:pPr>
        <w:ind w:left="426"/>
        <w:rPr>
          <w:highlight w:val="cyan"/>
          <w:lang w:val="en-GB"/>
        </w:rPr>
      </w:pPr>
      <w:r w:rsidRPr="00912BEE">
        <w:rPr>
          <w:lang w:val="en-GB"/>
        </w:rPr>
        <w:t>(</w:t>
      </w:r>
      <w:r w:rsidR="00724420" w:rsidRPr="00912BEE">
        <w:rPr>
          <w:lang w:val="en-GB"/>
        </w:rPr>
        <w:t>20</w:t>
      </w:r>
      <w:r w:rsidRPr="00912BEE">
        <w:rPr>
          <w:lang w:val="en-GB"/>
        </w:rPr>
        <w:t xml:space="preserve">) </w:t>
      </w:r>
      <w:r w:rsidR="00615DCF" w:rsidRPr="00912BEE">
        <w:rPr>
          <w:lang w:val="en-GB"/>
        </w:rPr>
        <w:t xml:space="preserve">This </w:t>
      </w:r>
      <w:r w:rsidR="00615DCF" w:rsidRPr="00912BEE">
        <w:rPr>
          <w:b/>
          <w:bCs/>
          <w:lang w:val="en-GB"/>
        </w:rPr>
        <w:t>also</w:t>
      </w:r>
      <w:r w:rsidR="00615DCF" w:rsidRPr="00912BEE">
        <w:rPr>
          <w:lang w:val="en-GB"/>
        </w:rPr>
        <w:t xml:space="preserve"> is an impressive volume: large, comprehensive, almost </w:t>
      </w:r>
      <w:proofErr w:type="spellStart"/>
      <w:r w:rsidR="00615DCF" w:rsidRPr="00912BEE">
        <w:rPr>
          <w:lang w:val="en-GB"/>
        </w:rPr>
        <w:t>encyclopedic</w:t>
      </w:r>
      <w:proofErr w:type="spellEnd"/>
      <w:r w:rsidR="00615DCF" w:rsidRPr="00912BEE">
        <w:rPr>
          <w:lang w:val="en-GB"/>
        </w:rPr>
        <w:t xml:space="preserve">, and full of the kind of careful exposition that a useful handbook requires. We felt, </w:t>
      </w:r>
      <w:r w:rsidR="00615DCF" w:rsidRPr="00912BEE">
        <w:rPr>
          <w:b/>
          <w:bCs/>
          <w:lang w:val="en-GB"/>
        </w:rPr>
        <w:t>however</w:t>
      </w:r>
      <w:r w:rsidR="00615DCF" w:rsidRPr="00912BEE">
        <w:rPr>
          <w:lang w:val="en-GB"/>
        </w:rPr>
        <w:t xml:space="preserve">, that it focused more on technical than academic communications and, </w:t>
      </w:r>
      <w:r w:rsidR="00615DCF" w:rsidRPr="00912BEE">
        <w:rPr>
          <w:b/>
          <w:bCs/>
          <w:lang w:val="en-GB"/>
        </w:rPr>
        <w:t>while</w:t>
      </w:r>
      <w:r w:rsidR="00615DCF" w:rsidRPr="00912BEE">
        <w:rPr>
          <w:lang w:val="en-GB"/>
        </w:rPr>
        <w:t xml:space="preserve"> rhetorical and functional in orientation, would differ radically from AWG in the way it engaged students in rhetorical tasks.                      (1995)</w:t>
      </w:r>
    </w:p>
    <w:p w14:paraId="23E87E53" w14:textId="77777777" w:rsidR="00704C85" w:rsidRPr="00912BEE" w:rsidRDefault="00704C85" w:rsidP="006D2EDE">
      <w:pPr>
        <w:rPr>
          <w:highlight w:val="yellow"/>
          <w:lang w:val="en-GB"/>
        </w:rPr>
      </w:pPr>
    </w:p>
    <w:p w14:paraId="6D422581" w14:textId="0DF155EB" w:rsidR="00C3072D" w:rsidRPr="00912BEE" w:rsidRDefault="004D30A5" w:rsidP="00C3072D">
      <w:pPr>
        <w:rPr>
          <w:lang w:val="en-GB"/>
        </w:rPr>
      </w:pPr>
      <w:r w:rsidRPr="00912BEE">
        <w:rPr>
          <w:lang w:val="en-GB"/>
        </w:rPr>
        <w:lastRenderedPageBreak/>
        <w:t>Finally, f</w:t>
      </w:r>
      <w:r w:rsidR="00730298" w:rsidRPr="00912BEE">
        <w:rPr>
          <w:lang w:val="en-GB"/>
        </w:rPr>
        <w:t>rame markers</w:t>
      </w:r>
      <w:r w:rsidRPr="00912BEE">
        <w:rPr>
          <w:lang w:val="en-GB"/>
        </w:rPr>
        <w:t>. These extend transitions by helping to organise the text and reduce the reader’s processing effort by explicitly marking the structure of the argument.</w:t>
      </w:r>
      <w:r w:rsidR="00C3072D" w:rsidRPr="00912BEE">
        <w:rPr>
          <w:lang w:val="en-GB"/>
        </w:rPr>
        <w:t xml:space="preserve"> They announce the writer’s goals in the text</w:t>
      </w:r>
      <w:r w:rsidR="00671501">
        <w:rPr>
          <w:lang w:val="en-GB"/>
        </w:rPr>
        <w:t>, often combined with self-mention</w:t>
      </w:r>
      <w:r w:rsidR="00C3072D" w:rsidRPr="00912BEE">
        <w:rPr>
          <w:lang w:val="en-GB"/>
        </w:rPr>
        <w:t xml:space="preserve"> (</w:t>
      </w:r>
      <w:r w:rsidR="00671501" w:rsidRPr="00671501">
        <w:rPr>
          <w:i/>
          <w:iCs/>
          <w:lang w:val="en-GB"/>
        </w:rPr>
        <w:t>I</w:t>
      </w:r>
      <w:r w:rsidR="00C3072D" w:rsidRPr="00671501">
        <w:rPr>
          <w:i/>
          <w:iCs/>
          <w:lang w:val="en-GB"/>
        </w:rPr>
        <w:t xml:space="preserve"> a</w:t>
      </w:r>
      <w:r w:rsidR="00C3072D" w:rsidRPr="00912BEE">
        <w:rPr>
          <w:i/>
          <w:iCs/>
          <w:lang w:val="en-GB"/>
        </w:rPr>
        <w:t>rgue here, my purpose is, the paper proposes, I hope to persuade</w:t>
      </w:r>
      <w:r w:rsidR="00C3072D" w:rsidRPr="00912BEE">
        <w:rPr>
          <w:lang w:val="en-GB"/>
        </w:rPr>
        <w:t>)</w:t>
      </w:r>
      <w:r w:rsidRPr="00912BEE">
        <w:rPr>
          <w:lang w:val="en-GB"/>
        </w:rPr>
        <w:t xml:space="preserve"> </w:t>
      </w:r>
      <w:r w:rsidR="007461FB" w:rsidRPr="00912BEE">
        <w:rPr>
          <w:lang w:val="en-GB"/>
        </w:rPr>
        <w:t>or indi</w:t>
      </w:r>
      <w:r w:rsidR="007461FB" w:rsidRPr="00912BEE">
        <w:rPr>
          <w:lang w:val="en-GB"/>
        </w:rPr>
        <w:softHyphen/>
        <w:t>cate a shift in its direction (</w:t>
      </w:r>
      <w:r w:rsidR="007461FB" w:rsidRPr="00912BEE">
        <w:rPr>
          <w:i/>
          <w:iCs/>
          <w:lang w:val="en-GB"/>
        </w:rPr>
        <w:t>right, OK, now, let us return to, with regard to</w:t>
      </w:r>
      <w:r w:rsidR="007461FB" w:rsidRPr="00912BEE">
        <w:rPr>
          <w:lang w:val="en-GB"/>
        </w:rPr>
        <w:t xml:space="preserve">). </w:t>
      </w:r>
      <w:r w:rsidR="00C3072D" w:rsidRPr="00912BEE">
        <w:rPr>
          <w:lang w:val="en-GB"/>
        </w:rPr>
        <w:t xml:space="preserve">In a study of research articles, </w:t>
      </w:r>
      <w:r w:rsidR="007461FB" w:rsidRPr="00912BEE">
        <w:rPr>
          <w:lang w:val="en-GB"/>
        </w:rPr>
        <w:t xml:space="preserve">however, </w:t>
      </w:r>
      <w:r w:rsidR="00C3072D" w:rsidRPr="00912BEE">
        <w:rPr>
          <w:lang w:val="en-GB"/>
        </w:rPr>
        <w:t xml:space="preserve">Hyland and Zou (2020) found that 92% of </w:t>
      </w:r>
      <w:r w:rsidR="008B22AB" w:rsidRPr="00912BEE">
        <w:rPr>
          <w:lang w:val="en-GB"/>
        </w:rPr>
        <w:t>frame markers</w:t>
      </w:r>
      <w:r w:rsidR="00C3072D" w:rsidRPr="00912BEE">
        <w:rPr>
          <w:lang w:val="en-GB"/>
        </w:rPr>
        <w:t xml:space="preserve"> comprised </w:t>
      </w:r>
      <w:r w:rsidR="00C3072D" w:rsidRPr="00912BEE">
        <w:rPr>
          <w:i/>
          <w:iCs/>
          <w:lang w:val="en-GB"/>
        </w:rPr>
        <w:t>sequencers</w:t>
      </w:r>
      <w:r w:rsidR="00C3072D" w:rsidRPr="00912BEE">
        <w:rPr>
          <w:lang w:val="en-GB"/>
        </w:rPr>
        <w:t xml:space="preserve">: used to internally order an argument </w:t>
      </w:r>
      <w:r w:rsidR="007461FB" w:rsidRPr="00912BEE">
        <w:rPr>
          <w:lang w:val="en-GB"/>
        </w:rPr>
        <w:t xml:space="preserve">(example </w:t>
      </w:r>
      <w:r w:rsidR="00671501">
        <w:rPr>
          <w:lang w:val="en-GB"/>
        </w:rPr>
        <w:t>21</w:t>
      </w:r>
      <w:r w:rsidR="007461FB" w:rsidRPr="00912BEE">
        <w:rPr>
          <w:lang w:val="en-GB"/>
        </w:rPr>
        <w:t xml:space="preserve">) </w:t>
      </w:r>
      <w:r w:rsidR="00C3072D" w:rsidRPr="00912BEE">
        <w:rPr>
          <w:lang w:val="en-GB"/>
        </w:rPr>
        <w:t xml:space="preserve">and </w:t>
      </w:r>
      <w:r w:rsidR="00C3072D" w:rsidRPr="00912BEE">
        <w:rPr>
          <w:i/>
          <w:iCs/>
          <w:lang w:val="en-GB"/>
        </w:rPr>
        <w:t>labellers</w:t>
      </w:r>
      <w:r w:rsidR="00C3072D" w:rsidRPr="00912BEE">
        <w:rPr>
          <w:b/>
          <w:bCs/>
          <w:lang w:val="en-GB"/>
        </w:rPr>
        <w:t xml:space="preserve">, </w:t>
      </w:r>
      <w:r w:rsidR="00C3072D" w:rsidRPr="00912BEE">
        <w:rPr>
          <w:lang w:val="en-GB"/>
        </w:rPr>
        <w:t>which</w:t>
      </w:r>
      <w:r w:rsidR="00C3072D" w:rsidRPr="00912BEE">
        <w:rPr>
          <w:b/>
          <w:bCs/>
          <w:lang w:val="en-GB"/>
        </w:rPr>
        <w:t xml:space="preserve"> </w:t>
      </w:r>
      <w:r w:rsidR="00C3072D" w:rsidRPr="00912BEE">
        <w:rPr>
          <w:lang w:val="en-GB"/>
        </w:rPr>
        <w:t>explicitly name the function of upcoming text</w:t>
      </w:r>
      <w:r w:rsidR="007461FB" w:rsidRPr="00912BEE">
        <w:rPr>
          <w:lang w:val="en-GB"/>
        </w:rPr>
        <w:t xml:space="preserve"> (2</w:t>
      </w:r>
      <w:r w:rsidR="00671501">
        <w:rPr>
          <w:lang w:val="en-GB"/>
        </w:rPr>
        <w:t>2</w:t>
      </w:r>
      <w:r w:rsidR="007461FB" w:rsidRPr="00912BEE">
        <w:rPr>
          <w:lang w:val="en-GB"/>
        </w:rPr>
        <w:t>)</w:t>
      </w:r>
      <w:r w:rsidR="00C3072D" w:rsidRPr="00912BEE">
        <w:rPr>
          <w:lang w:val="en-GB"/>
        </w:rPr>
        <w:t xml:space="preserve">. </w:t>
      </w:r>
      <w:r w:rsidR="007461FB" w:rsidRPr="00912BEE">
        <w:rPr>
          <w:lang w:val="en-GB"/>
        </w:rPr>
        <w:t>Swales also makes considerable use of these devices:</w:t>
      </w:r>
    </w:p>
    <w:p w14:paraId="2DA4C06C" w14:textId="046432DC" w:rsidR="009E3B1C" w:rsidRDefault="007461FB" w:rsidP="0007056C">
      <w:pPr>
        <w:ind w:left="426"/>
        <w:jc w:val="left"/>
        <w:rPr>
          <w:lang w:val="en-GB"/>
        </w:rPr>
      </w:pPr>
      <w:r w:rsidRPr="00912BEE">
        <w:rPr>
          <w:lang w:val="en-GB"/>
        </w:rPr>
        <w:t>(</w:t>
      </w:r>
      <w:r w:rsidR="00A94D6C" w:rsidRPr="00912BEE">
        <w:rPr>
          <w:lang w:val="en-GB"/>
        </w:rPr>
        <w:t>21</w:t>
      </w:r>
      <w:r w:rsidRPr="00912BEE">
        <w:rPr>
          <w:lang w:val="en-GB"/>
        </w:rPr>
        <w:t xml:space="preserve">) </w:t>
      </w:r>
      <w:r w:rsidR="00671501">
        <w:rPr>
          <w:b/>
          <w:bCs/>
          <w:lang w:val="en-GB"/>
        </w:rPr>
        <w:t xml:space="preserve">Finally, </w:t>
      </w:r>
      <w:r w:rsidR="00671501" w:rsidRPr="00671501">
        <w:rPr>
          <w:lang w:val="en-GB"/>
        </w:rPr>
        <w:t>we turn to</w:t>
      </w:r>
      <w:r w:rsidR="009E3B1C" w:rsidRPr="00671501">
        <w:rPr>
          <w:lang w:val="en-GB"/>
        </w:rPr>
        <w:t xml:space="preserve"> the</w:t>
      </w:r>
      <w:r w:rsidR="009E3B1C" w:rsidRPr="00912BEE">
        <w:rPr>
          <w:lang w:val="en-GB"/>
        </w:rPr>
        <w:t xml:space="preserve"> question of textbook authors’ motivations (1995)</w:t>
      </w:r>
    </w:p>
    <w:p w14:paraId="01F7F736" w14:textId="3C062048" w:rsidR="0007056C" w:rsidRPr="0007056C" w:rsidRDefault="0007056C" w:rsidP="0007056C">
      <w:pPr>
        <w:ind w:left="426"/>
        <w:rPr>
          <w:lang w:val="en-GB"/>
        </w:rPr>
      </w:pPr>
      <w:r>
        <w:rPr>
          <w:lang w:val="en-GB"/>
        </w:rPr>
        <w:t xml:space="preserve">(22) </w:t>
      </w:r>
      <w:r w:rsidRPr="0007056C">
        <w:rPr>
          <w:b/>
          <w:bCs/>
          <w:lang w:val="en-GB"/>
        </w:rPr>
        <w:t>The next question to ask</w:t>
      </w:r>
      <w:r w:rsidRPr="0007056C">
        <w:rPr>
          <w:lang w:val="en-GB"/>
        </w:rPr>
        <w:t xml:space="preserve"> is where it</w:t>
      </w:r>
      <w:r>
        <w:rPr>
          <w:lang w:val="en-GB"/>
        </w:rPr>
        <w:t xml:space="preserve"> </w:t>
      </w:r>
      <w:r w:rsidRPr="0007056C">
        <w:rPr>
          <w:lang w:val="en-GB"/>
        </w:rPr>
        <w:t>was cited,</w:t>
      </w:r>
      <w:r>
        <w:rPr>
          <w:lang w:val="en-GB"/>
        </w:rPr>
        <w:t xml:space="preserve"> and </w:t>
      </w:r>
      <w:r w:rsidRPr="0007056C">
        <w:rPr>
          <w:lang w:val="en-GB"/>
        </w:rPr>
        <w:t>more particularly which</w:t>
      </w:r>
      <w:r>
        <w:rPr>
          <w:lang w:val="en-GB"/>
        </w:rPr>
        <w:t xml:space="preserve"> </w:t>
      </w:r>
      <w:r w:rsidRPr="0007056C">
        <w:rPr>
          <w:lang w:val="en-GB"/>
        </w:rPr>
        <w:t xml:space="preserve">journals carry the </w:t>
      </w:r>
      <w:r>
        <w:rPr>
          <w:lang w:val="en-GB"/>
        </w:rPr>
        <w:t>m</w:t>
      </w:r>
      <w:r w:rsidRPr="0007056C">
        <w:rPr>
          <w:lang w:val="en-GB"/>
        </w:rPr>
        <w:t>ost</w:t>
      </w:r>
      <w:r>
        <w:rPr>
          <w:lang w:val="en-GB"/>
        </w:rPr>
        <w:t xml:space="preserve"> </w:t>
      </w:r>
      <w:r w:rsidRPr="0007056C">
        <w:rPr>
          <w:lang w:val="en-GB"/>
        </w:rPr>
        <w:t xml:space="preserve">citations. </w:t>
      </w:r>
      <w:r>
        <w:rPr>
          <w:lang w:val="en-GB"/>
        </w:rPr>
        <w:t xml:space="preserve"> (2012)</w:t>
      </w:r>
    </w:p>
    <w:p w14:paraId="7A2F0CCB" w14:textId="77777777" w:rsidR="0007056C" w:rsidRPr="00912BEE" w:rsidRDefault="0007056C" w:rsidP="0007056C">
      <w:pPr>
        <w:ind w:left="426"/>
        <w:jc w:val="left"/>
        <w:rPr>
          <w:lang w:val="en-GB"/>
        </w:rPr>
      </w:pPr>
    </w:p>
    <w:p w14:paraId="11F74D58" w14:textId="75843DC9" w:rsidR="00791EC5" w:rsidRPr="00912BEE" w:rsidRDefault="00C3072D" w:rsidP="00791EC5">
      <w:pPr>
        <w:rPr>
          <w:lang w:val="en-GB"/>
        </w:rPr>
      </w:pPr>
      <w:r w:rsidRPr="00912BEE">
        <w:rPr>
          <w:lang w:val="en-GB"/>
        </w:rPr>
        <w:t xml:space="preserve">By communicating a clear purpose and direction, signposting lines of argument and holding the components of a text together, the writer makes </w:t>
      </w:r>
      <w:r w:rsidR="0025264D" w:rsidRPr="00912BEE">
        <w:rPr>
          <w:lang w:val="en-GB"/>
        </w:rPr>
        <w:t xml:space="preserve">explicit </w:t>
      </w:r>
      <w:r w:rsidRPr="00912BEE">
        <w:rPr>
          <w:lang w:val="en-GB"/>
        </w:rPr>
        <w:t xml:space="preserve">the rhetorical acts </w:t>
      </w:r>
      <w:r w:rsidR="0025264D" w:rsidRPr="00912BEE">
        <w:rPr>
          <w:lang w:val="en-GB"/>
        </w:rPr>
        <w:t>pushing the text forward</w:t>
      </w:r>
      <w:r w:rsidR="0024382D" w:rsidRPr="00912BEE">
        <w:rPr>
          <w:lang w:val="en-GB"/>
        </w:rPr>
        <w:t xml:space="preserve">. Swales, </w:t>
      </w:r>
      <w:r w:rsidR="0025264D" w:rsidRPr="00912BEE">
        <w:rPr>
          <w:lang w:val="en-GB"/>
        </w:rPr>
        <w:t>moreover</w:t>
      </w:r>
      <w:r w:rsidR="0024382D" w:rsidRPr="00912BEE">
        <w:rPr>
          <w:lang w:val="en-GB"/>
        </w:rPr>
        <w:t>, has a particular penchant for regularly highlighting and summarizing his argument</w:t>
      </w:r>
      <w:r w:rsidR="00791EC5" w:rsidRPr="00912BEE">
        <w:rPr>
          <w:lang w:val="en-GB"/>
        </w:rPr>
        <w:t xml:space="preserve">, through devices such as </w:t>
      </w:r>
      <w:r w:rsidR="00791EC5" w:rsidRPr="00912BEE">
        <w:rPr>
          <w:i/>
          <w:lang w:val="en-GB"/>
        </w:rPr>
        <w:t>Overall</w:t>
      </w:r>
      <w:r w:rsidR="00791EC5" w:rsidRPr="00912BEE">
        <w:rPr>
          <w:lang w:val="en-GB"/>
        </w:rPr>
        <w:t xml:space="preserve">, </w:t>
      </w:r>
      <w:r w:rsidR="00791EC5" w:rsidRPr="00912BEE">
        <w:rPr>
          <w:i/>
          <w:iCs/>
          <w:lang w:val="en-GB"/>
        </w:rPr>
        <w:t>all in all</w:t>
      </w:r>
      <w:r w:rsidR="00791EC5" w:rsidRPr="00912BEE">
        <w:rPr>
          <w:lang w:val="en-GB"/>
        </w:rPr>
        <w:t xml:space="preserve">, and </w:t>
      </w:r>
      <w:r w:rsidR="00791EC5" w:rsidRPr="00912BEE">
        <w:rPr>
          <w:i/>
          <w:lang w:val="en-GB"/>
        </w:rPr>
        <w:t>as we have seen</w:t>
      </w:r>
      <w:r w:rsidR="00791EC5" w:rsidRPr="00912BEE">
        <w:rPr>
          <w:lang w:val="en-GB"/>
        </w:rPr>
        <w:t xml:space="preserve">: </w:t>
      </w:r>
    </w:p>
    <w:p w14:paraId="07EB6BD3" w14:textId="615F3366" w:rsidR="009E3B1C" w:rsidRPr="00912BEE" w:rsidRDefault="00FD6264" w:rsidP="009E3B1C">
      <w:pPr>
        <w:ind w:left="426"/>
        <w:rPr>
          <w:lang w:val="en-GB"/>
        </w:rPr>
      </w:pPr>
      <w:r w:rsidRPr="00912BEE">
        <w:rPr>
          <w:lang w:val="en-GB"/>
        </w:rPr>
        <w:t>(23)</w:t>
      </w:r>
      <w:r w:rsidR="00953762" w:rsidRPr="00912BEE">
        <w:rPr>
          <w:lang w:val="en-GB"/>
        </w:rPr>
        <w:t xml:space="preserve"> </w:t>
      </w:r>
      <w:r w:rsidR="009E3B1C" w:rsidRPr="00912BEE">
        <w:rPr>
          <w:b/>
          <w:bCs/>
          <w:lang w:val="en-GB"/>
        </w:rPr>
        <w:t>Overall, as I hope the extracts have communicated</w:t>
      </w:r>
      <w:r w:rsidR="009E3B1C" w:rsidRPr="00912BEE">
        <w:rPr>
          <w:lang w:val="en-GB"/>
        </w:rPr>
        <w:t>, we have taken pains to ensure that AWG - for all its undoubted weaknesses - “looks like” a careful scholarly product.</w:t>
      </w:r>
      <w:r w:rsidR="009E3B1C" w:rsidRPr="00912BEE">
        <w:rPr>
          <w:lang w:val="en-GB"/>
        </w:rPr>
        <w:tab/>
        <w:t xml:space="preserve"> </w:t>
      </w:r>
      <w:r w:rsidR="009E3B1C" w:rsidRPr="00912BEE">
        <w:rPr>
          <w:lang w:val="en-GB"/>
        </w:rPr>
        <w:tab/>
      </w:r>
      <w:r w:rsidR="009C40EE" w:rsidRPr="00912BEE">
        <w:rPr>
          <w:lang w:val="en-GB"/>
        </w:rPr>
        <w:tab/>
      </w:r>
      <w:r w:rsidR="009C40EE" w:rsidRPr="00912BEE">
        <w:rPr>
          <w:lang w:val="en-GB"/>
        </w:rPr>
        <w:tab/>
      </w:r>
      <w:r w:rsidR="00953762" w:rsidRPr="00912BEE">
        <w:rPr>
          <w:lang w:val="en-GB"/>
        </w:rPr>
        <w:t xml:space="preserve">                              </w:t>
      </w:r>
      <w:r w:rsidR="009E3B1C" w:rsidRPr="00912BEE">
        <w:rPr>
          <w:lang w:val="en-GB"/>
        </w:rPr>
        <w:t>(1995)</w:t>
      </w:r>
    </w:p>
    <w:p w14:paraId="6AB6FA38" w14:textId="77779445" w:rsidR="006F3CE9" w:rsidRPr="00912BEE" w:rsidRDefault="006F3CE9" w:rsidP="009E3B1C">
      <w:pPr>
        <w:ind w:left="426"/>
        <w:rPr>
          <w:lang w:val="en-GB"/>
        </w:rPr>
      </w:pPr>
      <w:r w:rsidRPr="00912BEE">
        <w:rPr>
          <w:lang w:val="en-GB"/>
        </w:rPr>
        <w:t xml:space="preserve">(24) </w:t>
      </w:r>
      <w:r w:rsidRPr="00912BEE">
        <w:rPr>
          <w:rFonts w:eastAsia="Times New Roman" w:cs="Times New Roman"/>
          <w:b/>
          <w:bCs/>
          <w:kern w:val="0"/>
          <w:lang w:val="en-GB" w:eastAsia="en-US"/>
          <w14:ligatures w14:val="none"/>
        </w:rPr>
        <w:t>So, where do we stand?</w:t>
      </w:r>
      <w:r w:rsidRPr="00912BEE">
        <w:rPr>
          <w:rFonts w:eastAsia="Times New Roman" w:cs="Times New Roman"/>
          <w:kern w:val="0"/>
          <w:lang w:val="en-GB" w:eastAsia="en-US"/>
          <w14:ligatures w14:val="none"/>
        </w:rPr>
        <w:t xml:space="preserve">   </w:t>
      </w:r>
      <w:r w:rsidR="00953762" w:rsidRPr="00912BEE">
        <w:rPr>
          <w:rFonts w:eastAsiaTheme="minorEastAsia" w:cs="Times New Roman"/>
          <w:kern w:val="0"/>
          <w:lang w:val="en-GB"/>
          <w14:ligatures w14:val="none"/>
        </w:rPr>
        <w:t xml:space="preserve">                                </w:t>
      </w:r>
      <w:r w:rsidRPr="00912BEE">
        <w:rPr>
          <w:rFonts w:eastAsia="Times New Roman" w:cs="Times New Roman"/>
          <w:kern w:val="0"/>
          <w:lang w:val="en-GB" w:eastAsia="en-US"/>
          <w14:ligatures w14:val="none"/>
        </w:rPr>
        <w:t>(2016)</w:t>
      </w:r>
    </w:p>
    <w:p w14:paraId="25682E9C" w14:textId="313D5424" w:rsidR="002B247E" w:rsidRPr="00912BEE" w:rsidRDefault="0041674D" w:rsidP="009E3B1C">
      <w:pPr>
        <w:ind w:left="426"/>
        <w:rPr>
          <w:highlight w:val="cyan"/>
          <w:lang w:val="en-GB"/>
        </w:rPr>
      </w:pPr>
      <w:r w:rsidRPr="00912BEE">
        <w:rPr>
          <w:lang w:val="en-GB"/>
        </w:rPr>
        <w:t>(2</w:t>
      </w:r>
      <w:r w:rsidR="00953762" w:rsidRPr="00912BEE">
        <w:rPr>
          <w:lang w:val="en-GB"/>
        </w:rPr>
        <w:t>5</w:t>
      </w:r>
      <w:r w:rsidRPr="00912BEE">
        <w:rPr>
          <w:lang w:val="en-GB"/>
        </w:rPr>
        <w:t xml:space="preserve">) </w:t>
      </w:r>
      <w:r w:rsidR="00953762" w:rsidRPr="00912BEE">
        <w:rPr>
          <w:b/>
          <w:bCs/>
          <w:lang w:val="en-GB"/>
        </w:rPr>
        <w:t>All in all</w:t>
      </w:r>
      <w:r w:rsidR="00953762" w:rsidRPr="00912BEE">
        <w:rPr>
          <w:lang w:val="en-GB"/>
        </w:rPr>
        <w:t>, this subgroup of graduate papers demonstrates considerable variation in citational patterning, with rare but rhetorically marked use of the three alternate usages discussed in this section.                         (2019)</w:t>
      </w:r>
    </w:p>
    <w:p w14:paraId="79C6CA70" w14:textId="77777777" w:rsidR="009C40EE" w:rsidRPr="00912BEE" w:rsidRDefault="009C40EE" w:rsidP="00394CBE">
      <w:pPr>
        <w:ind w:right="27"/>
        <w:jc w:val="left"/>
        <w:rPr>
          <w:lang w:val="en-GB"/>
        </w:rPr>
      </w:pPr>
    </w:p>
    <w:p w14:paraId="32E9FC64" w14:textId="507E72D9" w:rsidR="00692C01" w:rsidRPr="00912BEE" w:rsidRDefault="00730298" w:rsidP="00394CBE">
      <w:pPr>
        <w:ind w:right="27"/>
        <w:jc w:val="left"/>
        <w:rPr>
          <w:lang w:val="en-GB"/>
        </w:rPr>
      </w:pPr>
      <w:r w:rsidRPr="00912BEE">
        <w:rPr>
          <w:lang w:val="en-GB"/>
        </w:rPr>
        <w:t xml:space="preserve">This regular reviewing of outcomes, and the </w:t>
      </w:r>
      <w:r w:rsidR="002B247E" w:rsidRPr="00912BEE">
        <w:rPr>
          <w:lang w:val="en-GB"/>
        </w:rPr>
        <w:t>attention Swales gives them with explicit labels</w:t>
      </w:r>
      <w:r w:rsidRPr="00912BEE">
        <w:rPr>
          <w:lang w:val="en-GB"/>
        </w:rPr>
        <w:t xml:space="preserve">, </w:t>
      </w:r>
      <w:r w:rsidR="009C40EE" w:rsidRPr="00912BEE">
        <w:rPr>
          <w:lang w:val="en-GB"/>
        </w:rPr>
        <w:t xml:space="preserve">again </w:t>
      </w:r>
      <w:r w:rsidRPr="00912BEE">
        <w:rPr>
          <w:lang w:val="en-GB"/>
        </w:rPr>
        <w:t xml:space="preserve">illustrates </w:t>
      </w:r>
      <w:r w:rsidR="002B247E" w:rsidRPr="00912BEE">
        <w:rPr>
          <w:lang w:val="en-GB"/>
        </w:rPr>
        <w:t>Swales</w:t>
      </w:r>
      <w:r w:rsidRPr="00912BEE">
        <w:rPr>
          <w:lang w:val="en-GB"/>
        </w:rPr>
        <w:t xml:space="preserve"> metadiscoursal concern for framing his discussion with readers in mind.</w:t>
      </w:r>
      <w:r w:rsidR="002B247E" w:rsidRPr="00912BEE">
        <w:rPr>
          <w:lang w:val="en-GB"/>
        </w:rPr>
        <w:t xml:space="preserve"> </w:t>
      </w:r>
      <w:r w:rsidR="00692C01" w:rsidRPr="00912BEE">
        <w:rPr>
          <w:lang w:val="en-GB"/>
        </w:rPr>
        <w:t>An interesting</w:t>
      </w:r>
      <w:r w:rsidR="00394CBE" w:rsidRPr="00912BEE">
        <w:rPr>
          <w:lang w:val="en-GB"/>
        </w:rPr>
        <w:t xml:space="preserve"> aspect of this </w:t>
      </w:r>
      <w:r w:rsidR="00692C01" w:rsidRPr="00912BEE">
        <w:rPr>
          <w:lang w:val="en-GB"/>
        </w:rPr>
        <w:t xml:space="preserve">regular </w:t>
      </w:r>
      <w:proofErr w:type="spellStart"/>
      <w:r w:rsidR="00692C01" w:rsidRPr="00912BEE">
        <w:rPr>
          <w:lang w:val="en-GB"/>
        </w:rPr>
        <w:t>gisting</w:t>
      </w:r>
      <w:proofErr w:type="spellEnd"/>
      <w:r w:rsidR="00692C01" w:rsidRPr="00912BEE">
        <w:rPr>
          <w:lang w:val="en-GB"/>
        </w:rPr>
        <w:t xml:space="preserve"> of material is </w:t>
      </w:r>
      <w:r w:rsidR="00394CBE" w:rsidRPr="00912BEE">
        <w:rPr>
          <w:lang w:val="en-GB"/>
        </w:rPr>
        <w:t>Swales’</w:t>
      </w:r>
      <w:r w:rsidR="00692C01" w:rsidRPr="00912BEE">
        <w:rPr>
          <w:lang w:val="en-GB"/>
        </w:rPr>
        <w:t xml:space="preserve"> </w:t>
      </w:r>
      <w:r w:rsidR="00394CBE" w:rsidRPr="00912BEE">
        <w:rPr>
          <w:lang w:val="en-GB"/>
        </w:rPr>
        <w:t xml:space="preserve">fondness for </w:t>
      </w:r>
      <w:r w:rsidR="00692C01" w:rsidRPr="00912BEE">
        <w:rPr>
          <w:lang w:val="en-GB"/>
        </w:rPr>
        <w:t xml:space="preserve">introductory prefaces like </w:t>
      </w:r>
      <w:r w:rsidR="00692C01" w:rsidRPr="00912BEE">
        <w:rPr>
          <w:i/>
          <w:lang w:val="en-GB"/>
        </w:rPr>
        <w:t>it</w:t>
      </w:r>
      <w:r w:rsidR="00692C01" w:rsidRPr="00912BEE">
        <w:rPr>
          <w:lang w:val="en-GB"/>
        </w:rPr>
        <w:t xml:space="preserve"> </w:t>
      </w:r>
      <w:r w:rsidR="00692C01" w:rsidRPr="00912BEE">
        <w:rPr>
          <w:i/>
          <w:lang w:val="en-GB"/>
        </w:rPr>
        <w:t>turns out that</w:t>
      </w:r>
      <w:r w:rsidR="00692C01" w:rsidRPr="00912BEE">
        <w:rPr>
          <w:lang w:val="en-GB"/>
        </w:rPr>
        <w:t xml:space="preserve"> and </w:t>
      </w:r>
      <w:r w:rsidR="00692C01" w:rsidRPr="00912BEE">
        <w:rPr>
          <w:i/>
          <w:lang w:val="en-GB"/>
        </w:rPr>
        <w:t>as it happens</w:t>
      </w:r>
      <w:r w:rsidR="00692C01" w:rsidRPr="00912BEE">
        <w:rPr>
          <w:lang w:val="en-GB"/>
        </w:rPr>
        <w:t xml:space="preserve"> </w:t>
      </w:r>
      <w:r w:rsidR="00692C01" w:rsidRPr="00912BEE">
        <w:rPr>
          <w:lang w:val="en-GB"/>
        </w:rPr>
        <w:lastRenderedPageBreak/>
        <w:t xml:space="preserve">which cataphorically alert the reader to events and findings which do not necessarily follow from the preceding discourse or which might be considered unexpected: </w:t>
      </w:r>
    </w:p>
    <w:p w14:paraId="5B1B19E8" w14:textId="01B2ABEA" w:rsidR="00394CBE" w:rsidRPr="00912BEE" w:rsidRDefault="00394CBE" w:rsidP="00394CBE">
      <w:pPr>
        <w:ind w:left="426"/>
        <w:rPr>
          <w:lang w:val="en-GB"/>
        </w:rPr>
      </w:pPr>
      <w:r w:rsidRPr="00912BEE">
        <w:rPr>
          <w:lang w:val="en-GB"/>
        </w:rPr>
        <w:t>(2</w:t>
      </w:r>
      <w:r w:rsidR="00DE2D79" w:rsidRPr="00912BEE">
        <w:rPr>
          <w:lang w:val="en-GB"/>
        </w:rPr>
        <w:t>6</w:t>
      </w:r>
      <w:r w:rsidRPr="00912BEE">
        <w:rPr>
          <w:lang w:val="en-GB"/>
        </w:rPr>
        <w:t xml:space="preserve">) </w:t>
      </w:r>
      <w:r w:rsidRPr="00912BEE">
        <w:rPr>
          <w:b/>
          <w:bCs/>
          <w:lang w:val="en-GB"/>
        </w:rPr>
        <w:t>As it happens</w:t>
      </w:r>
      <w:r w:rsidRPr="00912BEE">
        <w:rPr>
          <w:lang w:val="en-GB"/>
        </w:rPr>
        <w:t>, over the last 2 years or so, the ELI Testing Division has been developing a new graduate-only placement test.</w:t>
      </w:r>
      <w:r w:rsidR="00DE2D79" w:rsidRPr="00912BEE">
        <w:rPr>
          <w:lang w:val="en-GB"/>
        </w:rPr>
        <w:t xml:space="preserve">                     (1995)</w:t>
      </w:r>
    </w:p>
    <w:p w14:paraId="3584F353" w14:textId="77777777" w:rsidR="00DE2D79" w:rsidRPr="00912BEE" w:rsidRDefault="009C40EE" w:rsidP="00394CBE">
      <w:pPr>
        <w:ind w:left="426"/>
        <w:rPr>
          <w:lang w:val="en-GB"/>
        </w:rPr>
      </w:pPr>
      <w:r w:rsidRPr="00912BEE">
        <w:rPr>
          <w:lang w:val="en-GB"/>
        </w:rPr>
        <w:t>(2</w:t>
      </w:r>
      <w:r w:rsidR="00DE2D79" w:rsidRPr="00912BEE">
        <w:rPr>
          <w:lang w:val="en-GB"/>
        </w:rPr>
        <w:t>7</w:t>
      </w:r>
      <w:r w:rsidRPr="00912BEE">
        <w:rPr>
          <w:lang w:val="en-GB"/>
        </w:rPr>
        <w:t xml:space="preserve">) </w:t>
      </w:r>
      <w:r w:rsidR="00DE2D79" w:rsidRPr="00912BEE">
        <w:rPr>
          <w:b/>
          <w:bCs/>
          <w:lang w:val="en-GB"/>
        </w:rPr>
        <w:t>It turns out that</w:t>
      </w:r>
      <w:r w:rsidR="00DE2D79" w:rsidRPr="00912BEE">
        <w:rPr>
          <w:lang w:val="en-GB"/>
        </w:rPr>
        <w:t xml:space="preserve"> standalone singular proximal demonstratives are more likely to occur if they are followed by verbs that are syntactically and semantically simple.  </w:t>
      </w:r>
    </w:p>
    <w:p w14:paraId="5462E4FF" w14:textId="6D32160D" w:rsidR="009C40EE" w:rsidRPr="00912BEE" w:rsidRDefault="00DE2D79" w:rsidP="00DE2D79">
      <w:pPr>
        <w:ind w:left="426" w:firstLineChars="2950" w:firstLine="7080"/>
        <w:rPr>
          <w:lang w:val="en-GB"/>
        </w:rPr>
      </w:pPr>
      <w:r w:rsidRPr="00912BEE">
        <w:rPr>
          <w:lang w:val="en-GB"/>
        </w:rPr>
        <w:t>(2025)</w:t>
      </w:r>
    </w:p>
    <w:p w14:paraId="6DC175BA" w14:textId="290A1A0A" w:rsidR="00692C01" w:rsidRPr="00912BEE" w:rsidRDefault="00692C01" w:rsidP="009C40EE">
      <w:pPr>
        <w:jc w:val="left"/>
        <w:rPr>
          <w:lang w:val="en-GB"/>
        </w:rPr>
      </w:pPr>
      <w:r w:rsidRPr="00912BEE">
        <w:rPr>
          <w:lang w:val="en-GB"/>
        </w:rPr>
        <w:t xml:space="preserve">These expressions, not only help readers to navigate the discussion, but do so by lending a strong interpersonal element to it. They inject an attitude of conviviality into the text as Swales shares a certain surprise with readers at the unfailingly interesting nature of </w:t>
      </w:r>
      <w:r w:rsidR="00EB257A" w:rsidRPr="00912BEE">
        <w:rPr>
          <w:lang w:val="en-GB"/>
        </w:rPr>
        <w:t>academic writing</w:t>
      </w:r>
      <w:r w:rsidRPr="00912BEE">
        <w:rPr>
          <w:lang w:val="en-GB"/>
        </w:rPr>
        <w:t xml:space="preserve"> and human behaviour. </w:t>
      </w:r>
      <w:r w:rsidR="00EB257A" w:rsidRPr="00912BEE">
        <w:rPr>
          <w:lang w:val="en-GB"/>
        </w:rPr>
        <w:t>O</w:t>
      </w:r>
      <w:r w:rsidRPr="00912BEE">
        <w:rPr>
          <w:lang w:val="en-GB"/>
        </w:rPr>
        <w:t xml:space="preserve">nce again, </w:t>
      </w:r>
      <w:r w:rsidR="00EB257A" w:rsidRPr="00912BEE">
        <w:rPr>
          <w:lang w:val="en-GB"/>
        </w:rPr>
        <w:t xml:space="preserve">he is </w:t>
      </w:r>
      <w:r w:rsidRPr="00912BEE">
        <w:rPr>
          <w:lang w:val="en-GB"/>
        </w:rPr>
        <w:t xml:space="preserve">not just informing us of his findings and </w:t>
      </w:r>
      <w:proofErr w:type="gramStart"/>
      <w:r w:rsidRPr="00912BEE">
        <w:rPr>
          <w:lang w:val="en-GB"/>
        </w:rPr>
        <w:t>reflections, but</w:t>
      </w:r>
      <w:proofErr w:type="gramEnd"/>
      <w:r w:rsidRPr="00912BEE">
        <w:rPr>
          <w:lang w:val="en-GB"/>
        </w:rPr>
        <w:t xml:space="preserve"> </w:t>
      </w:r>
      <w:r w:rsidR="00EB257A" w:rsidRPr="00912BEE">
        <w:rPr>
          <w:lang w:val="en-GB"/>
        </w:rPr>
        <w:t xml:space="preserve">inviting us to </w:t>
      </w:r>
      <w:r w:rsidRPr="00912BEE">
        <w:rPr>
          <w:lang w:val="en-GB"/>
        </w:rPr>
        <w:t>explor</w:t>
      </w:r>
      <w:r w:rsidR="00EB257A" w:rsidRPr="00912BEE">
        <w:rPr>
          <w:lang w:val="en-GB"/>
        </w:rPr>
        <w:t>e</w:t>
      </w:r>
      <w:r w:rsidRPr="00912BEE">
        <w:rPr>
          <w:lang w:val="en-GB"/>
        </w:rPr>
        <w:t xml:space="preserve"> the wonders of academic discourse. We see once more that his rhetoric, as much as his ideas, is informed by a strong sense of social engagement.</w:t>
      </w:r>
    </w:p>
    <w:p w14:paraId="31CE5649" w14:textId="77777777" w:rsidR="00692C01" w:rsidRPr="00912BEE" w:rsidRDefault="00692C01" w:rsidP="00692C01">
      <w:pPr>
        <w:rPr>
          <w:lang w:val="en-GB"/>
        </w:rPr>
      </w:pPr>
    </w:p>
    <w:p w14:paraId="73185894" w14:textId="699FDF7D" w:rsidR="00E56525" w:rsidRPr="00912BEE" w:rsidRDefault="009C40EE" w:rsidP="00DD4ED5">
      <w:pPr>
        <w:jc w:val="left"/>
        <w:rPr>
          <w:lang w:val="en-GB"/>
        </w:rPr>
      </w:pPr>
      <w:r w:rsidRPr="00912BEE">
        <w:rPr>
          <w:lang w:val="en-GB"/>
        </w:rPr>
        <w:t>We might begin to</w:t>
      </w:r>
      <w:r w:rsidR="00DD4ED5" w:rsidRPr="00912BEE">
        <w:rPr>
          <w:lang w:val="en-GB"/>
        </w:rPr>
        <w:t xml:space="preserve"> understand, if not </w:t>
      </w:r>
      <w:r w:rsidRPr="00912BEE">
        <w:rPr>
          <w:lang w:val="en-GB"/>
        </w:rPr>
        <w:t>resolve</w:t>
      </w:r>
      <w:r w:rsidR="00DD4ED5" w:rsidRPr="00912BEE">
        <w:rPr>
          <w:lang w:val="en-GB"/>
        </w:rPr>
        <w:t>,</w:t>
      </w:r>
      <w:r w:rsidRPr="00912BEE">
        <w:rPr>
          <w:lang w:val="en-GB"/>
        </w:rPr>
        <w:t xml:space="preserve"> the apparently contradictory trends </w:t>
      </w:r>
      <w:r w:rsidR="00DD4ED5" w:rsidRPr="00912BEE">
        <w:rPr>
          <w:lang w:val="en-GB"/>
        </w:rPr>
        <w:t xml:space="preserve">in Swales use of interactive metadiscourse </w:t>
      </w:r>
      <w:r w:rsidR="00E56525" w:rsidRPr="00912BEE">
        <w:rPr>
          <w:lang w:val="en-GB"/>
        </w:rPr>
        <w:t xml:space="preserve">by </w:t>
      </w:r>
      <w:r w:rsidRPr="00912BEE">
        <w:rPr>
          <w:lang w:val="en-GB"/>
        </w:rPr>
        <w:t xml:space="preserve">considering </w:t>
      </w:r>
      <w:r w:rsidR="00DD4ED5" w:rsidRPr="00912BEE">
        <w:rPr>
          <w:lang w:val="en-GB"/>
        </w:rPr>
        <w:t>his</w:t>
      </w:r>
      <w:r w:rsidR="00E56525" w:rsidRPr="00912BEE">
        <w:rPr>
          <w:lang w:val="en-GB"/>
        </w:rPr>
        <w:t xml:space="preserve"> evolving academic identity. The increased </w:t>
      </w:r>
      <w:r w:rsidRPr="00912BEE">
        <w:rPr>
          <w:lang w:val="en-GB"/>
        </w:rPr>
        <w:t>use</w:t>
      </w:r>
      <w:r w:rsidR="00E56525" w:rsidRPr="00912BEE">
        <w:rPr>
          <w:lang w:val="en-GB"/>
        </w:rPr>
        <w:t xml:space="preserve"> of </w:t>
      </w:r>
      <w:proofErr w:type="spellStart"/>
      <w:r w:rsidR="00E56525" w:rsidRPr="00912BEE">
        <w:rPr>
          <w:lang w:val="en-GB"/>
        </w:rPr>
        <w:t>endophorics</w:t>
      </w:r>
      <w:proofErr w:type="spellEnd"/>
      <w:r w:rsidR="00E56525" w:rsidRPr="00912BEE">
        <w:rPr>
          <w:lang w:val="en-GB"/>
        </w:rPr>
        <w:t xml:space="preserve"> and glosses aligns with </w:t>
      </w:r>
      <w:r w:rsidRPr="00912BEE">
        <w:rPr>
          <w:lang w:val="en-GB"/>
        </w:rPr>
        <w:t>what Hyland (2010, p. 174) describes as an</w:t>
      </w:r>
      <w:r w:rsidR="00E56525" w:rsidRPr="00912BEE">
        <w:rPr>
          <w:lang w:val="en-GB"/>
        </w:rPr>
        <w:t xml:space="preserve"> “inquiring colleague”</w:t>
      </w:r>
      <w:r w:rsidRPr="00912BEE">
        <w:rPr>
          <w:lang w:val="en-GB"/>
        </w:rPr>
        <w:t xml:space="preserve">: </w:t>
      </w:r>
      <w:r w:rsidR="00E56525" w:rsidRPr="00912BEE">
        <w:rPr>
          <w:lang w:val="en-GB"/>
        </w:rPr>
        <w:t>a writer demonstrating reader considerateness by carefully scaffolding the reader’s journey through his prose. The sharp decrease in citations, however, signals a shift in reputation</w:t>
      </w:r>
      <w:r w:rsidRPr="00912BEE">
        <w:rPr>
          <w:lang w:val="en-GB"/>
        </w:rPr>
        <w:t xml:space="preserve">al status with a </w:t>
      </w:r>
      <w:r w:rsidR="00E56525" w:rsidRPr="00912BEE">
        <w:rPr>
          <w:lang w:val="en-GB"/>
        </w:rPr>
        <w:t xml:space="preserve">voice </w:t>
      </w:r>
      <w:r w:rsidRPr="00912BEE">
        <w:rPr>
          <w:lang w:val="en-GB"/>
        </w:rPr>
        <w:t>which takes on greater</w:t>
      </w:r>
      <w:r w:rsidR="00E56525" w:rsidRPr="00912BEE">
        <w:rPr>
          <w:lang w:val="en-GB"/>
        </w:rPr>
        <w:t xml:space="preserve"> authority, reducing the need to constantly borrow from external sources. This reflects the wider range of rhetorical options available to established academics within a discipline (Tardy, 2009), who </w:t>
      </w:r>
      <w:r w:rsidRPr="00912BEE">
        <w:rPr>
          <w:lang w:val="en-GB"/>
        </w:rPr>
        <w:t xml:space="preserve">increasingly </w:t>
      </w:r>
      <w:r w:rsidR="00E56525" w:rsidRPr="00912BEE">
        <w:rPr>
          <w:lang w:val="en-GB"/>
        </w:rPr>
        <w:t>move from reporting the field to shaping it.</w:t>
      </w:r>
    </w:p>
    <w:p w14:paraId="58B7741F" w14:textId="77777777" w:rsidR="00A348EC" w:rsidRPr="00912BEE" w:rsidRDefault="00A348EC" w:rsidP="006D2EDE">
      <w:pPr>
        <w:rPr>
          <w:lang w:val="en-GB"/>
        </w:rPr>
      </w:pPr>
    </w:p>
    <w:p w14:paraId="0AF05118" w14:textId="46C5AEAD" w:rsidR="00102B0A" w:rsidRPr="0007056C" w:rsidRDefault="00AF6116" w:rsidP="006D2EDE">
      <w:pPr>
        <w:rPr>
          <w:b/>
          <w:bCs/>
          <w:lang w:val="en-GB"/>
        </w:rPr>
      </w:pPr>
      <w:r w:rsidRPr="0007056C">
        <w:rPr>
          <w:rFonts w:hint="eastAsia"/>
          <w:b/>
          <w:bCs/>
          <w:lang w:val="en-GB"/>
        </w:rPr>
        <w:t>3</w:t>
      </w:r>
      <w:r w:rsidR="00BE3C64" w:rsidRPr="0007056C">
        <w:rPr>
          <w:b/>
          <w:bCs/>
          <w:lang w:val="en-GB"/>
        </w:rPr>
        <w:t>.</w:t>
      </w:r>
      <w:r w:rsidRPr="0007056C">
        <w:rPr>
          <w:rFonts w:hint="eastAsia"/>
          <w:b/>
          <w:bCs/>
          <w:lang w:val="en-GB"/>
        </w:rPr>
        <w:t>3</w:t>
      </w:r>
      <w:r w:rsidR="00BE3C64" w:rsidRPr="0007056C">
        <w:rPr>
          <w:b/>
          <w:bCs/>
          <w:lang w:val="en-GB"/>
        </w:rPr>
        <w:t xml:space="preserve"> </w:t>
      </w:r>
      <w:r w:rsidR="00102B0A" w:rsidRPr="0007056C">
        <w:rPr>
          <w:b/>
          <w:bCs/>
          <w:lang w:val="en-GB"/>
        </w:rPr>
        <w:t>Interactional metadiscourse</w:t>
      </w:r>
      <w:r w:rsidR="00BE3C64" w:rsidRPr="0007056C">
        <w:rPr>
          <w:b/>
          <w:bCs/>
          <w:lang w:val="en-GB"/>
        </w:rPr>
        <w:t xml:space="preserve"> in Swales writing</w:t>
      </w:r>
    </w:p>
    <w:p w14:paraId="622B8AE5" w14:textId="209F7119" w:rsidR="00102B0A" w:rsidRPr="00912BEE" w:rsidRDefault="005F7EC6" w:rsidP="000D034C">
      <w:pPr>
        <w:jc w:val="left"/>
        <w:rPr>
          <w:lang w:val="en-GB"/>
        </w:rPr>
      </w:pPr>
      <w:r w:rsidRPr="0007056C">
        <w:rPr>
          <w:lang w:val="en-GB"/>
        </w:rPr>
        <w:t xml:space="preserve">While changes in Swales’ use of interactive metadiscourse reveals something of his preferred ways of setting out his arguments over time, his writing is perhaps best known for its interpersonal tenor. Interactional metadiscourse signals the level of </w:t>
      </w:r>
      <w:r w:rsidRPr="0007056C">
        <w:rPr>
          <w:lang w:val="en-GB"/>
        </w:rPr>
        <w:lastRenderedPageBreak/>
        <w:t xml:space="preserve">personality a writer seeks to invest in a text and, as we </w:t>
      </w:r>
      <w:r w:rsidR="004C0D42" w:rsidRPr="0007056C">
        <w:rPr>
          <w:lang w:val="en-GB"/>
        </w:rPr>
        <w:t>noted earlier, this both increases significantly</w:t>
      </w:r>
      <w:r w:rsidR="004C0D42" w:rsidRPr="00912BEE">
        <w:rPr>
          <w:lang w:val="en-GB"/>
        </w:rPr>
        <w:t xml:space="preserve"> over the 40 years and exceeds his use of interactive forms (</w:t>
      </w:r>
      <w:r w:rsidRPr="00912BEE">
        <w:rPr>
          <w:lang w:val="en-GB"/>
        </w:rPr>
        <w:t>Figure 1</w:t>
      </w:r>
      <w:r w:rsidR="004C0D42" w:rsidRPr="00912BEE">
        <w:rPr>
          <w:lang w:val="en-GB"/>
        </w:rPr>
        <w:t>).</w:t>
      </w:r>
      <w:r w:rsidRPr="00912BEE">
        <w:rPr>
          <w:lang w:val="en-GB"/>
        </w:rPr>
        <w:t xml:space="preserve"> </w:t>
      </w:r>
      <w:r w:rsidR="000A1C58" w:rsidRPr="00912BEE">
        <w:rPr>
          <w:lang w:val="en-GB"/>
        </w:rPr>
        <w:t xml:space="preserve">A closer examination reveals this trend is driven by a remarkable and statistically significant rise in Swales’s use of </w:t>
      </w:r>
      <w:proofErr w:type="spellStart"/>
      <w:r w:rsidR="000A1C58" w:rsidRPr="00912BEE">
        <w:rPr>
          <w:lang w:val="en-GB"/>
        </w:rPr>
        <w:t>self mention</w:t>
      </w:r>
      <w:proofErr w:type="spellEnd"/>
      <w:r w:rsidR="001B4BB1" w:rsidRPr="00912BEE">
        <w:rPr>
          <w:lang w:val="en-GB"/>
        </w:rPr>
        <w:t xml:space="preserve"> (</w:t>
      </w:r>
      <w:r w:rsidR="001B4BB1" w:rsidRPr="00912BEE">
        <w:rPr>
          <w:i/>
          <w:iCs/>
          <w:lang w:val="en-GB"/>
        </w:rPr>
        <w:t>LL</w:t>
      </w:r>
      <w:r w:rsidR="001B4BB1" w:rsidRPr="00912BEE">
        <w:rPr>
          <w:lang w:val="en-GB"/>
        </w:rPr>
        <w:t xml:space="preserve"> = 19.51, </w:t>
      </w:r>
      <w:r w:rsidR="001B4BB1" w:rsidRPr="00912BEE">
        <w:rPr>
          <w:i/>
          <w:iCs/>
          <w:lang w:val="en-GB"/>
        </w:rPr>
        <w:t>%DIFF</w:t>
      </w:r>
      <w:r w:rsidR="001B4BB1" w:rsidRPr="00912BEE">
        <w:rPr>
          <w:lang w:val="en-GB"/>
        </w:rPr>
        <w:t xml:space="preserve"> = 30.84, </w:t>
      </w:r>
      <w:r w:rsidR="001B4BB1" w:rsidRPr="00912BEE">
        <w:rPr>
          <w:i/>
          <w:iCs/>
          <w:lang w:val="en-GB"/>
        </w:rPr>
        <w:t xml:space="preserve">p </w:t>
      </w:r>
      <w:r w:rsidR="001B4BB1" w:rsidRPr="00912BEE">
        <w:rPr>
          <w:lang w:val="en-GB"/>
        </w:rPr>
        <w:t>&lt; 0.001</w:t>
      </w:r>
      <w:r w:rsidR="000A1C58" w:rsidRPr="00912BEE">
        <w:rPr>
          <w:lang w:val="en-GB"/>
        </w:rPr>
        <w:t>) and engagement markers (</w:t>
      </w:r>
      <w:r w:rsidR="001B4BB1" w:rsidRPr="00912BEE">
        <w:rPr>
          <w:i/>
          <w:iCs/>
          <w:lang w:val="en-GB"/>
        </w:rPr>
        <w:t>LL</w:t>
      </w:r>
      <w:r w:rsidR="001B4BB1" w:rsidRPr="00912BEE">
        <w:rPr>
          <w:lang w:val="en-GB"/>
        </w:rPr>
        <w:t xml:space="preserve"> = 40.25, </w:t>
      </w:r>
      <w:r w:rsidR="001B4BB1" w:rsidRPr="00912BEE">
        <w:rPr>
          <w:i/>
          <w:iCs/>
          <w:lang w:val="en-GB"/>
        </w:rPr>
        <w:t>%DIFF</w:t>
      </w:r>
      <w:r w:rsidR="001B4BB1" w:rsidRPr="00912BEE">
        <w:rPr>
          <w:lang w:val="en-GB"/>
        </w:rPr>
        <w:t xml:space="preserve"> = 30.90, </w:t>
      </w:r>
      <w:r w:rsidR="001B4BB1" w:rsidRPr="00912BEE">
        <w:rPr>
          <w:i/>
          <w:iCs/>
          <w:lang w:val="en-GB"/>
        </w:rPr>
        <w:t>p</w:t>
      </w:r>
      <w:r w:rsidR="001B4BB1" w:rsidRPr="00912BEE">
        <w:rPr>
          <w:lang w:val="en-GB"/>
        </w:rPr>
        <w:t xml:space="preserve"> &lt; 0.001)</w:t>
      </w:r>
      <w:r w:rsidR="000A1C58" w:rsidRPr="00912BEE">
        <w:rPr>
          <w:lang w:val="en-GB"/>
        </w:rPr>
        <w:t xml:space="preserve"> (see Table </w:t>
      </w:r>
      <w:r w:rsidR="00DF28E9">
        <w:rPr>
          <w:lang w:val="en-GB"/>
        </w:rPr>
        <w:t>4</w:t>
      </w:r>
      <w:r w:rsidR="000A1C58" w:rsidRPr="00912BEE">
        <w:rPr>
          <w:lang w:val="en-GB"/>
        </w:rPr>
        <w:t>)</w:t>
      </w:r>
      <w:r w:rsidR="001B4BB1" w:rsidRPr="00912BEE">
        <w:rPr>
          <w:lang w:val="en-GB"/>
        </w:rPr>
        <w:t>.</w:t>
      </w:r>
      <w:r w:rsidR="000A1C58" w:rsidRPr="00912BEE">
        <w:rPr>
          <w:lang w:val="en-GB"/>
        </w:rPr>
        <w:t xml:space="preserve"> This </w:t>
      </w:r>
      <w:r w:rsidR="004C0D42" w:rsidRPr="00912BEE">
        <w:rPr>
          <w:lang w:val="en-GB"/>
        </w:rPr>
        <w:t>trend</w:t>
      </w:r>
      <w:r w:rsidR="000A1C58" w:rsidRPr="00912BEE">
        <w:rPr>
          <w:lang w:val="en-GB"/>
        </w:rPr>
        <w:t xml:space="preserve"> is central to understanding the evolution of his authorial identity, as it highlights a growing commitment to </w:t>
      </w:r>
      <w:r w:rsidR="000D034C" w:rsidRPr="00912BEE">
        <w:rPr>
          <w:lang w:val="en-GB"/>
        </w:rPr>
        <w:t xml:space="preserve">his </w:t>
      </w:r>
      <w:r w:rsidR="000A1C58" w:rsidRPr="00912BEE">
        <w:rPr>
          <w:lang w:val="en-GB"/>
        </w:rPr>
        <w:t>personal and reader-oriented style over time.</w:t>
      </w:r>
    </w:p>
    <w:p w14:paraId="526CCE3E" w14:textId="77777777" w:rsidR="004C0D42" w:rsidRPr="00912BEE" w:rsidRDefault="004C0D42" w:rsidP="006D2EDE">
      <w:pPr>
        <w:rPr>
          <w:lang w:val="en-GB"/>
        </w:rPr>
      </w:pPr>
    </w:p>
    <w:p w14:paraId="044A12DC" w14:textId="05CC49CB" w:rsidR="008D443E" w:rsidRPr="00912BEE" w:rsidRDefault="008D443E" w:rsidP="008D443E">
      <w:pPr>
        <w:jc w:val="center"/>
        <w:rPr>
          <w:lang w:val="en-GB"/>
        </w:rPr>
      </w:pPr>
      <w:r w:rsidRPr="00912BEE">
        <w:rPr>
          <w:lang w:val="en-GB"/>
        </w:rPr>
        <w:t xml:space="preserve">Table </w:t>
      </w:r>
      <w:r w:rsidR="00DF28E9">
        <w:rPr>
          <w:lang w:val="en-GB"/>
        </w:rPr>
        <w:t>4</w:t>
      </w:r>
      <w:r w:rsidRPr="00912BEE">
        <w:rPr>
          <w:lang w:val="en-GB"/>
        </w:rPr>
        <w:t xml:space="preserve"> Distribution of interactional metadiscourse in Swales’ writing across time</w:t>
      </w:r>
    </w:p>
    <w:tbl>
      <w:tblPr>
        <w:tblStyle w:val="TableGrid"/>
        <w:tblW w:w="10189" w:type="dxa"/>
        <w:tblInd w:w="-998" w:type="dxa"/>
        <w:tblLook w:val="04A0" w:firstRow="1" w:lastRow="0" w:firstColumn="1" w:lastColumn="0" w:noHBand="0" w:noVBand="1"/>
      </w:tblPr>
      <w:tblGrid>
        <w:gridCol w:w="2446"/>
        <w:gridCol w:w="777"/>
        <w:gridCol w:w="1056"/>
        <w:gridCol w:w="748"/>
        <w:gridCol w:w="777"/>
        <w:gridCol w:w="1056"/>
        <w:gridCol w:w="748"/>
        <w:gridCol w:w="777"/>
        <w:gridCol w:w="1056"/>
        <w:gridCol w:w="748"/>
      </w:tblGrid>
      <w:tr w:rsidR="00FC2D1B" w:rsidRPr="00912BEE" w14:paraId="6CC3CC62" w14:textId="77777777" w:rsidTr="001A4815">
        <w:trPr>
          <w:trHeight w:val="285"/>
        </w:trPr>
        <w:tc>
          <w:tcPr>
            <w:tcW w:w="2446" w:type="dxa"/>
            <w:noWrap/>
            <w:vAlign w:val="center"/>
          </w:tcPr>
          <w:p w14:paraId="1417BE68" w14:textId="77777777" w:rsidR="00FC2D1B" w:rsidRPr="00912BEE" w:rsidRDefault="00FC2D1B" w:rsidP="00FC2D1B">
            <w:pPr>
              <w:jc w:val="center"/>
              <w:rPr>
                <w:b/>
                <w:bCs/>
                <w:lang w:val="en-GB"/>
              </w:rPr>
            </w:pPr>
          </w:p>
        </w:tc>
        <w:tc>
          <w:tcPr>
            <w:tcW w:w="2581" w:type="dxa"/>
            <w:gridSpan w:val="3"/>
            <w:noWrap/>
            <w:vAlign w:val="center"/>
          </w:tcPr>
          <w:p w14:paraId="5055F84D" w14:textId="6836ED00" w:rsidR="00FC2D1B" w:rsidRPr="00912BEE" w:rsidRDefault="00FC2D1B" w:rsidP="00FC2D1B">
            <w:pPr>
              <w:jc w:val="center"/>
              <w:rPr>
                <w:b/>
                <w:bCs/>
                <w:lang w:val="en-GB"/>
              </w:rPr>
            </w:pPr>
            <w:r w:rsidRPr="00912BEE">
              <w:rPr>
                <w:b/>
                <w:bCs/>
                <w:lang w:val="en-GB"/>
              </w:rPr>
              <w:t>1980-1994</w:t>
            </w:r>
          </w:p>
        </w:tc>
        <w:tc>
          <w:tcPr>
            <w:tcW w:w="2581" w:type="dxa"/>
            <w:gridSpan w:val="3"/>
            <w:noWrap/>
            <w:vAlign w:val="center"/>
          </w:tcPr>
          <w:p w14:paraId="78832F1B" w14:textId="0E806783" w:rsidR="00FC2D1B" w:rsidRPr="00912BEE" w:rsidRDefault="00FC2D1B" w:rsidP="00FC2D1B">
            <w:pPr>
              <w:jc w:val="center"/>
              <w:rPr>
                <w:b/>
                <w:bCs/>
                <w:lang w:val="en-GB"/>
              </w:rPr>
            </w:pPr>
            <w:r w:rsidRPr="00912BEE">
              <w:rPr>
                <w:b/>
                <w:bCs/>
                <w:lang w:val="en-GB"/>
              </w:rPr>
              <w:t>1995-2009</w:t>
            </w:r>
          </w:p>
        </w:tc>
        <w:tc>
          <w:tcPr>
            <w:tcW w:w="2581" w:type="dxa"/>
            <w:gridSpan w:val="3"/>
            <w:noWrap/>
            <w:vAlign w:val="center"/>
          </w:tcPr>
          <w:p w14:paraId="6D1C2BA8" w14:textId="07C122C0" w:rsidR="00FC2D1B" w:rsidRPr="00912BEE" w:rsidRDefault="00FC2D1B" w:rsidP="00FC2D1B">
            <w:pPr>
              <w:jc w:val="center"/>
              <w:rPr>
                <w:b/>
                <w:bCs/>
                <w:lang w:val="en-GB"/>
              </w:rPr>
            </w:pPr>
            <w:r w:rsidRPr="00912BEE">
              <w:rPr>
                <w:b/>
                <w:bCs/>
                <w:lang w:val="en-GB"/>
              </w:rPr>
              <w:t>2010-2024</w:t>
            </w:r>
          </w:p>
        </w:tc>
      </w:tr>
      <w:tr w:rsidR="00FC2D1B" w:rsidRPr="00912BEE" w14:paraId="7DBD5A22" w14:textId="77777777" w:rsidTr="00FC2D1B">
        <w:trPr>
          <w:trHeight w:val="285"/>
        </w:trPr>
        <w:tc>
          <w:tcPr>
            <w:tcW w:w="2446" w:type="dxa"/>
            <w:noWrap/>
            <w:vAlign w:val="center"/>
          </w:tcPr>
          <w:p w14:paraId="469D88D6" w14:textId="09104800" w:rsidR="00FC2D1B" w:rsidRPr="00912BEE" w:rsidRDefault="00FC2D1B" w:rsidP="00FC2D1B">
            <w:pPr>
              <w:jc w:val="center"/>
              <w:rPr>
                <w:b/>
                <w:bCs/>
                <w:lang w:val="en-GB"/>
              </w:rPr>
            </w:pPr>
            <w:r w:rsidRPr="00912BEE">
              <w:rPr>
                <w:b/>
                <w:bCs/>
                <w:lang w:val="en-GB"/>
              </w:rPr>
              <w:t>Category</w:t>
            </w:r>
          </w:p>
        </w:tc>
        <w:tc>
          <w:tcPr>
            <w:tcW w:w="777" w:type="dxa"/>
            <w:noWrap/>
            <w:vAlign w:val="center"/>
          </w:tcPr>
          <w:p w14:paraId="249747BF" w14:textId="50A6D16F" w:rsidR="00FC2D1B" w:rsidRPr="00912BEE" w:rsidRDefault="00FC2D1B" w:rsidP="00FC2D1B">
            <w:pPr>
              <w:jc w:val="center"/>
              <w:rPr>
                <w:b/>
                <w:bCs/>
                <w:lang w:val="en-GB"/>
              </w:rPr>
            </w:pPr>
            <w:r w:rsidRPr="00912BEE">
              <w:rPr>
                <w:b/>
                <w:bCs/>
                <w:lang w:val="en-GB"/>
              </w:rPr>
              <w:t>RAW</w:t>
            </w:r>
          </w:p>
        </w:tc>
        <w:tc>
          <w:tcPr>
            <w:tcW w:w="1056" w:type="dxa"/>
            <w:noWrap/>
            <w:vAlign w:val="center"/>
          </w:tcPr>
          <w:p w14:paraId="5AA8213C" w14:textId="2ABD7A53" w:rsidR="00FC2D1B" w:rsidRPr="00912BEE" w:rsidRDefault="00FC2D1B" w:rsidP="00FC2D1B">
            <w:pPr>
              <w:jc w:val="center"/>
              <w:rPr>
                <w:b/>
                <w:bCs/>
                <w:lang w:val="en-GB"/>
              </w:rPr>
            </w:pPr>
            <w:r w:rsidRPr="00912BEE">
              <w:rPr>
                <w:b/>
                <w:bCs/>
                <w:lang w:val="en-GB"/>
              </w:rPr>
              <w:t>Normed</w:t>
            </w:r>
          </w:p>
        </w:tc>
        <w:tc>
          <w:tcPr>
            <w:tcW w:w="748" w:type="dxa"/>
            <w:noWrap/>
            <w:vAlign w:val="center"/>
          </w:tcPr>
          <w:p w14:paraId="7F0FD322" w14:textId="420A8450" w:rsidR="00FC2D1B" w:rsidRPr="00912BEE" w:rsidRDefault="00FC2D1B" w:rsidP="00FC2D1B">
            <w:pPr>
              <w:jc w:val="center"/>
              <w:rPr>
                <w:b/>
                <w:bCs/>
                <w:lang w:val="en-GB"/>
              </w:rPr>
            </w:pPr>
            <w:r w:rsidRPr="00912BEE">
              <w:rPr>
                <w:b/>
                <w:bCs/>
                <w:lang w:val="en-GB"/>
              </w:rPr>
              <w:t>SD</w:t>
            </w:r>
          </w:p>
        </w:tc>
        <w:tc>
          <w:tcPr>
            <w:tcW w:w="777" w:type="dxa"/>
            <w:noWrap/>
            <w:vAlign w:val="center"/>
          </w:tcPr>
          <w:p w14:paraId="1D23C57A" w14:textId="2882D9D0" w:rsidR="00FC2D1B" w:rsidRPr="00912BEE" w:rsidRDefault="00FC2D1B" w:rsidP="00FC2D1B">
            <w:pPr>
              <w:jc w:val="center"/>
              <w:rPr>
                <w:b/>
                <w:bCs/>
                <w:lang w:val="en-GB"/>
              </w:rPr>
            </w:pPr>
            <w:r w:rsidRPr="00912BEE">
              <w:rPr>
                <w:b/>
                <w:bCs/>
                <w:lang w:val="en-GB"/>
              </w:rPr>
              <w:t>RAW</w:t>
            </w:r>
          </w:p>
        </w:tc>
        <w:tc>
          <w:tcPr>
            <w:tcW w:w="1056" w:type="dxa"/>
            <w:noWrap/>
            <w:vAlign w:val="center"/>
          </w:tcPr>
          <w:p w14:paraId="005B9232" w14:textId="3EEAD7DB" w:rsidR="00FC2D1B" w:rsidRPr="00912BEE" w:rsidRDefault="00FC2D1B" w:rsidP="00FC2D1B">
            <w:pPr>
              <w:jc w:val="center"/>
              <w:rPr>
                <w:b/>
                <w:bCs/>
                <w:lang w:val="en-GB"/>
              </w:rPr>
            </w:pPr>
            <w:r w:rsidRPr="00912BEE">
              <w:rPr>
                <w:b/>
                <w:bCs/>
                <w:lang w:val="en-GB"/>
              </w:rPr>
              <w:t>Normed</w:t>
            </w:r>
          </w:p>
        </w:tc>
        <w:tc>
          <w:tcPr>
            <w:tcW w:w="748" w:type="dxa"/>
            <w:noWrap/>
            <w:vAlign w:val="center"/>
          </w:tcPr>
          <w:p w14:paraId="54043678" w14:textId="5267B77C" w:rsidR="00FC2D1B" w:rsidRPr="00912BEE" w:rsidRDefault="00FC2D1B" w:rsidP="00FC2D1B">
            <w:pPr>
              <w:jc w:val="center"/>
              <w:rPr>
                <w:b/>
                <w:bCs/>
                <w:lang w:val="en-GB"/>
              </w:rPr>
            </w:pPr>
            <w:r w:rsidRPr="00912BEE">
              <w:rPr>
                <w:b/>
                <w:bCs/>
                <w:lang w:val="en-GB"/>
              </w:rPr>
              <w:t>SD</w:t>
            </w:r>
          </w:p>
        </w:tc>
        <w:tc>
          <w:tcPr>
            <w:tcW w:w="777" w:type="dxa"/>
            <w:noWrap/>
            <w:vAlign w:val="center"/>
          </w:tcPr>
          <w:p w14:paraId="40AA7D2D" w14:textId="6FF70276" w:rsidR="00FC2D1B" w:rsidRPr="00912BEE" w:rsidRDefault="00FC2D1B" w:rsidP="00FC2D1B">
            <w:pPr>
              <w:jc w:val="center"/>
              <w:rPr>
                <w:b/>
                <w:bCs/>
                <w:lang w:val="en-GB"/>
              </w:rPr>
            </w:pPr>
            <w:r w:rsidRPr="00912BEE">
              <w:rPr>
                <w:b/>
                <w:bCs/>
                <w:lang w:val="en-GB"/>
              </w:rPr>
              <w:t>RAW</w:t>
            </w:r>
          </w:p>
        </w:tc>
        <w:tc>
          <w:tcPr>
            <w:tcW w:w="1056" w:type="dxa"/>
            <w:noWrap/>
            <w:vAlign w:val="center"/>
          </w:tcPr>
          <w:p w14:paraId="6790F891" w14:textId="722650B7" w:rsidR="00FC2D1B" w:rsidRPr="00912BEE" w:rsidRDefault="00FC2D1B" w:rsidP="00FC2D1B">
            <w:pPr>
              <w:jc w:val="center"/>
              <w:rPr>
                <w:b/>
                <w:bCs/>
                <w:lang w:val="en-GB"/>
              </w:rPr>
            </w:pPr>
            <w:r w:rsidRPr="00912BEE">
              <w:rPr>
                <w:b/>
                <w:bCs/>
                <w:lang w:val="en-GB"/>
              </w:rPr>
              <w:t>Normed</w:t>
            </w:r>
          </w:p>
        </w:tc>
        <w:tc>
          <w:tcPr>
            <w:tcW w:w="748" w:type="dxa"/>
            <w:noWrap/>
            <w:vAlign w:val="center"/>
          </w:tcPr>
          <w:p w14:paraId="3F9CCEFB" w14:textId="42F37364" w:rsidR="00FC2D1B" w:rsidRPr="00912BEE" w:rsidRDefault="00FC2D1B" w:rsidP="00FC2D1B">
            <w:pPr>
              <w:jc w:val="center"/>
              <w:rPr>
                <w:b/>
                <w:bCs/>
                <w:lang w:val="en-GB"/>
              </w:rPr>
            </w:pPr>
            <w:r w:rsidRPr="00912BEE">
              <w:rPr>
                <w:b/>
                <w:bCs/>
                <w:lang w:val="en-GB"/>
              </w:rPr>
              <w:t>SD</w:t>
            </w:r>
          </w:p>
        </w:tc>
      </w:tr>
      <w:tr w:rsidR="00FC2D1B" w:rsidRPr="00912BEE" w14:paraId="753C2A36" w14:textId="77777777" w:rsidTr="00FC2D1B">
        <w:trPr>
          <w:trHeight w:val="285"/>
        </w:trPr>
        <w:tc>
          <w:tcPr>
            <w:tcW w:w="2446" w:type="dxa"/>
            <w:noWrap/>
            <w:vAlign w:val="center"/>
            <w:hideMark/>
          </w:tcPr>
          <w:p w14:paraId="6437BA38" w14:textId="77777777" w:rsidR="00721087" w:rsidRPr="00912BEE" w:rsidRDefault="00721087" w:rsidP="00FC2D1B">
            <w:pPr>
              <w:jc w:val="center"/>
              <w:rPr>
                <w:lang w:val="en-GB"/>
              </w:rPr>
            </w:pPr>
            <w:r w:rsidRPr="00912BEE">
              <w:rPr>
                <w:lang w:val="en-GB"/>
              </w:rPr>
              <w:t>Hedges</w:t>
            </w:r>
          </w:p>
        </w:tc>
        <w:tc>
          <w:tcPr>
            <w:tcW w:w="777" w:type="dxa"/>
            <w:noWrap/>
            <w:vAlign w:val="center"/>
            <w:hideMark/>
          </w:tcPr>
          <w:p w14:paraId="48EFD787" w14:textId="77777777" w:rsidR="00721087" w:rsidRPr="00912BEE" w:rsidRDefault="00721087" w:rsidP="00FC2D1B">
            <w:pPr>
              <w:jc w:val="center"/>
              <w:rPr>
                <w:lang w:val="en-GB"/>
              </w:rPr>
            </w:pPr>
            <w:r w:rsidRPr="00912BEE">
              <w:rPr>
                <w:lang w:val="en-GB"/>
              </w:rPr>
              <w:t>919</w:t>
            </w:r>
          </w:p>
        </w:tc>
        <w:tc>
          <w:tcPr>
            <w:tcW w:w="1056" w:type="dxa"/>
            <w:noWrap/>
            <w:vAlign w:val="center"/>
            <w:hideMark/>
          </w:tcPr>
          <w:p w14:paraId="342C2013" w14:textId="109EA75C" w:rsidR="00721087" w:rsidRPr="00912BEE" w:rsidRDefault="00721087" w:rsidP="00FC2D1B">
            <w:pPr>
              <w:jc w:val="center"/>
              <w:rPr>
                <w:lang w:val="en-GB"/>
              </w:rPr>
            </w:pPr>
            <w:r w:rsidRPr="00912BEE">
              <w:rPr>
                <w:lang w:val="en-GB"/>
              </w:rPr>
              <w:t>179.6</w:t>
            </w:r>
          </w:p>
        </w:tc>
        <w:tc>
          <w:tcPr>
            <w:tcW w:w="748" w:type="dxa"/>
            <w:noWrap/>
            <w:vAlign w:val="center"/>
            <w:hideMark/>
          </w:tcPr>
          <w:p w14:paraId="1BD73E10" w14:textId="77777777" w:rsidR="00721087" w:rsidRPr="00912BEE" w:rsidRDefault="00721087" w:rsidP="00FC2D1B">
            <w:pPr>
              <w:jc w:val="center"/>
              <w:rPr>
                <w:lang w:val="en-GB"/>
              </w:rPr>
            </w:pPr>
            <w:r w:rsidRPr="00912BEE">
              <w:rPr>
                <w:lang w:val="en-GB"/>
              </w:rPr>
              <w:t>17.9</w:t>
            </w:r>
          </w:p>
        </w:tc>
        <w:tc>
          <w:tcPr>
            <w:tcW w:w="777" w:type="dxa"/>
            <w:noWrap/>
            <w:vAlign w:val="center"/>
            <w:hideMark/>
          </w:tcPr>
          <w:p w14:paraId="2B74B864" w14:textId="77777777" w:rsidR="00721087" w:rsidRPr="00912BEE" w:rsidRDefault="00721087" w:rsidP="00FC2D1B">
            <w:pPr>
              <w:jc w:val="center"/>
              <w:rPr>
                <w:lang w:val="en-GB"/>
              </w:rPr>
            </w:pPr>
            <w:r w:rsidRPr="00912BEE">
              <w:rPr>
                <w:lang w:val="en-GB"/>
              </w:rPr>
              <w:t>958</w:t>
            </w:r>
          </w:p>
        </w:tc>
        <w:tc>
          <w:tcPr>
            <w:tcW w:w="1056" w:type="dxa"/>
            <w:noWrap/>
            <w:vAlign w:val="center"/>
            <w:hideMark/>
          </w:tcPr>
          <w:p w14:paraId="37D2A03B" w14:textId="31873AB5" w:rsidR="00721087" w:rsidRPr="00912BEE" w:rsidRDefault="00721087" w:rsidP="00FC2D1B">
            <w:pPr>
              <w:jc w:val="center"/>
              <w:rPr>
                <w:lang w:val="en-GB"/>
              </w:rPr>
            </w:pPr>
            <w:r w:rsidRPr="00912BEE">
              <w:rPr>
                <w:lang w:val="en-GB"/>
              </w:rPr>
              <w:t>177.1</w:t>
            </w:r>
          </w:p>
        </w:tc>
        <w:tc>
          <w:tcPr>
            <w:tcW w:w="748" w:type="dxa"/>
            <w:noWrap/>
            <w:vAlign w:val="center"/>
            <w:hideMark/>
          </w:tcPr>
          <w:p w14:paraId="2659D159" w14:textId="2BE3F3C4" w:rsidR="00721087" w:rsidRPr="00912BEE" w:rsidRDefault="00721087" w:rsidP="00FC2D1B">
            <w:pPr>
              <w:jc w:val="center"/>
              <w:rPr>
                <w:lang w:val="en-GB"/>
              </w:rPr>
            </w:pPr>
            <w:r w:rsidRPr="00912BEE">
              <w:rPr>
                <w:lang w:val="en-GB"/>
              </w:rPr>
              <w:t>15.8</w:t>
            </w:r>
          </w:p>
        </w:tc>
        <w:tc>
          <w:tcPr>
            <w:tcW w:w="777" w:type="dxa"/>
            <w:noWrap/>
            <w:vAlign w:val="center"/>
            <w:hideMark/>
          </w:tcPr>
          <w:p w14:paraId="5EC11BF8" w14:textId="77777777" w:rsidR="00721087" w:rsidRPr="00912BEE" w:rsidRDefault="00721087" w:rsidP="00FC2D1B">
            <w:pPr>
              <w:jc w:val="center"/>
              <w:rPr>
                <w:lang w:val="en-GB"/>
              </w:rPr>
            </w:pPr>
            <w:r w:rsidRPr="00912BEE">
              <w:rPr>
                <w:lang w:val="en-GB"/>
              </w:rPr>
              <w:t>997</w:t>
            </w:r>
          </w:p>
        </w:tc>
        <w:tc>
          <w:tcPr>
            <w:tcW w:w="1056" w:type="dxa"/>
            <w:noWrap/>
            <w:vAlign w:val="center"/>
            <w:hideMark/>
          </w:tcPr>
          <w:p w14:paraId="315AF4BA" w14:textId="630B8104" w:rsidR="00721087" w:rsidRPr="00912BEE" w:rsidRDefault="00721087" w:rsidP="00FC2D1B">
            <w:pPr>
              <w:jc w:val="center"/>
              <w:rPr>
                <w:lang w:val="en-GB"/>
              </w:rPr>
            </w:pPr>
            <w:r w:rsidRPr="00912BEE">
              <w:rPr>
                <w:lang w:val="en-GB"/>
              </w:rPr>
              <w:t>174.71</w:t>
            </w:r>
          </w:p>
        </w:tc>
        <w:tc>
          <w:tcPr>
            <w:tcW w:w="748" w:type="dxa"/>
            <w:noWrap/>
            <w:vAlign w:val="center"/>
            <w:hideMark/>
          </w:tcPr>
          <w:p w14:paraId="096B522C" w14:textId="77777777" w:rsidR="00721087" w:rsidRPr="00912BEE" w:rsidRDefault="00721087" w:rsidP="00FC2D1B">
            <w:pPr>
              <w:jc w:val="center"/>
              <w:rPr>
                <w:lang w:val="en-GB"/>
              </w:rPr>
            </w:pPr>
            <w:r w:rsidRPr="00912BEE">
              <w:rPr>
                <w:lang w:val="en-GB"/>
              </w:rPr>
              <w:t>7.7</w:t>
            </w:r>
          </w:p>
        </w:tc>
      </w:tr>
      <w:tr w:rsidR="00FC2D1B" w:rsidRPr="00912BEE" w14:paraId="3BB41001" w14:textId="77777777" w:rsidTr="00FC2D1B">
        <w:trPr>
          <w:trHeight w:val="285"/>
        </w:trPr>
        <w:tc>
          <w:tcPr>
            <w:tcW w:w="2446" w:type="dxa"/>
            <w:noWrap/>
            <w:vAlign w:val="center"/>
            <w:hideMark/>
          </w:tcPr>
          <w:p w14:paraId="202C5DB8" w14:textId="77777777" w:rsidR="00721087" w:rsidRPr="00912BEE" w:rsidRDefault="00721087" w:rsidP="00FC2D1B">
            <w:pPr>
              <w:jc w:val="center"/>
              <w:rPr>
                <w:lang w:val="en-GB"/>
              </w:rPr>
            </w:pPr>
            <w:r w:rsidRPr="00912BEE">
              <w:rPr>
                <w:lang w:val="en-GB"/>
              </w:rPr>
              <w:t>Boosters</w:t>
            </w:r>
          </w:p>
        </w:tc>
        <w:tc>
          <w:tcPr>
            <w:tcW w:w="777" w:type="dxa"/>
            <w:noWrap/>
            <w:vAlign w:val="center"/>
            <w:hideMark/>
          </w:tcPr>
          <w:p w14:paraId="6114184F" w14:textId="77777777" w:rsidR="00721087" w:rsidRPr="00912BEE" w:rsidRDefault="00721087" w:rsidP="00FC2D1B">
            <w:pPr>
              <w:jc w:val="center"/>
              <w:rPr>
                <w:lang w:val="en-GB"/>
              </w:rPr>
            </w:pPr>
            <w:r w:rsidRPr="00912BEE">
              <w:rPr>
                <w:lang w:val="en-GB"/>
              </w:rPr>
              <w:t>431</w:t>
            </w:r>
          </w:p>
        </w:tc>
        <w:tc>
          <w:tcPr>
            <w:tcW w:w="1056" w:type="dxa"/>
            <w:noWrap/>
            <w:vAlign w:val="center"/>
            <w:hideMark/>
          </w:tcPr>
          <w:p w14:paraId="5AF57EF1" w14:textId="4B6155FC" w:rsidR="00721087" w:rsidRPr="00912BEE" w:rsidRDefault="00721087" w:rsidP="00FC2D1B">
            <w:pPr>
              <w:jc w:val="center"/>
              <w:rPr>
                <w:lang w:val="en-GB"/>
              </w:rPr>
            </w:pPr>
            <w:r w:rsidRPr="00912BEE">
              <w:rPr>
                <w:lang w:val="en-GB"/>
              </w:rPr>
              <w:t>84.2</w:t>
            </w:r>
          </w:p>
        </w:tc>
        <w:tc>
          <w:tcPr>
            <w:tcW w:w="748" w:type="dxa"/>
            <w:noWrap/>
            <w:vAlign w:val="center"/>
            <w:hideMark/>
          </w:tcPr>
          <w:p w14:paraId="1713C124" w14:textId="77777777" w:rsidR="00721087" w:rsidRPr="00912BEE" w:rsidRDefault="00721087" w:rsidP="00FC2D1B">
            <w:pPr>
              <w:jc w:val="center"/>
              <w:rPr>
                <w:lang w:val="en-GB"/>
              </w:rPr>
            </w:pPr>
            <w:r w:rsidRPr="00912BEE">
              <w:rPr>
                <w:lang w:val="en-GB"/>
              </w:rPr>
              <w:t>7.1</w:t>
            </w:r>
          </w:p>
        </w:tc>
        <w:tc>
          <w:tcPr>
            <w:tcW w:w="777" w:type="dxa"/>
            <w:noWrap/>
            <w:vAlign w:val="center"/>
            <w:hideMark/>
          </w:tcPr>
          <w:p w14:paraId="6BE53088" w14:textId="77777777" w:rsidR="00721087" w:rsidRPr="00912BEE" w:rsidRDefault="00721087" w:rsidP="00FC2D1B">
            <w:pPr>
              <w:jc w:val="center"/>
              <w:rPr>
                <w:lang w:val="en-GB"/>
              </w:rPr>
            </w:pPr>
            <w:r w:rsidRPr="00912BEE">
              <w:rPr>
                <w:lang w:val="en-GB"/>
              </w:rPr>
              <w:t>459</w:t>
            </w:r>
          </w:p>
        </w:tc>
        <w:tc>
          <w:tcPr>
            <w:tcW w:w="1056" w:type="dxa"/>
            <w:noWrap/>
            <w:vAlign w:val="center"/>
            <w:hideMark/>
          </w:tcPr>
          <w:p w14:paraId="5283C2EC" w14:textId="702C9516" w:rsidR="00721087" w:rsidRPr="00912BEE" w:rsidRDefault="00721087" w:rsidP="00FC2D1B">
            <w:pPr>
              <w:jc w:val="center"/>
              <w:rPr>
                <w:lang w:val="en-GB"/>
              </w:rPr>
            </w:pPr>
            <w:r w:rsidRPr="00912BEE">
              <w:rPr>
                <w:lang w:val="en-GB"/>
              </w:rPr>
              <w:t>84.8</w:t>
            </w:r>
          </w:p>
        </w:tc>
        <w:tc>
          <w:tcPr>
            <w:tcW w:w="748" w:type="dxa"/>
            <w:noWrap/>
            <w:vAlign w:val="center"/>
            <w:hideMark/>
          </w:tcPr>
          <w:p w14:paraId="23D9B8C5" w14:textId="79606673" w:rsidR="00721087" w:rsidRPr="00912BEE" w:rsidRDefault="00721087" w:rsidP="00FC2D1B">
            <w:pPr>
              <w:jc w:val="center"/>
              <w:rPr>
                <w:lang w:val="en-GB"/>
              </w:rPr>
            </w:pPr>
            <w:r w:rsidRPr="00912BEE">
              <w:rPr>
                <w:lang w:val="en-GB"/>
              </w:rPr>
              <w:t>5.9</w:t>
            </w:r>
          </w:p>
        </w:tc>
        <w:tc>
          <w:tcPr>
            <w:tcW w:w="777" w:type="dxa"/>
            <w:noWrap/>
            <w:vAlign w:val="center"/>
            <w:hideMark/>
          </w:tcPr>
          <w:p w14:paraId="729219A8" w14:textId="77777777" w:rsidR="00721087" w:rsidRPr="00912BEE" w:rsidRDefault="00721087" w:rsidP="00FC2D1B">
            <w:pPr>
              <w:jc w:val="center"/>
              <w:rPr>
                <w:lang w:val="en-GB"/>
              </w:rPr>
            </w:pPr>
            <w:r w:rsidRPr="00912BEE">
              <w:rPr>
                <w:lang w:val="en-GB"/>
              </w:rPr>
              <w:t>487</w:t>
            </w:r>
          </w:p>
        </w:tc>
        <w:tc>
          <w:tcPr>
            <w:tcW w:w="1056" w:type="dxa"/>
            <w:noWrap/>
            <w:vAlign w:val="center"/>
            <w:hideMark/>
          </w:tcPr>
          <w:p w14:paraId="69EF35CB" w14:textId="0247348E" w:rsidR="00721087" w:rsidRPr="00912BEE" w:rsidRDefault="00721087" w:rsidP="00FC2D1B">
            <w:pPr>
              <w:jc w:val="center"/>
              <w:rPr>
                <w:lang w:val="en-GB"/>
              </w:rPr>
            </w:pPr>
            <w:r w:rsidRPr="00912BEE">
              <w:rPr>
                <w:lang w:val="en-GB"/>
              </w:rPr>
              <w:t>85.34</w:t>
            </w:r>
          </w:p>
        </w:tc>
        <w:tc>
          <w:tcPr>
            <w:tcW w:w="748" w:type="dxa"/>
            <w:noWrap/>
            <w:vAlign w:val="center"/>
            <w:hideMark/>
          </w:tcPr>
          <w:p w14:paraId="18EF9F04" w14:textId="77777777" w:rsidR="00721087" w:rsidRPr="00912BEE" w:rsidRDefault="00721087" w:rsidP="00FC2D1B">
            <w:pPr>
              <w:jc w:val="center"/>
              <w:rPr>
                <w:lang w:val="en-GB"/>
              </w:rPr>
            </w:pPr>
            <w:r w:rsidRPr="00912BEE">
              <w:rPr>
                <w:lang w:val="en-GB"/>
              </w:rPr>
              <w:t>6.7</w:t>
            </w:r>
          </w:p>
        </w:tc>
      </w:tr>
      <w:tr w:rsidR="00FC2D1B" w:rsidRPr="00912BEE" w14:paraId="010A7C13" w14:textId="77777777" w:rsidTr="00FC2D1B">
        <w:trPr>
          <w:trHeight w:val="285"/>
        </w:trPr>
        <w:tc>
          <w:tcPr>
            <w:tcW w:w="2446" w:type="dxa"/>
            <w:noWrap/>
            <w:vAlign w:val="center"/>
            <w:hideMark/>
          </w:tcPr>
          <w:p w14:paraId="05D6CF02" w14:textId="74709674" w:rsidR="00721087" w:rsidRPr="00912BEE" w:rsidRDefault="00721087" w:rsidP="00FC2D1B">
            <w:pPr>
              <w:jc w:val="center"/>
              <w:rPr>
                <w:lang w:val="en-GB"/>
              </w:rPr>
            </w:pPr>
            <w:r w:rsidRPr="00912BEE">
              <w:rPr>
                <w:lang w:val="en-GB"/>
              </w:rPr>
              <w:t xml:space="preserve">Attitude </w:t>
            </w:r>
            <w:r w:rsidR="004A2B58" w:rsidRPr="00912BEE">
              <w:rPr>
                <w:lang w:val="en-GB"/>
              </w:rPr>
              <w:t>m</w:t>
            </w:r>
            <w:r w:rsidRPr="00912BEE">
              <w:rPr>
                <w:lang w:val="en-GB"/>
              </w:rPr>
              <w:t>arkers</w:t>
            </w:r>
          </w:p>
        </w:tc>
        <w:tc>
          <w:tcPr>
            <w:tcW w:w="777" w:type="dxa"/>
            <w:noWrap/>
            <w:vAlign w:val="center"/>
            <w:hideMark/>
          </w:tcPr>
          <w:p w14:paraId="1CD02EA2" w14:textId="77777777" w:rsidR="00721087" w:rsidRPr="00912BEE" w:rsidRDefault="00721087" w:rsidP="00FC2D1B">
            <w:pPr>
              <w:jc w:val="center"/>
              <w:rPr>
                <w:lang w:val="en-GB"/>
              </w:rPr>
            </w:pPr>
            <w:r w:rsidRPr="00912BEE">
              <w:rPr>
                <w:lang w:val="en-GB"/>
              </w:rPr>
              <w:t>194</w:t>
            </w:r>
          </w:p>
        </w:tc>
        <w:tc>
          <w:tcPr>
            <w:tcW w:w="1056" w:type="dxa"/>
            <w:noWrap/>
            <w:vAlign w:val="center"/>
            <w:hideMark/>
          </w:tcPr>
          <w:p w14:paraId="7999CB73" w14:textId="00B7D8EC" w:rsidR="00721087" w:rsidRPr="00912BEE" w:rsidRDefault="00721087" w:rsidP="00FC2D1B">
            <w:pPr>
              <w:jc w:val="center"/>
              <w:rPr>
                <w:lang w:val="en-GB"/>
              </w:rPr>
            </w:pPr>
            <w:r w:rsidRPr="00912BEE">
              <w:rPr>
                <w:lang w:val="en-GB"/>
              </w:rPr>
              <w:t>37.9</w:t>
            </w:r>
          </w:p>
        </w:tc>
        <w:tc>
          <w:tcPr>
            <w:tcW w:w="748" w:type="dxa"/>
            <w:noWrap/>
            <w:vAlign w:val="center"/>
            <w:hideMark/>
          </w:tcPr>
          <w:p w14:paraId="1C1EE960" w14:textId="77777777" w:rsidR="00721087" w:rsidRPr="00912BEE" w:rsidRDefault="00721087" w:rsidP="00FC2D1B">
            <w:pPr>
              <w:jc w:val="center"/>
              <w:rPr>
                <w:lang w:val="en-GB"/>
              </w:rPr>
            </w:pPr>
            <w:r w:rsidRPr="00912BEE">
              <w:rPr>
                <w:lang w:val="en-GB"/>
              </w:rPr>
              <w:t>4.4</w:t>
            </w:r>
          </w:p>
        </w:tc>
        <w:tc>
          <w:tcPr>
            <w:tcW w:w="777" w:type="dxa"/>
            <w:noWrap/>
            <w:vAlign w:val="center"/>
            <w:hideMark/>
          </w:tcPr>
          <w:p w14:paraId="68EBBF3F" w14:textId="77777777" w:rsidR="00721087" w:rsidRPr="00912BEE" w:rsidRDefault="00721087" w:rsidP="00FC2D1B">
            <w:pPr>
              <w:jc w:val="center"/>
              <w:rPr>
                <w:lang w:val="en-GB"/>
              </w:rPr>
            </w:pPr>
            <w:r w:rsidRPr="00912BEE">
              <w:rPr>
                <w:lang w:val="en-GB"/>
              </w:rPr>
              <w:t>172</w:t>
            </w:r>
          </w:p>
        </w:tc>
        <w:tc>
          <w:tcPr>
            <w:tcW w:w="1056" w:type="dxa"/>
            <w:noWrap/>
            <w:vAlign w:val="center"/>
            <w:hideMark/>
          </w:tcPr>
          <w:p w14:paraId="3714B6A5" w14:textId="28098518" w:rsidR="00721087" w:rsidRPr="00912BEE" w:rsidRDefault="00721087" w:rsidP="00FC2D1B">
            <w:pPr>
              <w:jc w:val="center"/>
              <w:rPr>
                <w:lang w:val="en-GB"/>
              </w:rPr>
            </w:pPr>
            <w:r w:rsidRPr="00912BEE">
              <w:rPr>
                <w:lang w:val="en-GB"/>
              </w:rPr>
              <w:t>32.2</w:t>
            </w:r>
          </w:p>
        </w:tc>
        <w:tc>
          <w:tcPr>
            <w:tcW w:w="748" w:type="dxa"/>
            <w:noWrap/>
            <w:vAlign w:val="center"/>
            <w:hideMark/>
          </w:tcPr>
          <w:p w14:paraId="30AF9ADB" w14:textId="1043AC67" w:rsidR="00721087" w:rsidRPr="00912BEE" w:rsidRDefault="00721087" w:rsidP="00FC2D1B">
            <w:pPr>
              <w:jc w:val="center"/>
              <w:rPr>
                <w:lang w:val="en-GB"/>
              </w:rPr>
            </w:pPr>
            <w:r w:rsidRPr="00912BEE">
              <w:rPr>
                <w:lang w:val="en-GB"/>
              </w:rPr>
              <w:t>3.3</w:t>
            </w:r>
          </w:p>
        </w:tc>
        <w:tc>
          <w:tcPr>
            <w:tcW w:w="777" w:type="dxa"/>
            <w:noWrap/>
            <w:vAlign w:val="center"/>
            <w:hideMark/>
          </w:tcPr>
          <w:p w14:paraId="5BD47EE7" w14:textId="77777777" w:rsidR="00721087" w:rsidRPr="00912BEE" w:rsidRDefault="00721087" w:rsidP="00FC2D1B">
            <w:pPr>
              <w:jc w:val="center"/>
              <w:rPr>
                <w:lang w:val="en-GB"/>
              </w:rPr>
            </w:pPr>
            <w:r w:rsidRPr="00912BEE">
              <w:rPr>
                <w:lang w:val="en-GB"/>
              </w:rPr>
              <w:t>151</w:t>
            </w:r>
          </w:p>
        </w:tc>
        <w:tc>
          <w:tcPr>
            <w:tcW w:w="1056" w:type="dxa"/>
            <w:noWrap/>
            <w:vAlign w:val="center"/>
            <w:hideMark/>
          </w:tcPr>
          <w:p w14:paraId="0215385E" w14:textId="0F39A514" w:rsidR="00721087" w:rsidRPr="00912BEE" w:rsidRDefault="00721087" w:rsidP="00FC2D1B">
            <w:pPr>
              <w:jc w:val="center"/>
              <w:rPr>
                <w:lang w:val="en-GB"/>
              </w:rPr>
            </w:pPr>
            <w:r w:rsidRPr="00912BEE">
              <w:rPr>
                <w:lang w:val="en-GB"/>
              </w:rPr>
              <w:t>26.46</w:t>
            </w:r>
          </w:p>
        </w:tc>
        <w:tc>
          <w:tcPr>
            <w:tcW w:w="748" w:type="dxa"/>
            <w:noWrap/>
            <w:vAlign w:val="center"/>
            <w:hideMark/>
          </w:tcPr>
          <w:p w14:paraId="03201677" w14:textId="77777777" w:rsidR="00721087" w:rsidRPr="00912BEE" w:rsidRDefault="00721087" w:rsidP="00FC2D1B">
            <w:pPr>
              <w:jc w:val="center"/>
              <w:rPr>
                <w:lang w:val="en-GB"/>
              </w:rPr>
            </w:pPr>
            <w:r w:rsidRPr="00912BEE">
              <w:rPr>
                <w:lang w:val="en-GB"/>
              </w:rPr>
              <w:t>1.5</w:t>
            </w:r>
          </w:p>
        </w:tc>
      </w:tr>
      <w:tr w:rsidR="00FC2D1B" w:rsidRPr="00912BEE" w14:paraId="571741A3" w14:textId="77777777" w:rsidTr="00FC2D1B">
        <w:trPr>
          <w:trHeight w:val="285"/>
        </w:trPr>
        <w:tc>
          <w:tcPr>
            <w:tcW w:w="2446" w:type="dxa"/>
            <w:noWrap/>
            <w:vAlign w:val="center"/>
            <w:hideMark/>
          </w:tcPr>
          <w:p w14:paraId="0A4688CB" w14:textId="6D9C98A9" w:rsidR="00721087" w:rsidRPr="00912BEE" w:rsidRDefault="00721087" w:rsidP="00FC2D1B">
            <w:pPr>
              <w:jc w:val="center"/>
              <w:rPr>
                <w:lang w:val="en-GB"/>
              </w:rPr>
            </w:pPr>
            <w:proofErr w:type="spellStart"/>
            <w:r w:rsidRPr="00912BEE">
              <w:rPr>
                <w:lang w:val="en-GB"/>
              </w:rPr>
              <w:t>Self</w:t>
            </w:r>
            <w:r w:rsidR="004A2B58" w:rsidRPr="00912BEE">
              <w:rPr>
                <w:lang w:val="en-GB"/>
              </w:rPr>
              <w:t xml:space="preserve"> </w:t>
            </w:r>
            <w:r w:rsidRPr="00912BEE">
              <w:rPr>
                <w:lang w:val="en-GB"/>
              </w:rPr>
              <w:t>mentions</w:t>
            </w:r>
            <w:proofErr w:type="spellEnd"/>
          </w:p>
        </w:tc>
        <w:tc>
          <w:tcPr>
            <w:tcW w:w="777" w:type="dxa"/>
            <w:noWrap/>
            <w:vAlign w:val="center"/>
            <w:hideMark/>
          </w:tcPr>
          <w:p w14:paraId="4EFA7FD2" w14:textId="77777777" w:rsidR="00721087" w:rsidRPr="00912BEE" w:rsidRDefault="00721087" w:rsidP="00FC2D1B">
            <w:pPr>
              <w:jc w:val="center"/>
              <w:rPr>
                <w:lang w:val="en-GB"/>
              </w:rPr>
            </w:pPr>
            <w:r w:rsidRPr="00912BEE">
              <w:rPr>
                <w:lang w:val="en-GB"/>
              </w:rPr>
              <w:t>227</w:t>
            </w:r>
          </w:p>
        </w:tc>
        <w:tc>
          <w:tcPr>
            <w:tcW w:w="1056" w:type="dxa"/>
            <w:noWrap/>
            <w:vAlign w:val="center"/>
            <w:hideMark/>
          </w:tcPr>
          <w:p w14:paraId="7B0669A7" w14:textId="317EAE32" w:rsidR="00721087" w:rsidRPr="00912BEE" w:rsidRDefault="00721087" w:rsidP="00FC2D1B">
            <w:pPr>
              <w:jc w:val="center"/>
              <w:rPr>
                <w:lang w:val="en-GB"/>
              </w:rPr>
            </w:pPr>
            <w:r w:rsidRPr="00912BEE">
              <w:rPr>
                <w:lang w:val="en-GB"/>
              </w:rPr>
              <w:t>44.4</w:t>
            </w:r>
          </w:p>
        </w:tc>
        <w:tc>
          <w:tcPr>
            <w:tcW w:w="748" w:type="dxa"/>
            <w:noWrap/>
            <w:vAlign w:val="center"/>
            <w:hideMark/>
          </w:tcPr>
          <w:p w14:paraId="40101C6F" w14:textId="77777777" w:rsidR="00721087" w:rsidRPr="00912BEE" w:rsidRDefault="00721087" w:rsidP="00FC2D1B">
            <w:pPr>
              <w:jc w:val="center"/>
              <w:rPr>
                <w:lang w:val="en-GB"/>
              </w:rPr>
            </w:pPr>
            <w:r w:rsidRPr="00912BEE">
              <w:rPr>
                <w:lang w:val="en-GB"/>
              </w:rPr>
              <w:t>4.7</w:t>
            </w:r>
          </w:p>
        </w:tc>
        <w:tc>
          <w:tcPr>
            <w:tcW w:w="777" w:type="dxa"/>
            <w:noWrap/>
            <w:vAlign w:val="center"/>
            <w:hideMark/>
          </w:tcPr>
          <w:p w14:paraId="451FB666" w14:textId="77777777" w:rsidR="00721087" w:rsidRPr="00912BEE" w:rsidRDefault="00721087" w:rsidP="00FC2D1B">
            <w:pPr>
              <w:jc w:val="center"/>
              <w:rPr>
                <w:lang w:val="en-GB"/>
              </w:rPr>
            </w:pPr>
            <w:r w:rsidRPr="00912BEE">
              <w:rPr>
                <w:lang w:val="en-GB"/>
              </w:rPr>
              <w:t>296</w:t>
            </w:r>
          </w:p>
        </w:tc>
        <w:tc>
          <w:tcPr>
            <w:tcW w:w="1056" w:type="dxa"/>
            <w:noWrap/>
            <w:vAlign w:val="center"/>
            <w:hideMark/>
          </w:tcPr>
          <w:p w14:paraId="6CA54C5B" w14:textId="63ED7FA7" w:rsidR="00721087" w:rsidRPr="00912BEE" w:rsidRDefault="00721087" w:rsidP="00FC2D1B">
            <w:pPr>
              <w:jc w:val="center"/>
              <w:rPr>
                <w:lang w:val="en-GB"/>
              </w:rPr>
            </w:pPr>
            <w:r w:rsidRPr="00912BEE">
              <w:rPr>
                <w:lang w:val="en-GB"/>
              </w:rPr>
              <w:t>54.2</w:t>
            </w:r>
          </w:p>
        </w:tc>
        <w:tc>
          <w:tcPr>
            <w:tcW w:w="748" w:type="dxa"/>
            <w:noWrap/>
            <w:vAlign w:val="center"/>
            <w:hideMark/>
          </w:tcPr>
          <w:p w14:paraId="1C6F2F14" w14:textId="294716CE" w:rsidR="00721087" w:rsidRPr="00912BEE" w:rsidRDefault="00721087" w:rsidP="00FC2D1B">
            <w:pPr>
              <w:jc w:val="center"/>
              <w:rPr>
                <w:lang w:val="en-GB"/>
              </w:rPr>
            </w:pPr>
            <w:r w:rsidRPr="00912BEE">
              <w:rPr>
                <w:lang w:val="en-GB"/>
              </w:rPr>
              <w:t>3.7</w:t>
            </w:r>
          </w:p>
        </w:tc>
        <w:tc>
          <w:tcPr>
            <w:tcW w:w="777" w:type="dxa"/>
            <w:noWrap/>
            <w:vAlign w:val="center"/>
            <w:hideMark/>
          </w:tcPr>
          <w:p w14:paraId="706DDB05" w14:textId="77777777" w:rsidR="00721087" w:rsidRPr="00912BEE" w:rsidRDefault="00721087" w:rsidP="00FC2D1B">
            <w:pPr>
              <w:jc w:val="center"/>
              <w:rPr>
                <w:lang w:val="en-GB"/>
              </w:rPr>
            </w:pPr>
            <w:r w:rsidRPr="00912BEE">
              <w:rPr>
                <w:lang w:val="en-GB"/>
              </w:rPr>
              <w:t>366</w:t>
            </w:r>
          </w:p>
        </w:tc>
        <w:tc>
          <w:tcPr>
            <w:tcW w:w="1056" w:type="dxa"/>
            <w:noWrap/>
            <w:vAlign w:val="center"/>
            <w:hideMark/>
          </w:tcPr>
          <w:p w14:paraId="417836F8" w14:textId="274292A3" w:rsidR="00721087" w:rsidRPr="00912BEE" w:rsidRDefault="00721087" w:rsidP="00FC2D1B">
            <w:pPr>
              <w:jc w:val="center"/>
              <w:rPr>
                <w:lang w:val="en-GB"/>
              </w:rPr>
            </w:pPr>
            <w:r w:rsidRPr="00912BEE">
              <w:rPr>
                <w:lang w:val="en-GB"/>
              </w:rPr>
              <w:t>64.14</w:t>
            </w:r>
          </w:p>
        </w:tc>
        <w:tc>
          <w:tcPr>
            <w:tcW w:w="748" w:type="dxa"/>
            <w:noWrap/>
            <w:vAlign w:val="center"/>
            <w:hideMark/>
          </w:tcPr>
          <w:p w14:paraId="3BE18E27" w14:textId="77777777" w:rsidR="00721087" w:rsidRPr="00912BEE" w:rsidRDefault="00721087" w:rsidP="00FC2D1B">
            <w:pPr>
              <w:jc w:val="center"/>
              <w:rPr>
                <w:lang w:val="en-GB"/>
              </w:rPr>
            </w:pPr>
            <w:r w:rsidRPr="00912BEE">
              <w:rPr>
                <w:lang w:val="en-GB"/>
              </w:rPr>
              <w:t>3.6</w:t>
            </w:r>
          </w:p>
        </w:tc>
      </w:tr>
      <w:tr w:rsidR="00FC2D1B" w:rsidRPr="00912BEE" w14:paraId="5CBF289A" w14:textId="77777777" w:rsidTr="00FC2D1B">
        <w:trPr>
          <w:trHeight w:val="285"/>
        </w:trPr>
        <w:tc>
          <w:tcPr>
            <w:tcW w:w="2446" w:type="dxa"/>
            <w:noWrap/>
            <w:vAlign w:val="center"/>
            <w:hideMark/>
          </w:tcPr>
          <w:p w14:paraId="323DF164" w14:textId="3A8AB567" w:rsidR="00721087" w:rsidRPr="00912BEE" w:rsidRDefault="00721087" w:rsidP="00FC2D1B">
            <w:pPr>
              <w:jc w:val="center"/>
              <w:rPr>
                <w:lang w:val="en-GB"/>
              </w:rPr>
            </w:pPr>
            <w:r w:rsidRPr="00912BEE">
              <w:rPr>
                <w:lang w:val="en-GB"/>
              </w:rPr>
              <w:t xml:space="preserve">Engagement </w:t>
            </w:r>
            <w:r w:rsidR="004A2B58" w:rsidRPr="00912BEE">
              <w:rPr>
                <w:lang w:val="en-GB"/>
              </w:rPr>
              <w:t>m</w:t>
            </w:r>
            <w:r w:rsidRPr="00912BEE">
              <w:rPr>
                <w:lang w:val="en-GB"/>
              </w:rPr>
              <w:t>arkers</w:t>
            </w:r>
          </w:p>
        </w:tc>
        <w:tc>
          <w:tcPr>
            <w:tcW w:w="777" w:type="dxa"/>
            <w:noWrap/>
            <w:vAlign w:val="center"/>
            <w:hideMark/>
          </w:tcPr>
          <w:p w14:paraId="0D6267BE" w14:textId="77777777" w:rsidR="00721087" w:rsidRPr="00912BEE" w:rsidRDefault="00721087" w:rsidP="00FC2D1B">
            <w:pPr>
              <w:jc w:val="center"/>
              <w:rPr>
                <w:lang w:val="en-GB"/>
              </w:rPr>
            </w:pPr>
            <w:r w:rsidRPr="00912BEE">
              <w:rPr>
                <w:lang w:val="en-GB"/>
              </w:rPr>
              <w:t>466</w:t>
            </w:r>
          </w:p>
        </w:tc>
        <w:tc>
          <w:tcPr>
            <w:tcW w:w="1056" w:type="dxa"/>
            <w:noWrap/>
            <w:vAlign w:val="center"/>
            <w:hideMark/>
          </w:tcPr>
          <w:p w14:paraId="13329268" w14:textId="40003ABA" w:rsidR="00721087" w:rsidRPr="00912BEE" w:rsidRDefault="00721087" w:rsidP="00FC2D1B">
            <w:pPr>
              <w:jc w:val="center"/>
              <w:rPr>
                <w:lang w:val="en-GB"/>
              </w:rPr>
            </w:pPr>
            <w:r w:rsidRPr="00912BEE">
              <w:rPr>
                <w:lang w:val="en-GB"/>
              </w:rPr>
              <w:t>91.1</w:t>
            </w:r>
          </w:p>
        </w:tc>
        <w:tc>
          <w:tcPr>
            <w:tcW w:w="748" w:type="dxa"/>
            <w:noWrap/>
            <w:vAlign w:val="center"/>
            <w:hideMark/>
          </w:tcPr>
          <w:p w14:paraId="162763F8" w14:textId="77777777" w:rsidR="00721087" w:rsidRPr="00912BEE" w:rsidRDefault="00721087" w:rsidP="00FC2D1B">
            <w:pPr>
              <w:jc w:val="center"/>
              <w:rPr>
                <w:lang w:val="en-GB"/>
              </w:rPr>
            </w:pPr>
            <w:r w:rsidRPr="00912BEE">
              <w:rPr>
                <w:lang w:val="en-GB"/>
              </w:rPr>
              <w:t>8.6</w:t>
            </w:r>
          </w:p>
        </w:tc>
        <w:tc>
          <w:tcPr>
            <w:tcW w:w="777" w:type="dxa"/>
            <w:noWrap/>
            <w:vAlign w:val="center"/>
            <w:hideMark/>
          </w:tcPr>
          <w:p w14:paraId="0032DFD0" w14:textId="77777777" w:rsidR="00721087" w:rsidRPr="00912BEE" w:rsidRDefault="00721087" w:rsidP="00FC2D1B">
            <w:pPr>
              <w:jc w:val="center"/>
              <w:rPr>
                <w:lang w:val="en-GB"/>
              </w:rPr>
            </w:pPr>
            <w:r w:rsidRPr="00912BEE">
              <w:rPr>
                <w:lang w:val="en-GB"/>
              </w:rPr>
              <w:t>609</w:t>
            </w:r>
          </w:p>
        </w:tc>
        <w:tc>
          <w:tcPr>
            <w:tcW w:w="1056" w:type="dxa"/>
            <w:noWrap/>
            <w:vAlign w:val="center"/>
            <w:hideMark/>
          </w:tcPr>
          <w:p w14:paraId="3AC0E350" w14:textId="63D9BE4C" w:rsidR="00721087" w:rsidRPr="00912BEE" w:rsidRDefault="00721087" w:rsidP="00FC2D1B">
            <w:pPr>
              <w:jc w:val="center"/>
              <w:rPr>
                <w:lang w:val="en-GB"/>
              </w:rPr>
            </w:pPr>
            <w:r w:rsidRPr="00912BEE">
              <w:rPr>
                <w:lang w:val="en-GB"/>
              </w:rPr>
              <w:t>111.4</w:t>
            </w:r>
          </w:p>
        </w:tc>
        <w:tc>
          <w:tcPr>
            <w:tcW w:w="748" w:type="dxa"/>
            <w:noWrap/>
            <w:vAlign w:val="center"/>
            <w:hideMark/>
          </w:tcPr>
          <w:p w14:paraId="14DD491C" w14:textId="33664373" w:rsidR="00721087" w:rsidRPr="00912BEE" w:rsidRDefault="00721087" w:rsidP="00FC2D1B">
            <w:pPr>
              <w:jc w:val="center"/>
              <w:rPr>
                <w:lang w:val="en-GB"/>
              </w:rPr>
            </w:pPr>
            <w:r w:rsidRPr="00912BEE">
              <w:rPr>
                <w:lang w:val="en-GB"/>
              </w:rPr>
              <w:t>6.9</w:t>
            </w:r>
          </w:p>
        </w:tc>
        <w:tc>
          <w:tcPr>
            <w:tcW w:w="777" w:type="dxa"/>
            <w:noWrap/>
            <w:vAlign w:val="center"/>
            <w:hideMark/>
          </w:tcPr>
          <w:p w14:paraId="084A7F42" w14:textId="77777777" w:rsidR="00721087" w:rsidRPr="00912BEE" w:rsidRDefault="00721087" w:rsidP="00FC2D1B">
            <w:pPr>
              <w:jc w:val="center"/>
              <w:rPr>
                <w:lang w:val="en-GB"/>
              </w:rPr>
            </w:pPr>
            <w:r w:rsidRPr="00912BEE">
              <w:rPr>
                <w:lang w:val="en-GB"/>
              </w:rPr>
              <w:t>752</w:t>
            </w:r>
          </w:p>
        </w:tc>
        <w:tc>
          <w:tcPr>
            <w:tcW w:w="1056" w:type="dxa"/>
            <w:noWrap/>
            <w:vAlign w:val="center"/>
            <w:hideMark/>
          </w:tcPr>
          <w:p w14:paraId="2D00B06A" w14:textId="75366472" w:rsidR="00721087" w:rsidRPr="00912BEE" w:rsidRDefault="00721087" w:rsidP="00FC2D1B">
            <w:pPr>
              <w:jc w:val="center"/>
              <w:rPr>
                <w:lang w:val="en-GB"/>
              </w:rPr>
            </w:pPr>
            <w:r w:rsidRPr="00912BEE">
              <w:rPr>
                <w:lang w:val="en-GB"/>
              </w:rPr>
              <w:t>131.78</w:t>
            </w:r>
          </w:p>
        </w:tc>
        <w:tc>
          <w:tcPr>
            <w:tcW w:w="748" w:type="dxa"/>
            <w:noWrap/>
            <w:vAlign w:val="center"/>
            <w:hideMark/>
          </w:tcPr>
          <w:p w14:paraId="0E7C9725" w14:textId="77777777" w:rsidR="00721087" w:rsidRPr="00912BEE" w:rsidRDefault="00721087" w:rsidP="00FC2D1B">
            <w:pPr>
              <w:jc w:val="center"/>
              <w:rPr>
                <w:lang w:val="en-GB"/>
              </w:rPr>
            </w:pPr>
            <w:r w:rsidRPr="00912BEE">
              <w:rPr>
                <w:lang w:val="en-GB"/>
              </w:rPr>
              <w:t>5.2</w:t>
            </w:r>
          </w:p>
        </w:tc>
      </w:tr>
      <w:tr w:rsidR="00FC2D1B" w:rsidRPr="00912BEE" w14:paraId="53B6FF64" w14:textId="77777777" w:rsidTr="00FC2D1B">
        <w:trPr>
          <w:trHeight w:val="285"/>
        </w:trPr>
        <w:tc>
          <w:tcPr>
            <w:tcW w:w="2446" w:type="dxa"/>
            <w:noWrap/>
            <w:vAlign w:val="center"/>
            <w:hideMark/>
          </w:tcPr>
          <w:p w14:paraId="2C8584B2" w14:textId="4EBA1692" w:rsidR="00721087" w:rsidRPr="00912BEE" w:rsidRDefault="00FC2D1B" w:rsidP="00FC2D1B">
            <w:pPr>
              <w:jc w:val="center"/>
              <w:rPr>
                <w:b/>
                <w:bCs/>
                <w:lang w:val="en-GB"/>
              </w:rPr>
            </w:pPr>
            <w:r w:rsidRPr="00912BEE">
              <w:rPr>
                <w:b/>
                <w:bCs/>
                <w:lang w:val="en-GB"/>
              </w:rPr>
              <w:t>Total</w:t>
            </w:r>
          </w:p>
        </w:tc>
        <w:tc>
          <w:tcPr>
            <w:tcW w:w="777" w:type="dxa"/>
            <w:noWrap/>
            <w:vAlign w:val="center"/>
            <w:hideMark/>
          </w:tcPr>
          <w:p w14:paraId="194077F5" w14:textId="77777777" w:rsidR="00721087" w:rsidRPr="00912BEE" w:rsidRDefault="00721087" w:rsidP="00FC2D1B">
            <w:pPr>
              <w:jc w:val="center"/>
              <w:rPr>
                <w:b/>
                <w:bCs/>
                <w:lang w:val="en-GB"/>
              </w:rPr>
            </w:pPr>
            <w:r w:rsidRPr="00912BEE">
              <w:rPr>
                <w:b/>
                <w:bCs/>
                <w:lang w:val="en-GB"/>
              </w:rPr>
              <w:t>2237</w:t>
            </w:r>
          </w:p>
        </w:tc>
        <w:tc>
          <w:tcPr>
            <w:tcW w:w="1056" w:type="dxa"/>
            <w:noWrap/>
            <w:vAlign w:val="center"/>
            <w:hideMark/>
          </w:tcPr>
          <w:p w14:paraId="5946BCEE" w14:textId="42B8692B" w:rsidR="00721087" w:rsidRPr="00912BEE" w:rsidRDefault="00721087" w:rsidP="00FC2D1B">
            <w:pPr>
              <w:jc w:val="center"/>
              <w:rPr>
                <w:b/>
                <w:bCs/>
                <w:lang w:val="en-GB"/>
              </w:rPr>
            </w:pPr>
            <w:r w:rsidRPr="00912BEE">
              <w:rPr>
                <w:b/>
                <w:bCs/>
                <w:lang w:val="en-GB"/>
              </w:rPr>
              <w:t>437.1</w:t>
            </w:r>
          </w:p>
        </w:tc>
        <w:tc>
          <w:tcPr>
            <w:tcW w:w="748" w:type="dxa"/>
            <w:noWrap/>
            <w:vAlign w:val="center"/>
            <w:hideMark/>
          </w:tcPr>
          <w:p w14:paraId="09CAE8E1" w14:textId="77777777" w:rsidR="00721087" w:rsidRPr="00912BEE" w:rsidRDefault="00721087" w:rsidP="00FC2D1B">
            <w:pPr>
              <w:jc w:val="center"/>
              <w:rPr>
                <w:b/>
                <w:bCs/>
                <w:lang w:val="en-GB"/>
              </w:rPr>
            </w:pPr>
            <w:r w:rsidRPr="00912BEE">
              <w:rPr>
                <w:b/>
                <w:bCs/>
                <w:lang w:val="en-GB"/>
              </w:rPr>
              <w:t>23.7</w:t>
            </w:r>
          </w:p>
        </w:tc>
        <w:tc>
          <w:tcPr>
            <w:tcW w:w="777" w:type="dxa"/>
            <w:noWrap/>
            <w:vAlign w:val="center"/>
            <w:hideMark/>
          </w:tcPr>
          <w:p w14:paraId="4854C13A" w14:textId="77777777" w:rsidR="00721087" w:rsidRPr="00912BEE" w:rsidRDefault="00721087" w:rsidP="00FC2D1B">
            <w:pPr>
              <w:jc w:val="center"/>
              <w:rPr>
                <w:b/>
                <w:bCs/>
                <w:lang w:val="en-GB"/>
              </w:rPr>
            </w:pPr>
            <w:r w:rsidRPr="00912BEE">
              <w:rPr>
                <w:b/>
                <w:bCs/>
                <w:lang w:val="en-GB"/>
              </w:rPr>
              <w:t>2495</w:t>
            </w:r>
          </w:p>
        </w:tc>
        <w:tc>
          <w:tcPr>
            <w:tcW w:w="1056" w:type="dxa"/>
            <w:noWrap/>
            <w:vAlign w:val="center"/>
            <w:hideMark/>
          </w:tcPr>
          <w:p w14:paraId="76859E77" w14:textId="37A764EC" w:rsidR="00721087" w:rsidRPr="00912BEE" w:rsidRDefault="00721087" w:rsidP="00FC2D1B">
            <w:pPr>
              <w:jc w:val="center"/>
              <w:rPr>
                <w:b/>
                <w:bCs/>
                <w:lang w:val="en-GB"/>
              </w:rPr>
            </w:pPr>
            <w:r w:rsidRPr="00912BEE">
              <w:rPr>
                <w:b/>
                <w:bCs/>
                <w:lang w:val="en-GB"/>
              </w:rPr>
              <w:t>459.8</w:t>
            </w:r>
          </w:p>
        </w:tc>
        <w:tc>
          <w:tcPr>
            <w:tcW w:w="748" w:type="dxa"/>
            <w:noWrap/>
            <w:vAlign w:val="center"/>
            <w:hideMark/>
          </w:tcPr>
          <w:p w14:paraId="7F1D379C" w14:textId="2BD78475" w:rsidR="00721087" w:rsidRPr="00912BEE" w:rsidRDefault="00721087" w:rsidP="00FC2D1B">
            <w:pPr>
              <w:jc w:val="center"/>
              <w:rPr>
                <w:b/>
                <w:bCs/>
                <w:lang w:val="en-GB"/>
              </w:rPr>
            </w:pPr>
            <w:r w:rsidRPr="00912BEE">
              <w:rPr>
                <w:b/>
                <w:bCs/>
                <w:lang w:val="en-GB"/>
              </w:rPr>
              <w:t>21.5</w:t>
            </w:r>
          </w:p>
        </w:tc>
        <w:tc>
          <w:tcPr>
            <w:tcW w:w="777" w:type="dxa"/>
            <w:noWrap/>
            <w:vAlign w:val="center"/>
            <w:hideMark/>
          </w:tcPr>
          <w:p w14:paraId="1EEB4998" w14:textId="77777777" w:rsidR="00721087" w:rsidRPr="00912BEE" w:rsidRDefault="00721087" w:rsidP="00FC2D1B">
            <w:pPr>
              <w:jc w:val="center"/>
              <w:rPr>
                <w:b/>
                <w:bCs/>
                <w:lang w:val="en-GB"/>
              </w:rPr>
            </w:pPr>
            <w:r w:rsidRPr="00912BEE">
              <w:rPr>
                <w:b/>
                <w:bCs/>
                <w:lang w:val="en-GB"/>
              </w:rPr>
              <w:t>2753</w:t>
            </w:r>
          </w:p>
        </w:tc>
        <w:tc>
          <w:tcPr>
            <w:tcW w:w="1056" w:type="dxa"/>
            <w:noWrap/>
            <w:vAlign w:val="center"/>
            <w:hideMark/>
          </w:tcPr>
          <w:p w14:paraId="437311AD" w14:textId="0601445D" w:rsidR="00721087" w:rsidRPr="00912BEE" w:rsidRDefault="00721087" w:rsidP="00FC2D1B">
            <w:pPr>
              <w:jc w:val="center"/>
              <w:rPr>
                <w:b/>
                <w:bCs/>
                <w:lang w:val="en-GB"/>
              </w:rPr>
            </w:pPr>
            <w:r w:rsidRPr="00912BEE">
              <w:rPr>
                <w:b/>
                <w:bCs/>
                <w:lang w:val="en-GB"/>
              </w:rPr>
              <w:t>482.42</w:t>
            </w:r>
          </w:p>
        </w:tc>
        <w:tc>
          <w:tcPr>
            <w:tcW w:w="748" w:type="dxa"/>
            <w:noWrap/>
            <w:vAlign w:val="center"/>
            <w:hideMark/>
          </w:tcPr>
          <w:p w14:paraId="307A024D" w14:textId="77777777" w:rsidR="00721087" w:rsidRPr="00912BEE" w:rsidRDefault="00721087" w:rsidP="00FC2D1B">
            <w:pPr>
              <w:jc w:val="center"/>
              <w:rPr>
                <w:b/>
                <w:bCs/>
                <w:lang w:val="en-GB"/>
              </w:rPr>
            </w:pPr>
            <w:r w:rsidRPr="00912BEE">
              <w:rPr>
                <w:b/>
                <w:bCs/>
                <w:lang w:val="en-GB"/>
              </w:rPr>
              <w:t>25.3</w:t>
            </w:r>
          </w:p>
        </w:tc>
      </w:tr>
    </w:tbl>
    <w:p w14:paraId="1ED30664" w14:textId="77777777" w:rsidR="00721087" w:rsidRPr="00912BEE" w:rsidRDefault="00721087" w:rsidP="006D2EDE">
      <w:pPr>
        <w:rPr>
          <w:lang w:val="en-GB"/>
        </w:rPr>
      </w:pPr>
    </w:p>
    <w:p w14:paraId="058FA596" w14:textId="7B2D02C6" w:rsidR="003B1599" w:rsidRPr="00912BEE" w:rsidRDefault="00997E09" w:rsidP="00DE0AC5">
      <w:pPr>
        <w:jc w:val="left"/>
        <w:rPr>
          <w:lang w:val="en-GB"/>
        </w:rPr>
      </w:pPr>
      <w:r w:rsidRPr="00912BEE">
        <w:rPr>
          <w:lang w:val="en-GB"/>
        </w:rPr>
        <w:t>Swales profuse use of self</w:t>
      </w:r>
      <w:r w:rsidR="005A4780" w:rsidRPr="00912BEE">
        <w:rPr>
          <w:lang w:val="en-GB"/>
        </w:rPr>
        <w:t>-</w:t>
      </w:r>
      <w:r w:rsidRPr="00912BEE">
        <w:rPr>
          <w:lang w:val="en-GB"/>
        </w:rPr>
        <w:t xml:space="preserve">mention has been </w:t>
      </w:r>
      <w:r w:rsidR="005A4780" w:rsidRPr="00912BEE">
        <w:rPr>
          <w:lang w:val="en-GB"/>
        </w:rPr>
        <w:t>identified as the most “striking feature” of his discourse (</w:t>
      </w:r>
      <w:r w:rsidRPr="00912BEE">
        <w:rPr>
          <w:lang w:val="en-GB"/>
        </w:rPr>
        <w:t>Hyland</w:t>
      </w:r>
      <w:r w:rsidR="005A4780" w:rsidRPr="00912BEE">
        <w:rPr>
          <w:lang w:val="en-GB"/>
        </w:rPr>
        <w:t xml:space="preserve">, </w:t>
      </w:r>
      <w:r w:rsidRPr="00912BEE">
        <w:rPr>
          <w:lang w:val="en-GB"/>
        </w:rPr>
        <w:t>2008</w:t>
      </w:r>
      <w:r w:rsidR="00A81F7F" w:rsidRPr="00912BEE">
        <w:rPr>
          <w:lang w:val="en-GB"/>
        </w:rPr>
        <w:t>, p.</w:t>
      </w:r>
      <w:r w:rsidRPr="00912BEE">
        <w:rPr>
          <w:lang w:val="en-GB"/>
        </w:rPr>
        <w:t>146).</w:t>
      </w:r>
      <w:r w:rsidR="00DE0AC5" w:rsidRPr="00912BEE">
        <w:rPr>
          <w:lang w:val="en-GB"/>
        </w:rPr>
        <w:t xml:space="preserve"> Hyland found both </w:t>
      </w:r>
      <w:r w:rsidR="00DE0AC5" w:rsidRPr="00912BEE">
        <w:rPr>
          <w:i/>
          <w:lang w:val="en-GB"/>
        </w:rPr>
        <w:t xml:space="preserve">I </w:t>
      </w:r>
      <w:r w:rsidR="00DE0AC5" w:rsidRPr="00912BEE">
        <w:rPr>
          <w:lang w:val="en-GB"/>
        </w:rPr>
        <w:t>and</w:t>
      </w:r>
      <w:r w:rsidR="00DE0AC5" w:rsidRPr="00912BEE">
        <w:rPr>
          <w:i/>
          <w:lang w:val="en-GB"/>
        </w:rPr>
        <w:t xml:space="preserve"> my</w:t>
      </w:r>
      <w:r w:rsidR="00DE0AC5" w:rsidRPr="00912BEE">
        <w:rPr>
          <w:lang w:val="en-GB"/>
        </w:rPr>
        <w:t xml:space="preserve"> occurring in the top ten keywords of a </w:t>
      </w:r>
      <w:r w:rsidR="007267D5" w:rsidRPr="00912BEE">
        <w:rPr>
          <w:lang w:val="en-GB"/>
        </w:rPr>
        <w:t xml:space="preserve">(different) </w:t>
      </w:r>
      <w:r w:rsidR="00DE0AC5" w:rsidRPr="00912BEE">
        <w:rPr>
          <w:lang w:val="en-GB"/>
        </w:rPr>
        <w:t>corpus of Swales work, occurring 9.1 times per 1</w:t>
      </w:r>
      <w:r w:rsidR="00A127FE" w:rsidRPr="00912BEE">
        <w:rPr>
          <w:lang w:val="en-GB"/>
        </w:rPr>
        <w:t>,</w:t>
      </w:r>
      <w:r w:rsidR="00DE0AC5" w:rsidRPr="00912BEE">
        <w:rPr>
          <w:lang w:val="en-GB"/>
        </w:rPr>
        <w:t xml:space="preserve">000 words in Swales work compared with 5.2 per 1,000 words in a larger applied linguistics reference corpus. </w:t>
      </w:r>
      <w:r w:rsidRPr="00912BEE">
        <w:rPr>
          <w:lang w:val="en-GB"/>
        </w:rPr>
        <w:t>His</w:t>
      </w:r>
      <w:r w:rsidR="00356AF4" w:rsidRPr="00912BEE">
        <w:rPr>
          <w:lang w:val="en-GB"/>
        </w:rPr>
        <w:t xml:space="preserve"> </w:t>
      </w:r>
      <w:r w:rsidRPr="00912BEE">
        <w:rPr>
          <w:lang w:val="en-GB"/>
        </w:rPr>
        <w:t>sustained</w:t>
      </w:r>
      <w:r w:rsidR="00356AF4" w:rsidRPr="00912BEE">
        <w:rPr>
          <w:lang w:val="en-GB"/>
        </w:rPr>
        <w:t xml:space="preserve"> </w:t>
      </w:r>
      <w:r w:rsidR="00DE0AC5" w:rsidRPr="00912BEE">
        <w:rPr>
          <w:lang w:val="en-GB"/>
        </w:rPr>
        <w:t xml:space="preserve">use of first person, and indeed, his increasing use of the feature </w:t>
      </w:r>
      <w:r w:rsidR="00356AF4" w:rsidRPr="00912BEE">
        <w:rPr>
          <w:lang w:val="en-GB"/>
        </w:rPr>
        <w:t xml:space="preserve">demonstrates </w:t>
      </w:r>
      <w:r w:rsidR="007267D5" w:rsidRPr="00912BEE">
        <w:rPr>
          <w:lang w:val="en-GB"/>
        </w:rPr>
        <w:t xml:space="preserve">how he actually </w:t>
      </w:r>
      <w:r w:rsidR="00356AF4" w:rsidRPr="00912BEE">
        <w:rPr>
          <w:lang w:val="en-GB"/>
        </w:rPr>
        <w:t>lean</w:t>
      </w:r>
      <w:r w:rsidR="007267D5" w:rsidRPr="00912BEE">
        <w:rPr>
          <w:lang w:val="en-GB"/>
        </w:rPr>
        <w:t>t</w:t>
      </w:r>
      <w:r w:rsidR="00356AF4" w:rsidRPr="00912BEE">
        <w:rPr>
          <w:lang w:val="en-GB"/>
        </w:rPr>
        <w:t xml:space="preserve"> more heavily into </w:t>
      </w:r>
      <w:r w:rsidR="00DE0AC5" w:rsidRPr="00912BEE">
        <w:rPr>
          <w:lang w:val="en-GB"/>
        </w:rPr>
        <w:t xml:space="preserve">an </w:t>
      </w:r>
      <w:r w:rsidRPr="00912BEE">
        <w:rPr>
          <w:lang w:val="en-GB"/>
        </w:rPr>
        <w:t>explicit</w:t>
      </w:r>
      <w:r w:rsidR="003B1599" w:rsidRPr="00912BEE">
        <w:rPr>
          <w:lang w:val="en-GB"/>
        </w:rPr>
        <w:t>ly</w:t>
      </w:r>
      <w:r w:rsidRPr="00912BEE">
        <w:rPr>
          <w:lang w:val="en-GB"/>
        </w:rPr>
        <w:t xml:space="preserve"> </w:t>
      </w:r>
      <w:r w:rsidR="00356AF4" w:rsidRPr="00912BEE">
        <w:rPr>
          <w:lang w:val="en-GB"/>
        </w:rPr>
        <w:t>authorial presence</w:t>
      </w:r>
      <w:r w:rsidR="003B1599" w:rsidRPr="00912BEE">
        <w:rPr>
          <w:lang w:val="en-GB"/>
        </w:rPr>
        <w:t xml:space="preserve"> over his career</w:t>
      </w:r>
      <w:r w:rsidRPr="00912BEE">
        <w:rPr>
          <w:lang w:val="en-GB"/>
        </w:rPr>
        <w:t>.</w:t>
      </w:r>
      <w:r w:rsidR="00356AF4" w:rsidRPr="00912BEE">
        <w:rPr>
          <w:lang w:val="en-GB"/>
        </w:rPr>
        <w:t xml:space="preserve"> </w:t>
      </w:r>
    </w:p>
    <w:p w14:paraId="78FBE119" w14:textId="3BFDC002" w:rsidR="0018661F" w:rsidRPr="00912BEE" w:rsidRDefault="003B1599" w:rsidP="0018661F">
      <w:pPr>
        <w:ind w:left="567"/>
        <w:jc w:val="left"/>
        <w:rPr>
          <w:highlight w:val="cyan"/>
          <w:lang w:val="en-GB"/>
        </w:rPr>
      </w:pPr>
      <w:r w:rsidRPr="00912BEE">
        <w:rPr>
          <w:lang w:val="en-GB"/>
        </w:rPr>
        <w:t>(2</w:t>
      </w:r>
      <w:r w:rsidR="006037A3" w:rsidRPr="00912BEE">
        <w:rPr>
          <w:lang w:val="en-GB"/>
        </w:rPr>
        <w:t>8</w:t>
      </w:r>
      <w:r w:rsidRPr="00912BEE">
        <w:rPr>
          <w:lang w:val="en-GB"/>
        </w:rPr>
        <w:t xml:space="preserve">) </w:t>
      </w:r>
      <w:r w:rsidR="006037A3" w:rsidRPr="00912BEE">
        <w:rPr>
          <w:b/>
          <w:bCs/>
          <w:lang w:val="en-GB"/>
        </w:rPr>
        <w:t>I</w:t>
      </w:r>
      <w:r w:rsidR="006037A3" w:rsidRPr="00912BEE">
        <w:rPr>
          <w:lang w:val="en-GB"/>
        </w:rPr>
        <w:t xml:space="preserve"> therefore decided, in a preliminary survey of economics textbooks, to look for a manageable minor topic through which </w:t>
      </w:r>
      <w:r w:rsidR="006037A3" w:rsidRPr="00912BEE">
        <w:rPr>
          <w:b/>
          <w:bCs/>
          <w:lang w:val="en-GB"/>
        </w:rPr>
        <w:t>I</w:t>
      </w:r>
      <w:r w:rsidR="006037A3" w:rsidRPr="00912BEE">
        <w:rPr>
          <w:lang w:val="en-GB"/>
        </w:rPr>
        <w:t xml:space="preserve"> could </w:t>
      </w:r>
      <w:proofErr w:type="gramStart"/>
      <w:r w:rsidR="006037A3" w:rsidRPr="00912BEE">
        <w:rPr>
          <w:lang w:val="en-GB"/>
        </w:rPr>
        <w:t>effect</w:t>
      </w:r>
      <w:proofErr w:type="gramEnd"/>
      <w:r w:rsidR="006037A3" w:rsidRPr="00912BEE">
        <w:rPr>
          <w:lang w:val="en-GB"/>
        </w:rPr>
        <w:t xml:space="preserve"> a comparative assessment of both covert and overt rhetorical action. In the end, </w:t>
      </w:r>
      <w:r w:rsidR="006037A3" w:rsidRPr="00912BEE">
        <w:rPr>
          <w:b/>
          <w:bCs/>
          <w:lang w:val="en-GB"/>
        </w:rPr>
        <w:t>I</w:t>
      </w:r>
      <w:r w:rsidR="006037A3" w:rsidRPr="00912BEE">
        <w:rPr>
          <w:lang w:val="en-GB"/>
        </w:rPr>
        <w:t xml:space="preserve"> selected for comparative analysis textbook treatments of the ‘paradox of value’. (2020)</w:t>
      </w:r>
    </w:p>
    <w:p w14:paraId="3F0594BB" w14:textId="7AE12E35" w:rsidR="003B1599" w:rsidRPr="00912BEE" w:rsidRDefault="003B1599" w:rsidP="003B1599">
      <w:pPr>
        <w:ind w:left="567"/>
        <w:jc w:val="left"/>
        <w:rPr>
          <w:lang w:val="en-GB"/>
        </w:rPr>
      </w:pPr>
      <w:r w:rsidRPr="00912BEE">
        <w:rPr>
          <w:lang w:val="en-GB"/>
        </w:rPr>
        <w:lastRenderedPageBreak/>
        <w:t>(2</w:t>
      </w:r>
      <w:r w:rsidR="006037A3" w:rsidRPr="00912BEE">
        <w:rPr>
          <w:lang w:val="en-GB"/>
        </w:rPr>
        <w:t>9</w:t>
      </w:r>
      <w:r w:rsidRPr="00912BEE">
        <w:rPr>
          <w:lang w:val="en-GB"/>
        </w:rPr>
        <w:t xml:space="preserve">) </w:t>
      </w:r>
      <w:r w:rsidR="006037A3" w:rsidRPr="00912BEE">
        <w:rPr>
          <w:lang w:val="en-GB"/>
        </w:rPr>
        <w:t>Even though</w:t>
      </w:r>
      <w:r w:rsidR="006037A3" w:rsidRPr="00912BEE">
        <w:rPr>
          <w:b/>
          <w:bCs/>
          <w:lang w:val="en-GB"/>
        </w:rPr>
        <w:t xml:space="preserve"> I</w:t>
      </w:r>
      <w:r w:rsidR="006037A3" w:rsidRPr="00912BEE">
        <w:rPr>
          <w:lang w:val="en-GB"/>
        </w:rPr>
        <w:t xml:space="preserve"> have to confess, in </w:t>
      </w:r>
      <w:r w:rsidR="006037A3" w:rsidRPr="00912BEE">
        <w:rPr>
          <w:b/>
          <w:bCs/>
          <w:lang w:val="en-GB"/>
        </w:rPr>
        <w:t>my</w:t>
      </w:r>
      <w:r w:rsidR="006037A3" w:rsidRPr="00912BEE">
        <w:rPr>
          <w:lang w:val="en-GB"/>
        </w:rPr>
        <w:t xml:space="preserve"> heart of hearts, </w:t>
      </w:r>
      <w:r w:rsidR="006037A3" w:rsidRPr="00912BEE">
        <w:rPr>
          <w:b/>
          <w:bCs/>
          <w:lang w:val="en-GB"/>
        </w:rPr>
        <w:t>I</w:t>
      </w:r>
      <w:r w:rsidR="006037A3" w:rsidRPr="00912BEE">
        <w:rPr>
          <w:lang w:val="en-GB"/>
        </w:rPr>
        <w:t xml:space="preserve"> felt that there was little actually wrong with that old earlier characterization. </w:t>
      </w:r>
      <w:r w:rsidR="006037A3" w:rsidRPr="00912BEE">
        <w:rPr>
          <w:b/>
          <w:bCs/>
          <w:lang w:val="en-GB"/>
        </w:rPr>
        <w:t>My</w:t>
      </w:r>
      <w:r w:rsidR="006037A3" w:rsidRPr="00912BEE">
        <w:rPr>
          <w:lang w:val="en-GB"/>
        </w:rPr>
        <w:t xml:space="preserve"> rationale for retreat was a little forced, or so it now seems to </w:t>
      </w:r>
      <w:r w:rsidR="006037A3" w:rsidRPr="00912BEE">
        <w:rPr>
          <w:b/>
          <w:bCs/>
          <w:lang w:val="en-GB"/>
        </w:rPr>
        <w:t>me</w:t>
      </w:r>
      <w:r w:rsidR="006037A3" w:rsidRPr="00912BEE">
        <w:rPr>
          <w:lang w:val="en-GB"/>
        </w:rPr>
        <w:t xml:space="preserve">. </w:t>
      </w:r>
      <w:r w:rsidR="00542954" w:rsidRPr="00912BEE">
        <w:rPr>
          <w:lang w:val="en-GB"/>
        </w:rPr>
        <w:t xml:space="preserve">           </w:t>
      </w:r>
      <w:r w:rsidR="006037A3" w:rsidRPr="00912BEE">
        <w:rPr>
          <w:lang w:val="en-GB"/>
        </w:rPr>
        <w:t>(2009)</w:t>
      </w:r>
    </w:p>
    <w:p w14:paraId="65278FF2" w14:textId="77777777" w:rsidR="006037A3" w:rsidRPr="00912BEE" w:rsidRDefault="006037A3" w:rsidP="00D43A03">
      <w:pPr>
        <w:jc w:val="left"/>
        <w:rPr>
          <w:lang w:val="en-GB"/>
        </w:rPr>
      </w:pPr>
    </w:p>
    <w:p w14:paraId="0101F26D" w14:textId="06C8EC8D" w:rsidR="00356AF4" w:rsidRPr="00912BEE" w:rsidRDefault="00356AF4" w:rsidP="00D43A03">
      <w:pPr>
        <w:jc w:val="left"/>
        <w:rPr>
          <w:szCs w:val="24"/>
          <w:lang w:val="en-GB"/>
        </w:rPr>
      </w:pPr>
      <w:r w:rsidRPr="00912BEE">
        <w:rPr>
          <w:lang w:val="en-GB"/>
        </w:rPr>
        <w:t xml:space="preserve">This </w:t>
      </w:r>
      <w:r w:rsidR="007267D5" w:rsidRPr="00912BEE">
        <w:rPr>
          <w:lang w:val="en-GB"/>
        </w:rPr>
        <w:t>conscious</w:t>
      </w:r>
      <w:r w:rsidRPr="00912BEE">
        <w:rPr>
          <w:lang w:val="en-GB"/>
        </w:rPr>
        <w:t xml:space="preserve"> act of positioning </w:t>
      </w:r>
      <w:r w:rsidR="007267D5" w:rsidRPr="00912BEE">
        <w:rPr>
          <w:lang w:val="en-GB"/>
        </w:rPr>
        <w:t xml:space="preserve">distinguishes him from </w:t>
      </w:r>
      <w:r w:rsidR="003B1599" w:rsidRPr="00912BEE">
        <w:rPr>
          <w:lang w:val="en-GB"/>
        </w:rPr>
        <w:t>many writers who seek to neutrally convey</w:t>
      </w:r>
      <w:r w:rsidRPr="00912BEE">
        <w:rPr>
          <w:lang w:val="en-GB"/>
        </w:rPr>
        <w:t xml:space="preserve"> disciplinary knowledge</w:t>
      </w:r>
      <w:r w:rsidR="003B1599" w:rsidRPr="00912BEE">
        <w:rPr>
          <w:lang w:val="en-GB"/>
        </w:rPr>
        <w:t xml:space="preserve">. Instead it project his personal role in </w:t>
      </w:r>
      <w:r w:rsidR="003B1599" w:rsidRPr="00912BEE">
        <w:rPr>
          <w:szCs w:val="24"/>
          <w:lang w:val="en-GB"/>
        </w:rPr>
        <w:t>interpreting what he discusses as a v</w:t>
      </w:r>
      <w:r w:rsidRPr="00912BEE">
        <w:rPr>
          <w:szCs w:val="24"/>
          <w:lang w:val="en-GB"/>
        </w:rPr>
        <w:t xml:space="preserve">isible, thinking, individual within the text. The diachronic increase </w:t>
      </w:r>
      <w:r w:rsidR="003B1599" w:rsidRPr="00912BEE">
        <w:rPr>
          <w:szCs w:val="24"/>
          <w:lang w:val="en-GB"/>
        </w:rPr>
        <w:t xml:space="preserve">in his use of self-mention </w:t>
      </w:r>
      <w:r w:rsidRPr="00912BEE">
        <w:rPr>
          <w:szCs w:val="24"/>
          <w:lang w:val="en-GB"/>
        </w:rPr>
        <w:t xml:space="preserve">suggests that Swales </w:t>
      </w:r>
      <w:r w:rsidR="003B1599" w:rsidRPr="00912BEE">
        <w:rPr>
          <w:szCs w:val="24"/>
          <w:lang w:val="en-GB"/>
        </w:rPr>
        <w:t xml:space="preserve">seems increasingly confident in his willingness to </w:t>
      </w:r>
      <w:r w:rsidRPr="00912BEE">
        <w:rPr>
          <w:szCs w:val="24"/>
          <w:lang w:val="en-GB"/>
        </w:rPr>
        <w:t xml:space="preserve">foreground his personal investment </w:t>
      </w:r>
      <w:r w:rsidR="003B1599" w:rsidRPr="00912BEE">
        <w:rPr>
          <w:szCs w:val="24"/>
          <w:lang w:val="en-GB"/>
        </w:rPr>
        <w:t xml:space="preserve">in his work. </w:t>
      </w:r>
    </w:p>
    <w:p w14:paraId="0AF88680" w14:textId="77777777" w:rsidR="00721087" w:rsidRPr="00912BEE" w:rsidRDefault="00721087" w:rsidP="00D43A03">
      <w:pPr>
        <w:jc w:val="left"/>
        <w:rPr>
          <w:szCs w:val="24"/>
          <w:lang w:val="en-GB"/>
        </w:rPr>
      </w:pPr>
    </w:p>
    <w:p w14:paraId="22407FF5" w14:textId="5FE5BE8F" w:rsidR="00961B7B" w:rsidRPr="00912BEE" w:rsidRDefault="00D43A03" w:rsidP="00D43A03">
      <w:pPr>
        <w:jc w:val="left"/>
        <w:rPr>
          <w:szCs w:val="24"/>
          <w:lang w:val="en-GB"/>
        </w:rPr>
      </w:pPr>
      <w:r w:rsidRPr="00912BEE">
        <w:rPr>
          <w:szCs w:val="24"/>
          <w:lang w:val="en-GB"/>
        </w:rPr>
        <w:t xml:space="preserve">A significant aspect of this personal involvement in Swales writing is the extent he infuses his texts with commentary on the accuracy of claims and his stance towards them. His </w:t>
      </w:r>
      <w:r w:rsidR="00961B7B" w:rsidRPr="00912BEE">
        <w:rPr>
          <w:szCs w:val="24"/>
          <w:lang w:val="en-GB"/>
        </w:rPr>
        <w:t xml:space="preserve">use of self-mention </w:t>
      </w:r>
      <w:r w:rsidR="005D224F" w:rsidRPr="00912BEE">
        <w:rPr>
          <w:szCs w:val="24"/>
          <w:lang w:val="en-GB"/>
        </w:rPr>
        <w:t xml:space="preserve">is </w:t>
      </w:r>
      <w:r w:rsidRPr="00912BEE">
        <w:rPr>
          <w:szCs w:val="24"/>
          <w:lang w:val="en-GB"/>
        </w:rPr>
        <w:t xml:space="preserve">a key aspect of this, and particularly </w:t>
      </w:r>
      <w:r w:rsidR="005D224F" w:rsidRPr="00912BEE">
        <w:rPr>
          <w:szCs w:val="24"/>
          <w:lang w:val="en-GB"/>
        </w:rPr>
        <w:t xml:space="preserve">its frequent co-occurrence with self-deprecatory </w:t>
      </w:r>
      <w:r w:rsidRPr="00912BEE">
        <w:rPr>
          <w:szCs w:val="24"/>
          <w:lang w:val="en-GB"/>
        </w:rPr>
        <w:t>remarks</w:t>
      </w:r>
      <w:r w:rsidR="00961B7B" w:rsidRPr="00912BEE">
        <w:rPr>
          <w:szCs w:val="24"/>
          <w:lang w:val="en-GB"/>
        </w:rPr>
        <w:t xml:space="preserve">. </w:t>
      </w:r>
      <w:r w:rsidRPr="00912BEE">
        <w:rPr>
          <w:szCs w:val="24"/>
          <w:lang w:val="en-GB"/>
        </w:rPr>
        <w:t xml:space="preserve">As </w:t>
      </w:r>
      <w:r w:rsidR="00961B7B" w:rsidRPr="00912BEE">
        <w:rPr>
          <w:szCs w:val="24"/>
          <w:lang w:val="en-GB"/>
        </w:rPr>
        <w:t>Hyland observes:</w:t>
      </w:r>
    </w:p>
    <w:p w14:paraId="11FD524B" w14:textId="31B80025" w:rsidR="00961B7B" w:rsidRPr="00912BEE" w:rsidRDefault="00961B7B" w:rsidP="00D43A03">
      <w:pPr>
        <w:ind w:left="567" w:right="651"/>
        <w:rPr>
          <w:szCs w:val="24"/>
          <w:lang w:val="en-GB"/>
        </w:rPr>
      </w:pPr>
      <w:r w:rsidRPr="00912BEE">
        <w:rPr>
          <w:szCs w:val="24"/>
          <w:lang w:val="en-GB"/>
        </w:rPr>
        <w:t>Swales does not duck the fact that research involves uncertainties and failures, perhaps encouraging novice researchers by admitting that even the field’s most illustrious figures have their setbacks.</w:t>
      </w:r>
      <w:r w:rsidR="005D224F" w:rsidRPr="00912BEE">
        <w:rPr>
          <w:szCs w:val="24"/>
          <w:lang w:val="en-GB"/>
        </w:rPr>
        <w:t xml:space="preserve">   (Hyland, 2010)</w:t>
      </w:r>
    </w:p>
    <w:p w14:paraId="086E38FA" w14:textId="77777777" w:rsidR="00B175B7" w:rsidRPr="00912BEE" w:rsidRDefault="00B175B7" w:rsidP="00D43A03">
      <w:pPr>
        <w:jc w:val="left"/>
        <w:rPr>
          <w:szCs w:val="24"/>
          <w:lang w:val="en-GB"/>
        </w:rPr>
      </w:pPr>
    </w:p>
    <w:p w14:paraId="0A245D94" w14:textId="3A3B1A56" w:rsidR="00020296" w:rsidRPr="00912BEE" w:rsidRDefault="00925D26" w:rsidP="00D43A03">
      <w:pPr>
        <w:jc w:val="left"/>
        <w:rPr>
          <w:szCs w:val="24"/>
          <w:lang w:val="en-GB"/>
        </w:rPr>
      </w:pPr>
      <w:r w:rsidRPr="00912BEE">
        <w:rPr>
          <w:szCs w:val="24"/>
          <w:lang w:val="en-GB"/>
        </w:rPr>
        <w:t xml:space="preserve">While we did not expressly analyse this connection, </w:t>
      </w:r>
      <w:r w:rsidR="00D43A03" w:rsidRPr="00912BEE">
        <w:rPr>
          <w:szCs w:val="24"/>
          <w:lang w:val="en-GB"/>
        </w:rPr>
        <w:t>Hyland’s concordance of the first person in Swales’ writing shows how far agency is explicitly associated with a deliberative, often self-critical attitude</w:t>
      </w:r>
      <w:r w:rsidRPr="00912BEE">
        <w:rPr>
          <w:szCs w:val="24"/>
          <w:lang w:val="en-GB"/>
        </w:rPr>
        <w:t xml:space="preserve">. He found the most </w:t>
      </w:r>
      <w:r w:rsidR="00D43A03" w:rsidRPr="00912BEE">
        <w:rPr>
          <w:szCs w:val="24"/>
          <w:lang w:val="en-GB"/>
        </w:rPr>
        <w:t xml:space="preserve">frequent main verbs </w:t>
      </w:r>
      <w:r w:rsidRPr="00912BEE">
        <w:rPr>
          <w:szCs w:val="24"/>
          <w:lang w:val="en-GB"/>
        </w:rPr>
        <w:t xml:space="preserve">co-occurring with </w:t>
      </w:r>
      <w:r w:rsidR="00D43A03" w:rsidRPr="00912BEE">
        <w:rPr>
          <w:i/>
          <w:szCs w:val="24"/>
          <w:lang w:val="en-GB"/>
        </w:rPr>
        <w:t>I</w:t>
      </w:r>
      <w:r w:rsidR="00D43A03" w:rsidRPr="00912BEE">
        <w:rPr>
          <w:szCs w:val="24"/>
          <w:lang w:val="en-GB"/>
        </w:rPr>
        <w:t xml:space="preserve"> </w:t>
      </w:r>
      <w:r w:rsidRPr="00912BEE">
        <w:rPr>
          <w:szCs w:val="24"/>
          <w:lang w:val="en-GB"/>
        </w:rPr>
        <w:t xml:space="preserve">were </w:t>
      </w:r>
      <w:r w:rsidR="00D43A03" w:rsidRPr="00912BEE">
        <w:rPr>
          <w:i/>
          <w:szCs w:val="24"/>
          <w:lang w:val="en-GB"/>
        </w:rPr>
        <w:t xml:space="preserve">think, believe, suspect, hope </w:t>
      </w:r>
      <w:r w:rsidRPr="00912BEE">
        <w:rPr>
          <w:szCs w:val="24"/>
          <w:lang w:val="en-GB"/>
        </w:rPr>
        <w:t xml:space="preserve">and </w:t>
      </w:r>
      <w:r w:rsidR="00D43A03" w:rsidRPr="00912BEE">
        <w:rPr>
          <w:i/>
          <w:szCs w:val="24"/>
          <w:lang w:val="en-GB"/>
        </w:rPr>
        <w:t>tried</w:t>
      </w:r>
      <w:r w:rsidR="00D43A03" w:rsidRPr="00912BEE">
        <w:rPr>
          <w:szCs w:val="24"/>
          <w:lang w:val="en-GB"/>
        </w:rPr>
        <w:t>, all of which point to some degree of tentativeness and care in handling claims and readers.</w:t>
      </w:r>
      <w:r w:rsidR="00020296" w:rsidRPr="00912BEE">
        <w:rPr>
          <w:szCs w:val="24"/>
          <w:lang w:val="en-GB"/>
        </w:rPr>
        <w:t xml:space="preserve"> These are also abundant in our data:</w:t>
      </w:r>
    </w:p>
    <w:p w14:paraId="24B3E3F9" w14:textId="298D30C0" w:rsidR="00020296" w:rsidRPr="00912BEE" w:rsidRDefault="00020296" w:rsidP="00020296">
      <w:pPr>
        <w:ind w:left="567"/>
        <w:jc w:val="left"/>
        <w:rPr>
          <w:szCs w:val="24"/>
          <w:highlight w:val="cyan"/>
          <w:lang w:val="en-GB"/>
        </w:rPr>
      </w:pPr>
      <w:r w:rsidRPr="00912BEE">
        <w:rPr>
          <w:szCs w:val="24"/>
          <w:lang w:val="en-GB"/>
        </w:rPr>
        <w:t>(</w:t>
      </w:r>
      <w:r w:rsidR="00EC4BE7" w:rsidRPr="00912BEE">
        <w:rPr>
          <w:szCs w:val="24"/>
          <w:lang w:val="en-GB"/>
        </w:rPr>
        <w:t>30</w:t>
      </w:r>
      <w:r w:rsidRPr="00912BEE">
        <w:rPr>
          <w:szCs w:val="24"/>
          <w:lang w:val="en-GB"/>
        </w:rPr>
        <w:t xml:space="preserve">) </w:t>
      </w:r>
      <w:r w:rsidR="00EC4BE7" w:rsidRPr="00912BEE">
        <w:rPr>
          <w:b/>
          <w:bCs/>
          <w:szCs w:val="24"/>
          <w:lang w:val="en-GB"/>
        </w:rPr>
        <w:t>I</w:t>
      </w:r>
      <w:r w:rsidR="00EC4BE7" w:rsidRPr="00912BEE">
        <w:rPr>
          <w:szCs w:val="24"/>
          <w:lang w:val="en-GB"/>
        </w:rPr>
        <w:t xml:space="preserve"> think we have now reached a stage when many people do not see very clearly where and how English has become a tyrant, but </w:t>
      </w:r>
      <w:r w:rsidR="00EC4BE7" w:rsidRPr="00912BEE">
        <w:rPr>
          <w:b/>
          <w:bCs/>
          <w:szCs w:val="24"/>
          <w:lang w:val="en-GB"/>
        </w:rPr>
        <w:t>I</w:t>
      </w:r>
      <w:r w:rsidR="00EC4BE7" w:rsidRPr="00912BEE">
        <w:rPr>
          <w:szCs w:val="24"/>
          <w:lang w:val="en-GB"/>
        </w:rPr>
        <w:t xml:space="preserve"> think we need to do so.                                                     (1998)</w:t>
      </w:r>
    </w:p>
    <w:p w14:paraId="7BCD59DC" w14:textId="1E0A7834" w:rsidR="00925D26" w:rsidRPr="00912BEE" w:rsidRDefault="00020296" w:rsidP="00020296">
      <w:pPr>
        <w:ind w:left="567"/>
        <w:jc w:val="left"/>
        <w:rPr>
          <w:szCs w:val="24"/>
          <w:lang w:val="en-GB"/>
        </w:rPr>
      </w:pPr>
      <w:r w:rsidRPr="00912BEE">
        <w:rPr>
          <w:szCs w:val="24"/>
          <w:lang w:val="en-GB"/>
        </w:rPr>
        <w:t>(</w:t>
      </w:r>
      <w:r w:rsidR="00EC4BE7" w:rsidRPr="00912BEE">
        <w:rPr>
          <w:szCs w:val="24"/>
          <w:lang w:val="en-GB"/>
        </w:rPr>
        <w:t>31</w:t>
      </w:r>
      <w:r w:rsidRPr="00912BEE">
        <w:rPr>
          <w:szCs w:val="24"/>
          <w:lang w:val="en-GB"/>
        </w:rPr>
        <w:t xml:space="preserve">) </w:t>
      </w:r>
      <w:r w:rsidR="00EC4BE7" w:rsidRPr="00912BEE">
        <w:rPr>
          <w:szCs w:val="24"/>
          <w:lang w:val="en-GB"/>
        </w:rPr>
        <w:t xml:space="preserve">This study has produced a fair amount of information, much of it </w:t>
      </w:r>
      <w:r w:rsidR="00EC4BE7" w:rsidRPr="00912BEE">
        <w:rPr>
          <w:b/>
          <w:bCs/>
          <w:szCs w:val="24"/>
          <w:lang w:val="en-GB"/>
        </w:rPr>
        <w:t>I</w:t>
      </w:r>
      <w:r w:rsidR="00EC4BE7" w:rsidRPr="00912BEE">
        <w:rPr>
          <w:szCs w:val="24"/>
          <w:lang w:val="en-GB"/>
        </w:rPr>
        <w:t xml:space="preserve"> suspect new, about the occurrence of this in research articles written in English. (2005)</w:t>
      </w:r>
    </w:p>
    <w:p w14:paraId="44AB653A" w14:textId="18B3F4BB" w:rsidR="00D43A03" w:rsidRPr="00912BEE" w:rsidRDefault="00925D26" w:rsidP="00D43A03">
      <w:pPr>
        <w:jc w:val="left"/>
        <w:rPr>
          <w:szCs w:val="24"/>
          <w:lang w:val="en-GB"/>
        </w:rPr>
      </w:pPr>
      <w:r w:rsidRPr="00912BEE">
        <w:rPr>
          <w:szCs w:val="24"/>
          <w:lang w:val="en-GB"/>
        </w:rPr>
        <w:lastRenderedPageBreak/>
        <w:t xml:space="preserve">Overall, then, we </w:t>
      </w:r>
      <w:r w:rsidR="00AD4FAB" w:rsidRPr="00912BEE">
        <w:rPr>
          <w:szCs w:val="24"/>
          <w:lang w:val="en-GB"/>
        </w:rPr>
        <w:t>see</w:t>
      </w:r>
      <w:r w:rsidRPr="00912BEE">
        <w:rPr>
          <w:szCs w:val="24"/>
          <w:lang w:val="en-GB"/>
        </w:rPr>
        <w:t xml:space="preserve"> </w:t>
      </w:r>
      <w:r w:rsidR="00D43A03" w:rsidRPr="00912BEE">
        <w:rPr>
          <w:szCs w:val="24"/>
          <w:lang w:val="en-GB"/>
        </w:rPr>
        <w:t>self</w:t>
      </w:r>
      <w:r w:rsidRPr="00912BEE">
        <w:rPr>
          <w:szCs w:val="24"/>
          <w:lang w:val="en-GB"/>
        </w:rPr>
        <w:t>-</w:t>
      </w:r>
      <w:r w:rsidR="00D43A03" w:rsidRPr="00912BEE">
        <w:rPr>
          <w:szCs w:val="24"/>
          <w:lang w:val="en-GB"/>
        </w:rPr>
        <w:t xml:space="preserve">mention </w:t>
      </w:r>
      <w:r w:rsidR="00AD4FAB" w:rsidRPr="00912BEE">
        <w:rPr>
          <w:szCs w:val="24"/>
          <w:lang w:val="en-GB"/>
        </w:rPr>
        <w:t>as a significant aspect of his writing which distinguishes his work from others.</w:t>
      </w:r>
    </w:p>
    <w:p w14:paraId="560C9B2C" w14:textId="77777777" w:rsidR="003B1599" w:rsidRPr="00912BEE" w:rsidRDefault="003B1599" w:rsidP="006D2EDE">
      <w:pPr>
        <w:rPr>
          <w:szCs w:val="24"/>
          <w:lang w:val="en-GB"/>
        </w:rPr>
      </w:pPr>
    </w:p>
    <w:p w14:paraId="186783F3" w14:textId="4E4CCEE0" w:rsidR="008D102C" w:rsidRPr="00912BEE" w:rsidRDefault="00460E7A" w:rsidP="00EC6328">
      <w:pPr>
        <w:ind w:right="84"/>
        <w:jc w:val="left"/>
        <w:rPr>
          <w:szCs w:val="24"/>
          <w:lang w:val="en-GB"/>
        </w:rPr>
      </w:pPr>
      <w:r w:rsidRPr="00912BEE">
        <w:rPr>
          <w:szCs w:val="24"/>
          <w:lang w:val="en-GB"/>
        </w:rPr>
        <w:t xml:space="preserve">Also emblematic </w:t>
      </w:r>
      <w:r w:rsidR="00AD4FAB" w:rsidRPr="00912BEE">
        <w:rPr>
          <w:szCs w:val="24"/>
          <w:lang w:val="en-GB"/>
        </w:rPr>
        <w:t xml:space="preserve">of Swales personal involvement in his work is the extent he infuses his texts with commentary on the accuracy of claims and his stance towards them. Both hedges and boosters characterize his writing, with the former comprising by far the </w:t>
      </w:r>
      <w:r w:rsidR="00D436E8" w:rsidRPr="00912BEE">
        <w:rPr>
          <w:szCs w:val="24"/>
          <w:lang w:val="en-GB"/>
        </w:rPr>
        <w:t xml:space="preserve">highest proportion of interactional metadiscourse features </w:t>
      </w:r>
      <w:r w:rsidR="00295B60" w:rsidRPr="00912BEE">
        <w:rPr>
          <w:szCs w:val="24"/>
          <w:lang w:val="en-GB"/>
        </w:rPr>
        <w:t xml:space="preserve">with </w:t>
      </w:r>
      <w:r w:rsidR="00D436E8" w:rsidRPr="00912BEE">
        <w:rPr>
          <w:szCs w:val="24"/>
          <w:lang w:val="en-GB"/>
        </w:rPr>
        <w:t xml:space="preserve">twice as </w:t>
      </w:r>
      <w:r w:rsidR="00295B60" w:rsidRPr="00912BEE">
        <w:rPr>
          <w:szCs w:val="24"/>
          <w:lang w:val="en-GB"/>
        </w:rPr>
        <w:t>many occurrences</w:t>
      </w:r>
      <w:r w:rsidR="00D436E8" w:rsidRPr="00912BEE">
        <w:rPr>
          <w:szCs w:val="24"/>
          <w:lang w:val="en-GB"/>
        </w:rPr>
        <w:t xml:space="preserve"> as boosters.</w:t>
      </w:r>
      <w:r w:rsidR="008473DC" w:rsidRPr="00912BEE">
        <w:rPr>
          <w:szCs w:val="24"/>
          <w:lang w:val="en-GB"/>
        </w:rPr>
        <w:t xml:space="preserve"> As Table 3 </w:t>
      </w:r>
      <w:r w:rsidR="0007056C">
        <w:rPr>
          <w:szCs w:val="24"/>
          <w:lang w:val="en-GB"/>
        </w:rPr>
        <w:t xml:space="preserve">above </w:t>
      </w:r>
      <w:r w:rsidR="008473DC" w:rsidRPr="00912BEE">
        <w:rPr>
          <w:szCs w:val="24"/>
          <w:lang w:val="en-GB"/>
        </w:rPr>
        <w:t xml:space="preserve">indicates, both have </w:t>
      </w:r>
      <w:r w:rsidRPr="00912BEE">
        <w:rPr>
          <w:szCs w:val="24"/>
          <w:lang w:val="en-GB"/>
        </w:rPr>
        <w:t>been prominent in</w:t>
      </w:r>
      <w:r w:rsidR="008473DC" w:rsidRPr="00912BEE">
        <w:rPr>
          <w:szCs w:val="24"/>
          <w:lang w:val="en-GB"/>
        </w:rPr>
        <w:t xml:space="preserve"> his writing since the beginning of his publishing career</w:t>
      </w:r>
      <w:r w:rsidR="00EC6328" w:rsidRPr="00912BEE">
        <w:rPr>
          <w:szCs w:val="24"/>
          <w:lang w:val="en-GB"/>
        </w:rPr>
        <w:t>,</w:t>
      </w:r>
      <w:r w:rsidR="008473DC" w:rsidRPr="00912BEE">
        <w:rPr>
          <w:szCs w:val="24"/>
          <w:lang w:val="en-GB"/>
        </w:rPr>
        <w:t xml:space="preserve"> with neither showing significant changes in frequency over the years. </w:t>
      </w:r>
      <w:r w:rsidRPr="00912BEE">
        <w:rPr>
          <w:szCs w:val="24"/>
          <w:lang w:val="en-GB"/>
        </w:rPr>
        <w:t>Swales considerable use of hedges helps to permeate his work with a sense of contingency and reader awareness</w:t>
      </w:r>
      <w:r w:rsidR="00295B60" w:rsidRPr="00912BEE">
        <w:rPr>
          <w:szCs w:val="24"/>
          <w:lang w:val="en-GB"/>
        </w:rPr>
        <w:t xml:space="preserve">. </w:t>
      </w:r>
      <w:r w:rsidR="008D102C" w:rsidRPr="00912BEE">
        <w:rPr>
          <w:szCs w:val="24"/>
          <w:lang w:val="en-GB"/>
        </w:rPr>
        <w:t>So, by marking statements as provisional in this way, Swales is able to both express his views and involve readers in their ratification, conveying respect for colleagues and their positions:</w:t>
      </w:r>
    </w:p>
    <w:p w14:paraId="3FE50E8F" w14:textId="1B84294E" w:rsidR="009465C8" w:rsidRPr="00912BEE" w:rsidRDefault="008D102C" w:rsidP="008D102C">
      <w:pPr>
        <w:ind w:left="567" w:right="84"/>
        <w:jc w:val="left"/>
        <w:rPr>
          <w:szCs w:val="24"/>
          <w:lang w:val="en-GB"/>
        </w:rPr>
      </w:pPr>
      <w:r w:rsidRPr="00912BEE">
        <w:rPr>
          <w:szCs w:val="24"/>
          <w:lang w:val="en-GB"/>
        </w:rPr>
        <w:t>(</w:t>
      </w:r>
      <w:r w:rsidR="009465C8" w:rsidRPr="00912BEE">
        <w:rPr>
          <w:szCs w:val="24"/>
          <w:lang w:val="en-GB"/>
        </w:rPr>
        <w:t>32</w:t>
      </w:r>
      <w:r w:rsidRPr="00912BEE">
        <w:rPr>
          <w:szCs w:val="24"/>
          <w:lang w:val="en-GB"/>
        </w:rPr>
        <w:t xml:space="preserve">) </w:t>
      </w:r>
      <w:r w:rsidR="009465C8" w:rsidRPr="00912BEE">
        <w:rPr>
          <w:szCs w:val="24"/>
          <w:lang w:val="en-GB"/>
        </w:rPr>
        <w:t xml:space="preserve">The kinds of citation analysis I have so far alluded to do not, </w:t>
      </w:r>
      <w:r w:rsidR="009465C8" w:rsidRPr="00912BEE">
        <w:rPr>
          <w:b/>
          <w:bCs/>
          <w:szCs w:val="24"/>
          <w:lang w:val="en-GB"/>
        </w:rPr>
        <w:t>in my opinion</w:t>
      </w:r>
      <w:r w:rsidR="009465C8" w:rsidRPr="00912BEE">
        <w:rPr>
          <w:szCs w:val="24"/>
          <w:lang w:val="en-GB"/>
        </w:rPr>
        <w:t xml:space="preserve">, make any direct claim on the professional interests of applied linguists. Colleagues </w:t>
      </w:r>
      <w:r w:rsidR="009465C8" w:rsidRPr="00912BEE">
        <w:rPr>
          <w:b/>
          <w:bCs/>
          <w:szCs w:val="24"/>
          <w:lang w:val="en-GB"/>
        </w:rPr>
        <w:t>would</w:t>
      </w:r>
      <w:r w:rsidR="009465C8" w:rsidRPr="00912BEE">
        <w:rPr>
          <w:szCs w:val="24"/>
          <w:lang w:val="en-GB"/>
        </w:rPr>
        <w:t xml:space="preserve">, </w:t>
      </w:r>
      <w:r w:rsidR="009465C8" w:rsidRPr="00912BEE">
        <w:rPr>
          <w:b/>
          <w:bCs/>
          <w:szCs w:val="24"/>
          <w:lang w:val="en-GB"/>
        </w:rPr>
        <w:t>I imagine</w:t>
      </w:r>
      <w:r w:rsidR="009465C8" w:rsidRPr="00912BEE">
        <w:rPr>
          <w:szCs w:val="24"/>
          <w:lang w:val="en-GB"/>
        </w:rPr>
        <w:t xml:space="preserve">, respond to the evaluative use of citations mentioned in the preceding paragraph in </w:t>
      </w:r>
      <w:r w:rsidR="009465C8" w:rsidRPr="00912BEE">
        <w:rPr>
          <w:b/>
          <w:bCs/>
          <w:szCs w:val="24"/>
          <w:lang w:val="en-GB"/>
        </w:rPr>
        <w:t>roughly</w:t>
      </w:r>
      <w:r w:rsidR="009465C8" w:rsidRPr="00912BEE">
        <w:rPr>
          <w:szCs w:val="24"/>
          <w:lang w:val="en-GB"/>
        </w:rPr>
        <w:t xml:space="preserve"> the same way... </w:t>
      </w:r>
    </w:p>
    <w:p w14:paraId="45847DC7" w14:textId="00B87820" w:rsidR="008D102C" w:rsidRPr="00912BEE" w:rsidRDefault="009465C8" w:rsidP="009465C8">
      <w:pPr>
        <w:ind w:left="567" w:right="651"/>
        <w:jc w:val="right"/>
        <w:rPr>
          <w:szCs w:val="24"/>
          <w:highlight w:val="cyan"/>
          <w:lang w:val="en-GB"/>
        </w:rPr>
      </w:pPr>
      <w:r w:rsidRPr="00912BEE">
        <w:rPr>
          <w:szCs w:val="24"/>
          <w:lang w:val="en-GB"/>
        </w:rPr>
        <w:t>(1986)</w:t>
      </w:r>
    </w:p>
    <w:p w14:paraId="06DA11C4" w14:textId="7180F6CD" w:rsidR="008D102C" w:rsidRPr="00912BEE" w:rsidRDefault="008D102C" w:rsidP="008D102C">
      <w:pPr>
        <w:ind w:left="567" w:right="84"/>
        <w:jc w:val="left"/>
        <w:rPr>
          <w:szCs w:val="24"/>
          <w:lang w:val="en-GB"/>
        </w:rPr>
      </w:pPr>
      <w:r w:rsidRPr="00912BEE">
        <w:rPr>
          <w:szCs w:val="24"/>
          <w:lang w:val="en-GB"/>
        </w:rPr>
        <w:t>(</w:t>
      </w:r>
      <w:r w:rsidR="009465C8" w:rsidRPr="00912BEE">
        <w:rPr>
          <w:szCs w:val="24"/>
          <w:lang w:val="en-GB"/>
        </w:rPr>
        <w:t>33</w:t>
      </w:r>
      <w:r w:rsidRPr="00912BEE">
        <w:rPr>
          <w:szCs w:val="24"/>
          <w:lang w:val="en-GB"/>
        </w:rPr>
        <w:t xml:space="preserve">) </w:t>
      </w:r>
      <w:r w:rsidR="009465C8" w:rsidRPr="00912BEE">
        <w:rPr>
          <w:szCs w:val="24"/>
          <w:lang w:val="en-GB"/>
        </w:rPr>
        <w:t xml:space="preserve">This structure </w:t>
      </w:r>
      <w:r w:rsidR="009465C8" w:rsidRPr="00912BEE">
        <w:rPr>
          <w:b/>
          <w:bCs/>
          <w:szCs w:val="24"/>
          <w:lang w:val="en-GB"/>
        </w:rPr>
        <w:t>would</w:t>
      </w:r>
      <w:r w:rsidR="009465C8" w:rsidRPr="00912BEE">
        <w:rPr>
          <w:szCs w:val="24"/>
          <w:lang w:val="en-GB"/>
        </w:rPr>
        <w:t xml:space="preserve"> then fall into the category of general-specific discourses, such as we </w:t>
      </w:r>
      <w:r w:rsidR="009465C8" w:rsidRPr="00912BEE">
        <w:rPr>
          <w:b/>
          <w:bCs/>
          <w:szCs w:val="24"/>
          <w:lang w:val="en-GB"/>
        </w:rPr>
        <w:t>typically</w:t>
      </w:r>
      <w:r w:rsidR="009465C8" w:rsidRPr="00912BEE">
        <w:rPr>
          <w:szCs w:val="24"/>
          <w:lang w:val="en-GB"/>
        </w:rPr>
        <w:t xml:space="preserve"> find in extended definitions (Swales, 2009), </w:t>
      </w:r>
      <w:proofErr w:type="spellStart"/>
      <w:r w:rsidR="009465C8" w:rsidRPr="00912BEE">
        <w:rPr>
          <w:szCs w:val="24"/>
          <w:lang w:val="en-GB"/>
        </w:rPr>
        <w:t>encyclopedia</w:t>
      </w:r>
      <w:proofErr w:type="spellEnd"/>
      <w:r w:rsidR="009465C8" w:rsidRPr="00912BEE">
        <w:rPr>
          <w:szCs w:val="24"/>
          <w:lang w:val="en-GB"/>
        </w:rPr>
        <w:t xml:space="preserve"> entries, and introductions to empirical research articles (e.g., Hill, </w:t>
      </w:r>
      <w:proofErr w:type="spellStart"/>
      <w:r w:rsidR="009465C8" w:rsidRPr="00912BEE">
        <w:rPr>
          <w:szCs w:val="24"/>
          <w:lang w:val="en-GB"/>
        </w:rPr>
        <w:t>Soppelsa</w:t>
      </w:r>
      <w:proofErr w:type="spellEnd"/>
      <w:r w:rsidR="009465C8" w:rsidRPr="00912BEE">
        <w:rPr>
          <w:szCs w:val="24"/>
          <w:lang w:val="en-GB"/>
        </w:rPr>
        <w:t xml:space="preserve">, &amp; West, 1982; Samraj, 2002). A second option </w:t>
      </w:r>
      <w:r w:rsidR="009465C8" w:rsidRPr="00912BEE">
        <w:rPr>
          <w:b/>
          <w:bCs/>
          <w:szCs w:val="24"/>
          <w:lang w:val="en-GB"/>
        </w:rPr>
        <w:t>would</w:t>
      </w:r>
      <w:r w:rsidR="009465C8" w:rsidRPr="00912BEE">
        <w:rPr>
          <w:szCs w:val="24"/>
          <w:lang w:val="en-GB"/>
        </w:rPr>
        <w:t xml:space="preserve"> be to adopt a specific-general discoursal arrangement…                    (2016)</w:t>
      </w:r>
    </w:p>
    <w:p w14:paraId="39C3FEF1" w14:textId="3F1D49E4" w:rsidR="00EC6328" w:rsidRPr="00912BEE" w:rsidRDefault="008D102C" w:rsidP="00EC6328">
      <w:pPr>
        <w:ind w:right="84"/>
        <w:jc w:val="left"/>
        <w:rPr>
          <w:szCs w:val="24"/>
          <w:lang w:val="en-GB"/>
        </w:rPr>
      </w:pPr>
      <w:r w:rsidRPr="00912BEE">
        <w:rPr>
          <w:szCs w:val="24"/>
          <w:lang w:val="en-GB"/>
        </w:rPr>
        <w:t xml:space="preserve">As these examples suggest, demonstrating respect for any </w:t>
      </w:r>
      <w:r w:rsidR="00EC6328" w:rsidRPr="00912BEE">
        <w:rPr>
          <w:szCs w:val="24"/>
          <w:lang w:val="en-GB"/>
        </w:rPr>
        <w:t xml:space="preserve">alternative views </w:t>
      </w:r>
      <w:r w:rsidRPr="00912BEE">
        <w:rPr>
          <w:szCs w:val="24"/>
          <w:lang w:val="en-GB"/>
        </w:rPr>
        <w:t xml:space="preserve">his readers </w:t>
      </w:r>
      <w:r w:rsidR="00EC6328" w:rsidRPr="00912BEE">
        <w:rPr>
          <w:szCs w:val="24"/>
          <w:lang w:val="en-GB"/>
        </w:rPr>
        <w:t>might hold</w:t>
      </w:r>
      <w:r w:rsidRPr="00912BEE">
        <w:rPr>
          <w:szCs w:val="24"/>
          <w:lang w:val="en-GB"/>
        </w:rPr>
        <w:t xml:space="preserve"> does not preclude a persuasive strategy which</w:t>
      </w:r>
      <w:r w:rsidR="00EC6328" w:rsidRPr="00912BEE">
        <w:rPr>
          <w:szCs w:val="24"/>
          <w:lang w:val="en-GB"/>
        </w:rPr>
        <w:t xml:space="preserve"> draw</w:t>
      </w:r>
      <w:r w:rsidRPr="00912BEE">
        <w:rPr>
          <w:szCs w:val="24"/>
          <w:lang w:val="en-GB"/>
        </w:rPr>
        <w:t>s</w:t>
      </w:r>
      <w:r w:rsidR="00EC6328" w:rsidRPr="00912BEE">
        <w:rPr>
          <w:szCs w:val="24"/>
          <w:lang w:val="en-GB"/>
        </w:rPr>
        <w:t xml:space="preserve"> them into a dialogue where they</w:t>
      </w:r>
      <w:r w:rsidRPr="00912BEE">
        <w:rPr>
          <w:szCs w:val="24"/>
          <w:lang w:val="en-GB"/>
        </w:rPr>
        <w:t xml:space="preserve"> might be led to his perspective. </w:t>
      </w:r>
      <w:r w:rsidR="00EC6328" w:rsidRPr="00912BEE">
        <w:rPr>
          <w:szCs w:val="24"/>
          <w:lang w:val="en-GB"/>
        </w:rPr>
        <w:t xml:space="preserve"> </w:t>
      </w:r>
    </w:p>
    <w:p w14:paraId="6ED4446D" w14:textId="77777777" w:rsidR="00E825FB" w:rsidRPr="00912BEE" w:rsidRDefault="00E825FB" w:rsidP="00EC6328">
      <w:pPr>
        <w:ind w:right="84"/>
        <w:jc w:val="left"/>
        <w:rPr>
          <w:szCs w:val="24"/>
          <w:lang w:val="en-GB"/>
        </w:rPr>
      </w:pPr>
    </w:p>
    <w:p w14:paraId="57ED2B15" w14:textId="0FF449A9" w:rsidR="00AD4FAB" w:rsidRPr="00912BEE" w:rsidRDefault="008D102C" w:rsidP="000174B7">
      <w:pPr>
        <w:jc w:val="left"/>
        <w:rPr>
          <w:bCs/>
          <w:lang w:val="en-GB"/>
        </w:rPr>
      </w:pPr>
      <w:r w:rsidRPr="00912BEE">
        <w:rPr>
          <w:lang w:val="en-GB"/>
        </w:rPr>
        <w:t xml:space="preserve">Similarly, </w:t>
      </w:r>
      <w:r w:rsidR="000174B7" w:rsidRPr="00912BEE">
        <w:rPr>
          <w:lang w:val="en-GB"/>
        </w:rPr>
        <w:t>Swales</w:t>
      </w:r>
      <w:r w:rsidRPr="00912BEE">
        <w:rPr>
          <w:lang w:val="en-GB"/>
        </w:rPr>
        <w:t xml:space="preserve"> considerable deployment of boosters helps to </w:t>
      </w:r>
      <w:r w:rsidR="00A92B92" w:rsidRPr="00912BEE">
        <w:rPr>
          <w:lang w:val="en-GB"/>
        </w:rPr>
        <w:t xml:space="preserve">display stronger commitments </w:t>
      </w:r>
      <w:r w:rsidR="000174B7" w:rsidRPr="00912BEE">
        <w:rPr>
          <w:lang w:val="en-GB"/>
        </w:rPr>
        <w:t xml:space="preserve">to claims and </w:t>
      </w:r>
      <w:r w:rsidR="00A92B92" w:rsidRPr="00912BEE">
        <w:rPr>
          <w:lang w:val="en-GB"/>
        </w:rPr>
        <w:t>attitude</w:t>
      </w:r>
      <w:r w:rsidR="000174B7" w:rsidRPr="00912BEE">
        <w:rPr>
          <w:lang w:val="en-GB"/>
        </w:rPr>
        <w:t>s</w:t>
      </w:r>
      <w:r w:rsidR="00A92B92" w:rsidRPr="00912BEE">
        <w:rPr>
          <w:lang w:val="en-GB"/>
        </w:rPr>
        <w:t xml:space="preserve">. By underlining the strength of his view, they </w:t>
      </w:r>
      <w:r w:rsidR="00A92B92" w:rsidRPr="00912BEE">
        <w:rPr>
          <w:lang w:val="en-GB"/>
        </w:rPr>
        <w:lastRenderedPageBreak/>
        <w:t xml:space="preserve">serve to reinforce his </w:t>
      </w:r>
      <w:r w:rsidR="00A92B92" w:rsidRPr="00912BEE">
        <w:rPr>
          <w:bCs/>
          <w:lang w:val="en-GB"/>
        </w:rPr>
        <w:t>personal involvement and professional investment, inviting readers to share his understandings and subscribe to his take on matters.</w:t>
      </w:r>
    </w:p>
    <w:p w14:paraId="0EF7F2DE" w14:textId="4DD5CCBE" w:rsidR="00A92B92" w:rsidRPr="00912BEE" w:rsidRDefault="00A92B92" w:rsidP="000174B7">
      <w:pPr>
        <w:ind w:left="567"/>
        <w:jc w:val="left"/>
        <w:rPr>
          <w:bCs/>
          <w:lang w:val="en-GB"/>
        </w:rPr>
      </w:pPr>
      <w:r w:rsidRPr="00912BEE">
        <w:rPr>
          <w:bCs/>
          <w:lang w:val="en-GB"/>
        </w:rPr>
        <w:t>(</w:t>
      </w:r>
      <w:r w:rsidR="00E72BE9" w:rsidRPr="00912BEE">
        <w:rPr>
          <w:bCs/>
          <w:lang w:val="en-GB"/>
        </w:rPr>
        <w:t>34</w:t>
      </w:r>
      <w:r w:rsidRPr="00912BEE">
        <w:rPr>
          <w:bCs/>
          <w:lang w:val="en-GB"/>
        </w:rPr>
        <w:t xml:space="preserve">) </w:t>
      </w:r>
      <w:r w:rsidR="00E72BE9" w:rsidRPr="00912BEE">
        <w:rPr>
          <w:b/>
          <w:lang w:val="en-GB"/>
        </w:rPr>
        <w:t>Certainly</w:t>
      </w:r>
      <w:r w:rsidR="00E72BE9" w:rsidRPr="00912BEE">
        <w:rPr>
          <w:bCs/>
          <w:lang w:val="en-GB"/>
        </w:rPr>
        <w:t>, audience awareness figures prominently in love letters, family letters and in various other missives to a single recipient.          (2019)</w:t>
      </w:r>
    </w:p>
    <w:p w14:paraId="647A3AF5" w14:textId="5185C38D" w:rsidR="00A92B92" w:rsidRPr="00912BEE" w:rsidRDefault="00A92B92" w:rsidP="00E72BE9">
      <w:pPr>
        <w:ind w:left="567"/>
        <w:jc w:val="left"/>
        <w:rPr>
          <w:lang w:val="en-GB"/>
        </w:rPr>
      </w:pPr>
      <w:r w:rsidRPr="00912BEE">
        <w:rPr>
          <w:bCs/>
          <w:lang w:val="en-GB"/>
        </w:rPr>
        <w:t>(3</w:t>
      </w:r>
      <w:r w:rsidR="00E72BE9" w:rsidRPr="00912BEE">
        <w:rPr>
          <w:bCs/>
          <w:lang w:val="en-GB"/>
        </w:rPr>
        <w:t>5</w:t>
      </w:r>
      <w:r w:rsidRPr="00912BEE">
        <w:rPr>
          <w:bCs/>
          <w:lang w:val="en-GB"/>
        </w:rPr>
        <w:t xml:space="preserve">) </w:t>
      </w:r>
      <w:r w:rsidR="00E72BE9" w:rsidRPr="00912BEE">
        <w:rPr>
          <w:bCs/>
          <w:lang w:val="en-GB"/>
        </w:rPr>
        <w:t xml:space="preserve">Second, it is </w:t>
      </w:r>
      <w:r w:rsidR="00E72BE9" w:rsidRPr="00912BEE">
        <w:rPr>
          <w:b/>
          <w:lang w:val="en-GB"/>
        </w:rPr>
        <w:t>undoubtedly</w:t>
      </w:r>
      <w:r w:rsidR="00E72BE9" w:rsidRPr="00912BEE">
        <w:rPr>
          <w:bCs/>
          <w:lang w:val="en-GB"/>
        </w:rPr>
        <w:t xml:space="preserve"> </w:t>
      </w:r>
      <w:r w:rsidR="00E72BE9" w:rsidRPr="00912BEE">
        <w:rPr>
          <w:b/>
          <w:lang w:val="en-GB"/>
        </w:rPr>
        <w:t>true</w:t>
      </w:r>
      <w:r w:rsidR="00E72BE9" w:rsidRPr="00912BEE">
        <w:rPr>
          <w:bCs/>
          <w:lang w:val="en-GB"/>
        </w:rPr>
        <w:t xml:space="preserve"> that when students first learn to use references in their academic writing, they will be using integral forms… (2014)</w:t>
      </w:r>
    </w:p>
    <w:p w14:paraId="44330421" w14:textId="77777777" w:rsidR="00E72BE9" w:rsidRPr="00912BEE" w:rsidRDefault="00E72BE9" w:rsidP="000174B7">
      <w:pPr>
        <w:ind w:right="231"/>
        <w:jc w:val="left"/>
        <w:rPr>
          <w:lang w:val="en-GB"/>
        </w:rPr>
      </w:pPr>
    </w:p>
    <w:p w14:paraId="672DA9ED" w14:textId="13ABE313" w:rsidR="005663DC" w:rsidRPr="00912BEE" w:rsidRDefault="005663DC" w:rsidP="000174B7">
      <w:pPr>
        <w:ind w:right="231"/>
        <w:jc w:val="left"/>
        <w:rPr>
          <w:lang w:val="en-GB"/>
        </w:rPr>
      </w:pPr>
      <w:r w:rsidRPr="00912BEE">
        <w:rPr>
          <w:lang w:val="en-GB"/>
        </w:rPr>
        <w:t>Boosters, then, are the flip side of hedge as rather than mitigate claims they help present work with</w:t>
      </w:r>
      <w:r w:rsidR="009454DC" w:rsidRPr="00912BEE">
        <w:rPr>
          <w:lang w:val="en-GB"/>
        </w:rPr>
        <w:t xml:space="preserve"> the writer’s</w:t>
      </w:r>
      <w:r w:rsidRPr="00912BEE">
        <w:rPr>
          <w:lang w:val="en-GB"/>
        </w:rPr>
        <w:t xml:space="preserve"> assurance and </w:t>
      </w:r>
      <w:r w:rsidR="009454DC" w:rsidRPr="00912BEE">
        <w:rPr>
          <w:lang w:val="en-GB"/>
        </w:rPr>
        <w:t xml:space="preserve">seek to </w:t>
      </w:r>
      <w:r w:rsidRPr="00912BEE">
        <w:rPr>
          <w:lang w:val="en-GB"/>
        </w:rPr>
        <w:t xml:space="preserve">shut down </w:t>
      </w:r>
      <w:r w:rsidR="00D355E8" w:rsidRPr="00912BEE">
        <w:rPr>
          <w:lang w:val="en-GB"/>
        </w:rPr>
        <w:t>opposing</w:t>
      </w:r>
      <w:r w:rsidRPr="00912BEE">
        <w:rPr>
          <w:lang w:val="en-GB"/>
        </w:rPr>
        <w:t xml:space="preserve"> voices. They </w:t>
      </w:r>
      <w:r w:rsidR="009454DC" w:rsidRPr="00912BEE">
        <w:rPr>
          <w:lang w:val="en-GB"/>
        </w:rPr>
        <w:t xml:space="preserve">are often used in Swales work to </w:t>
      </w:r>
      <w:r w:rsidRPr="00912BEE">
        <w:rPr>
          <w:lang w:val="en-GB"/>
        </w:rPr>
        <w:t xml:space="preserve">stress </w:t>
      </w:r>
      <w:r w:rsidR="009454DC" w:rsidRPr="00912BEE">
        <w:rPr>
          <w:lang w:val="en-GB"/>
        </w:rPr>
        <w:t xml:space="preserve">an implied </w:t>
      </w:r>
      <w:r w:rsidRPr="00912BEE">
        <w:rPr>
          <w:lang w:val="en-GB"/>
        </w:rPr>
        <w:t>shared</w:t>
      </w:r>
      <w:r w:rsidR="009454DC" w:rsidRPr="00912BEE">
        <w:rPr>
          <w:lang w:val="en-GB"/>
        </w:rPr>
        <w:t xml:space="preserve">ness of </w:t>
      </w:r>
      <w:r w:rsidRPr="00912BEE">
        <w:rPr>
          <w:lang w:val="en-GB"/>
        </w:rPr>
        <w:t xml:space="preserve"> information </w:t>
      </w:r>
      <w:r w:rsidR="009454DC" w:rsidRPr="00912BEE">
        <w:rPr>
          <w:lang w:val="en-GB"/>
        </w:rPr>
        <w:t xml:space="preserve">and </w:t>
      </w:r>
      <w:r w:rsidRPr="00912BEE">
        <w:rPr>
          <w:lang w:val="en-GB"/>
        </w:rPr>
        <w:t>group membership, seek</w:t>
      </w:r>
      <w:r w:rsidR="009454DC" w:rsidRPr="00912BEE">
        <w:rPr>
          <w:lang w:val="en-GB"/>
        </w:rPr>
        <w:t>ing</w:t>
      </w:r>
      <w:r w:rsidRPr="00912BEE">
        <w:rPr>
          <w:lang w:val="en-GB"/>
        </w:rPr>
        <w:t xml:space="preserve"> connections with the audience</w:t>
      </w:r>
      <w:r w:rsidR="009454DC" w:rsidRPr="00912BEE">
        <w:rPr>
          <w:lang w:val="en-GB"/>
        </w:rPr>
        <w:t xml:space="preserve"> by implying what they might see as reasonable and convincing</w:t>
      </w:r>
      <w:r w:rsidR="00E27BAB" w:rsidRPr="00912BEE">
        <w:rPr>
          <w:lang w:val="en-GB"/>
        </w:rPr>
        <w:t>:</w:t>
      </w:r>
    </w:p>
    <w:p w14:paraId="4ECB30CA" w14:textId="57AD2354" w:rsidR="009454DC" w:rsidRPr="00912BEE" w:rsidRDefault="009454DC" w:rsidP="009454DC">
      <w:pPr>
        <w:ind w:left="567" w:right="231"/>
        <w:jc w:val="left"/>
        <w:rPr>
          <w:highlight w:val="cyan"/>
          <w:lang w:val="en-GB"/>
        </w:rPr>
      </w:pPr>
      <w:r w:rsidRPr="00912BEE">
        <w:rPr>
          <w:lang w:val="en-GB"/>
        </w:rPr>
        <w:t>(</w:t>
      </w:r>
      <w:r w:rsidR="00546B0E" w:rsidRPr="00912BEE">
        <w:rPr>
          <w:lang w:val="en-GB"/>
        </w:rPr>
        <w:t>3</w:t>
      </w:r>
      <w:r w:rsidR="00E72BE9" w:rsidRPr="00912BEE">
        <w:rPr>
          <w:lang w:val="en-GB"/>
        </w:rPr>
        <w:t>6</w:t>
      </w:r>
      <w:r w:rsidRPr="00912BEE">
        <w:rPr>
          <w:lang w:val="en-GB"/>
        </w:rPr>
        <w:t xml:space="preserve">) </w:t>
      </w:r>
      <w:r w:rsidR="001F6F97" w:rsidRPr="00912BEE">
        <w:rPr>
          <w:b/>
          <w:bCs/>
          <w:lang w:val="en-GB"/>
        </w:rPr>
        <w:t>Of course</w:t>
      </w:r>
      <w:r w:rsidR="001F6F97" w:rsidRPr="00912BEE">
        <w:rPr>
          <w:lang w:val="en-GB"/>
        </w:rPr>
        <w:t>, intellectual and linguistic empires have so far been no more permanent than other kinds.                             (1998)</w:t>
      </w:r>
    </w:p>
    <w:p w14:paraId="62314236" w14:textId="7F94AD2D" w:rsidR="00536B24" w:rsidRPr="00912BEE" w:rsidRDefault="009454DC" w:rsidP="009454DC">
      <w:pPr>
        <w:ind w:left="567" w:right="231"/>
        <w:jc w:val="left"/>
        <w:rPr>
          <w:lang w:val="en-GB"/>
        </w:rPr>
      </w:pPr>
      <w:r w:rsidRPr="00912BEE">
        <w:rPr>
          <w:lang w:val="en-GB"/>
        </w:rPr>
        <w:t>(</w:t>
      </w:r>
      <w:r w:rsidR="00546B0E" w:rsidRPr="00912BEE">
        <w:rPr>
          <w:lang w:val="en-GB"/>
        </w:rPr>
        <w:t>3</w:t>
      </w:r>
      <w:r w:rsidR="00E72BE9" w:rsidRPr="00912BEE">
        <w:rPr>
          <w:lang w:val="en-GB"/>
        </w:rPr>
        <w:t>7</w:t>
      </w:r>
      <w:r w:rsidRPr="00912BEE">
        <w:rPr>
          <w:lang w:val="en-GB"/>
        </w:rPr>
        <w:t xml:space="preserve">) </w:t>
      </w:r>
      <w:r w:rsidR="006312C6" w:rsidRPr="00912BEE">
        <w:rPr>
          <w:lang w:val="en-GB"/>
        </w:rPr>
        <w:t xml:space="preserve">This little incident is, </w:t>
      </w:r>
      <w:r w:rsidR="006312C6" w:rsidRPr="00912BEE">
        <w:rPr>
          <w:b/>
          <w:bCs/>
          <w:lang w:val="en-GB"/>
        </w:rPr>
        <w:t>I am sure</w:t>
      </w:r>
      <w:r w:rsidR="006312C6" w:rsidRPr="00912BEE">
        <w:rPr>
          <w:lang w:val="en-GB"/>
        </w:rPr>
        <w:t xml:space="preserve">, neither unexpected nor uncommon, </w:t>
      </w:r>
      <w:r w:rsidR="00536B24" w:rsidRPr="00912BEE">
        <w:rPr>
          <w:lang w:val="en-GB"/>
        </w:rPr>
        <w:t xml:space="preserve"> </w:t>
      </w:r>
    </w:p>
    <w:p w14:paraId="0A2EE5D0" w14:textId="10532EA6" w:rsidR="009454DC" w:rsidRPr="00912BEE" w:rsidRDefault="006312C6" w:rsidP="00536B24">
      <w:pPr>
        <w:ind w:left="6447" w:right="231" w:firstLine="273"/>
        <w:jc w:val="left"/>
        <w:rPr>
          <w:lang w:val="en-GB"/>
        </w:rPr>
      </w:pPr>
      <w:r w:rsidRPr="00912BEE">
        <w:rPr>
          <w:lang w:val="en-GB"/>
        </w:rPr>
        <w:t xml:space="preserve">(2011) </w:t>
      </w:r>
    </w:p>
    <w:p w14:paraId="186DBFFF" w14:textId="77777777" w:rsidR="009454DC" w:rsidRPr="00912BEE" w:rsidRDefault="009454DC" w:rsidP="005663DC">
      <w:pPr>
        <w:ind w:right="231"/>
        <w:jc w:val="left"/>
        <w:rPr>
          <w:lang w:val="en-GB"/>
        </w:rPr>
      </w:pPr>
      <w:r w:rsidRPr="00912BEE">
        <w:rPr>
          <w:lang w:val="en-GB"/>
        </w:rPr>
        <w:t xml:space="preserve">For Swales they seem to </w:t>
      </w:r>
      <w:r w:rsidR="005663DC" w:rsidRPr="00912BEE">
        <w:rPr>
          <w:lang w:val="en-GB"/>
        </w:rPr>
        <w:t xml:space="preserve">strengthen the reliability of a proposition and encourage </w:t>
      </w:r>
      <w:r w:rsidRPr="00912BEE">
        <w:rPr>
          <w:lang w:val="en-GB"/>
        </w:rPr>
        <w:t xml:space="preserve">its </w:t>
      </w:r>
      <w:r w:rsidR="005663DC" w:rsidRPr="00912BEE">
        <w:rPr>
          <w:lang w:val="en-GB"/>
        </w:rPr>
        <w:t>accept</w:t>
      </w:r>
      <w:r w:rsidRPr="00912BEE">
        <w:rPr>
          <w:lang w:val="en-GB"/>
        </w:rPr>
        <w:t xml:space="preserve">ance rather than challenge the views of readers. </w:t>
      </w:r>
    </w:p>
    <w:p w14:paraId="3531F3AF" w14:textId="77777777" w:rsidR="00A92B92" w:rsidRPr="00912BEE" w:rsidRDefault="00A92B92" w:rsidP="006D2EDE">
      <w:pPr>
        <w:rPr>
          <w:lang w:val="en-GB"/>
        </w:rPr>
      </w:pPr>
    </w:p>
    <w:p w14:paraId="0136C981" w14:textId="0E11E0DB" w:rsidR="00546B0E" w:rsidRPr="00912BEE" w:rsidRDefault="009454DC" w:rsidP="00E572EA">
      <w:pPr>
        <w:ind w:right="-58"/>
        <w:jc w:val="left"/>
        <w:rPr>
          <w:lang w:val="en-GB"/>
        </w:rPr>
      </w:pPr>
      <w:r w:rsidRPr="00912BEE">
        <w:rPr>
          <w:lang w:val="en-GB"/>
        </w:rPr>
        <w:t>The early establishment of a personal style with hedges and booster</w:t>
      </w:r>
      <w:r w:rsidR="00F81A85" w:rsidRPr="00912BEE">
        <w:rPr>
          <w:lang w:val="en-GB"/>
        </w:rPr>
        <w:t>s</w:t>
      </w:r>
      <w:r w:rsidR="009F7C77" w:rsidRPr="00912BEE">
        <w:rPr>
          <w:lang w:val="en-GB"/>
        </w:rPr>
        <w:t>,</w:t>
      </w:r>
      <w:r w:rsidRPr="00912BEE">
        <w:rPr>
          <w:lang w:val="en-GB"/>
        </w:rPr>
        <w:t xml:space="preserve"> </w:t>
      </w:r>
      <w:r w:rsidR="009F7C77" w:rsidRPr="00912BEE">
        <w:rPr>
          <w:lang w:val="en-GB"/>
        </w:rPr>
        <w:t>strengthened</w:t>
      </w:r>
      <w:r w:rsidRPr="00912BEE">
        <w:rPr>
          <w:lang w:val="en-GB"/>
        </w:rPr>
        <w:t xml:space="preserve"> over the years </w:t>
      </w:r>
      <w:r w:rsidR="009F7C77" w:rsidRPr="00912BEE">
        <w:rPr>
          <w:lang w:val="en-GB"/>
        </w:rPr>
        <w:t xml:space="preserve">with a </w:t>
      </w:r>
      <w:r w:rsidR="00F81A85" w:rsidRPr="00912BEE">
        <w:rPr>
          <w:lang w:val="en-GB"/>
        </w:rPr>
        <w:t>meaningfully</w:t>
      </w:r>
      <w:r w:rsidR="009F7C77" w:rsidRPr="00912BEE">
        <w:rPr>
          <w:lang w:val="en-GB"/>
        </w:rPr>
        <w:t xml:space="preserve"> increased use of self-mention, </w:t>
      </w:r>
      <w:r w:rsidR="00D43A03" w:rsidRPr="00912BEE">
        <w:rPr>
          <w:lang w:val="en-GB"/>
        </w:rPr>
        <w:t>is tempered</w:t>
      </w:r>
      <w:r w:rsidR="00AC5080" w:rsidRPr="00912BEE">
        <w:rPr>
          <w:lang w:val="en-GB"/>
        </w:rPr>
        <w:t xml:space="preserve"> </w:t>
      </w:r>
      <w:r w:rsidR="009F7C77" w:rsidRPr="00912BEE">
        <w:rPr>
          <w:lang w:val="en-GB"/>
        </w:rPr>
        <w:t xml:space="preserve">somewhat </w:t>
      </w:r>
      <w:r w:rsidR="00AC5080" w:rsidRPr="00912BEE">
        <w:rPr>
          <w:lang w:val="en-GB"/>
        </w:rPr>
        <w:t>by a significant decrease in the use of attitude markers (</w:t>
      </w:r>
      <w:r w:rsidR="00AC5080" w:rsidRPr="00912BEE">
        <w:rPr>
          <w:i/>
          <w:iCs/>
          <w:lang w:val="en-GB"/>
        </w:rPr>
        <w:t>LL</w:t>
      </w:r>
      <w:r w:rsidR="00AC5080" w:rsidRPr="00912BEE">
        <w:rPr>
          <w:lang w:val="en-GB"/>
        </w:rPr>
        <w:t xml:space="preserve"> = 11.08, </w:t>
      </w:r>
      <w:r w:rsidR="00AC5080" w:rsidRPr="00912BEE">
        <w:rPr>
          <w:i/>
          <w:iCs/>
          <w:lang w:val="en-GB"/>
        </w:rPr>
        <w:t>%DIFF</w:t>
      </w:r>
      <w:r w:rsidR="00AC5080" w:rsidRPr="00912BEE">
        <w:rPr>
          <w:lang w:val="en-GB"/>
        </w:rPr>
        <w:t xml:space="preserve"> = 43.26, </w:t>
      </w:r>
      <w:r w:rsidR="00AC5080" w:rsidRPr="00912BEE">
        <w:rPr>
          <w:i/>
          <w:iCs/>
          <w:lang w:val="en-GB"/>
        </w:rPr>
        <w:t>p</w:t>
      </w:r>
      <w:r w:rsidR="00AC5080" w:rsidRPr="00912BEE">
        <w:rPr>
          <w:lang w:val="en-GB"/>
        </w:rPr>
        <w:t xml:space="preserve"> &lt; 0.001), as seen in Table </w:t>
      </w:r>
      <w:r w:rsidR="00DF28E9">
        <w:rPr>
          <w:lang w:val="en-GB"/>
        </w:rPr>
        <w:t>4 above</w:t>
      </w:r>
      <w:r w:rsidR="00AC5080" w:rsidRPr="00912BEE">
        <w:rPr>
          <w:lang w:val="en-GB"/>
        </w:rPr>
        <w:t>. Swales’s writing</w:t>
      </w:r>
      <w:r w:rsidR="00184360" w:rsidRPr="00912BEE">
        <w:rPr>
          <w:lang w:val="en-GB"/>
        </w:rPr>
        <w:t>, of course,</w:t>
      </w:r>
      <w:r w:rsidR="00AC5080" w:rsidRPr="00912BEE">
        <w:rPr>
          <w:lang w:val="en-GB"/>
        </w:rPr>
        <w:t xml:space="preserve"> is peppered with attitudinal lexis</w:t>
      </w:r>
      <w:r w:rsidR="00184360" w:rsidRPr="00912BEE">
        <w:rPr>
          <w:lang w:val="en-GB"/>
        </w:rPr>
        <w:t xml:space="preserve"> but</w:t>
      </w:r>
      <w:r w:rsidR="00D43A03" w:rsidRPr="00912BEE">
        <w:rPr>
          <w:lang w:val="en-GB"/>
        </w:rPr>
        <w:t xml:space="preserve"> </w:t>
      </w:r>
      <w:r w:rsidR="00AC5080" w:rsidRPr="00912BEE">
        <w:rPr>
          <w:lang w:val="en-GB"/>
        </w:rPr>
        <w:t xml:space="preserve">our diachronic data </w:t>
      </w:r>
      <w:r w:rsidR="00546B0E" w:rsidRPr="00912BEE">
        <w:rPr>
          <w:lang w:val="en-GB"/>
        </w:rPr>
        <w:t>suggests</w:t>
      </w:r>
      <w:r w:rsidR="00AC5080" w:rsidRPr="00912BEE">
        <w:rPr>
          <w:lang w:val="en-GB"/>
        </w:rPr>
        <w:t xml:space="preserve"> this is more characteristic of his earlier work.</w:t>
      </w:r>
      <w:r w:rsidR="00546B0E" w:rsidRPr="00912BEE">
        <w:rPr>
          <w:lang w:val="en-GB"/>
        </w:rPr>
        <w:t xml:space="preserve"> Attitude markers are features which convey affective, rather than epistemic, perspectives, conveying surprise, agreement, frustration, etc. and Swales is not shy in expressing affect when he wants to:</w:t>
      </w:r>
    </w:p>
    <w:p w14:paraId="40E46BDD" w14:textId="38E5A7CF" w:rsidR="00527ADF" w:rsidRPr="00912BEE" w:rsidRDefault="00546B0E" w:rsidP="00E572EA">
      <w:pPr>
        <w:ind w:left="567" w:right="-58"/>
        <w:jc w:val="left"/>
        <w:rPr>
          <w:lang w:val="en-GB"/>
        </w:rPr>
      </w:pPr>
      <w:r w:rsidRPr="00912BEE">
        <w:rPr>
          <w:lang w:val="en-GB"/>
        </w:rPr>
        <w:t>(3</w:t>
      </w:r>
      <w:r w:rsidR="00F51936" w:rsidRPr="00912BEE">
        <w:rPr>
          <w:lang w:val="en-GB"/>
        </w:rPr>
        <w:t>8</w:t>
      </w:r>
      <w:r w:rsidRPr="00912BEE">
        <w:rPr>
          <w:lang w:val="en-GB"/>
        </w:rPr>
        <w:t xml:space="preserve">) </w:t>
      </w:r>
      <w:r w:rsidR="00527ADF" w:rsidRPr="00912BEE">
        <w:rPr>
          <w:lang w:val="en-GB"/>
        </w:rPr>
        <w:t xml:space="preserve">Another </w:t>
      </w:r>
      <w:r w:rsidR="00527ADF" w:rsidRPr="00912BEE">
        <w:rPr>
          <w:b/>
          <w:bCs/>
          <w:lang w:val="en-GB"/>
        </w:rPr>
        <w:t>interesting</w:t>
      </w:r>
      <w:r w:rsidR="00527ADF" w:rsidRPr="00912BEE">
        <w:rPr>
          <w:lang w:val="en-GB"/>
        </w:rPr>
        <w:t xml:space="preserve"> piece of map-making is Coupland’s (1989) introduction to </w:t>
      </w:r>
      <w:r w:rsidR="00527ADF" w:rsidRPr="00912BEE">
        <w:rPr>
          <w:i/>
          <w:iCs/>
          <w:lang w:val="en-GB"/>
        </w:rPr>
        <w:t>Styles of Discourse</w:t>
      </w:r>
      <w:r w:rsidR="00527ADF" w:rsidRPr="00912BEE">
        <w:rPr>
          <w:lang w:val="en-GB"/>
        </w:rPr>
        <w:t xml:space="preserve"> wherein he </w:t>
      </w:r>
      <w:r w:rsidR="00527ADF" w:rsidRPr="00912BEE">
        <w:rPr>
          <w:b/>
          <w:bCs/>
          <w:lang w:val="en-GB"/>
        </w:rPr>
        <w:t>usefully</w:t>
      </w:r>
      <w:r w:rsidR="00527ADF" w:rsidRPr="00912BEE">
        <w:rPr>
          <w:lang w:val="en-GB"/>
        </w:rPr>
        <w:t xml:space="preserve"> compares a discourse analysis … </w:t>
      </w:r>
    </w:p>
    <w:p w14:paraId="403F75FD" w14:textId="2D4165A0" w:rsidR="0018661F" w:rsidRPr="00912BEE" w:rsidRDefault="0018661F" w:rsidP="00527ADF">
      <w:pPr>
        <w:ind w:left="567" w:right="-58"/>
        <w:jc w:val="right"/>
        <w:rPr>
          <w:lang w:val="en-GB"/>
        </w:rPr>
      </w:pPr>
      <w:r w:rsidRPr="00912BEE">
        <w:rPr>
          <w:lang w:val="en-GB"/>
        </w:rPr>
        <w:t>(</w:t>
      </w:r>
      <w:r w:rsidR="00527ADF" w:rsidRPr="00912BEE">
        <w:rPr>
          <w:lang w:val="en-GB"/>
        </w:rPr>
        <w:t>1990</w:t>
      </w:r>
      <w:r w:rsidRPr="00912BEE">
        <w:rPr>
          <w:lang w:val="en-GB"/>
        </w:rPr>
        <w:t xml:space="preserve">) </w:t>
      </w:r>
    </w:p>
    <w:p w14:paraId="5FA5C47A" w14:textId="4F31ED9D" w:rsidR="00546B0E" w:rsidRPr="00912BEE" w:rsidRDefault="00546B0E" w:rsidP="00E572EA">
      <w:pPr>
        <w:ind w:left="567" w:right="-58"/>
        <w:jc w:val="left"/>
        <w:rPr>
          <w:lang w:val="en-GB"/>
        </w:rPr>
      </w:pPr>
      <w:r w:rsidRPr="00912BEE">
        <w:rPr>
          <w:lang w:val="en-GB"/>
        </w:rPr>
        <w:lastRenderedPageBreak/>
        <w:t>(3</w:t>
      </w:r>
      <w:r w:rsidR="00F51936" w:rsidRPr="00912BEE">
        <w:rPr>
          <w:lang w:val="en-GB"/>
        </w:rPr>
        <w:t>9</w:t>
      </w:r>
      <w:r w:rsidRPr="00912BEE">
        <w:rPr>
          <w:lang w:val="en-GB"/>
        </w:rPr>
        <w:t xml:space="preserve">) </w:t>
      </w:r>
      <w:r w:rsidR="004A32B5" w:rsidRPr="00912BEE">
        <w:rPr>
          <w:lang w:val="en-GB"/>
        </w:rPr>
        <w:t xml:space="preserve">Since this body of literature is </w:t>
      </w:r>
      <w:r w:rsidR="004A32B5" w:rsidRPr="00912BEE">
        <w:rPr>
          <w:b/>
          <w:bCs/>
          <w:lang w:val="en-GB"/>
        </w:rPr>
        <w:t>uncomfortably</w:t>
      </w:r>
      <w:r w:rsidR="004A32B5" w:rsidRPr="00912BEE">
        <w:rPr>
          <w:lang w:val="en-GB"/>
        </w:rPr>
        <w:t xml:space="preserve"> large, the discussion of it here is </w:t>
      </w:r>
      <w:r w:rsidR="004A32B5" w:rsidRPr="00912BEE">
        <w:rPr>
          <w:b/>
          <w:bCs/>
          <w:lang w:val="en-GB"/>
        </w:rPr>
        <w:t>extremely</w:t>
      </w:r>
      <w:r w:rsidR="004A32B5" w:rsidRPr="00912BEE">
        <w:rPr>
          <w:lang w:val="en-GB"/>
        </w:rPr>
        <w:t xml:space="preserve"> selective.</w:t>
      </w:r>
      <w:r w:rsidR="004A32B5" w:rsidRPr="00912BEE">
        <w:rPr>
          <w:lang w:val="en-GB"/>
        </w:rPr>
        <w:tab/>
      </w:r>
      <w:r w:rsidR="004A32B5" w:rsidRPr="00912BEE">
        <w:rPr>
          <w:lang w:val="en-GB"/>
        </w:rPr>
        <w:tab/>
      </w:r>
      <w:r w:rsidR="00527ADF" w:rsidRPr="00912BEE">
        <w:rPr>
          <w:lang w:val="en-GB"/>
        </w:rPr>
        <w:t xml:space="preserve">                               </w:t>
      </w:r>
      <w:r w:rsidR="004A32B5" w:rsidRPr="00912BEE">
        <w:rPr>
          <w:lang w:val="en-GB"/>
        </w:rPr>
        <w:t>(1987)</w:t>
      </w:r>
    </w:p>
    <w:p w14:paraId="447FF3F1" w14:textId="77777777" w:rsidR="00E72BE9" w:rsidRPr="00912BEE" w:rsidRDefault="00E72BE9" w:rsidP="00E572EA">
      <w:pPr>
        <w:ind w:right="-58"/>
        <w:jc w:val="left"/>
        <w:rPr>
          <w:lang w:val="en-GB"/>
        </w:rPr>
      </w:pPr>
    </w:p>
    <w:p w14:paraId="198DF516" w14:textId="7432309D" w:rsidR="00AC5080" w:rsidRPr="00912BEE" w:rsidRDefault="00AC5080" w:rsidP="00E572EA">
      <w:pPr>
        <w:ind w:right="-58"/>
        <w:jc w:val="left"/>
        <w:rPr>
          <w:lang w:val="en-GB"/>
        </w:rPr>
      </w:pPr>
      <w:r w:rsidRPr="00912BEE">
        <w:rPr>
          <w:lang w:val="en-GB"/>
        </w:rPr>
        <w:t xml:space="preserve">The reduction in </w:t>
      </w:r>
      <w:r w:rsidR="00E572EA" w:rsidRPr="00912BEE">
        <w:rPr>
          <w:lang w:val="en-GB"/>
        </w:rPr>
        <w:t xml:space="preserve">such </w:t>
      </w:r>
      <w:r w:rsidRPr="00912BEE">
        <w:rPr>
          <w:lang w:val="en-GB"/>
        </w:rPr>
        <w:t xml:space="preserve">explicit markers of attitude </w:t>
      </w:r>
      <w:r w:rsidR="002E1DFE" w:rsidRPr="00912BEE">
        <w:rPr>
          <w:lang w:val="en-GB"/>
        </w:rPr>
        <w:t>may</w:t>
      </w:r>
      <w:r w:rsidR="00E572EA" w:rsidRPr="00912BEE">
        <w:rPr>
          <w:lang w:val="en-GB"/>
        </w:rPr>
        <w:t xml:space="preserve"> </w:t>
      </w:r>
      <w:r w:rsidRPr="00912BEE">
        <w:rPr>
          <w:lang w:val="en-GB"/>
        </w:rPr>
        <w:t xml:space="preserve">indicate a shift towards a more subtle form of authority. </w:t>
      </w:r>
      <w:r w:rsidR="002E1DFE" w:rsidRPr="00912BEE">
        <w:rPr>
          <w:lang w:val="en-GB"/>
        </w:rPr>
        <w:t xml:space="preserve">Maturing into the status of a senior scholar, </w:t>
      </w:r>
      <w:r w:rsidRPr="00912BEE">
        <w:rPr>
          <w:lang w:val="en-GB"/>
        </w:rPr>
        <w:t xml:space="preserve">Swales </w:t>
      </w:r>
      <w:r w:rsidR="002E1DFE" w:rsidRPr="00912BEE">
        <w:rPr>
          <w:lang w:val="en-GB"/>
        </w:rPr>
        <w:t xml:space="preserve">perhaps feels less need to </w:t>
      </w:r>
      <w:r w:rsidRPr="00912BEE">
        <w:rPr>
          <w:lang w:val="en-GB"/>
        </w:rPr>
        <w:t>overtly signal the value of his points; his reputation</w:t>
      </w:r>
      <w:r w:rsidR="002E1DFE" w:rsidRPr="00912BEE">
        <w:rPr>
          <w:lang w:val="en-GB"/>
        </w:rPr>
        <w:t>, and increasingly willingness to get behind his interpretations with first person subjects,</w:t>
      </w:r>
      <w:r w:rsidRPr="00912BEE">
        <w:rPr>
          <w:lang w:val="en-GB"/>
        </w:rPr>
        <w:t xml:space="preserve"> ensure his </w:t>
      </w:r>
      <w:r w:rsidR="002E1DFE" w:rsidRPr="00912BEE">
        <w:rPr>
          <w:lang w:val="en-GB"/>
        </w:rPr>
        <w:t>claims</w:t>
      </w:r>
      <w:r w:rsidRPr="00912BEE">
        <w:rPr>
          <w:lang w:val="en-GB"/>
        </w:rPr>
        <w:t xml:space="preserve"> </w:t>
      </w:r>
      <w:r w:rsidR="002E1DFE" w:rsidRPr="00912BEE">
        <w:rPr>
          <w:lang w:val="en-GB"/>
        </w:rPr>
        <w:t xml:space="preserve">will be noticed. </w:t>
      </w:r>
    </w:p>
    <w:p w14:paraId="79E52457" w14:textId="77777777" w:rsidR="00AC5080" w:rsidRPr="00912BEE" w:rsidRDefault="00AC5080" w:rsidP="006D2EDE">
      <w:pPr>
        <w:rPr>
          <w:lang w:val="en-GB"/>
        </w:rPr>
      </w:pPr>
    </w:p>
    <w:p w14:paraId="609A6AF7" w14:textId="77777777" w:rsidR="007E7F1A" w:rsidRPr="00912BEE" w:rsidRDefault="00D10DE1" w:rsidP="00E1455F">
      <w:pPr>
        <w:jc w:val="left"/>
        <w:rPr>
          <w:lang w:val="en-GB"/>
        </w:rPr>
      </w:pPr>
      <w:r w:rsidRPr="00912BEE">
        <w:rPr>
          <w:lang w:val="en-GB"/>
        </w:rPr>
        <w:t xml:space="preserve">In addition to the very clear and personal authorial stance Swales projects through his metadiscourse choices, </w:t>
      </w:r>
      <w:r w:rsidR="002E1DFE" w:rsidRPr="00912BEE">
        <w:rPr>
          <w:lang w:val="en-GB"/>
        </w:rPr>
        <w:t xml:space="preserve">we </w:t>
      </w:r>
      <w:r w:rsidR="00CE4DBE" w:rsidRPr="00912BEE">
        <w:rPr>
          <w:lang w:val="en-GB"/>
        </w:rPr>
        <w:t xml:space="preserve">also </w:t>
      </w:r>
      <w:r w:rsidR="00E1455F" w:rsidRPr="00912BEE">
        <w:rPr>
          <w:lang w:val="en-GB"/>
        </w:rPr>
        <w:t>found</w:t>
      </w:r>
      <w:r w:rsidR="002E1DFE" w:rsidRPr="00912BEE">
        <w:rPr>
          <w:lang w:val="en-GB"/>
        </w:rPr>
        <w:t xml:space="preserve"> </w:t>
      </w:r>
      <w:r w:rsidR="00EC5AE8" w:rsidRPr="00912BEE">
        <w:rPr>
          <w:lang w:val="en-GB"/>
        </w:rPr>
        <w:t>a 70% increase in his use of engagement</w:t>
      </w:r>
      <w:r w:rsidR="00B836E4" w:rsidRPr="00912BEE">
        <w:rPr>
          <w:lang w:val="en-GB"/>
        </w:rPr>
        <w:t xml:space="preserve"> features</w:t>
      </w:r>
      <w:r w:rsidR="00077E4D" w:rsidRPr="00912BEE">
        <w:rPr>
          <w:lang w:val="en-GB"/>
        </w:rPr>
        <w:t xml:space="preserve"> over the period</w:t>
      </w:r>
      <w:r w:rsidR="00CE4DBE" w:rsidRPr="00912BEE">
        <w:rPr>
          <w:lang w:val="en-GB"/>
        </w:rPr>
        <w:t xml:space="preserve">. Unlike other interactional metadiscourse </w:t>
      </w:r>
      <w:r w:rsidR="00307531" w:rsidRPr="00912BEE">
        <w:rPr>
          <w:lang w:val="en-GB"/>
        </w:rPr>
        <w:t>devices</w:t>
      </w:r>
      <w:r w:rsidR="00CE4DBE" w:rsidRPr="00912BEE">
        <w:rPr>
          <w:lang w:val="en-GB"/>
        </w:rPr>
        <w:t xml:space="preserve"> which convey how the author wishes to set out his or her stall, expressing a position to the material discussed, engagement </w:t>
      </w:r>
      <w:r w:rsidR="00307531" w:rsidRPr="00912BEE">
        <w:rPr>
          <w:lang w:val="en-GB"/>
        </w:rPr>
        <w:t>markers</w:t>
      </w:r>
      <w:r w:rsidR="00CE4DBE" w:rsidRPr="00912BEE">
        <w:rPr>
          <w:lang w:val="en-GB"/>
        </w:rPr>
        <w:t xml:space="preserve"> </w:t>
      </w:r>
      <w:r w:rsidR="00307531" w:rsidRPr="00912BEE">
        <w:rPr>
          <w:lang w:val="en-GB"/>
        </w:rPr>
        <w:t>convey</w:t>
      </w:r>
      <w:r w:rsidR="00CE4DBE" w:rsidRPr="00912BEE">
        <w:rPr>
          <w:lang w:val="en-GB"/>
        </w:rPr>
        <w:t xml:space="preserve"> a</w:t>
      </w:r>
      <w:r w:rsidR="00E1455F" w:rsidRPr="00912BEE">
        <w:rPr>
          <w:lang w:val="en-GB"/>
        </w:rPr>
        <w:t xml:space="preserve"> relationship to an audience. They are part of the apparatus for</w:t>
      </w:r>
      <w:r w:rsidR="00077E4D" w:rsidRPr="00912BEE">
        <w:rPr>
          <w:lang w:val="en-GB"/>
        </w:rPr>
        <w:t xml:space="preserve"> acknowledg</w:t>
      </w:r>
      <w:r w:rsidR="00E1455F" w:rsidRPr="00912BEE">
        <w:rPr>
          <w:lang w:val="en-GB"/>
        </w:rPr>
        <w:t>ing</w:t>
      </w:r>
      <w:r w:rsidR="00077E4D" w:rsidRPr="00912BEE">
        <w:rPr>
          <w:lang w:val="en-GB"/>
        </w:rPr>
        <w:t xml:space="preserve"> the presence of an interested and intelligent reader. </w:t>
      </w:r>
    </w:p>
    <w:p w14:paraId="57BD39F6" w14:textId="77777777" w:rsidR="007E7F1A" w:rsidRPr="00912BEE" w:rsidRDefault="007E7F1A" w:rsidP="00E1455F">
      <w:pPr>
        <w:jc w:val="left"/>
        <w:rPr>
          <w:lang w:val="en-GB"/>
        </w:rPr>
      </w:pPr>
    </w:p>
    <w:p w14:paraId="615525F4" w14:textId="1F068230" w:rsidR="00E1455F" w:rsidRPr="00912BEE" w:rsidRDefault="00E1455F" w:rsidP="00E1455F">
      <w:pPr>
        <w:jc w:val="left"/>
        <w:rPr>
          <w:lang w:val="en-GB"/>
        </w:rPr>
      </w:pPr>
      <w:r w:rsidRPr="00912BEE">
        <w:rPr>
          <w:lang w:val="en-GB"/>
        </w:rPr>
        <w:t xml:space="preserve">Swales always treats his audience with respect and consideration while inviting them to go along with his always reasonable and apparently community sanctioned </w:t>
      </w:r>
      <w:r w:rsidR="007E7F1A" w:rsidRPr="00912BEE">
        <w:rPr>
          <w:lang w:val="en-GB"/>
        </w:rPr>
        <w:t>views:</w:t>
      </w:r>
    </w:p>
    <w:p w14:paraId="2767FAFE" w14:textId="45070B19" w:rsidR="007E7F1A" w:rsidRPr="00912BEE" w:rsidRDefault="007E7F1A" w:rsidP="002E1467">
      <w:pPr>
        <w:ind w:left="426" w:right="368"/>
        <w:rPr>
          <w:lang w:val="en-GB"/>
        </w:rPr>
      </w:pPr>
      <w:r w:rsidRPr="00912BEE">
        <w:rPr>
          <w:lang w:val="en-GB"/>
        </w:rPr>
        <w:t>(</w:t>
      </w:r>
      <w:r w:rsidR="00F51936" w:rsidRPr="00912BEE">
        <w:rPr>
          <w:lang w:val="en-GB"/>
        </w:rPr>
        <w:t>40</w:t>
      </w:r>
      <w:r w:rsidRPr="00912BEE">
        <w:rPr>
          <w:lang w:val="en-GB"/>
        </w:rPr>
        <w:t xml:space="preserve">) </w:t>
      </w:r>
      <w:r w:rsidRPr="00912BEE">
        <w:rPr>
          <w:b/>
          <w:bCs/>
          <w:lang w:val="en-GB"/>
        </w:rPr>
        <w:t>Consider</w:t>
      </w:r>
      <w:r w:rsidRPr="00912BEE">
        <w:rPr>
          <w:lang w:val="en-GB"/>
        </w:rPr>
        <w:t xml:space="preserve"> again the concept of  the  university  clocks  moving at  different speeds  that  was  discussed in the opening section. Or </w:t>
      </w:r>
      <w:r w:rsidRPr="00912BEE">
        <w:rPr>
          <w:b/>
          <w:bCs/>
          <w:lang w:val="en-GB"/>
        </w:rPr>
        <w:t>reflect on</w:t>
      </w:r>
      <w:r w:rsidRPr="00912BEE">
        <w:rPr>
          <w:lang w:val="en-GB"/>
        </w:rPr>
        <w:t xml:space="preserve"> how DCs evolve rotas and rosters.</w:t>
      </w:r>
      <w:r w:rsidRPr="00912BEE">
        <w:rPr>
          <w:lang w:val="en-GB"/>
        </w:rPr>
        <w:tab/>
      </w:r>
      <w:r w:rsidR="00F51936" w:rsidRPr="00912BEE">
        <w:rPr>
          <w:lang w:val="en-GB"/>
        </w:rPr>
        <w:t xml:space="preserve">                            </w:t>
      </w:r>
      <w:r w:rsidRPr="00912BEE">
        <w:rPr>
          <w:lang w:val="en-GB"/>
        </w:rPr>
        <w:t>(2016)</w:t>
      </w:r>
    </w:p>
    <w:p w14:paraId="4814CE2D" w14:textId="4DC2A1B5" w:rsidR="007E7F1A" w:rsidRPr="00912BEE" w:rsidRDefault="007E7F1A" w:rsidP="002E1467">
      <w:pPr>
        <w:ind w:left="426" w:right="368"/>
        <w:rPr>
          <w:lang w:val="en-GB"/>
        </w:rPr>
      </w:pPr>
      <w:r w:rsidRPr="00912BEE">
        <w:rPr>
          <w:lang w:val="en-GB"/>
        </w:rPr>
        <w:t>(</w:t>
      </w:r>
      <w:r w:rsidR="00F51936" w:rsidRPr="00912BEE">
        <w:rPr>
          <w:lang w:val="en-GB"/>
        </w:rPr>
        <w:t>41</w:t>
      </w:r>
      <w:r w:rsidRPr="00912BEE">
        <w:rPr>
          <w:lang w:val="en-GB"/>
        </w:rPr>
        <w:t xml:space="preserve">) So </w:t>
      </w:r>
      <w:r w:rsidRPr="00912BEE">
        <w:rPr>
          <w:b/>
          <w:bCs/>
          <w:lang w:val="en-GB"/>
        </w:rPr>
        <w:t>imagine, if you will</w:t>
      </w:r>
      <w:r w:rsidRPr="00912BEE">
        <w:rPr>
          <w:lang w:val="en-GB"/>
        </w:rPr>
        <w:t xml:space="preserve">, that </w:t>
      </w:r>
      <w:r w:rsidRPr="00912BEE">
        <w:rPr>
          <w:b/>
          <w:bCs/>
          <w:lang w:val="en-GB"/>
        </w:rPr>
        <w:t>you</w:t>
      </w:r>
      <w:r w:rsidRPr="00912BEE">
        <w:rPr>
          <w:lang w:val="en-GB"/>
        </w:rPr>
        <w:t xml:space="preserve"> are submitting an article to a journal that has a distinctive and idiosyncratic referencing system. </w:t>
      </w:r>
      <w:r w:rsidRPr="00912BEE">
        <w:rPr>
          <w:b/>
          <w:bCs/>
          <w:lang w:val="en-GB"/>
        </w:rPr>
        <w:t>Your</w:t>
      </w:r>
      <w:r w:rsidRPr="00912BEE">
        <w:rPr>
          <w:lang w:val="en-GB"/>
        </w:rPr>
        <w:t xml:space="preserve"> options are to study the rules in the style sheet or to use the quoted examples as </w:t>
      </w:r>
      <w:r w:rsidRPr="00912BEE">
        <w:rPr>
          <w:b/>
          <w:bCs/>
          <w:lang w:val="en-GB"/>
        </w:rPr>
        <w:t>you</w:t>
      </w:r>
      <w:r w:rsidRPr="00912BEE">
        <w:rPr>
          <w:lang w:val="en-GB"/>
        </w:rPr>
        <w:t xml:space="preserve"> go about revising </w:t>
      </w:r>
      <w:r w:rsidRPr="00912BEE">
        <w:rPr>
          <w:b/>
          <w:bCs/>
          <w:lang w:val="en-GB"/>
        </w:rPr>
        <w:t>your</w:t>
      </w:r>
      <w:r w:rsidRPr="00912BEE">
        <w:rPr>
          <w:lang w:val="en-GB"/>
        </w:rPr>
        <w:t xml:space="preserve"> bibliography. </w:t>
      </w:r>
      <w:r w:rsidR="00F51936" w:rsidRPr="00912BEE">
        <w:rPr>
          <w:lang w:val="en-GB"/>
        </w:rPr>
        <w:t xml:space="preserve">                                </w:t>
      </w:r>
      <w:r w:rsidRPr="00912BEE">
        <w:rPr>
          <w:lang w:val="en-GB"/>
        </w:rPr>
        <w:t xml:space="preserve">(2011) </w:t>
      </w:r>
    </w:p>
    <w:p w14:paraId="008CE4E5" w14:textId="2BACC314" w:rsidR="007E7F1A" w:rsidRPr="00912BEE" w:rsidRDefault="007E7F1A" w:rsidP="002E1467">
      <w:pPr>
        <w:ind w:left="426" w:right="368"/>
        <w:rPr>
          <w:lang w:val="en-GB"/>
        </w:rPr>
      </w:pPr>
      <w:r w:rsidRPr="00912BEE">
        <w:rPr>
          <w:lang w:val="en-GB"/>
        </w:rPr>
        <w:t>(</w:t>
      </w:r>
      <w:r w:rsidR="00F51936" w:rsidRPr="00912BEE">
        <w:rPr>
          <w:lang w:val="en-GB"/>
        </w:rPr>
        <w:t>42</w:t>
      </w:r>
      <w:r w:rsidRPr="00912BEE">
        <w:rPr>
          <w:lang w:val="en-GB"/>
        </w:rPr>
        <w:t xml:space="preserve">) Finally, </w:t>
      </w:r>
      <w:r w:rsidRPr="00912BEE">
        <w:rPr>
          <w:b/>
          <w:bCs/>
          <w:lang w:val="en-GB"/>
        </w:rPr>
        <w:t>we need to</w:t>
      </w:r>
      <w:r w:rsidRPr="00912BEE">
        <w:rPr>
          <w:lang w:val="en-GB"/>
        </w:rPr>
        <w:t xml:space="preserve"> recognize that the various sections of introductions provide well-motivated opportunities for undertaking language work</w:t>
      </w:r>
      <w:r w:rsidR="00F51936" w:rsidRPr="00912BEE">
        <w:rPr>
          <w:lang w:val="en-GB"/>
        </w:rPr>
        <w:t>…</w:t>
      </w:r>
      <w:r w:rsidRPr="00912BEE">
        <w:rPr>
          <w:lang w:val="en-GB"/>
        </w:rPr>
        <w:t xml:space="preserve"> (1987) </w:t>
      </w:r>
    </w:p>
    <w:p w14:paraId="1AD1DE02" w14:textId="77777777" w:rsidR="00F51936" w:rsidRPr="00912BEE" w:rsidRDefault="00F51936" w:rsidP="00E1455F">
      <w:pPr>
        <w:jc w:val="left"/>
        <w:rPr>
          <w:lang w:val="en-GB"/>
        </w:rPr>
      </w:pPr>
    </w:p>
    <w:p w14:paraId="32785B75" w14:textId="1DC49D43" w:rsidR="007E7F1A" w:rsidRPr="00912BEE" w:rsidRDefault="007E7F1A" w:rsidP="00E1455F">
      <w:pPr>
        <w:jc w:val="left"/>
        <w:rPr>
          <w:lang w:val="en-GB"/>
        </w:rPr>
      </w:pPr>
      <w:r w:rsidRPr="00912BEE">
        <w:rPr>
          <w:lang w:val="en-GB"/>
        </w:rPr>
        <w:lastRenderedPageBreak/>
        <w:t xml:space="preserve">Here we see Swales directly talking to readers as fellow researchers exploring the always fascinating mysteries of language and how academics use it, inviting them to </w:t>
      </w:r>
      <w:r w:rsidRPr="00912BEE">
        <w:rPr>
          <w:i/>
          <w:iCs/>
          <w:lang w:val="en-GB"/>
        </w:rPr>
        <w:t xml:space="preserve">consider, reflect, </w:t>
      </w:r>
      <w:r w:rsidRPr="00912BEE">
        <w:rPr>
          <w:lang w:val="en-GB"/>
        </w:rPr>
        <w:t>and</w:t>
      </w:r>
      <w:r w:rsidRPr="00912BEE">
        <w:rPr>
          <w:i/>
          <w:iCs/>
          <w:lang w:val="en-GB"/>
        </w:rPr>
        <w:t xml:space="preserve"> imagine</w:t>
      </w:r>
      <w:r w:rsidRPr="00912BEE">
        <w:rPr>
          <w:lang w:val="en-GB"/>
        </w:rPr>
        <w:t xml:space="preserve">, and addressing them directly with second person and inclusive pronouns. Together these features </w:t>
      </w:r>
      <w:r w:rsidR="00060A72" w:rsidRPr="00912BEE">
        <w:rPr>
          <w:lang w:val="en-GB"/>
        </w:rPr>
        <w:t xml:space="preserve">work to encourage inclusion and  </w:t>
      </w:r>
      <w:r w:rsidRPr="00912BEE">
        <w:rPr>
          <w:lang w:val="en-GB"/>
        </w:rPr>
        <w:t xml:space="preserve"> </w:t>
      </w:r>
      <w:r w:rsidR="00060A72" w:rsidRPr="00912BEE">
        <w:rPr>
          <w:lang w:val="en-GB"/>
        </w:rPr>
        <w:t>strengthen the proximity between writer and community</w:t>
      </w:r>
      <w:r w:rsidR="002E1467" w:rsidRPr="00912BEE">
        <w:rPr>
          <w:lang w:val="en-GB"/>
        </w:rPr>
        <w:t xml:space="preserve">. At the same time, of course, </w:t>
      </w:r>
      <w:r w:rsidRPr="00912BEE">
        <w:rPr>
          <w:lang w:val="en-GB"/>
        </w:rPr>
        <w:t>they also urge compliance and compel agreement</w:t>
      </w:r>
      <w:r w:rsidR="002E1467" w:rsidRPr="00912BEE">
        <w:rPr>
          <w:lang w:val="en-GB"/>
        </w:rPr>
        <w:t xml:space="preserve">. </w:t>
      </w:r>
    </w:p>
    <w:p w14:paraId="0161F923" w14:textId="77777777" w:rsidR="00F51936" w:rsidRPr="00912BEE" w:rsidRDefault="00F51936" w:rsidP="00E1455F">
      <w:pPr>
        <w:jc w:val="left"/>
        <w:rPr>
          <w:lang w:val="en-GB"/>
        </w:rPr>
      </w:pPr>
    </w:p>
    <w:p w14:paraId="317FDA2D" w14:textId="58FFAECE" w:rsidR="00356AF4" w:rsidRPr="00912BEE" w:rsidRDefault="00356AF4" w:rsidP="00F82903">
      <w:pPr>
        <w:ind w:right="-58"/>
        <w:jc w:val="left"/>
        <w:rPr>
          <w:lang w:val="en-GB"/>
        </w:rPr>
      </w:pPr>
      <w:r w:rsidRPr="00912BEE">
        <w:rPr>
          <w:lang w:val="en-GB"/>
        </w:rPr>
        <w:t>By increasingly including the reader as a participant in an unfolding exploration</w:t>
      </w:r>
      <w:r w:rsidR="002E1467" w:rsidRPr="00912BEE">
        <w:rPr>
          <w:lang w:val="en-GB"/>
        </w:rPr>
        <w:t xml:space="preserve"> of academic writing</w:t>
      </w:r>
      <w:r w:rsidRPr="00912BEE">
        <w:rPr>
          <w:lang w:val="en-GB"/>
        </w:rPr>
        <w:t xml:space="preserve">, Swales performs an identity that is not just individual, but also communal and collegial. This rhetorical evolution demonstrates a writer who, with growing confidence and </w:t>
      </w:r>
      <w:r w:rsidR="002E1467" w:rsidRPr="00912BEE">
        <w:rPr>
          <w:lang w:val="en-GB"/>
        </w:rPr>
        <w:t xml:space="preserve">burgeoning </w:t>
      </w:r>
      <w:r w:rsidRPr="00912BEE">
        <w:rPr>
          <w:lang w:val="en-GB"/>
        </w:rPr>
        <w:t>reputation, more fully embraces a personal, dialogic style that simultaneously asserts his own unique voice</w:t>
      </w:r>
      <w:r w:rsidR="002E1467" w:rsidRPr="00912BEE">
        <w:rPr>
          <w:lang w:val="en-GB"/>
        </w:rPr>
        <w:t xml:space="preserve">. </w:t>
      </w:r>
    </w:p>
    <w:p w14:paraId="5950DF36" w14:textId="77777777" w:rsidR="00AC5080" w:rsidRPr="00912BEE" w:rsidRDefault="00AC5080" w:rsidP="00F82903">
      <w:pPr>
        <w:ind w:right="-58"/>
        <w:jc w:val="left"/>
        <w:rPr>
          <w:lang w:val="en-GB"/>
        </w:rPr>
      </w:pPr>
    </w:p>
    <w:p w14:paraId="4833916E" w14:textId="5C88E5E0" w:rsidR="00F82903" w:rsidRPr="00912BEE" w:rsidRDefault="0032190F" w:rsidP="00F82903">
      <w:pPr>
        <w:ind w:right="-58"/>
        <w:jc w:val="left"/>
        <w:rPr>
          <w:lang w:val="en-GB"/>
        </w:rPr>
      </w:pPr>
      <w:r>
        <w:rPr>
          <w:rFonts w:hint="eastAsia"/>
          <w:b/>
          <w:bCs/>
          <w:lang w:val="en-GB"/>
        </w:rPr>
        <w:t>4</w:t>
      </w:r>
      <w:r w:rsidR="00F51936" w:rsidRPr="00912BEE">
        <w:rPr>
          <w:b/>
          <w:bCs/>
          <w:lang w:val="en-GB"/>
        </w:rPr>
        <w:t xml:space="preserve">. </w:t>
      </w:r>
      <w:r w:rsidR="00F82903" w:rsidRPr="00912BEE">
        <w:rPr>
          <w:b/>
          <w:bCs/>
          <w:lang w:val="en-GB"/>
        </w:rPr>
        <w:t>Some conclusions and final thoughts</w:t>
      </w:r>
    </w:p>
    <w:p w14:paraId="7C5E458A" w14:textId="47E80441" w:rsidR="00500EA2" w:rsidRPr="00912BEE" w:rsidRDefault="00F82903" w:rsidP="00F90EE9">
      <w:pPr>
        <w:ind w:right="-58"/>
        <w:jc w:val="left"/>
        <w:rPr>
          <w:lang w:val="en-GB"/>
        </w:rPr>
      </w:pPr>
      <w:r w:rsidRPr="00912BEE">
        <w:rPr>
          <w:lang w:val="en-GB"/>
        </w:rPr>
        <w:t xml:space="preserve">The passing of John Swales is a significant loss to applied linguistics yet his influence endures through his transformative contributions to the field. His pioneering work on genre, research writing, and academic discourse continues to shape both scholarship and pedagogy, providing enduring frameworks for understanding and teaching specialized English. While we don’t wish to </w:t>
      </w:r>
      <w:r w:rsidR="001B2917" w:rsidRPr="00912BEE">
        <w:rPr>
          <w:lang w:val="en-GB"/>
        </w:rPr>
        <w:t>weaken</w:t>
      </w:r>
      <w:r w:rsidRPr="00912BEE">
        <w:rPr>
          <w:lang w:val="en-GB"/>
        </w:rPr>
        <w:t xml:space="preserve"> these achievements in any way, we </w:t>
      </w:r>
      <w:r w:rsidR="00745FF4" w:rsidRPr="00912BEE">
        <w:rPr>
          <w:lang w:val="en-GB"/>
        </w:rPr>
        <w:t>have sought</w:t>
      </w:r>
      <w:r w:rsidRPr="00912BEE">
        <w:rPr>
          <w:lang w:val="en-GB"/>
        </w:rPr>
        <w:t xml:space="preserve"> to </w:t>
      </w:r>
      <w:r w:rsidR="00745FF4" w:rsidRPr="00912BEE">
        <w:rPr>
          <w:lang w:val="en-GB"/>
        </w:rPr>
        <w:t>argue</w:t>
      </w:r>
      <w:r w:rsidRPr="00912BEE">
        <w:rPr>
          <w:lang w:val="en-GB"/>
        </w:rPr>
        <w:t xml:space="preserve"> that Swales’s distinctive and accessible style was not simply incidental to his influence but </w:t>
      </w:r>
      <w:r w:rsidR="00500EA2" w:rsidRPr="00912BEE">
        <w:rPr>
          <w:lang w:val="en-GB"/>
        </w:rPr>
        <w:t xml:space="preserve">was, </w:t>
      </w:r>
      <w:r w:rsidRPr="00912BEE">
        <w:rPr>
          <w:lang w:val="en-GB"/>
        </w:rPr>
        <w:t>indeed,</w:t>
      </w:r>
      <w:r w:rsidR="00745FF4" w:rsidRPr="00912BEE">
        <w:rPr>
          <w:lang w:val="en-GB"/>
        </w:rPr>
        <w:t xml:space="preserve"> instrumental</w:t>
      </w:r>
      <w:r w:rsidR="00500EA2" w:rsidRPr="00912BEE">
        <w:rPr>
          <w:lang w:val="en-GB"/>
        </w:rPr>
        <w:t xml:space="preserve"> to it</w:t>
      </w:r>
      <w:r w:rsidR="00745FF4" w:rsidRPr="00912BEE">
        <w:rPr>
          <w:lang w:val="en-GB"/>
        </w:rPr>
        <w:t xml:space="preserve">. </w:t>
      </w:r>
      <w:r w:rsidR="00500EA2" w:rsidRPr="00912BEE">
        <w:rPr>
          <w:lang w:val="en-GB"/>
        </w:rPr>
        <w:t xml:space="preserve">Through his extensive and growing use of metadiscourse we can see how </w:t>
      </w:r>
      <w:r w:rsidR="000F29F3" w:rsidRPr="00912BEE">
        <w:rPr>
          <w:lang w:val="en-GB"/>
        </w:rPr>
        <w:t>he</w:t>
      </w:r>
      <w:r w:rsidR="00500EA2" w:rsidRPr="00912BEE">
        <w:rPr>
          <w:lang w:val="en-GB"/>
        </w:rPr>
        <w:t xml:space="preserve"> </w:t>
      </w:r>
      <w:r w:rsidR="008254BA" w:rsidRPr="00912BEE">
        <w:rPr>
          <w:lang w:val="en-GB"/>
        </w:rPr>
        <w:t>presented his ideas</w:t>
      </w:r>
      <w:r w:rsidR="00D355E8" w:rsidRPr="00912BEE">
        <w:rPr>
          <w:lang w:val="en-GB"/>
        </w:rPr>
        <w:t xml:space="preserve">, taking personal responsibility for them while recognizing nuance and subtlety in </w:t>
      </w:r>
      <w:r w:rsidR="000F29F3" w:rsidRPr="00912BEE">
        <w:rPr>
          <w:lang w:val="en-GB"/>
        </w:rPr>
        <w:t xml:space="preserve">what he </w:t>
      </w:r>
      <w:r w:rsidR="00D355E8" w:rsidRPr="00912BEE">
        <w:rPr>
          <w:lang w:val="en-GB"/>
        </w:rPr>
        <w:t>analys</w:t>
      </w:r>
      <w:r w:rsidR="000F29F3" w:rsidRPr="00912BEE">
        <w:rPr>
          <w:lang w:val="en-GB"/>
        </w:rPr>
        <w:t>ed</w:t>
      </w:r>
      <w:r w:rsidR="00D355E8" w:rsidRPr="00912BEE">
        <w:rPr>
          <w:lang w:val="en-GB"/>
        </w:rPr>
        <w:t xml:space="preserve">. His convictions never overwhelmed his sense of humility, however, and he </w:t>
      </w:r>
      <w:r w:rsidR="00500EA2" w:rsidRPr="00912BEE">
        <w:rPr>
          <w:lang w:val="en-GB"/>
        </w:rPr>
        <w:t xml:space="preserve">always treated his audience with consideration for their </w:t>
      </w:r>
      <w:r w:rsidR="00D355E8" w:rsidRPr="00912BEE">
        <w:rPr>
          <w:lang w:val="en-GB"/>
        </w:rPr>
        <w:t xml:space="preserve">unfamiliarity with a subject or alternative </w:t>
      </w:r>
      <w:r w:rsidR="00500EA2" w:rsidRPr="00912BEE">
        <w:rPr>
          <w:lang w:val="en-GB"/>
        </w:rPr>
        <w:t>views</w:t>
      </w:r>
      <w:r w:rsidR="00D355E8" w:rsidRPr="00912BEE">
        <w:rPr>
          <w:lang w:val="en-GB"/>
        </w:rPr>
        <w:t>.</w:t>
      </w:r>
    </w:p>
    <w:p w14:paraId="306414E3" w14:textId="77777777" w:rsidR="00500EA2" w:rsidRPr="00912BEE" w:rsidRDefault="00500EA2" w:rsidP="00F90EE9">
      <w:pPr>
        <w:ind w:right="-58"/>
        <w:jc w:val="left"/>
        <w:rPr>
          <w:lang w:val="en-GB"/>
        </w:rPr>
      </w:pPr>
    </w:p>
    <w:p w14:paraId="468BEC97" w14:textId="5C907A22" w:rsidR="00F90EE9" w:rsidRPr="00912BEE" w:rsidRDefault="00F90EE9" w:rsidP="00F90EE9">
      <w:pPr>
        <w:ind w:right="-58"/>
        <w:jc w:val="left"/>
        <w:rPr>
          <w:lang w:val="en-GB"/>
        </w:rPr>
      </w:pPr>
      <w:r w:rsidRPr="00912BEE">
        <w:rPr>
          <w:lang w:val="en-GB"/>
        </w:rPr>
        <w:t xml:space="preserve">The explicitly individual and interactive character of his discourse, then, is a key part of the experience of reading Swales’ work. </w:t>
      </w:r>
      <w:r w:rsidR="007D102E">
        <w:rPr>
          <w:lang w:val="en-GB"/>
        </w:rPr>
        <w:t>As authors of academic works, w</w:t>
      </w:r>
      <w:r w:rsidRPr="00912BEE">
        <w:rPr>
          <w:lang w:val="en-GB"/>
        </w:rPr>
        <w:t xml:space="preserve">e </w:t>
      </w:r>
      <w:r w:rsidR="007D102E">
        <w:rPr>
          <w:lang w:val="en-GB"/>
        </w:rPr>
        <w:t xml:space="preserve">identify with Swales writing. We </w:t>
      </w:r>
      <w:r w:rsidRPr="00912BEE">
        <w:rPr>
          <w:lang w:val="en-GB"/>
        </w:rPr>
        <w:t xml:space="preserve">get a sense of a writer who is someone like us, attempting to </w:t>
      </w:r>
      <w:r w:rsidRPr="00912BEE">
        <w:rPr>
          <w:lang w:val="en-GB"/>
        </w:rPr>
        <w:lastRenderedPageBreak/>
        <w:t xml:space="preserve">come to terms with the complexities of academic language and the difficulties it might present for students and other writers. He colludes with us in exploring texts and practices, implying a common curiosity as we engage in what is essentially </w:t>
      </w:r>
      <w:r w:rsidR="00040C5B" w:rsidRPr="00912BEE">
        <w:rPr>
          <w:lang w:val="en-GB"/>
        </w:rPr>
        <w:t xml:space="preserve">a </w:t>
      </w:r>
      <w:r w:rsidRPr="00912BEE">
        <w:rPr>
          <w:i/>
          <w:iCs/>
          <w:lang w:val="en-GB"/>
        </w:rPr>
        <w:t>collective</w:t>
      </w:r>
      <w:r w:rsidRPr="00912BEE">
        <w:rPr>
          <w:lang w:val="en-GB"/>
        </w:rPr>
        <w:t xml:space="preserve"> endeavour. </w:t>
      </w:r>
      <w:r w:rsidR="00CB6437" w:rsidRPr="00912BEE">
        <w:rPr>
          <w:lang w:val="en-GB"/>
        </w:rPr>
        <w:t>In so doing, he is not only presenting his interpretations of the workings of language, but also a view of</w:t>
      </w:r>
      <w:r w:rsidR="00040C5B" w:rsidRPr="00912BEE">
        <w:rPr>
          <w:lang w:val="en-GB"/>
        </w:rPr>
        <w:t xml:space="preserve"> how these understandings should best be presented. </w:t>
      </w:r>
      <w:r w:rsidR="007D102E">
        <w:rPr>
          <w:lang w:val="en-GB"/>
        </w:rPr>
        <w:t>In doing so, he</w:t>
      </w:r>
      <w:r w:rsidR="005973AF" w:rsidRPr="00912BEE">
        <w:rPr>
          <w:lang w:val="en-GB"/>
        </w:rPr>
        <w:t xml:space="preserve"> mode</w:t>
      </w:r>
      <w:r w:rsidR="007D102E">
        <w:rPr>
          <w:lang w:val="en-GB"/>
        </w:rPr>
        <w:t>l</w:t>
      </w:r>
      <w:r w:rsidR="005973AF" w:rsidRPr="00912BEE">
        <w:rPr>
          <w:lang w:val="en-GB"/>
        </w:rPr>
        <w:t>l</w:t>
      </w:r>
      <w:r w:rsidR="007D102E">
        <w:rPr>
          <w:lang w:val="en-GB"/>
        </w:rPr>
        <w:t>ed</w:t>
      </w:r>
      <w:r w:rsidR="005973AF" w:rsidRPr="00912BEE">
        <w:rPr>
          <w:lang w:val="en-GB"/>
        </w:rPr>
        <w:t xml:space="preserve"> a form of engaged communication which both draws on the resources of a young </w:t>
      </w:r>
      <w:r w:rsidR="001B2917" w:rsidRPr="00912BEE">
        <w:rPr>
          <w:lang w:val="en-GB"/>
        </w:rPr>
        <w:t xml:space="preserve">and </w:t>
      </w:r>
      <w:r w:rsidR="005973AF" w:rsidRPr="00912BEE">
        <w:rPr>
          <w:lang w:val="en-GB"/>
        </w:rPr>
        <w:t>growing scholarly field</w:t>
      </w:r>
      <w:r w:rsidR="001B2917" w:rsidRPr="00912BEE">
        <w:rPr>
          <w:lang w:val="en-GB"/>
        </w:rPr>
        <w:t xml:space="preserve"> and his own predilection for a less rigidly anonymized style of argument. </w:t>
      </w:r>
      <w:r w:rsidR="00040C5B" w:rsidRPr="00912BEE">
        <w:rPr>
          <w:lang w:val="en-GB"/>
        </w:rPr>
        <w:t xml:space="preserve">He is </w:t>
      </w:r>
      <w:r w:rsidR="005973AF" w:rsidRPr="00912BEE">
        <w:rPr>
          <w:lang w:val="en-GB"/>
        </w:rPr>
        <w:t>involved</w:t>
      </w:r>
      <w:r w:rsidR="001B2917" w:rsidRPr="00912BEE">
        <w:rPr>
          <w:lang w:val="en-GB"/>
        </w:rPr>
        <w:t>, in other words,</w:t>
      </w:r>
      <w:r w:rsidR="00040C5B" w:rsidRPr="00912BEE">
        <w:rPr>
          <w:lang w:val="en-GB"/>
        </w:rPr>
        <w:t xml:space="preserve"> in constructing </w:t>
      </w:r>
      <w:r w:rsidR="001B2917" w:rsidRPr="00912BEE">
        <w:rPr>
          <w:lang w:val="en-GB"/>
        </w:rPr>
        <w:t xml:space="preserve">the rhetorical basis of </w:t>
      </w:r>
      <w:r w:rsidR="00040C5B" w:rsidRPr="00912BEE">
        <w:rPr>
          <w:lang w:val="en-GB"/>
        </w:rPr>
        <w:t xml:space="preserve">an EAP discourse community. </w:t>
      </w:r>
      <w:r w:rsidR="00CB6437" w:rsidRPr="00912BEE">
        <w:rPr>
          <w:lang w:val="en-GB"/>
        </w:rPr>
        <w:t xml:space="preserve"> </w:t>
      </w:r>
      <w:r w:rsidRPr="00912BEE">
        <w:rPr>
          <w:lang w:val="en-GB"/>
        </w:rPr>
        <w:t xml:space="preserve"> </w:t>
      </w:r>
    </w:p>
    <w:p w14:paraId="026143C5" w14:textId="77777777" w:rsidR="00F90EE9" w:rsidRPr="00912BEE" w:rsidRDefault="00F90EE9" w:rsidP="00F90EE9">
      <w:pPr>
        <w:ind w:right="-58"/>
        <w:jc w:val="left"/>
        <w:rPr>
          <w:lang w:val="en-GB"/>
        </w:rPr>
      </w:pPr>
    </w:p>
    <w:p w14:paraId="10755ED6" w14:textId="5B1FD165" w:rsidR="00860A0E" w:rsidRPr="00912BEE" w:rsidRDefault="00FD7C4B" w:rsidP="002C720A">
      <w:pPr>
        <w:jc w:val="left"/>
        <w:rPr>
          <w:lang w:val="en-GB"/>
        </w:rPr>
      </w:pPr>
      <w:r w:rsidRPr="00912BEE">
        <w:rPr>
          <w:lang w:val="en-GB"/>
        </w:rPr>
        <w:t xml:space="preserve">We have focused here on the use of metadiscourse in Swales’ writing </w:t>
      </w:r>
      <w:r w:rsidR="001E620F" w:rsidRPr="00912BEE">
        <w:rPr>
          <w:lang w:val="en-GB"/>
        </w:rPr>
        <w:t>not only</w:t>
      </w:r>
      <w:r w:rsidR="002C720A" w:rsidRPr="002C720A">
        <w:t xml:space="preserve"> </w:t>
      </w:r>
      <w:proofErr w:type="spellStart"/>
      <w:r w:rsidR="002C720A">
        <w:t>i</w:t>
      </w:r>
      <w:r w:rsidR="002C720A" w:rsidRPr="002C720A">
        <w:rPr>
          <w:lang w:val="en-GB"/>
        </w:rPr>
        <w:t>ts</w:t>
      </w:r>
      <w:proofErr w:type="spellEnd"/>
      <w:r w:rsidR="002C720A" w:rsidRPr="002C720A">
        <w:rPr>
          <w:lang w:val="en-GB"/>
        </w:rPr>
        <w:t xml:space="preserve"> centrality to effective argumentation but also it critical</w:t>
      </w:r>
      <w:r w:rsidR="002C720A">
        <w:rPr>
          <w:lang w:val="en-GB"/>
        </w:rPr>
        <w:t xml:space="preserve"> importance</w:t>
      </w:r>
      <w:r w:rsidR="002C720A" w:rsidRPr="002C720A">
        <w:rPr>
          <w:lang w:val="en-GB"/>
        </w:rPr>
        <w:t xml:space="preserve"> </w:t>
      </w:r>
      <w:r w:rsidR="002C720A">
        <w:rPr>
          <w:lang w:val="en-GB"/>
        </w:rPr>
        <w:t>in</w:t>
      </w:r>
      <w:r w:rsidR="002C720A" w:rsidRPr="002C720A">
        <w:rPr>
          <w:lang w:val="en-GB"/>
        </w:rPr>
        <w:t xml:space="preserve"> establish</w:t>
      </w:r>
      <w:r w:rsidR="002C720A">
        <w:rPr>
          <w:lang w:val="en-GB"/>
        </w:rPr>
        <w:t>ing</w:t>
      </w:r>
      <w:r w:rsidR="002C720A" w:rsidRPr="002C720A">
        <w:rPr>
          <w:lang w:val="en-GB"/>
        </w:rPr>
        <w:t xml:space="preserve"> a strong connection with his readers. </w:t>
      </w:r>
      <w:r w:rsidR="00860A0E" w:rsidRPr="00912BEE">
        <w:rPr>
          <w:lang w:val="en-GB"/>
        </w:rPr>
        <w:t xml:space="preserve">Essentially, metadiscourse is </w:t>
      </w:r>
      <w:r w:rsidR="002C720A">
        <w:rPr>
          <w:lang w:val="en-GB"/>
        </w:rPr>
        <w:t xml:space="preserve">a </w:t>
      </w:r>
      <w:r w:rsidR="00860A0E" w:rsidRPr="00912BEE">
        <w:rPr>
          <w:lang w:val="en-GB"/>
        </w:rPr>
        <w:t xml:space="preserve">self-reflective matter which </w:t>
      </w:r>
      <w:r w:rsidR="00F16A97" w:rsidRPr="00912BEE">
        <w:rPr>
          <w:lang w:val="en-GB"/>
        </w:rPr>
        <w:t>refers</w:t>
      </w:r>
      <w:r w:rsidR="00860A0E" w:rsidRPr="00912BEE">
        <w:rPr>
          <w:lang w:val="en-GB"/>
        </w:rPr>
        <w:t xml:space="preserve"> to the evolving text or to the writer and imagined reader of that text. It therefore acts to connect, organise and interpret material with regard to the understandings and values of a particular discourse community. </w:t>
      </w:r>
      <w:r w:rsidR="000F29F3" w:rsidRPr="00912BEE">
        <w:rPr>
          <w:lang w:val="en-GB"/>
        </w:rPr>
        <w:t>It underlines the fact that w</w:t>
      </w:r>
      <w:r w:rsidR="007C2A05" w:rsidRPr="00912BEE">
        <w:rPr>
          <w:lang w:val="en-GB"/>
        </w:rPr>
        <w:t xml:space="preserve">e monitor our production as we speak or write, often unconsciously, by making decisions about the effects we </w:t>
      </w:r>
      <w:r w:rsidRPr="00912BEE">
        <w:rPr>
          <w:lang w:val="en-GB"/>
        </w:rPr>
        <w:t>might be</w:t>
      </w:r>
      <w:r w:rsidR="007C2A05" w:rsidRPr="00912BEE">
        <w:rPr>
          <w:lang w:val="en-GB"/>
        </w:rPr>
        <w:t xml:space="preserve"> having on our listeners or readers. </w:t>
      </w:r>
      <w:r w:rsidRPr="00912BEE">
        <w:rPr>
          <w:lang w:val="en-GB"/>
        </w:rPr>
        <w:t xml:space="preserve">Can they follow? Will they agree? What opposing arguments might they offer? </w:t>
      </w:r>
    </w:p>
    <w:p w14:paraId="2B78374F" w14:textId="01C3F423" w:rsidR="00860A0E" w:rsidRPr="00912BEE" w:rsidRDefault="00860A0E" w:rsidP="000F29F3">
      <w:pPr>
        <w:jc w:val="left"/>
        <w:rPr>
          <w:lang w:val="en-GB"/>
        </w:rPr>
      </w:pPr>
    </w:p>
    <w:p w14:paraId="4C3182D3" w14:textId="495B68A8" w:rsidR="000F29F3" w:rsidRPr="00912BEE" w:rsidRDefault="007C2A05" w:rsidP="000F29F3">
      <w:pPr>
        <w:jc w:val="left"/>
        <w:rPr>
          <w:lang w:val="en-GB"/>
        </w:rPr>
      </w:pPr>
      <w:r w:rsidRPr="00912BEE">
        <w:rPr>
          <w:lang w:val="en-GB"/>
        </w:rPr>
        <w:t>A finished text is an outcome of this awareness of the reader</w:t>
      </w:r>
      <w:r w:rsidR="00FD7C4B" w:rsidRPr="00912BEE">
        <w:rPr>
          <w:lang w:val="en-GB"/>
        </w:rPr>
        <w:t xml:space="preserve"> and metadiscourse captures something of this </w:t>
      </w:r>
      <w:r w:rsidR="000F29F3" w:rsidRPr="00912BEE">
        <w:rPr>
          <w:lang w:val="en-GB"/>
        </w:rPr>
        <w:t>constant reflection</w:t>
      </w:r>
      <w:r w:rsidRPr="00912BEE">
        <w:rPr>
          <w:lang w:val="en-GB"/>
        </w:rPr>
        <w:t>.</w:t>
      </w:r>
      <w:r w:rsidR="000F29F3" w:rsidRPr="00912BEE">
        <w:rPr>
          <w:lang w:val="en-GB"/>
        </w:rPr>
        <w:t xml:space="preserve"> The creation of an authorial persona is clearly both disciplinary </w:t>
      </w:r>
      <w:r w:rsidR="002C720A">
        <w:rPr>
          <w:lang w:val="en-GB"/>
        </w:rPr>
        <w:t>and</w:t>
      </w:r>
      <w:r w:rsidR="000F29F3" w:rsidRPr="00912BEE">
        <w:rPr>
          <w:lang w:val="en-GB"/>
        </w:rPr>
        <w:t xml:space="preserve"> personal</w:t>
      </w:r>
      <w:r w:rsidR="000F29F3" w:rsidRPr="007D102E">
        <w:rPr>
          <w:lang w:val="en-GB"/>
        </w:rPr>
        <w:t>, where the influence of individual personality, confidence, experience, and ideological preference all enter the mix to influence our</w:t>
      </w:r>
      <w:r w:rsidR="002C720A">
        <w:rPr>
          <w:lang w:val="en-GB"/>
        </w:rPr>
        <w:t xml:space="preserve"> writing </w:t>
      </w:r>
      <w:r w:rsidR="000F29F3" w:rsidRPr="007D102E">
        <w:rPr>
          <w:lang w:val="en-GB"/>
        </w:rPr>
        <w:t xml:space="preserve">style. We have traced an evolution </w:t>
      </w:r>
      <w:r w:rsidR="00246494" w:rsidRPr="007D102E">
        <w:rPr>
          <w:lang w:val="en-GB"/>
        </w:rPr>
        <w:t xml:space="preserve">in </w:t>
      </w:r>
      <w:r w:rsidR="00E30284" w:rsidRPr="007D102E">
        <w:rPr>
          <w:lang w:val="en-GB"/>
        </w:rPr>
        <w:t>Swales’</w:t>
      </w:r>
      <w:r w:rsidR="00246494" w:rsidRPr="007D102E">
        <w:rPr>
          <w:lang w:val="en-GB"/>
        </w:rPr>
        <w:t xml:space="preserve"> writing which may signal some of these personal factors, with </w:t>
      </w:r>
      <w:r w:rsidR="00F16A97" w:rsidRPr="007D102E">
        <w:rPr>
          <w:lang w:val="en-GB"/>
        </w:rPr>
        <w:t xml:space="preserve">evidence of </w:t>
      </w:r>
      <w:r w:rsidR="00246494" w:rsidRPr="007D102E">
        <w:rPr>
          <w:lang w:val="en-GB"/>
        </w:rPr>
        <w:t>a greater willingness to guide readers around his texts, clarify potentially uncertain concepts</w:t>
      </w:r>
      <w:r w:rsidR="00246494" w:rsidRPr="00912BEE">
        <w:rPr>
          <w:lang w:val="en-GB"/>
        </w:rPr>
        <w:t xml:space="preserve"> or ideas, take personal responsibility for his claims, and engage more directly with readers. These</w:t>
      </w:r>
      <w:r w:rsidR="00F16A97" w:rsidRPr="00912BEE">
        <w:rPr>
          <w:lang w:val="en-GB"/>
        </w:rPr>
        <w:t xml:space="preserve"> are</w:t>
      </w:r>
      <w:r w:rsidR="00246494" w:rsidRPr="00912BEE">
        <w:rPr>
          <w:lang w:val="en-GB"/>
        </w:rPr>
        <w:t>, we might note,</w:t>
      </w:r>
      <w:r w:rsidR="001E620F" w:rsidRPr="00912BEE">
        <w:rPr>
          <w:lang w:val="en-GB"/>
        </w:rPr>
        <w:t xml:space="preserve"> indications of the increasing assurance of an academic growing in the confidence of his ideas and trusting in </w:t>
      </w:r>
      <w:r w:rsidR="002C720A">
        <w:rPr>
          <w:lang w:val="en-GB"/>
        </w:rPr>
        <w:t>the</w:t>
      </w:r>
      <w:r w:rsidR="001E620F" w:rsidRPr="00912BEE">
        <w:rPr>
          <w:lang w:val="en-GB"/>
        </w:rPr>
        <w:t xml:space="preserve"> mounting control of words.      </w:t>
      </w:r>
      <w:r w:rsidR="00246494" w:rsidRPr="00912BEE">
        <w:rPr>
          <w:lang w:val="en-GB"/>
        </w:rPr>
        <w:t xml:space="preserve">      </w:t>
      </w:r>
    </w:p>
    <w:p w14:paraId="21E7ADC2" w14:textId="77777777" w:rsidR="00246494" w:rsidRPr="00912BEE" w:rsidRDefault="00246494" w:rsidP="000F29F3">
      <w:pPr>
        <w:jc w:val="left"/>
        <w:rPr>
          <w:lang w:val="en-GB"/>
        </w:rPr>
      </w:pPr>
    </w:p>
    <w:p w14:paraId="4136C69E" w14:textId="3523466D" w:rsidR="00DF5DB1" w:rsidRPr="00912BEE" w:rsidRDefault="00D355E8" w:rsidP="00D90CDD">
      <w:pPr>
        <w:jc w:val="left"/>
        <w:rPr>
          <w:lang w:val="en-GB"/>
        </w:rPr>
      </w:pPr>
      <w:r w:rsidRPr="00912BEE">
        <w:rPr>
          <w:lang w:val="en-GB"/>
        </w:rPr>
        <w:t xml:space="preserve">And so to limitations. </w:t>
      </w:r>
      <w:r w:rsidR="00DF5DB1" w:rsidRPr="00912BEE">
        <w:rPr>
          <w:lang w:val="en-GB"/>
        </w:rPr>
        <w:t xml:space="preserve">As shown in the Appendix, the distribution of </w:t>
      </w:r>
      <w:r w:rsidR="00D90CDD" w:rsidRPr="00912BEE">
        <w:rPr>
          <w:lang w:val="en-GB"/>
        </w:rPr>
        <w:t xml:space="preserve">topics in </w:t>
      </w:r>
      <w:r w:rsidR="00DF5DB1" w:rsidRPr="00912BEE">
        <w:rPr>
          <w:lang w:val="en-GB"/>
        </w:rPr>
        <w:t>Swales’s scholarship is</w:t>
      </w:r>
      <w:r w:rsidR="00D90CDD" w:rsidRPr="00912BEE">
        <w:rPr>
          <w:lang w:val="en-GB"/>
        </w:rPr>
        <w:t xml:space="preserve"> </w:t>
      </w:r>
      <w:r w:rsidR="00DF5DB1" w:rsidRPr="00912BEE">
        <w:rPr>
          <w:lang w:val="en-GB"/>
        </w:rPr>
        <w:t xml:space="preserve">consistent across the decades, </w:t>
      </w:r>
      <w:r w:rsidR="00F57247" w:rsidRPr="00912BEE">
        <w:rPr>
          <w:lang w:val="en-GB"/>
        </w:rPr>
        <w:t>with</w:t>
      </w:r>
      <w:r w:rsidR="001B2917" w:rsidRPr="00912BEE">
        <w:rPr>
          <w:lang w:val="en-GB"/>
        </w:rPr>
        <w:t xml:space="preserve"> </w:t>
      </w:r>
      <w:r w:rsidR="00DF5DB1" w:rsidRPr="00912BEE">
        <w:rPr>
          <w:lang w:val="en-GB"/>
        </w:rPr>
        <w:t>subtle shifts in emphasis. His research</w:t>
      </w:r>
      <w:r w:rsidR="00F57247" w:rsidRPr="00912BEE">
        <w:rPr>
          <w:lang w:val="en-GB"/>
        </w:rPr>
        <w:t>, of course,</w:t>
      </w:r>
      <w:r w:rsidR="00DF5DB1" w:rsidRPr="00912BEE">
        <w:rPr>
          <w:lang w:val="en-GB"/>
        </w:rPr>
        <w:t xml:space="preserve"> remains firmly anchored in the broad areas of ESP, genre theory, and the analysis of academic and scientific discourse</w:t>
      </w:r>
      <w:r w:rsidR="00D90CDD" w:rsidRPr="00912BEE">
        <w:rPr>
          <w:lang w:val="en-GB"/>
        </w:rPr>
        <w:t>, all of which</w:t>
      </w:r>
      <w:r w:rsidR="00DF5DB1" w:rsidRPr="00912BEE">
        <w:rPr>
          <w:lang w:val="en-GB"/>
        </w:rPr>
        <w:t xml:space="preserve"> provide a stable thematic foundation for our diachronic analysis</w:t>
      </w:r>
      <w:r w:rsidR="00D90CDD" w:rsidRPr="00912BEE">
        <w:rPr>
          <w:lang w:val="en-GB"/>
        </w:rPr>
        <w:t xml:space="preserve">, despite a </w:t>
      </w:r>
      <w:r w:rsidR="00DF5DB1" w:rsidRPr="00912BEE">
        <w:rPr>
          <w:lang w:val="en-GB"/>
        </w:rPr>
        <w:t xml:space="preserve">subtle evolution in focus. </w:t>
      </w:r>
      <w:r w:rsidR="00D90CDD" w:rsidRPr="00912BEE">
        <w:rPr>
          <w:lang w:val="en-GB"/>
        </w:rPr>
        <w:t xml:space="preserve">Articles </w:t>
      </w:r>
      <w:r w:rsidR="00DF5DB1" w:rsidRPr="00912BEE">
        <w:rPr>
          <w:lang w:val="en-GB"/>
        </w:rPr>
        <w:t xml:space="preserve">from the 1980s establish </w:t>
      </w:r>
      <w:r w:rsidR="00D90CDD" w:rsidRPr="00912BEE">
        <w:rPr>
          <w:lang w:val="en-GB"/>
        </w:rPr>
        <w:t xml:space="preserve">the </w:t>
      </w:r>
      <w:r w:rsidR="00DF5DB1" w:rsidRPr="00912BEE">
        <w:rPr>
          <w:lang w:val="en-GB"/>
        </w:rPr>
        <w:t>foundatio</w:t>
      </w:r>
      <w:r w:rsidR="00D90CDD" w:rsidRPr="00912BEE">
        <w:rPr>
          <w:lang w:val="en-GB"/>
        </w:rPr>
        <w:t>ns of his work</w:t>
      </w:r>
      <w:r w:rsidR="00DF5DB1" w:rsidRPr="00912BEE">
        <w:rPr>
          <w:lang w:val="en-GB"/>
        </w:rPr>
        <w:t xml:space="preserve">, exploring topics such as materials development, citation, and the initial theorisation of genres and discourse communities. The second period (1995-2009) builds </w:t>
      </w:r>
      <w:r w:rsidR="00D90CDD" w:rsidRPr="00912BEE">
        <w:rPr>
          <w:lang w:val="en-GB"/>
        </w:rPr>
        <w:t>on</w:t>
      </w:r>
      <w:r w:rsidR="00DF5DB1" w:rsidRPr="00912BEE">
        <w:rPr>
          <w:lang w:val="en-GB"/>
        </w:rPr>
        <w:t xml:space="preserve"> this, introducing more specific analytical </w:t>
      </w:r>
      <w:r w:rsidR="00500EA2" w:rsidRPr="00912BEE">
        <w:rPr>
          <w:lang w:val="en-GB"/>
        </w:rPr>
        <w:t>concepts</w:t>
      </w:r>
      <w:r w:rsidR="00DF5DB1" w:rsidRPr="00912BEE">
        <w:rPr>
          <w:lang w:val="en-GB"/>
        </w:rPr>
        <w:t xml:space="preserve"> like ‘</w:t>
      </w:r>
      <w:proofErr w:type="spellStart"/>
      <w:r w:rsidR="00DF5DB1" w:rsidRPr="00912BEE">
        <w:rPr>
          <w:lang w:val="en-GB"/>
        </w:rPr>
        <w:t>textography</w:t>
      </w:r>
      <w:proofErr w:type="spellEnd"/>
      <w:r w:rsidR="00DF5DB1" w:rsidRPr="00912BEE">
        <w:rPr>
          <w:lang w:val="en-GB"/>
        </w:rPr>
        <w:t>’ and examining linguistic features</w:t>
      </w:r>
      <w:r w:rsidR="00D90CDD" w:rsidRPr="00912BEE">
        <w:rPr>
          <w:lang w:val="en-GB"/>
        </w:rPr>
        <w:t xml:space="preserve"> in finer detail</w:t>
      </w:r>
      <w:r w:rsidR="00DF5DB1" w:rsidRPr="00912BEE">
        <w:rPr>
          <w:lang w:val="en-GB"/>
        </w:rPr>
        <w:t xml:space="preserve">, while adopting a more critical perspective on the global role of English (e.g., ‘Tyrannosaurus rex’). By the final period (2010-2024), </w:t>
      </w:r>
      <w:r w:rsidR="00A1042B" w:rsidRPr="00912BEE">
        <w:rPr>
          <w:lang w:val="en-GB"/>
        </w:rPr>
        <w:t xml:space="preserve">Swales returns to some of his earlier conceptualisations with a more critical eye, </w:t>
      </w:r>
      <w:r w:rsidR="00DF5DB1" w:rsidRPr="00912BEE">
        <w:rPr>
          <w:lang w:val="en-GB"/>
        </w:rPr>
        <w:t xml:space="preserve">reflecting upon, historicising, and projecting the future of concepts he pioneered. </w:t>
      </w:r>
      <w:r w:rsidR="00182CA2" w:rsidRPr="00912BEE">
        <w:rPr>
          <w:lang w:val="en-GB"/>
        </w:rPr>
        <w:t>One potentially confounding influence of our analyses is the possible impact of Swales’ research topics on his rhetorical choices, a variable which may not directly correlate with career progression.</w:t>
      </w:r>
    </w:p>
    <w:p w14:paraId="6D6E7FE0" w14:textId="77777777" w:rsidR="00DF5DB1" w:rsidRPr="00912BEE" w:rsidRDefault="00DF5DB1" w:rsidP="00DF5DB1">
      <w:pPr>
        <w:rPr>
          <w:lang w:val="en-GB"/>
        </w:rPr>
      </w:pPr>
    </w:p>
    <w:p w14:paraId="432CA478" w14:textId="6C62A077" w:rsidR="00DF5DB1" w:rsidRPr="00912BEE" w:rsidRDefault="00A1042B" w:rsidP="00860A0E">
      <w:pPr>
        <w:jc w:val="left"/>
        <w:rPr>
          <w:lang w:val="en-GB"/>
        </w:rPr>
      </w:pPr>
      <w:r w:rsidRPr="00912BEE">
        <w:rPr>
          <w:lang w:val="en-GB"/>
        </w:rPr>
        <w:t>Our analyses also ignore the substantial body of work which Swales produced as monographs, book chapters, conference proceedings and so on. We feel, however, that our focus on</w:t>
      </w:r>
      <w:r w:rsidR="00DF5DB1" w:rsidRPr="00912BEE">
        <w:rPr>
          <w:lang w:val="en-GB"/>
        </w:rPr>
        <w:t xml:space="preserve"> </w:t>
      </w:r>
      <w:r w:rsidRPr="00912BEE">
        <w:rPr>
          <w:lang w:val="en-GB"/>
        </w:rPr>
        <w:t>single</w:t>
      </w:r>
      <w:r w:rsidR="00DF5DB1" w:rsidRPr="00912BEE">
        <w:rPr>
          <w:lang w:val="en-GB"/>
        </w:rPr>
        <w:t xml:space="preserve">-authored </w:t>
      </w:r>
      <w:r w:rsidRPr="00912BEE">
        <w:rPr>
          <w:lang w:val="en-GB"/>
        </w:rPr>
        <w:t xml:space="preserve">published </w:t>
      </w:r>
      <w:r w:rsidRPr="00182CA2">
        <w:rPr>
          <w:lang w:val="en-GB"/>
        </w:rPr>
        <w:t>articles</w:t>
      </w:r>
      <w:r w:rsidR="00DF5DB1" w:rsidRPr="00182CA2">
        <w:rPr>
          <w:lang w:val="en-GB"/>
        </w:rPr>
        <w:t xml:space="preserve"> </w:t>
      </w:r>
      <w:r w:rsidRPr="00182CA2">
        <w:rPr>
          <w:lang w:val="en-GB"/>
        </w:rPr>
        <w:t xml:space="preserve">justifies this omission, helping to ensure </w:t>
      </w:r>
      <w:r w:rsidR="00DF5DB1" w:rsidRPr="00182CA2">
        <w:rPr>
          <w:lang w:val="en-GB"/>
        </w:rPr>
        <w:t>a greater consistency in voice</w:t>
      </w:r>
      <w:r w:rsidRPr="00182CA2">
        <w:rPr>
          <w:lang w:val="en-GB"/>
        </w:rPr>
        <w:t>. There is, however, a</w:t>
      </w:r>
      <w:r w:rsidR="00860A0E" w:rsidRPr="00182CA2">
        <w:rPr>
          <w:lang w:val="en-GB"/>
        </w:rPr>
        <w:t xml:space="preserve"> subtle change in his approach to this genre, particularly in the final period</w:t>
      </w:r>
      <w:r w:rsidR="00182CA2" w:rsidRPr="00182CA2">
        <w:rPr>
          <w:lang w:val="en-GB"/>
        </w:rPr>
        <w:t xml:space="preserve"> of 2010-2024</w:t>
      </w:r>
      <w:r w:rsidR="00860A0E" w:rsidRPr="00182CA2">
        <w:rPr>
          <w:lang w:val="en-GB"/>
        </w:rPr>
        <w:t xml:space="preserve">, where </w:t>
      </w:r>
      <w:r w:rsidR="00182CA2" w:rsidRPr="00182CA2">
        <w:rPr>
          <w:lang w:val="en-GB"/>
        </w:rPr>
        <w:t>he</w:t>
      </w:r>
      <w:r w:rsidR="00860A0E" w:rsidRPr="00182CA2">
        <w:rPr>
          <w:lang w:val="en-GB"/>
        </w:rPr>
        <w:t xml:space="preserve"> </w:t>
      </w:r>
      <w:r w:rsidR="00182CA2" w:rsidRPr="00182CA2">
        <w:rPr>
          <w:lang w:val="en-GB"/>
        </w:rPr>
        <w:t xml:space="preserve">subtly modified the </w:t>
      </w:r>
      <w:r w:rsidR="00DF5DB1" w:rsidRPr="00182CA2">
        <w:rPr>
          <w:lang w:val="en-GB"/>
        </w:rPr>
        <w:t xml:space="preserve">conventional research article format to </w:t>
      </w:r>
      <w:r w:rsidR="00860A0E" w:rsidRPr="00182CA2">
        <w:rPr>
          <w:lang w:val="en-GB"/>
        </w:rPr>
        <w:t xml:space="preserve">represent more </w:t>
      </w:r>
      <w:r w:rsidR="00DF5DB1" w:rsidRPr="00182CA2">
        <w:rPr>
          <w:lang w:val="en-GB"/>
        </w:rPr>
        <w:t>reflective</w:t>
      </w:r>
      <w:r w:rsidR="00860A0E" w:rsidRPr="00182CA2">
        <w:rPr>
          <w:lang w:val="en-GB"/>
        </w:rPr>
        <w:t xml:space="preserve">, </w:t>
      </w:r>
      <w:r w:rsidR="00DF5DB1" w:rsidRPr="00182CA2">
        <w:rPr>
          <w:lang w:val="en-GB"/>
        </w:rPr>
        <w:t xml:space="preserve">personal forms </w:t>
      </w:r>
      <w:r w:rsidR="00860A0E" w:rsidRPr="00182CA2">
        <w:rPr>
          <w:lang w:val="en-GB"/>
        </w:rPr>
        <w:t>of discourse incorporating elements</w:t>
      </w:r>
      <w:r w:rsidR="00860A0E" w:rsidRPr="00912BEE">
        <w:rPr>
          <w:lang w:val="en-GB"/>
        </w:rPr>
        <w:t xml:space="preserve"> such as </w:t>
      </w:r>
      <w:r w:rsidR="00DF5DB1" w:rsidRPr="00912BEE">
        <w:rPr>
          <w:lang w:val="en-GB"/>
        </w:rPr>
        <w:t>‘envoi’ and ‘coda’</w:t>
      </w:r>
      <w:r w:rsidR="00860A0E" w:rsidRPr="00912BEE">
        <w:rPr>
          <w:lang w:val="en-GB"/>
        </w:rPr>
        <w:t xml:space="preserve">. </w:t>
      </w:r>
      <w:r w:rsidR="00182CA2">
        <w:rPr>
          <w:lang w:val="en-GB"/>
        </w:rPr>
        <w:t>At the same time, t</w:t>
      </w:r>
      <w:r w:rsidR="00860A0E" w:rsidRPr="00912BEE">
        <w:rPr>
          <w:lang w:val="en-GB"/>
        </w:rPr>
        <w:t>his</w:t>
      </w:r>
      <w:r w:rsidR="00DF5DB1" w:rsidRPr="00912BEE">
        <w:rPr>
          <w:lang w:val="en-GB"/>
        </w:rPr>
        <w:t xml:space="preserve"> strengthens</w:t>
      </w:r>
      <w:r w:rsidR="00860A0E" w:rsidRPr="00912BEE">
        <w:rPr>
          <w:lang w:val="en-GB"/>
        </w:rPr>
        <w:t xml:space="preserve"> our</w:t>
      </w:r>
      <w:r w:rsidR="00DF5DB1" w:rsidRPr="00912BEE">
        <w:rPr>
          <w:lang w:val="en-GB"/>
        </w:rPr>
        <w:t xml:space="preserve"> </w:t>
      </w:r>
      <w:r w:rsidR="00860A0E" w:rsidRPr="00912BEE">
        <w:rPr>
          <w:lang w:val="en-GB"/>
        </w:rPr>
        <w:t>observation that these</w:t>
      </w:r>
      <w:r w:rsidR="00DF5DB1" w:rsidRPr="00912BEE">
        <w:rPr>
          <w:lang w:val="en-GB"/>
        </w:rPr>
        <w:t xml:space="preserve"> shifts in rhetorical practice are likely attributable to his evolving authorial maturity and professional status </w:t>
      </w:r>
      <w:r w:rsidR="00F16A97" w:rsidRPr="00912BEE">
        <w:rPr>
          <w:lang w:val="en-GB"/>
        </w:rPr>
        <w:t xml:space="preserve">rather </w:t>
      </w:r>
      <w:r w:rsidR="00DF5DB1" w:rsidRPr="00912BEE">
        <w:rPr>
          <w:lang w:val="en-GB"/>
        </w:rPr>
        <w:t>than to substantive changes in research focus.</w:t>
      </w:r>
    </w:p>
    <w:p w14:paraId="2B8260D3" w14:textId="77777777" w:rsidR="00914040" w:rsidRPr="00912BEE" w:rsidRDefault="00914040" w:rsidP="00DF5DB1">
      <w:pPr>
        <w:rPr>
          <w:lang w:val="en-GB"/>
        </w:rPr>
      </w:pPr>
    </w:p>
    <w:p w14:paraId="27EB69BC" w14:textId="4676B192" w:rsidR="00D355E8" w:rsidRPr="00912BEE" w:rsidRDefault="00BF6412" w:rsidP="00BF6412">
      <w:pPr>
        <w:jc w:val="left"/>
        <w:rPr>
          <w:lang w:val="en-GB"/>
        </w:rPr>
      </w:pPr>
      <w:r w:rsidRPr="00912BEE">
        <w:rPr>
          <w:lang w:val="en-GB"/>
        </w:rPr>
        <w:lastRenderedPageBreak/>
        <w:t>Overall, in this paper we</w:t>
      </w:r>
      <w:r w:rsidR="00F82903" w:rsidRPr="00912BEE">
        <w:rPr>
          <w:lang w:val="en-GB"/>
        </w:rPr>
        <w:t xml:space="preserve"> hope to have mapped some</w:t>
      </w:r>
      <w:r w:rsidRPr="00912BEE">
        <w:rPr>
          <w:lang w:val="en-GB"/>
        </w:rPr>
        <w:t>thing</w:t>
      </w:r>
      <w:r w:rsidR="00F82903" w:rsidRPr="00912BEE">
        <w:rPr>
          <w:lang w:val="en-GB"/>
        </w:rPr>
        <w:t xml:space="preserve"> of </w:t>
      </w:r>
      <w:r w:rsidRPr="00912BEE">
        <w:rPr>
          <w:lang w:val="en-GB"/>
        </w:rPr>
        <w:t xml:space="preserve">Swales trajectory as a publishing academic and unpacked at least some aspects of what make his writing so persuasive. </w:t>
      </w:r>
      <w:r w:rsidR="009E2D60" w:rsidRPr="00912BEE">
        <w:rPr>
          <w:lang w:val="en-GB"/>
        </w:rPr>
        <w:t>While t</w:t>
      </w:r>
      <w:r w:rsidR="00F82903" w:rsidRPr="00912BEE">
        <w:rPr>
          <w:lang w:val="en-GB"/>
        </w:rPr>
        <w:t>he profound impact of his scholarship on the study of academic and professional English</w:t>
      </w:r>
      <w:r w:rsidRPr="00912BEE">
        <w:rPr>
          <w:lang w:val="en-GB"/>
        </w:rPr>
        <w:t xml:space="preserve"> is indisputable</w:t>
      </w:r>
      <w:r w:rsidR="009E2D60" w:rsidRPr="00912BEE">
        <w:rPr>
          <w:lang w:val="en-GB"/>
        </w:rPr>
        <w:t xml:space="preserve">. </w:t>
      </w:r>
      <w:r w:rsidRPr="00912BEE">
        <w:rPr>
          <w:lang w:val="en-GB"/>
        </w:rPr>
        <w:t xml:space="preserve">We </w:t>
      </w:r>
      <w:r w:rsidR="009E2D60" w:rsidRPr="00912BEE">
        <w:rPr>
          <w:lang w:val="en-GB"/>
        </w:rPr>
        <w:t xml:space="preserve">have argued </w:t>
      </w:r>
      <w:r w:rsidRPr="00912BEE">
        <w:rPr>
          <w:lang w:val="en-GB"/>
        </w:rPr>
        <w:t xml:space="preserve">that </w:t>
      </w:r>
      <w:r w:rsidR="009E2D60" w:rsidRPr="00912BEE">
        <w:rPr>
          <w:lang w:val="en-GB"/>
        </w:rPr>
        <w:t xml:space="preserve">the work of John Swales </w:t>
      </w:r>
      <w:r w:rsidR="00D355E8" w:rsidRPr="00912BEE">
        <w:rPr>
          <w:lang w:val="en-GB"/>
        </w:rPr>
        <w:t xml:space="preserve">demonstrates that </w:t>
      </w:r>
      <w:r w:rsidR="009E2D60" w:rsidRPr="00912BEE">
        <w:rPr>
          <w:lang w:val="en-GB"/>
        </w:rPr>
        <w:t>effective</w:t>
      </w:r>
      <w:r w:rsidR="00D355E8" w:rsidRPr="00912BEE">
        <w:rPr>
          <w:lang w:val="en-GB"/>
        </w:rPr>
        <w:t xml:space="preserve"> academic writing does not only promote interesting ideas and plausible interpretations of bits of reality but </w:t>
      </w:r>
      <w:r w:rsidR="009E2D60" w:rsidRPr="00912BEE">
        <w:rPr>
          <w:lang w:val="en-GB"/>
        </w:rPr>
        <w:t xml:space="preserve">ropes us in, </w:t>
      </w:r>
      <w:r w:rsidRPr="00912BEE">
        <w:rPr>
          <w:lang w:val="en-GB"/>
        </w:rPr>
        <w:t>excites our curiosity</w:t>
      </w:r>
      <w:r w:rsidR="009E2D60" w:rsidRPr="00912BEE">
        <w:rPr>
          <w:lang w:val="en-GB"/>
        </w:rPr>
        <w:t>,</w:t>
      </w:r>
      <w:r w:rsidRPr="00912BEE">
        <w:rPr>
          <w:lang w:val="en-GB"/>
        </w:rPr>
        <w:t xml:space="preserve"> and </w:t>
      </w:r>
      <w:r w:rsidR="00D355E8" w:rsidRPr="00912BEE">
        <w:rPr>
          <w:lang w:val="en-GB"/>
        </w:rPr>
        <w:t xml:space="preserve">captures </w:t>
      </w:r>
      <w:r w:rsidRPr="00912BEE">
        <w:rPr>
          <w:lang w:val="en-GB"/>
        </w:rPr>
        <w:t>our</w:t>
      </w:r>
      <w:r w:rsidR="00D355E8" w:rsidRPr="00912BEE">
        <w:rPr>
          <w:lang w:val="en-GB"/>
        </w:rPr>
        <w:t xml:space="preserve"> imagination</w:t>
      </w:r>
      <w:r w:rsidRPr="00912BEE">
        <w:rPr>
          <w:lang w:val="en-GB"/>
        </w:rPr>
        <w:t>s.</w:t>
      </w:r>
      <w:r w:rsidR="00D355E8" w:rsidRPr="00912BEE">
        <w:rPr>
          <w:lang w:val="en-GB"/>
        </w:rPr>
        <w:t xml:space="preserve"> </w:t>
      </w:r>
      <w:r w:rsidRPr="00912BEE">
        <w:rPr>
          <w:lang w:val="en-GB"/>
        </w:rPr>
        <w:t xml:space="preserve"> </w:t>
      </w:r>
    </w:p>
    <w:p w14:paraId="1576C6A6" w14:textId="77777777" w:rsidR="009E2D60" w:rsidRPr="00912BEE" w:rsidRDefault="009E2D60" w:rsidP="00BF6412">
      <w:pPr>
        <w:jc w:val="left"/>
        <w:rPr>
          <w:lang w:val="en-GB"/>
        </w:rPr>
      </w:pPr>
    </w:p>
    <w:p w14:paraId="27041BD1" w14:textId="1CC1D15E" w:rsidR="00592771" w:rsidRPr="00912BEE" w:rsidRDefault="00592771" w:rsidP="006D2EDE">
      <w:pPr>
        <w:rPr>
          <w:b/>
          <w:bCs/>
          <w:lang w:val="en-GB"/>
        </w:rPr>
      </w:pPr>
      <w:r w:rsidRPr="00912BEE">
        <w:rPr>
          <w:b/>
          <w:bCs/>
          <w:lang w:val="en-GB"/>
        </w:rPr>
        <w:t>References</w:t>
      </w:r>
    </w:p>
    <w:p w14:paraId="724AAF27" w14:textId="153B0EA2" w:rsidR="00BF6412" w:rsidRPr="00912BEE" w:rsidRDefault="00BF6412" w:rsidP="00BF6412">
      <w:pPr>
        <w:autoSpaceDE w:val="0"/>
        <w:autoSpaceDN w:val="0"/>
        <w:adjustRightInd w:val="0"/>
        <w:ind w:left="426" w:hanging="426"/>
        <w:rPr>
          <w:szCs w:val="24"/>
          <w:lang w:val="en-GB" w:eastAsia="en-GB"/>
        </w:rPr>
      </w:pPr>
      <w:proofErr w:type="spellStart"/>
      <w:r w:rsidRPr="00912BEE">
        <w:rPr>
          <w:lang w:val="en-GB" w:eastAsia="en-GB"/>
        </w:rPr>
        <w:t>Ädel</w:t>
      </w:r>
      <w:proofErr w:type="spellEnd"/>
      <w:r w:rsidRPr="00912BEE">
        <w:rPr>
          <w:lang w:val="en-GB" w:eastAsia="en-GB"/>
        </w:rPr>
        <w:t xml:space="preserve">, A. (2006). </w:t>
      </w:r>
      <w:r w:rsidRPr="00912BEE">
        <w:rPr>
          <w:i/>
          <w:lang w:val="en-GB" w:eastAsia="en-GB"/>
        </w:rPr>
        <w:t>Metadiscourse in L1 and L2 English.</w:t>
      </w:r>
      <w:r w:rsidRPr="00912BEE">
        <w:rPr>
          <w:lang w:val="en-GB" w:eastAsia="en-GB"/>
        </w:rPr>
        <w:t xml:space="preserve"> John </w:t>
      </w:r>
      <w:r w:rsidRPr="00912BEE">
        <w:rPr>
          <w:szCs w:val="24"/>
          <w:lang w:val="en-GB" w:eastAsia="en-GB"/>
        </w:rPr>
        <w:t>Benjamins.</w:t>
      </w:r>
    </w:p>
    <w:p w14:paraId="23EF902E" w14:textId="6E9DDD33" w:rsidR="00BF6412" w:rsidRPr="00912BEE" w:rsidRDefault="00BF6412" w:rsidP="00AA73B1">
      <w:pPr>
        <w:ind w:left="426" w:right="-20" w:hanging="426"/>
        <w:rPr>
          <w:szCs w:val="24"/>
          <w:lang w:val="en-GB"/>
        </w:rPr>
      </w:pPr>
      <w:r w:rsidRPr="00912BEE">
        <w:rPr>
          <w:szCs w:val="24"/>
          <w:lang w:val="en-GB"/>
        </w:rPr>
        <w:t xml:space="preserve">Crismore, A. (1989). </w:t>
      </w:r>
      <w:r w:rsidRPr="00912BEE">
        <w:rPr>
          <w:i/>
          <w:iCs/>
          <w:szCs w:val="24"/>
          <w:lang w:val="en-GB"/>
        </w:rPr>
        <w:t>Talking with</w:t>
      </w:r>
      <w:r w:rsidR="00E75338" w:rsidRPr="00912BEE">
        <w:rPr>
          <w:i/>
          <w:iCs/>
          <w:szCs w:val="24"/>
          <w:lang w:val="en-GB"/>
        </w:rPr>
        <w:t xml:space="preserve"> r</w:t>
      </w:r>
      <w:r w:rsidRPr="00912BEE">
        <w:rPr>
          <w:i/>
          <w:iCs/>
          <w:szCs w:val="24"/>
          <w:lang w:val="en-GB"/>
        </w:rPr>
        <w:t xml:space="preserve">eaders: Metadiscourse </w:t>
      </w:r>
      <w:r w:rsidR="00E75338" w:rsidRPr="00912BEE">
        <w:rPr>
          <w:i/>
          <w:iCs/>
          <w:szCs w:val="24"/>
          <w:lang w:val="en-GB"/>
        </w:rPr>
        <w:t>as rhetorical a</w:t>
      </w:r>
      <w:r w:rsidRPr="00912BEE">
        <w:rPr>
          <w:i/>
          <w:iCs/>
          <w:szCs w:val="24"/>
          <w:lang w:val="en-GB"/>
        </w:rPr>
        <w:t>ct</w:t>
      </w:r>
      <w:r w:rsidRPr="00912BEE">
        <w:rPr>
          <w:szCs w:val="24"/>
          <w:lang w:val="en-GB"/>
        </w:rPr>
        <w:t>. Peter Lang.</w:t>
      </w:r>
    </w:p>
    <w:p w14:paraId="177DE390" w14:textId="19094F7C" w:rsidR="008254BA" w:rsidRPr="00912BEE" w:rsidRDefault="008254BA" w:rsidP="00C011F9">
      <w:pPr>
        <w:ind w:left="426" w:hanging="426"/>
        <w:rPr>
          <w:szCs w:val="24"/>
          <w:lang w:val="en-GB"/>
        </w:rPr>
      </w:pPr>
      <w:proofErr w:type="spellStart"/>
      <w:r w:rsidRPr="00912BEE">
        <w:rPr>
          <w:szCs w:val="24"/>
          <w:lang w:val="en-GB"/>
        </w:rPr>
        <w:t>Gabrielatos</w:t>
      </w:r>
      <w:proofErr w:type="spellEnd"/>
      <w:r w:rsidRPr="00912BEE">
        <w:rPr>
          <w:szCs w:val="24"/>
          <w:lang w:val="en-GB"/>
        </w:rPr>
        <w:t xml:space="preserve">, </w:t>
      </w:r>
      <w:r w:rsidR="00AA73B1" w:rsidRPr="00912BEE">
        <w:rPr>
          <w:szCs w:val="24"/>
          <w:lang w:val="en-GB"/>
        </w:rPr>
        <w:t>C. (</w:t>
      </w:r>
      <w:r w:rsidRPr="00912BEE">
        <w:rPr>
          <w:szCs w:val="24"/>
          <w:lang w:val="en-GB"/>
        </w:rPr>
        <w:t>2018).</w:t>
      </w:r>
      <w:r w:rsidR="00AA73B1" w:rsidRPr="00912BEE">
        <w:rPr>
          <w:szCs w:val="24"/>
          <w:lang w:val="en-GB"/>
        </w:rPr>
        <w:t xml:space="preserve"> </w:t>
      </w:r>
      <w:proofErr w:type="spellStart"/>
      <w:r w:rsidR="00AA73B1" w:rsidRPr="00912BEE">
        <w:rPr>
          <w:szCs w:val="24"/>
          <w:lang w:val="en-GB"/>
        </w:rPr>
        <w:t>Keyness</w:t>
      </w:r>
      <w:proofErr w:type="spellEnd"/>
      <w:r w:rsidR="00AA73B1" w:rsidRPr="00912BEE">
        <w:rPr>
          <w:szCs w:val="24"/>
          <w:lang w:val="en-GB"/>
        </w:rPr>
        <w:t xml:space="preserve"> analysis: nature, metrics and techniques. In Taylor, C. &amp; Marchi, A. (eds). </w:t>
      </w:r>
      <w:r w:rsidR="00AA73B1" w:rsidRPr="00912BEE">
        <w:rPr>
          <w:i/>
          <w:iCs/>
          <w:szCs w:val="24"/>
          <w:lang w:val="en-GB"/>
        </w:rPr>
        <w:t xml:space="preserve">Corpus </w:t>
      </w:r>
      <w:r w:rsidR="00E75338" w:rsidRPr="00912BEE">
        <w:rPr>
          <w:i/>
          <w:iCs/>
          <w:szCs w:val="24"/>
          <w:lang w:val="en-GB"/>
        </w:rPr>
        <w:t>approaches to di</w:t>
      </w:r>
      <w:r w:rsidR="00AA73B1" w:rsidRPr="00912BEE">
        <w:rPr>
          <w:i/>
          <w:iCs/>
          <w:szCs w:val="24"/>
          <w:lang w:val="en-GB"/>
        </w:rPr>
        <w:t>scourse: A critical review</w:t>
      </w:r>
      <w:r w:rsidR="00AA73B1" w:rsidRPr="00912BEE">
        <w:rPr>
          <w:szCs w:val="24"/>
          <w:lang w:val="en-GB"/>
        </w:rPr>
        <w:t>. Routledge.</w:t>
      </w:r>
    </w:p>
    <w:p w14:paraId="765D188D" w14:textId="2E50BBBC" w:rsidR="00BF6412" w:rsidRPr="00912BEE" w:rsidRDefault="00BF6412" w:rsidP="00C011F9">
      <w:pPr>
        <w:autoSpaceDE w:val="0"/>
        <w:autoSpaceDN w:val="0"/>
        <w:adjustRightInd w:val="0"/>
        <w:ind w:left="426" w:hanging="426"/>
        <w:rPr>
          <w:szCs w:val="24"/>
          <w:lang w:val="en-GB"/>
        </w:rPr>
      </w:pPr>
      <w:r w:rsidRPr="00912BEE">
        <w:rPr>
          <w:szCs w:val="24"/>
          <w:lang w:val="en-GB"/>
        </w:rPr>
        <w:t xml:space="preserve">Hyland, K. (2005). </w:t>
      </w:r>
      <w:r w:rsidRPr="00912BEE">
        <w:rPr>
          <w:i/>
          <w:iCs/>
          <w:szCs w:val="24"/>
          <w:lang w:val="en-GB"/>
        </w:rPr>
        <w:t>Metadiscourse</w:t>
      </w:r>
      <w:r w:rsidRPr="00912BEE">
        <w:rPr>
          <w:szCs w:val="24"/>
          <w:lang w:val="en-GB"/>
        </w:rPr>
        <w:t xml:space="preserve">. Continuum. </w:t>
      </w:r>
    </w:p>
    <w:p w14:paraId="2CFF41CA" w14:textId="453C1DD1" w:rsidR="00445186" w:rsidRPr="00912BEE" w:rsidRDefault="00445186" w:rsidP="00C011F9">
      <w:pPr>
        <w:ind w:left="426" w:hanging="426"/>
        <w:rPr>
          <w:szCs w:val="24"/>
          <w:lang w:val="en-GB"/>
        </w:rPr>
      </w:pPr>
      <w:r w:rsidRPr="00912BEE">
        <w:rPr>
          <w:szCs w:val="24"/>
          <w:lang w:val="en-GB"/>
        </w:rPr>
        <w:t xml:space="preserve">Hyland, K. (2007). Applying a gloss: exemplifying and reformulating in academic discourse. </w:t>
      </w:r>
      <w:r w:rsidRPr="00912BEE">
        <w:rPr>
          <w:i/>
          <w:iCs/>
          <w:szCs w:val="24"/>
          <w:lang w:val="en-GB"/>
        </w:rPr>
        <w:t>Applied Linguistics</w:t>
      </w:r>
      <w:r w:rsidR="00E75338" w:rsidRPr="00912BEE">
        <w:rPr>
          <w:szCs w:val="24"/>
          <w:lang w:val="en-GB"/>
        </w:rPr>
        <w:t xml:space="preserve">, </w:t>
      </w:r>
      <w:r w:rsidRPr="00912BEE">
        <w:rPr>
          <w:szCs w:val="24"/>
          <w:lang w:val="en-GB"/>
        </w:rPr>
        <w:t>28</w:t>
      </w:r>
      <w:r w:rsidR="00E75338" w:rsidRPr="00912BEE">
        <w:rPr>
          <w:szCs w:val="24"/>
          <w:lang w:val="en-GB"/>
        </w:rPr>
        <w:t xml:space="preserve">, </w:t>
      </w:r>
      <w:r w:rsidRPr="00912BEE">
        <w:rPr>
          <w:szCs w:val="24"/>
          <w:lang w:val="en-GB"/>
        </w:rPr>
        <w:t>266-285</w:t>
      </w:r>
      <w:r w:rsidR="00E75338" w:rsidRPr="00912BEE">
        <w:rPr>
          <w:szCs w:val="24"/>
          <w:lang w:val="en-GB"/>
        </w:rPr>
        <w:t>.</w:t>
      </w:r>
    </w:p>
    <w:p w14:paraId="1EB16286" w14:textId="296F218A" w:rsidR="00C011F9" w:rsidRPr="00912BEE" w:rsidRDefault="00C011F9" w:rsidP="00C011F9">
      <w:pPr>
        <w:ind w:left="426" w:hanging="426"/>
        <w:rPr>
          <w:szCs w:val="24"/>
          <w:lang w:val="en-GB"/>
        </w:rPr>
      </w:pPr>
      <w:r w:rsidRPr="00912BEE">
        <w:rPr>
          <w:szCs w:val="24"/>
          <w:lang w:val="en-GB"/>
        </w:rPr>
        <w:t xml:space="preserve">Hyland, K. (2008). ‘Small bits of textual material’: voice and engagement in Swales’ writing. </w:t>
      </w:r>
      <w:r w:rsidRPr="00912BEE">
        <w:rPr>
          <w:i/>
          <w:iCs/>
          <w:szCs w:val="24"/>
          <w:lang w:val="en-GB"/>
        </w:rPr>
        <w:t>English for Specific Purposes</w:t>
      </w:r>
      <w:r w:rsidR="00E75338" w:rsidRPr="00912BEE">
        <w:rPr>
          <w:szCs w:val="24"/>
          <w:lang w:val="en-GB"/>
        </w:rPr>
        <w:t xml:space="preserve">, </w:t>
      </w:r>
      <w:r w:rsidRPr="00912BEE">
        <w:rPr>
          <w:i/>
          <w:iCs/>
          <w:szCs w:val="24"/>
          <w:lang w:val="en-GB"/>
        </w:rPr>
        <w:t>27</w:t>
      </w:r>
      <w:r w:rsidRPr="00912BEE">
        <w:rPr>
          <w:szCs w:val="24"/>
          <w:lang w:val="en-GB"/>
        </w:rPr>
        <w:t>(2)</w:t>
      </w:r>
      <w:r w:rsidR="00E75338" w:rsidRPr="00912BEE">
        <w:rPr>
          <w:szCs w:val="24"/>
          <w:lang w:val="en-GB"/>
        </w:rPr>
        <w:t>,</w:t>
      </w:r>
      <w:r w:rsidRPr="00912BEE">
        <w:rPr>
          <w:szCs w:val="24"/>
          <w:lang w:val="en-GB"/>
        </w:rPr>
        <w:t xml:space="preserve"> 143-160</w:t>
      </w:r>
      <w:r w:rsidR="00E75338" w:rsidRPr="00912BEE">
        <w:rPr>
          <w:szCs w:val="24"/>
          <w:lang w:val="en-GB"/>
        </w:rPr>
        <w:t>.</w:t>
      </w:r>
    </w:p>
    <w:p w14:paraId="1C9E663E" w14:textId="490268CA" w:rsidR="00003131" w:rsidRPr="00912BEE" w:rsidRDefault="00003131" w:rsidP="000A3EC4">
      <w:pPr>
        <w:tabs>
          <w:tab w:val="left" w:pos="-1440"/>
          <w:tab w:val="left" w:pos="-720"/>
          <w:tab w:val="left" w:pos="567"/>
          <w:tab w:val="left" w:pos="851"/>
          <w:tab w:val="left" w:pos="1440"/>
          <w:tab w:val="left" w:pos="2160"/>
          <w:tab w:val="left" w:pos="2880"/>
          <w:tab w:val="left" w:pos="3600"/>
          <w:tab w:val="left" w:pos="5760"/>
          <w:tab w:val="left" w:pos="6480"/>
          <w:tab w:val="left" w:pos="7200"/>
          <w:tab w:val="left" w:pos="7920"/>
        </w:tabs>
        <w:ind w:left="426" w:right="-23" w:hanging="426"/>
        <w:rPr>
          <w:szCs w:val="24"/>
          <w:lang w:val="en-GB"/>
        </w:rPr>
      </w:pPr>
      <w:r w:rsidRPr="00912BEE">
        <w:rPr>
          <w:szCs w:val="24"/>
          <w:lang w:val="en-GB"/>
        </w:rPr>
        <w:t>Hyland, K. (2010). Community and individuality: performing identity i</w:t>
      </w:r>
      <w:r w:rsidR="00E75338" w:rsidRPr="00912BEE">
        <w:rPr>
          <w:szCs w:val="24"/>
          <w:lang w:val="en-GB"/>
        </w:rPr>
        <w:t>n applied linguist</w:t>
      </w:r>
      <w:r w:rsidRPr="00912BEE">
        <w:rPr>
          <w:szCs w:val="24"/>
          <w:lang w:val="en-GB"/>
        </w:rPr>
        <w:t xml:space="preserve">ics. </w:t>
      </w:r>
      <w:r w:rsidRPr="00912BEE">
        <w:rPr>
          <w:i/>
          <w:iCs/>
          <w:szCs w:val="24"/>
          <w:lang w:val="en-GB"/>
        </w:rPr>
        <w:t>Written Communication</w:t>
      </w:r>
      <w:r w:rsidR="00E75338" w:rsidRPr="00912BEE">
        <w:rPr>
          <w:szCs w:val="24"/>
          <w:lang w:val="en-GB"/>
        </w:rPr>
        <w:t xml:space="preserve">, </w:t>
      </w:r>
      <w:r w:rsidRPr="00912BEE">
        <w:rPr>
          <w:i/>
          <w:iCs/>
          <w:szCs w:val="24"/>
          <w:lang w:val="en-GB"/>
        </w:rPr>
        <w:t>27</w:t>
      </w:r>
      <w:r w:rsidRPr="00912BEE">
        <w:rPr>
          <w:szCs w:val="24"/>
          <w:lang w:val="en-GB"/>
        </w:rPr>
        <w:t>(2)</w:t>
      </w:r>
      <w:r w:rsidR="00E75338" w:rsidRPr="00912BEE">
        <w:rPr>
          <w:szCs w:val="24"/>
          <w:lang w:val="en-GB"/>
        </w:rPr>
        <w:t xml:space="preserve">, </w:t>
      </w:r>
      <w:r w:rsidRPr="00912BEE">
        <w:rPr>
          <w:szCs w:val="24"/>
          <w:lang w:val="en-GB"/>
        </w:rPr>
        <w:t>159-188.</w:t>
      </w:r>
    </w:p>
    <w:p w14:paraId="015B8B41" w14:textId="12855F5E" w:rsidR="00C011F9" w:rsidRPr="00912BEE" w:rsidRDefault="00C011F9" w:rsidP="000A3EC4">
      <w:pPr>
        <w:tabs>
          <w:tab w:val="left" w:pos="-1440"/>
          <w:tab w:val="left" w:pos="-720"/>
          <w:tab w:val="left" w:pos="567"/>
          <w:tab w:val="left" w:pos="851"/>
          <w:tab w:val="left" w:pos="1440"/>
          <w:tab w:val="left" w:pos="2160"/>
          <w:tab w:val="left" w:pos="2880"/>
          <w:tab w:val="left" w:pos="3600"/>
          <w:tab w:val="left" w:pos="5760"/>
          <w:tab w:val="left" w:pos="6480"/>
          <w:tab w:val="left" w:pos="7200"/>
          <w:tab w:val="left" w:pos="7920"/>
        </w:tabs>
        <w:ind w:left="426" w:right="-23" w:hanging="426"/>
        <w:rPr>
          <w:szCs w:val="24"/>
          <w:lang w:val="en-GB"/>
        </w:rPr>
      </w:pPr>
      <w:r w:rsidRPr="00912BEE">
        <w:rPr>
          <w:szCs w:val="24"/>
          <w:lang w:val="en-GB"/>
        </w:rPr>
        <w:t>Hyland, K. (2012)</w:t>
      </w:r>
      <w:r w:rsidR="00E75338" w:rsidRPr="00912BEE">
        <w:rPr>
          <w:szCs w:val="24"/>
          <w:lang w:val="en-GB"/>
        </w:rPr>
        <w:t>.</w:t>
      </w:r>
      <w:r w:rsidRPr="00912BEE">
        <w:rPr>
          <w:szCs w:val="24"/>
          <w:lang w:val="en-GB"/>
        </w:rPr>
        <w:t xml:space="preserve"> </w:t>
      </w:r>
      <w:r w:rsidRPr="00912BEE">
        <w:rPr>
          <w:i/>
          <w:iCs/>
          <w:szCs w:val="24"/>
          <w:lang w:val="en-GB"/>
        </w:rPr>
        <w:t xml:space="preserve">Disciplinary Identities. </w:t>
      </w:r>
      <w:r w:rsidRPr="00912BEE">
        <w:rPr>
          <w:szCs w:val="24"/>
          <w:lang w:val="en-GB"/>
        </w:rPr>
        <w:t>Cambridge University Press</w:t>
      </w:r>
      <w:r w:rsidR="001208BB" w:rsidRPr="00912BEE">
        <w:rPr>
          <w:szCs w:val="24"/>
          <w:lang w:val="en-GB"/>
        </w:rPr>
        <w:t>.</w:t>
      </w:r>
    </w:p>
    <w:p w14:paraId="5EA1BF3C" w14:textId="01180BB2" w:rsidR="000A3EC4" w:rsidRPr="00912BEE" w:rsidRDefault="00003131" w:rsidP="000A3EC4">
      <w:pPr>
        <w:tabs>
          <w:tab w:val="left" w:pos="567"/>
        </w:tabs>
        <w:ind w:left="426" w:right="-23" w:hanging="426"/>
        <w:rPr>
          <w:bCs/>
          <w:szCs w:val="24"/>
          <w:lang w:val="en-GB"/>
        </w:rPr>
      </w:pPr>
      <w:r w:rsidRPr="00912BEE">
        <w:rPr>
          <w:szCs w:val="24"/>
          <w:lang w:val="en-GB" w:eastAsia="zh-TW"/>
        </w:rPr>
        <w:t xml:space="preserve">Hyland, K. (2017). </w:t>
      </w:r>
      <w:r w:rsidRPr="00912BEE">
        <w:rPr>
          <w:bCs/>
          <w:szCs w:val="24"/>
          <w:lang w:val="en-GB"/>
        </w:rPr>
        <w:t xml:space="preserve">Metadiscourse: what is it and where is it going? </w:t>
      </w:r>
      <w:r w:rsidRPr="00912BEE">
        <w:rPr>
          <w:bCs/>
          <w:i/>
          <w:iCs/>
          <w:szCs w:val="24"/>
          <w:lang w:val="en-GB"/>
        </w:rPr>
        <w:t>Journal of Pragmatics</w:t>
      </w:r>
      <w:r w:rsidR="00E75338" w:rsidRPr="00912BEE">
        <w:rPr>
          <w:bCs/>
          <w:szCs w:val="24"/>
          <w:lang w:val="en-GB"/>
        </w:rPr>
        <w:t>,</w:t>
      </w:r>
      <w:r w:rsidR="00E75338" w:rsidRPr="00912BEE">
        <w:rPr>
          <w:bCs/>
          <w:i/>
          <w:iCs/>
          <w:szCs w:val="24"/>
          <w:lang w:val="en-GB"/>
        </w:rPr>
        <w:t xml:space="preserve"> </w:t>
      </w:r>
      <w:r w:rsidRPr="00912BEE">
        <w:rPr>
          <w:bCs/>
          <w:szCs w:val="24"/>
          <w:lang w:val="en-GB"/>
        </w:rPr>
        <w:t>113</w:t>
      </w:r>
      <w:r w:rsidR="00E75338" w:rsidRPr="00912BEE">
        <w:rPr>
          <w:bCs/>
          <w:szCs w:val="24"/>
          <w:lang w:val="en-GB"/>
        </w:rPr>
        <w:t xml:space="preserve">, </w:t>
      </w:r>
      <w:r w:rsidRPr="00912BEE">
        <w:rPr>
          <w:bCs/>
          <w:szCs w:val="24"/>
          <w:lang w:val="en-GB"/>
        </w:rPr>
        <w:t>16-29</w:t>
      </w:r>
      <w:bookmarkStart w:id="3" w:name="_Hlk62758435"/>
      <w:r w:rsidR="00E75338" w:rsidRPr="00912BEE">
        <w:rPr>
          <w:bCs/>
          <w:szCs w:val="24"/>
          <w:lang w:val="en-GB"/>
        </w:rPr>
        <w:t>.</w:t>
      </w:r>
    </w:p>
    <w:p w14:paraId="1B857C28" w14:textId="5A8AD19A" w:rsidR="000A3EC4" w:rsidRPr="00912BEE" w:rsidRDefault="000A3EC4" w:rsidP="000A3EC4">
      <w:pPr>
        <w:tabs>
          <w:tab w:val="left" w:pos="567"/>
        </w:tabs>
        <w:ind w:left="426" w:right="-23" w:hanging="426"/>
        <w:rPr>
          <w:bCs/>
          <w:szCs w:val="24"/>
          <w:lang w:val="en-GB"/>
        </w:rPr>
      </w:pPr>
      <w:r w:rsidRPr="00912BEE">
        <w:rPr>
          <w:bCs/>
          <w:szCs w:val="24"/>
          <w:lang w:val="en-GB"/>
        </w:rPr>
        <w:t xml:space="preserve">Hyland, K. &amp; Jiang, K. (2019). </w:t>
      </w:r>
      <w:r w:rsidRPr="00912BEE">
        <w:rPr>
          <w:i/>
          <w:iCs/>
          <w:szCs w:val="24"/>
          <w:lang w:val="en-GB"/>
        </w:rPr>
        <w:t>Academic Discourse and global publishing: Disciplinary persuasion in changing times</w:t>
      </w:r>
      <w:r w:rsidR="00EF78DE" w:rsidRPr="00912BEE">
        <w:rPr>
          <w:szCs w:val="24"/>
          <w:lang w:val="en-GB"/>
        </w:rPr>
        <w:t>.</w:t>
      </w:r>
      <w:r w:rsidRPr="00912BEE">
        <w:rPr>
          <w:bCs/>
          <w:i/>
          <w:iCs/>
          <w:szCs w:val="24"/>
          <w:lang w:val="en-GB"/>
        </w:rPr>
        <w:t xml:space="preserve"> </w:t>
      </w:r>
      <w:r w:rsidRPr="00912BEE">
        <w:rPr>
          <w:szCs w:val="24"/>
          <w:lang w:val="en-GB"/>
        </w:rPr>
        <w:t>Routledge</w:t>
      </w:r>
      <w:r w:rsidR="00EF78DE" w:rsidRPr="00912BEE">
        <w:rPr>
          <w:szCs w:val="24"/>
          <w:lang w:val="en-GB"/>
        </w:rPr>
        <w:t>.</w:t>
      </w:r>
    </w:p>
    <w:bookmarkEnd w:id="3"/>
    <w:p w14:paraId="2589B09B" w14:textId="6256535F" w:rsidR="008254BA" w:rsidRPr="00912BEE" w:rsidRDefault="008254BA" w:rsidP="000A3EC4">
      <w:pPr>
        <w:tabs>
          <w:tab w:val="left" w:pos="567"/>
        </w:tabs>
        <w:ind w:left="426" w:hanging="426"/>
        <w:rPr>
          <w:szCs w:val="24"/>
          <w:lang w:val="en-GB"/>
        </w:rPr>
      </w:pPr>
      <w:r w:rsidRPr="00912BEE">
        <w:rPr>
          <w:bCs/>
          <w:szCs w:val="24"/>
          <w:lang w:val="en-GB"/>
        </w:rPr>
        <w:t xml:space="preserve">Hyland, K. &amp; Zou, H. (2020). </w:t>
      </w:r>
      <w:r w:rsidRPr="00912BEE">
        <w:rPr>
          <w:szCs w:val="24"/>
          <w:lang w:val="en-GB"/>
        </w:rPr>
        <w:t xml:space="preserve">In the frame: signalling structure in academic articles and blogs. </w:t>
      </w:r>
      <w:r w:rsidRPr="00912BEE">
        <w:rPr>
          <w:i/>
          <w:iCs/>
          <w:szCs w:val="24"/>
          <w:lang w:val="en-GB"/>
        </w:rPr>
        <w:t>Journal of Pragmatics</w:t>
      </w:r>
      <w:r w:rsidR="00EF78DE" w:rsidRPr="00912BEE">
        <w:rPr>
          <w:szCs w:val="24"/>
          <w:lang w:val="en-GB"/>
        </w:rPr>
        <w:t>,</w:t>
      </w:r>
      <w:r w:rsidRPr="00912BEE">
        <w:rPr>
          <w:szCs w:val="24"/>
          <w:lang w:val="en-GB"/>
        </w:rPr>
        <w:t xml:space="preserve"> 165</w:t>
      </w:r>
      <w:r w:rsidR="00EF78DE" w:rsidRPr="00912BEE">
        <w:rPr>
          <w:szCs w:val="24"/>
          <w:lang w:val="en-GB"/>
        </w:rPr>
        <w:t xml:space="preserve">, </w:t>
      </w:r>
      <w:r w:rsidRPr="00912BEE">
        <w:rPr>
          <w:szCs w:val="24"/>
          <w:lang w:val="en-GB"/>
        </w:rPr>
        <w:t>31-44.</w:t>
      </w:r>
    </w:p>
    <w:p w14:paraId="53C5A9AE" w14:textId="7BD6D818" w:rsidR="001208BB" w:rsidRPr="00912BEE" w:rsidRDefault="001208BB" w:rsidP="00CA1B7E">
      <w:pPr>
        <w:ind w:left="567" w:hanging="567"/>
        <w:rPr>
          <w:szCs w:val="24"/>
          <w:lang w:val="en-GB"/>
        </w:rPr>
      </w:pPr>
      <w:r w:rsidRPr="00912BEE">
        <w:rPr>
          <w:szCs w:val="24"/>
          <w:lang w:val="en-GB"/>
        </w:rPr>
        <w:t xml:space="preserve">Rayson, P. (2016). </w:t>
      </w:r>
      <w:r w:rsidRPr="00912BEE">
        <w:rPr>
          <w:i/>
          <w:iCs/>
          <w:szCs w:val="24"/>
          <w:lang w:val="en-GB"/>
        </w:rPr>
        <w:t>Log-likelihood spreadsheet</w:t>
      </w:r>
      <w:r w:rsidRPr="00912BEE">
        <w:rPr>
          <w:szCs w:val="24"/>
          <w:lang w:val="en-GB"/>
        </w:rPr>
        <w:t>. http://ucrel.lancs.ac.uk/llwizard.html.</w:t>
      </w:r>
    </w:p>
    <w:p w14:paraId="59135CD7" w14:textId="12C96E3D" w:rsidR="001208BB" w:rsidRPr="00912BEE" w:rsidRDefault="001208BB" w:rsidP="00CA1B7E">
      <w:pPr>
        <w:ind w:left="567" w:hanging="567"/>
        <w:rPr>
          <w:szCs w:val="24"/>
          <w:lang w:val="en-GB"/>
        </w:rPr>
      </w:pPr>
      <w:r w:rsidRPr="00912BEE">
        <w:rPr>
          <w:szCs w:val="24"/>
          <w:lang w:val="en-GB"/>
        </w:rPr>
        <w:lastRenderedPageBreak/>
        <w:t xml:space="preserve">Sun, S. A., &amp; Jiang, F. (2024). </w:t>
      </w:r>
      <w:proofErr w:type="spellStart"/>
      <w:r w:rsidRPr="00912BEE">
        <w:rPr>
          <w:szCs w:val="24"/>
          <w:lang w:val="en-GB"/>
        </w:rPr>
        <w:t>Analyzing</w:t>
      </w:r>
      <w:proofErr w:type="spellEnd"/>
      <w:r w:rsidRPr="00912BEE">
        <w:rPr>
          <w:szCs w:val="24"/>
          <w:lang w:val="en-GB"/>
        </w:rPr>
        <w:t xml:space="preserve"> metadiscourse in L2 writing for academic purposes: models and approaches. </w:t>
      </w:r>
      <w:r w:rsidRPr="00912BEE">
        <w:rPr>
          <w:i/>
          <w:iCs/>
          <w:szCs w:val="24"/>
          <w:lang w:val="en-GB"/>
        </w:rPr>
        <w:t>Research Methods in Applied Linguistics</w:t>
      </w:r>
      <w:r w:rsidRPr="00912BEE">
        <w:rPr>
          <w:szCs w:val="24"/>
          <w:lang w:val="en-GB"/>
        </w:rPr>
        <w:t xml:space="preserve">, </w:t>
      </w:r>
      <w:r w:rsidRPr="00912BEE">
        <w:rPr>
          <w:i/>
          <w:iCs/>
          <w:szCs w:val="24"/>
          <w:lang w:val="en-GB"/>
        </w:rPr>
        <w:t>3</w:t>
      </w:r>
      <w:r w:rsidRPr="00912BEE">
        <w:rPr>
          <w:szCs w:val="24"/>
          <w:lang w:val="en-GB"/>
        </w:rPr>
        <w:t xml:space="preserve">(3), 100149. </w:t>
      </w:r>
    </w:p>
    <w:p w14:paraId="1A8F2E99" w14:textId="1FCB8618" w:rsidR="008254BA" w:rsidRPr="00912BEE" w:rsidRDefault="008254BA" w:rsidP="00CA1B7E">
      <w:pPr>
        <w:ind w:left="567" w:hanging="567"/>
        <w:rPr>
          <w:lang w:val="en-GB"/>
        </w:rPr>
      </w:pPr>
      <w:r w:rsidRPr="00912BEE">
        <w:rPr>
          <w:szCs w:val="24"/>
          <w:lang w:val="en-GB"/>
        </w:rPr>
        <w:t xml:space="preserve">Swales, J. (1994). ESP in and for </w:t>
      </w:r>
      <w:r w:rsidR="001208BB" w:rsidRPr="00912BEE">
        <w:rPr>
          <w:szCs w:val="24"/>
          <w:lang w:val="en-GB"/>
        </w:rPr>
        <w:t>human resource deve</w:t>
      </w:r>
      <w:r w:rsidRPr="00912BEE">
        <w:rPr>
          <w:szCs w:val="24"/>
          <w:lang w:val="en-GB"/>
        </w:rPr>
        <w:t xml:space="preserve">lopment. </w:t>
      </w:r>
      <w:r w:rsidRPr="00912BEE">
        <w:rPr>
          <w:i/>
          <w:szCs w:val="24"/>
          <w:lang w:val="en-GB"/>
        </w:rPr>
        <w:t>ESP Malaysia,</w:t>
      </w:r>
      <w:r w:rsidRPr="00912BEE">
        <w:rPr>
          <w:szCs w:val="24"/>
          <w:lang w:val="en-GB"/>
        </w:rPr>
        <w:t xml:space="preserve"> 2</w:t>
      </w:r>
      <w:r w:rsidR="00365FB7" w:rsidRPr="00912BEE">
        <w:rPr>
          <w:szCs w:val="24"/>
          <w:lang w:val="en-GB"/>
        </w:rPr>
        <w:t xml:space="preserve">, </w:t>
      </w:r>
      <w:r w:rsidRPr="00912BEE">
        <w:rPr>
          <w:szCs w:val="24"/>
          <w:lang w:val="en-GB"/>
        </w:rPr>
        <w:t>1-</w:t>
      </w:r>
      <w:r w:rsidRPr="00912BEE">
        <w:rPr>
          <w:lang w:val="en-GB"/>
        </w:rPr>
        <w:t>18</w:t>
      </w:r>
      <w:r w:rsidR="00365FB7" w:rsidRPr="00912BEE">
        <w:rPr>
          <w:lang w:val="en-GB"/>
        </w:rPr>
        <w:t>.</w:t>
      </w:r>
    </w:p>
    <w:p w14:paraId="11BEE740" w14:textId="7D185F78" w:rsidR="000A3EC4" w:rsidRPr="00912BEE" w:rsidRDefault="000A3EC4" w:rsidP="001208BB">
      <w:pPr>
        <w:widowControl w:val="0"/>
        <w:autoSpaceDE w:val="0"/>
        <w:autoSpaceDN w:val="0"/>
        <w:adjustRightInd w:val="0"/>
        <w:ind w:left="567" w:right="429" w:hanging="567"/>
        <w:rPr>
          <w:lang w:val="en-GB"/>
        </w:rPr>
      </w:pPr>
      <w:r w:rsidRPr="00912BEE">
        <w:rPr>
          <w:lang w:val="en-GB"/>
        </w:rPr>
        <w:t xml:space="preserve">Swales, J. (2004). </w:t>
      </w:r>
      <w:r w:rsidRPr="00912BEE">
        <w:rPr>
          <w:i/>
          <w:lang w:val="en-GB"/>
        </w:rPr>
        <w:t>Research genres.</w:t>
      </w:r>
      <w:r w:rsidRPr="00912BEE">
        <w:rPr>
          <w:lang w:val="en-GB"/>
        </w:rPr>
        <w:t xml:space="preserve"> </w:t>
      </w:r>
      <w:r w:rsidR="001208BB" w:rsidRPr="00912BEE">
        <w:rPr>
          <w:lang w:val="en-GB"/>
        </w:rPr>
        <w:t>Cambridge University Press</w:t>
      </w:r>
      <w:r w:rsidRPr="00912BEE">
        <w:rPr>
          <w:lang w:val="en-GB"/>
        </w:rPr>
        <w:t>.</w:t>
      </w:r>
    </w:p>
    <w:p w14:paraId="4346057E" w14:textId="455BF510" w:rsidR="00445186" w:rsidRPr="00912BEE" w:rsidRDefault="00445186" w:rsidP="00CA1B7E">
      <w:pPr>
        <w:ind w:left="567" w:hanging="567"/>
        <w:rPr>
          <w:lang w:val="en-GB"/>
        </w:rPr>
      </w:pPr>
      <w:r w:rsidRPr="00912BEE">
        <w:rPr>
          <w:lang w:val="en-GB"/>
        </w:rPr>
        <w:t xml:space="preserve">Swales, </w:t>
      </w:r>
      <w:r w:rsidR="000A3EC4" w:rsidRPr="00912BEE">
        <w:rPr>
          <w:lang w:val="en-GB"/>
        </w:rPr>
        <w:t>J. (</w:t>
      </w:r>
      <w:r w:rsidRPr="00912BEE">
        <w:rPr>
          <w:lang w:val="en-GB"/>
        </w:rPr>
        <w:t xml:space="preserve">2009). </w:t>
      </w:r>
      <w:r w:rsidR="000A3EC4" w:rsidRPr="00912BEE">
        <w:rPr>
          <w:i/>
          <w:iCs/>
          <w:lang w:val="en-GB"/>
        </w:rPr>
        <w:t>Incidents in an</w:t>
      </w:r>
      <w:r w:rsidR="001208BB" w:rsidRPr="00912BEE">
        <w:rPr>
          <w:i/>
          <w:iCs/>
          <w:lang w:val="en-GB"/>
        </w:rPr>
        <w:t xml:space="preserve"> educational li</w:t>
      </w:r>
      <w:r w:rsidR="000A3EC4" w:rsidRPr="00912BEE">
        <w:rPr>
          <w:i/>
          <w:iCs/>
          <w:lang w:val="en-GB"/>
        </w:rPr>
        <w:t xml:space="preserve">fe: </w:t>
      </w:r>
      <w:r w:rsidR="001208BB" w:rsidRPr="00912BEE">
        <w:rPr>
          <w:i/>
          <w:iCs/>
          <w:lang w:val="en-GB"/>
        </w:rPr>
        <w:t>A</w:t>
      </w:r>
      <w:r w:rsidR="000A3EC4" w:rsidRPr="00912BEE">
        <w:rPr>
          <w:i/>
          <w:iCs/>
          <w:lang w:val="en-GB"/>
        </w:rPr>
        <w:t xml:space="preserve"> </w:t>
      </w:r>
      <w:r w:rsidR="001208BB" w:rsidRPr="00912BEE">
        <w:rPr>
          <w:i/>
          <w:iCs/>
          <w:lang w:val="en-GB"/>
        </w:rPr>
        <w:t>memoir</w:t>
      </w:r>
      <w:r w:rsidR="000A3EC4" w:rsidRPr="00912BEE">
        <w:rPr>
          <w:i/>
          <w:iCs/>
          <w:lang w:val="en-GB"/>
        </w:rPr>
        <w:t>.</w:t>
      </w:r>
      <w:r w:rsidR="000A3EC4" w:rsidRPr="00912BEE">
        <w:rPr>
          <w:lang w:val="en-GB"/>
        </w:rPr>
        <w:t xml:space="preserve"> University of Michigan Press.</w:t>
      </w:r>
    </w:p>
    <w:p w14:paraId="3B5B2E77" w14:textId="2D2472BA" w:rsidR="000A3EC4" w:rsidRPr="00912BEE" w:rsidRDefault="00445186" w:rsidP="00CA1B7E">
      <w:pPr>
        <w:ind w:left="567" w:hanging="567"/>
        <w:rPr>
          <w:lang w:val="en-GB"/>
        </w:rPr>
      </w:pPr>
      <w:r w:rsidRPr="00912BEE">
        <w:rPr>
          <w:lang w:val="en-GB"/>
        </w:rPr>
        <w:t>Swales</w:t>
      </w:r>
      <w:r w:rsidR="000A3EC4" w:rsidRPr="00912BEE">
        <w:rPr>
          <w:lang w:val="en-GB"/>
        </w:rPr>
        <w:t>, J.</w:t>
      </w:r>
      <w:r w:rsidRPr="00912BEE">
        <w:rPr>
          <w:lang w:val="en-GB"/>
        </w:rPr>
        <w:t xml:space="preserve"> &amp; Feak, </w:t>
      </w:r>
      <w:r w:rsidR="000A3EC4" w:rsidRPr="00912BEE">
        <w:rPr>
          <w:lang w:val="en-GB"/>
        </w:rPr>
        <w:t>C. (2012). Academic</w:t>
      </w:r>
      <w:r w:rsidR="00365FB7" w:rsidRPr="00912BEE">
        <w:rPr>
          <w:lang w:val="en-GB"/>
        </w:rPr>
        <w:t xml:space="preserve"> writing for graduate s</w:t>
      </w:r>
      <w:r w:rsidR="000A3EC4" w:rsidRPr="00912BEE">
        <w:rPr>
          <w:lang w:val="en-GB"/>
        </w:rPr>
        <w:t>tudents. University of Michigan Press.</w:t>
      </w:r>
    </w:p>
    <w:p w14:paraId="7AFA0F4B" w14:textId="604DC665" w:rsidR="00CA1B7E" w:rsidRPr="00912BEE" w:rsidRDefault="008254BA" w:rsidP="00CA1B7E">
      <w:pPr>
        <w:ind w:left="567" w:hanging="567"/>
        <w:rPr>
          <w:lang w:val="en-GB"/>
        </w:rPr>
      </w:pPr>
      <w:r w:rsidRPr="00912BEE">
        <w:rPr>
          <w:lang w:val="en-GB"/>
        </w:rPr>
        <w:t xml:space="preserve">Tardy, </w:t>
      </w:r>
      <w:r w:rsidR="00CA1B7E" w:rsidRPr="00912BEE">
        <w:rPr>
          <w:lang w:val="en-GB"/>
        </w:rPr>
        <w:t>C. (</w:t>
      </w:r>
      <w:r w:rsidRPr="00912BEE">
        <w:rPr>
          <w:lang w:val="en-GB"/>
        </w:rPr>
        <w:t>2009</w:t>
      </w:r>
      <w:r w:rsidR="00CA1B7E" w:rsidRPr="00912BEE">
        <w:rPr>
          <w:lang w:val="en-GB"/>
        </w:rPr>
        <w:t>)</w:t>
      </w:r>
      <w:r w:rsidR="00365FB7" w:rsidRPr="00912BEE">
        <w:rPr>
          <w:lang w:val="en-GB"/>
        </w:rPr>
        <w:t>.</w:t>
      </w:r>
      <w:r w:rsidR="00CA1B7E" w:rsidRPr="00912BEE">
        <w:rPr>
          <w:lang w:val="en-GB"/>
        </w:rPr>
        <w:t xml:space="preserve"> </w:t>
      </w:r>
      <w:r w:rsidR="00CA1B7E" w:rsidRPr="00912BEE">
        <w:rPr>
          <w:i/>
          <w:iCs/>
          <w:lang w:val="en-GB"/>
        </w:rPr>
        <w:t>Building genre knowledge</w:t>
      </w:r>
      <w:r w:rsidR="00CA1B7E" w:rsidRPr="00912BEE">
        <w:rPr>
          <w:lang w:val="en-GB"/>
        </w:rPr>
        <w:t xml:space="preserve">. Parlour Press. </w:t>
      </w:r>
    </w:p>
    <w:p w14:paraId="52869B67" w14:textId="5EE0CA58" w:rsidR="00BF6412" w:rsidRPr="00912BEE" w:rsidRDefault="00BF6412" w:rsidP="00CA1B7E">
      <w:pPr>
        <w:ind w:left="567" w:hanging="567"/>
        <w:rPr>
          <w:lang w:val="en-GB"/>
        </w:rPr>
      </w:pPr>
      <w:r w:rsidRPr="00912BEE">
        <w:rPr>
          <w:lang w:val="en-GB"/>
        </w:rPr>
        <w:t xml:space="preserve">Vande Kopple, W J. (1985). Some </w:t>
      </w:r>
      <w:r w:rsidR="00365FB7" w:rsidRPr="00912BEE">
        <w:rPr>
          <w:lang w:val="en-GB"/>
        </w:rPr>
        <w:t>exploratory discourse on met</w:t>
      </w:r>
      <w:r w:rsidRPr="00912BEE">
        <w:rPr>
          <w:lang w:val="en-GB"/>
        </w:rPr>
        <w:t xml:space="preserve">adiscourse. </w:t>
      </w:r>
      <w:r w:rsidRPr="00912BEE">
        <w:rPr>
          <w:i/>
          <w:iCs/>
          <w:lang w:val="en-GB"/>
        </w:rPr>
        <w:t xml:space="preserve">College Composition and Communication </w:t>
      </w:r>
      <w:r w:rsidRPr="00912BEE">
        <w:rPr>
          <w:lang w:val="en-GB"/>
        </w:rPr>
        <w:t xml:space="preserve">26: 82-93. </w:t>
      </w:r>
    </w:p>
    <w:p w14:paraId="055D2969" w14:textId="77777777" w:rsidR="008254BA" w:rsidRPr="00912BEE" w:rsidRDefault="008254BA" w:rsidP="006D2EDE">
      <w:pPr>
        <w:rPr>
          <w:lang w:val="en-GB"/>
        </w:rPr>
      </w:pPr>
    </w:p>
    <w:p w14:paraId="2DC15159" w14:textId="77777777" w:rsidR="00365FB7" w:rsidRPr="00912BEE" w:rsidRDefault="00365FB7" w:rsidP="006D2EDE">
      <w:pPr>
        <w:rPr>
          <w:lang w:val="en-GB"/>
        </w:rPr>
      </w:pPr>
    </w:p>
    <w:p w14:paraId="6A947AEE" w14:textId="77777777" w:rsidR="00365FB7" w:rsidRPr="00912BEE" w:rsidRDefault="00365FB7" w:rsidP="006D2EDE">
      <w:pPr>
        <w:rPr>
          <w:lang w:val="en-GB"/>
        </w:rPr>
      </w:pPr>
    </w:p>
    <w:p w14:paraId="06F2603A" w14:textId="77777777" w:rsidR="00365FB7" w:rsidRPr="00912BEE" w:rsidRDefault="00365FB7" w:rsidP="006D2EDE">
      <w:pPr>
        <w:rPr>
          <w:lang w:val="en-GB"/>
        </w:rPr>
      </w:pPr>
    </w:p>
    <w:p w14:paraId="259BAD22" w14:textId="77777777" w:rsidR="00365FB7" w:rsidRPr="00912BEE" w:rsidRDefault="00365FB7" w:rsidP="006D2EDE">
      <w:pPr>
        <w:rPr>
          <w:lang w:val="en-GB"/>
        </w:rPr>
      </w:pPr>
    </w:p>
    <w:p w14:paraId="2838D19B" w14:textId="77777777" w:rsidR="00CA1B7E" w:rsidRPr="00912BEE" w:rsidRDefault="00CA1B7E" w:rsidP="006D2EDE">
      <w:pPr>
        <w:rPr>
          <w:lang w:val="en-GB"/>
        </w:rPr>
      </w:pPr>
    </w:p>
    <w:p w14:paraId="12756257" w14:textId="77777777" w:rsidR="00E75338" w:rsidRPr="00912BEE" w:rsidRDefault="00E75338" w:rsidP="006D2EDE">
      <w:pPr>
        <w:rPr>
          <w:lang w:val="en-GB"/>
        </w:rPr>
      </w:pPr>
    </w:p>
    <w:p w14:paraId="09D65F7F" w14:textId="77777777" w:rsidR="00E75338" w:rsidRPr="00912BEE" w:rsidRDefault="00E75338" w:rsidP="006D2EDE">
      <w:pPr>
        <w:rPr>
          <w:lang w:val="en-GB"/>
        </w:rPr>
      </w:pPr>
    </w:p>
    <w:p w14:paraId="67A294BA" w14:textId="77777777" w:rsidR="00E75338" w:rsidRPr="00912BEE" w:rsidRDefault="00E75338" w:rsidP="006D2EDE">
      <w:pPr>
        <w:rPr>
          <w:lang w:val="en-GB"/>
        </w:rPr>
      </w:pPr>
    </w:p>
    <w:p w14:paraId="5A15803B" w14:textId="77777777" w:rsidR="00E75338" w:rsidRPr="00912BEE" w:rsidRDefault="00E75338" w:rsidP="006D2EDE">
      <w:pPr>
        <w:rPr>
          <w:lang w:val="en-GB"/>
        </w:rPr>
      </w:pPr>
    </w:p>
    <w:p w14:paraId="65E814B9" w14:textId="77777777" w:rsidR="00686738" w:rsidRDefault="00686738" w:rsidP="006D2EDE">
      <w:pPr>
        <w:rPr>
          <w:b/>
          <w:bCs/>
          <w:lang w:val="en-GB"/>
        </w:rPr>
      </w:pPr>
      <w:bookmarkStart w:id="4" w:name="_Hlk211125293"/>
    </w:p>
    <w:p w14:paraId="465FE499" w14:textId="77777777" w:rsidR="00686738" w:rsidRDefault="00686738" w:rsidP="006D2EDE">
      <w:pPr>
        <w:rPr>
          <w:b/>
          <w:bCs/>
          <w:lang w:val="en-GB"/>
        </w:rPr>
      </w:pPr>
    </w:p>
    <w:p w14:paraId="6F5B4EDE" w14:textId="77777777" w:rsidR="00686738" w:rsidRDefault="00686738" w:rsidP="006D2EDE">
      <w:pPr>
        <w:rPr>
          <w:b/>
          <w:bCs/>
          <w:lang w:val="en-GB"/>
        </w:rPr>
      </w:pPr>
    </w:p>
    <w:p w14:paraId="72205C82" w14:textId="67D19C05" w:rsidR="006D2EDE" w:rsidRPr="00912BEE" w:rsidRDefault="006D2EDE" w:rsidP="006D2EDE">
      <w:pPr>
        <w:rPr>
          <w:b/>
          <w:bCs/>
          <w:lang w:val="en-GB"/>
        </w:rPr>
      </w:pPr>
      <w:r w:rsidRPr="00912BEE">
        <w:rPr>
          <w:b/>
          <w:bCs/>
          <w:lang w:val="en-GB"/>
        </w:rPr>
        <w:t>Appendix</w:t>
      </w:r>
      <w:r w:rsidR="00592771" w:rsidRPr="00912BEE">
        <w:rPr>
          <w:b/>
          <w:bCs/>
          <w:lang w:val="en-GB"/>
        </w:rPr>
        <w:t>: The corpora</w:t>
      </w:r>
      <w:r w:rsidR="009228B6" w:rsidRPr="00912BEE">
        <w:rPr>
          <w:b/>
          <w:bCs/>
          <w:lang w:val="en-GB"/>
        </w:rPr>
        <w:t xml:space="preserve"> of Swales articles</w:t>
      </w:r>
    </w:p>
    <w:p w14:paraId="5EE959D2" w14:textId="76A99D67" w:rsidR="00D921D5" w:rsidRPr="00912BEE" w:rsidRDefault="00D921D5" w:rsidP="006D2EDE">
      <w:pPr>
        <w:ind w:left="711" w:hangingChars="295" w:hanging="711"/>
        <w:rPr>
          <w:b/>
          <w:bCs/>
          <w:lang w:val="en-GB"/>
        </w:rPr>
      </w:pPr>
      <w:r w:rsidRPr="00912BEE">
        <w:rPr>
          <w:b/>
          <w:bCs/>
          <w:lang w:val="en-GB"/>
        </w:rPr>
        <w:t>1. 1980-1994</w:t>
      </w:r>
    </w:p>
    <w:p w14:paraId="444485F1" w14:textId="326B7161" w:rsidR="006D2EDE" w:rsidRPr="00912BEE" w:rsidRDefault="006D2EDE" w:rsidP="006D2EDE">
      <w:pPr>
        <w:ind w:left="708" w:hangingChars="295" w:hanging="708"/>
        <w:rPr>
          <w:lang w:val="en-GB"/>
        </w:rPr>
      </w:pPr>
      <w:r w:rsidRPr="00912BEE">
        <w:rPr>
          <w:lang w:val="en-GB"/>
        </w:rPr>
        <w:t xml:space="preserve">Swales, J. (1980). ESP: The textbook problem. </w:t>
      </w:r>
      <w:r w:rsidRPr="00912BEE">
        <w:rPr>
          <w:i/>
          <w:iCs/>
          <w:lang w:val="en-GB"/>
        </w:rPr>
        <w:t>The ESP Journal</w:t>
      </w:r>
      <w:r w:rsidRPr="00912BEE">
        <w:rPr>
          <w:lang w:val="en-GB"/>
        </w:rPr>
        <w:t xml:space="preserve">, </w:t>
      </w:r>
      <w:r w:rsidRPr="00912BEE">
        <w:rPr>
          <w:i/>
          <w:iCs/>
          <w:lang w:val="en-GB"/>
        </w:rPr>
        <w:t>1</w:t>
      </w:r>
      <w:r w:rsidRPr="00912BEE">
        <w:rPr>
          <w:lang w:val="en-GB"/>
        </w:rPr>
        <w:t>(1), 11-23.</w:t>
      </w:r>
    </w:p>
    <w:p w14:paraId="1FA92A31" w14:textId="55AD2469" w:rsidR="006D2EDE" w:rsidRPr="00912BEE" w:rsidRDefault="006D2EDE" w:rsidP="006D2EDE">
      <w:pPr>
        <w:ind w:left="708" w:hangingChars="295" w:hanging="708"/>
        <w:rPr>
          <w:lang w:val="en-GB"/>
        </w:rPr>
      </w:pPr>
      <w:r w:rsidRPr="00912BEE">
        <w:rPr>
          <w:lang w:val="en-GB"/>
        </w:rPr>
        <w:t xml:space="preserve">Swales, J. (1983). Developing materials for writing scholarly introductions. </w:t>
      </w:r>
      <w:r w:rsidRPr="00912BEE">
        <w:rPr>
          <w:i/>
          <w:iCs/>
          <w:lang w:val="en-GB"/>
        </w:rPr>
        <w:t xml:space="preserve">Case </w:t>
      </w:r>
      <w:r w:rsidR="00766187" w:rsidRPr="00912BEE">
        <w:rPr>
          <w:i/>
          <w:iCs/>
          <w:lang w:val="en-GB"/>
        </w:rPr>
        <w:t>S</w:t>
      </w:r>
      <w:r w:rsidRPr="00912BEE">
        <w:rPr>
          <w:i/>
          <w:iCs/>
          <w:lang w:val="en-GB"/>
        </w:rPr>
        <w:t>tudies in ELT</w:t>
      </w:r>
      <w:r w:rsidRPr="00912BEE">
        <w:rPr>
          <w:lang w:val="en-GB"/>
        </w:rPr>
        <w:t>, 188-200.</w:t>
      </w:r>
    </w:p>
    <w:p w14:paraId="47CDD4EC" w14:textId="77777777" w:rsidR="006D2EDE" w:rsidRPr="00912BEE" w:rsidRDefault="006D2EDE" w:rsidP="006D2EDE">
      <w:pPr>
        <w:ind w:left="708" w:hangingChars="295" w:hanging="708"/>
        <w:rPr>
          <w:lang w:val="en-GB"/>
        </w:rPr>
      </w:pPr>
      <w:r w:rsidRPr="00912BEE">
        <w:rPr>
          <w:lang w:val="en-GB"/>
        </w:rPr>
        <w:lastRenderedPageBreak/>
        <w:t xml:space="preserve">Swales, J. M. (1985). English language papers and authors' first language: Preliminary explorations. </w:t>
      </w:r>
      <w:proofErr w:type="spellStart"/>
      <w:r w:rsidRPr="00912BEE">
        <w:rPr>
          <w:i/>
          <w:iCs/>
          <w:lang w:val="en-GB"/>
        </w:rPr>
        <w:t>Scientometrics</w:t>
      </w:r>
      <w:proofErr w:type="spellEnd"/>
      <w:r w:rsidRPr="00912BEE">
        <w:rPr>
          <w:lang w:val="en-GB"/>
        </w:rPr>
        <w:t>, 8, 91-101.</w:t>
      </w:r>
    </w:p>
    <w:p w14:paraId="76625780" w14:textId="1AD734F1" w:rsidR="006D2EDE" w:rsidRPr="00912BEE" w:rsidRDefault="006D2EDE" w:rsidP="006D2EDE">
      <w:pPr>
        <w:ind w:left="708" w:hangingChars="295" w:hanging="708"/>
        <w:rPr>
          <w:lang w:val="en-GB"/>
        </w:rPr>
      </w:pPr>
      <w:r w:rsidRPr="00912BEE">
        <w:rPr>
          <w:lang w:val="en-GB"/>
        </w:rPr>
        <w:t>Swales, J. (1986). Citation analysis and discourse analysis. </w:t>
      </w:r>
      <w:r w:rsidRPr="00912BEE">
        <w:rPr>
          <w:i/>
          <w:iCs/>
          <w:lang w:val="en-GB"/>
        </w:rPr>
        <w:t>Applied Linguistics</w:t>
      </w:r>
      <w:r w:rsidRPr="00912BEE">
        <w:rPr>
          <w:lang w:val="en-GB"/>
        </w:rPr>
        <w:t>, </w:t>
      </w:r>
      <w:r w:rsidRPr="00912BEE">
        <w:rPr>
          <w:i/>
          <w:iCs/>
          <w:lang w:val="en-GB"/>
        </w:rPr>
        <w:t>7</w:t>
      </w:r>
      <w:r w:rsidRPr="00912BEE">
        <w:rPr>
          <w:lang w:val="en-GB"/>
        </w:rPr>
        <w:t>(1), 39-56.</w:t>
      </w:r>
    </w:p>
    <w:p w14:paraId="44C687D5" w14:textId="05E32BB1" w:rsidR="006D2EDE" w:rsidRPr="00912BEE" w:rsidRDefault="006D2EDE" w:rsidP="006D2EDE">
      <w:pPr>
        <w:ind w:left="708" w:hangingChars="295" w:hanging="708"/>
        <w:rPr>
          <w:lang w:val="en-GB"/>
        </w:rPr>
      </w:pPr>
      <w:r w:rsidRPr="00912BEE">
        <w:rPr>
          <w:lang w:val="en-GB"/>
        </w:rPr>
        <w:t xml:space="preserve">Swales, J. (1987). Communicative language teaching in ESP contexts. </w:t>
      </w:r>
      <w:r w:rsidRPr="00912BEE">
        <w:rPr>
          <w:i/>
          <w:iCs/>
          <w:lang w:val="en-GB"/>
        </w:rPr>
        <w:t>Annual Review of Applied Linguistics</w:t>
      </w:r>
      <w:r w:rsidRPr="00912BEE">
        <w:rPr>
          <w:lang w:val="en-GB"/>
        </w:rPr>
        <w:t>, 8, 48-57.</w:t>
      </w:r>
    </w:p>
    <w:p w14:paraId="734F8A01" w14:textId="7E9E1782" w:rsidR="006D2EDE" w:rsidRPr="00912BEE" w:rsidRDefault="006D2EDE" w:rsidP="006D2EDE">
      <w:pPr>
        <w:ind w:left="708" w:hangingChars="295" w:hanging="708"/>
        <w:rPr>
          <w:lang w:val="en-GB"/>
        </w:rPr>
      </w:pPr>
      <w:r w:rsidRPr="00912BEE">
        <w:rPr>
          <w:lang w:val="en-GB"/>
        </w:rPr>
        <w:t xml:space="preserve">Swales, J. (1987). Utilizing the literatures in teaching the research paper. </w:t>
      </w:r>
      <w:r w:rsidRPr="00912BEE">
        <w:rPr>
          <w:i/>
          <w:iCs/>
          <w:lang w:val="en-GB"/>
        </w:rPr>
        <w:t>TESOL Quarterly</w:t>
      </w:r>
      <w:r w:rsidRPr="00912BEE">
        <w:rPr>
          <w:lang w:val="en-GB"/>
        </w:rPr>
        <w:t>, 21(1), 41-68.</w:t>
      </w:r>
    </w:p>
    <w:p w14:paraId="5D9933BA" w14:textId="77777777" w:rsidR="006D2EDE" w:rsidRPr="00912BEE" w:rsidRDefault="006D2EDE" w:rsidP="006D2EDE">
      <w:pPr>
        <w:ind w:left="708" w:hangingChars="295" w:hanging="708"/>
        <w:rPr>
          <w:lang w:val="en-GB"/>
        </w:rPr>
      </w:pPr>
      <w:r w:rsidRPr="00912BEE">
        <w:rPr>
          <w:lang w:val="en-GB"/>
        </w:rPr>
        <w:t xml:space="preserve">Swales, J. (1988). Discourse communities, genres and English as an international language. </w:t>
      </w:r>
      <w:r w:rsidRPr="00912BEE">
        <w:rPr>
          <w:i/>
          <w:iCs/>
          <w:lang w:val="en-GB"/>
        </w:rPr>
        <w:t xml:space="preserve">World </w:t>
      </w:r>
      <w:proofErr w:type="spellStart"/>
      <w:r w:rsidRPr="00912BEE">
        <w:rPr>
          <w:i/>
          <w:iCs/>
          <w:lang w:val="en-GB"/>
        </w:rPr>
        <w:t>Englishes</w:t>
      </w:r>
      <w:proofErr w:type="spellEnd"/>
      <w:r w:rsidRPr="00912BEE">
        <w:rPr>
          <w:lang w:val="en-GB"/>
        </w:rPr>
        <w:t xml:space="preserve">, </w:t>
      </w:r>
      <w:r w:rsidRPr="00912BEE">
        <w:rPr>
          <w:i/>
          <w:iCs/>
          <w:lang w:val="en-GB"/>
        </w:rPr>
        <w:t>7</w:t>
      </w:r>
      <w:r w:rsidRPr="00912BEE">
        <w:rPr>
          <w:lang w:val="en-GB"/>
        </w:rPr>
        <w:t xml:space="preserve">(2), 211-220. </w:t>
      </w:r>
    </w:p>
    <w:p w14:paraId="54717784" w14:textId="77777777" w:rsidR="006D2EDE" w:rsidRPr="00912BEE" w:rsidRDefault="006D2EDE" w:rsidP="006D2EDE">
      <w:pPr>
        <w:ind w:left="708" w:hangingChars="295" w:hanging="708"/>
        <w:rPr>
          <w:lang w:val="en-GB"/>
        </w:rPr>
      </w:pPr>
      <w:r w:rsidRPr="00912BEE">
        <w:rPr>
          <w:lang w:val="en-GB"/>
        </w:rPr>
        <w:t xml:space="preserve">Swales, J. (1988). Language and scientific communication: The case of the reprint request. </w:t>
      </w:r>
      <w:proofErr w:type="spellStart"/>
      <w:r w:rsidRPr="00912BEE">
        <w:rPr>
          <w:i/>
          <w:iCs/>
          <w:lang w:val="en-GB"/>
        </w:rPr>
        <w:t>Scientometrics</w:t>
      </w:r>
      <w:proofErr w:type="spellEnd"/>
      <w:r w:rsidRPr="00912BEE">
        <w:rPr>
          <w:lang w:val="en-GB"/>
        </w:rPr>
        <w:t xml:space="preserve">, </w:t>
      </w:r>
      <w:r w:rsidRPr="00912BEE">
        <w:rPr>
          <w:i/>
          <w:iCs/>
          <w:lang w:val="en-GB"/>
        </w:rPr>
        <w:t>13</w:t>
      </w:r>
      <w:r w:rsidRPr="00912BEE">
        <w:rPr>
          <w:lang w:val="en-GB"/>
        </w:rPr>
        <w:t>(3-4), 93-101.</w:t>
      </w:r>
    </w:p>
    <w:p w14:paraId="2AF5BA1E" w14:textId="6D20673F" w:rsidR="006D2EDE" w:rsidRPr="00912BEE" w:rsidRDefault="006D2EDE" w:rsidP="006D2EDE">
      <w:pPr>
        <w:ind w:left="708" w:hangingChars="295" w:hanging="708"/>
        <w:rPr>
          <w:lang w:val="en-GB"/>
        </w:rPr>
      </w:pPr>
      <w:r w:rsidRPr="00912BEE">
        <w:rPr>
          <w:lang w:val="en-GB"/>
        </w:rPr>
        <w:t xml:space="preserve">Swales, J. M. (1990). Discourse analysis in professional contexts. </w:t>
      </w:r>
      <w:r w:rsidRPr="00912BEE">
        <w:rPr>
          <w:i/>
          <w:iCs/>
          <w:lang w:val="en-GB"/>
        </w:rPr>
        <w:t xml:space="preserve">Annual Review </w:t>
      </w:r>
      <w:proofErr w:type="gramStart"/>
      <w:r w:rsidRPr="00912BEE">
        <w:rPr>
          <w:i/>
          <w:iCs/>
          <w:lang w:val="en-GB"/>
        </w:rPr>
        <w:t>Of</w:t>
      </w:r>
      <w:proofErr w:type="gramEnd"/>
      <w:r w:rsidRPr="00912BEE">
        <w:rPr>
          <w:i/>
          <w:iCs/>
          <w:lang w:val="en-GB"/>
        </w:rPr>
        <w:t xml:space="preserve"> Applied Linguistics</w:t>
      </w:r>
      <w:r w:rsidRPr="00912BEE">
        <w:rPr>
          <w:lang w:val="en-GB"/>
        </w:rPr>
        <w:t xml:space="preserve">, 11, 103-114. </w:t>
      </w:r>
    </w:p>
    <w:p w14:paraId="5E7CEA30" w14:textId="36DBA822" w:rsidR="006D2EDE" w:rsidRPr="00912BEE" w:rsidRDefault="006D2EDE" w:rsidP="006D2EDE">
      <w:pPr>
        <w:ind w:left="708" w:hangingChars="295" w:hanging="708"/>
        <w:rPr>
          <w:lang w:val="en-GB"/>
        </w:rPr>
      </w:pPr>
      <w:r w:rsidRPr="00912BEE">
        <w:rPr>
          <w:lang w:val="en-GB"/>
        </w:rPr>
        <w:t xml:space="preserve">Swales, J. (1993). The English language and its teachers: Thoughts past, present, and future. </w:t>
      </w:r>
      <w:r w:rsidRPr="00912BEE">
        <w:rPr>
          <w:i/>
          <w:iCs/>
          <w:lang w:val="en-GB"/>
        </w:rPr>
        <w:t>ELT Journal</w:t>
      </w:r>
      <w:r w:rsidRPr="00912BEE">
        <w:rPr>
          <w:lang w:val="en-GB"/>
        </w:rPr>
        <w:t xml:space="preserve">, </w:t>
      </w:r>
      <w:r w:rsidRPr="00912BEE">
        <w:rPr>
          <w:i/>
          <w:iCs/>
          <w:lang w:val="en-GB"/>
        </w:rPr>
        <w:t>47</w:t>
      </w:r>
      <w:r w:rsidRPr="00912BEE">
        <w:rPr>
          <w:lang w:val="en-GB"/>
        </w:rPr>
        <w:t>(4), 283-291.</w:t>
      </w:r>
    </w:p>
    <w:p w14:paraId="44D6D514" w14:textId="77777777" w:rsidR="00927AF4" w:rsidRPr="00912BEE" w:rsidRDefault="00927AF4" w:rsidP="00927AF4">
      <w:pPr>
        <w:ind w:left="711" w:hangingChars="295" w:hanging="711"/>
        <w:rPr>
          <w:b/>
          <w:bCs/>
          <w:lang w:val="en-GB"/>
        </w:rPr>
      </w:pPr>
    </w:p>
    <w:p w14:paraId="669696BF" w14:textId="319C4770" w:rsidR="00927AF4" w:rsidRPr="00912BEE" w:rsidRDefault="00927AF4" w:rsidP="00927AF4">
      <w:pPr>
        <w:ind w:left="711" w:hangingChars="295" w:hanging="711"/>
        <w:rPr>
          <w:b/>
          <w:bCs/>
          <w:lang w:val="en-GB"/>
        </w:rPr>
      </w:pPr>
      <w:r w:rsidRPr="00912BEE">
        <w:rPr>
          <w:b/>
          <w:bCs/>
          <w:lang w:val="en-GB"/>
        </w:rPr>
        <w:t>2. 1995-2009</w:t>
      </w:r>
    </w:p>
    <w:p w14:paraId="6AF557DD" w14:textId="77777777" w:rsidR="0028744E" w:rsidRPr="00912BEE" w:rsidRDefault="0028744E" w:rsidP="0028744E">
      <w:pPr>
        <w:ind w:left="708" w:hangingChars="295" w:hanging="708"/>
        <w:rPr>
          <w:lang w:val="en-GB"/>
        </w:rPr>
      </w:pPr>
      <w:r w:rsidRPr="00912BEE">
        <w:rPr>
          <w:lang w:val="en-GB"/>
        </w:rPr>
        <w:t xml:space="preserve">Swales, J. M. (1995). The role of the textbook in EAP writing research. </w:t>
      </w:r>
      <w:r w:rsidRPr="00912BEE">
        <w:rPr>
          <w:i/>
          <w:iCs/>
          <w:lang w:val="en-GB"/>
        </w:rPr>
        <w:t>English for Specific Purposes</w:t>
      </w:r>
      <w:r w:rsidRPr="00912BEE">
        <w:rPr>
          <w:lang w:val="en-GB"/>
        </w:rPr>
        <w:t xml:space="preserve">, </w:t>
      </w:r>
      <w:r w:rsidRPr="00912BEE">
        <w:rPr>
          <w:i/>
          <w:iCs/>
          <w:lang w:val="en-GB"/>
        </w:rPr>
        <w:t>14</w:t>
      </w:r>
      <w:r w:rsidRPr="00912BEE">
        <w:rPr>
          <w:lang w:val="en-GB"/>
        </w:rPr>
        <w:t>(1), 3-18.</w:t>
      </w:r>
    </w:p>
    <w:p w14:paraId="00412CB4" w14:textId="77777777" w:rsidR="0028744E" w:rsidRPr="00912BEE" w:rsidRDefault="0028744E" w:rsidP="0028744E">
      <w:pPr>
        <w:ind w:left="708" w:hangingChars="295" w:hanging="708"/>
        <w:rPr>
          <w:lang w:val="en-GB"/>
        </w:rPr>
      </w:pPr>
      <w:r w:rsidRPr="00912BEE">
        <w:rPr>
          <w:lang w:val="en-GB"/>
        </w:rPr>
        <w:t xml:space="preserve">Swales, J. M. (1997). English as Tyrannosaurus rex. </w:t>
      </w:r>
      <w:r w:rsidRPr="00912BEE">
        <w:rPr>
          <w:i/>
          <w:iCs/>
          <w:lang w:val="en-GB"/>
        </w:rPr>
        <w:t xml:space="preserve">World </w:t>
      </w:r>
      <w:proofErr w:type="spellStart"/>
      <w:r w:rsidRPr="00912BEE">
        <w:rPr>
          <w:i/>
          <w:iCs/>
          <w:lang w:val="en-GB"/>
        </w:rPr>
        <w:t>Englishes</w:t>
      </w:r>
      <w:proofErr w:type="spellEnd"/>
      <w:r w:rsidRPr="00912BEE">
        <w:rPr>
          <w:lang w:val="en-GB"/>
        </w:rPr>
        <w:t xml:space="preserve">, </w:t>
      </w:r>
      <w:r w:rsidRPr="00912BEE">
        <w:rPr>
          <w:i/>
          <w:iCs/>
          <w:lang w:val="en-GB"/>
        </w:rPr>
        <w:t>16</w:t>
      </w:r>
      <w:r w:rsidRPr="00912BEE">
        <w:rPr>
          <w:lang w:val="en-GB"/>
        </w:rPr>
        <w:t>(3), 373-382.</w:t>
      </w:r>
    </w:p>
    <w:p w14:paraId="60C96719" w14:textId="77777777" w:rsidR="0028744E" w:rsidRPr="00912BEE" w:rsidRDefault="0028744E" w:rsidP="0028744E">
      <w:pPr>
        <w:ind w:left="708" w:hangingChars="295" w:hanging="708"/>
        <w:rPr>
          <w:lang w:val="en-GB"/>
        </w:rPr>
      </w:pPr>
      <w:r w:rsidRPr="00912BEE">
        <w:rPr>
          <w:lang w:val="en-GB"/>
        </w:rPr>
        <w:t xml:space="preserve">Swales, J. M. (1998). Language, science and scholarship. </w:t>
      </w:r>
      <w:r w:rsidRPr="00912BEE">
        <w:rPr>
          <w:i/>
          <w:iCs/>
          <w:lang w:val="en-GB"/>
        </w:rPr>
        <w:t>Asian Journal of English Language Teaching</w:t>
      </w:r>
      <w:r w:rsidRPr="00912BEE">
        <w:rPr>
          <w:lang w:val="en-GB"/>
        </w:rPr>
        <w:t>, 8, 1-18.</w:t>
      </w:r>
    </w:p>
    <w:p w14:paraId="6E7B8A5C" w14:textId="77777777" w:rsidR="0028744E" w:rsidRPr="00912BEE" w:rsidRDefault="0028744E" w:rsidP="0028744E">
      <w:pPr>
        <w:ind w:left="708" w:hangingChars="295" w:hanging="708"/>
        <w:rPr>
          <w:lang w:val="en-GB"/>
        </w:rPr>
      </w:pPr>
      <w:r w:rsidRPr="00912BEE">
        <w:rPr>
          <w:lang w:val="en-GB"/>
        </w:rPr>
        <w:t xml:space="preserve">Swales, J. M. (1998). </w:t>
      </w:r>
      <w:proofErr w:type="spellStart"/>
      <w:r w:rsidRPr="00912BEE">
        <w:rPr>
          <w:lang w:val="en-GB"/>
        </w:rPr>
        <w:t>Textography</w:t>
      </w:r>
      <w:proofErr w:type="spellEnd"/>
      <w:r w:rsidRPr="00912BEE">
        <w:rPr>
          <w:lang w:val="en-GB"/>
        </w:rPr>
        <w:t xml:space="preserve">: Toward a contextualization of written academic discourse. </w:t>
      </w:r>
      <w:r w:rsidRPr="00912BEE">
        <w:rPr>
          <w:i/>
          <w:iCs/>
          <w:lang w:val="en-GB"/>
        </w:rPr>
        <w:t>Research on Language and Social Interaction</w:t>
      </w:r>
      <w:r w:rsidRPr="00912BEE">
        <w:rPr>
          <w:lang w:val="en-GB"/>
        </w:rPr>
        <w:t xml:space="preserve">, </w:t>
      </w:r>
      <w:r w:rsidRPr="00912BEE">
        <w:rPr>
          <w:i/>
          <w:iCs/>
          <w:lang w:val="en-GB"/>
        </w:rPr>
        <w:t>31</w:t>
      </w:r>
      <w:r w:rsidRPr="00912BEE">
        <w:rPr>
          <w:lang w:val="en-GB"/>
        </w:rPr>
        <w:t>(1), 109-121.</w:t>
      </w:r>
    </w:p>
    <w:p w14:paraId="7ED7EA8D" w14:textId="77777777" w:rsidR="0028744E" w:rsidRPr="00912BEE" w:rsidRDefault="0028744E" w:rsidP="0028744E">
      <w:pPr>
        <w:ind w:left="708" w:hangingChars="295" w:hanging="708"/>
        <w:rPr>
          <w:lang w:val="en-GB"/>
        </w:rPr>
      </w:pPr>
      <w:r w:rsidRPr="00912BEE">
        <w:rPr>
          <w:lang w:val="en-GB"/>
        </w:rPr>
        <w:t xml:space="preserve">Swales, J. M. (2000). Languages for specific purposes. </w:t>
      </w:r>
      <w:r w:rsidRPr="00912BEE">
        <w:rPr>
          <w:i/>
          <w:iCs/>
          <w:lang w:val="en-GB"/>
        </w:rPr>
        <w:t>Annual Review of Applied Linguistics</w:t>
      </w:r>
      <w:r w:rsidRPr="00912BEE">
        <w:rPr>
          <w:lang w:val="en-GB"/>
        </w:rPr>
        <w:t>, 20, 59-76.</w:t>
      </w:r>
    </w:p>
    <w:p w14:paraId="2AC4070C" w14:textId="77777777" w:rsidR="0028744E" w:rsidRPr="00912BEE" w:rsidRDefault="0028744E" w:rsidP="0028744E">
      <w:pPr>
        <w:ind w:left="708" w:hangingChars="295" w:hanging="708"/>
        <w:rPr>
          <w:lang w:val="en-GB"/>
        </w:rPr>
      </w:pPr>
      <w:r w:rsidRPr="00912BEE">
        <w:rPr>
          <w:lang w:val="en-GB"/>
        </w:rPr>
        <w:t xml:space="preserve">Swales, J. M. (2001). Metatalk in American academic talk: The cases of </w:t>
      </w:r>
      <w:r w:rsidRPr="00912BEE">
        <w:rPr>
          <w:i/>
          <w:iCs/>
          <w:lang w:val="en-GB"/>
        </w:rPr>
        <w:t>point</w:t>
      </w:r>
      <w:r w:rsidRPr="00912BEE">
        <w:rPr>
          <w:lang w:val="en-GB"/>
        </w:rPr>
        <w:t xml:space="preserve"> and </w:t>
      </w:r>
      <w:r w:rsidRPr="00912BEE">
        <w:rPr>
          <w:i/>
          <w:iCs/>
          <w:lang w:val="en-GB"/>
        </w:rPr>
        <w:t>thing</w:t>
      </w:r>
      <w:r w:rsidRPr="00912BEE">
        <w:rPr>
          <w:lang w:val="en-GB"/>
        </w:rPr>
        <w:t xml:space="preserve">. </w:t>
      </w:r>
      <w:r w:rsidRPr="00912BEE">
        <w:rPr>
          <w:i/>
          <w:iCs/>
          <w:lang w:val="en-GB"/>
        </w:rPr>
        <w:t>Journal of English Linguistics</w:t>
      </w:r>
      <w:r w:rsidRPr="00912BEE">
        <w:rPr>
          <w:lang w:val="en-GB"/>
        </w:rPr>
        <w:t xml:space="preserve">, </w:t>
      </w:r>
      <w:r w:rsidRPr="00912BEE">
        <w:rPr>
          <w:i/>
          <w:iCs/>
          <w:lang w:val="en-GB"/>
        </w:rPr>
        <w:t>29</w:t>
      </w:r>
      <w:r w:rsidRPr="00912BEE">
        <w:rPr>
          <w:lang w:val="en-GB"/>
        </w:rPr>
        <w:t>(1), 34-54.</w:t>
      </w:r>
    </w:p>
    <w:p w14:paraId="0ECBB389" w14:textId="77777777" w:rsidR="0028744E" w:rsidRPr="00912BEE" w:rsidRDefault="0028744E" w:rsidP="0028744E">
      <w:pPr>
        <w:ind w:left="708" w:hangingChars="295" w:hanging="708"/>
        <w:rPr>
          <w:lang w:val="en-GB"/>
        </w:rPr>
      </w:pPr>
      <w:r w:rsidRPr="00912BEE">
        <w:rPr>
          <w:lang w:val="en-GB"/>
        </w:rPr>
        <w:lastRenderedPageBreak/>
        <w:t xml:space="preserve">Swales, J. M. (2004). Then and now: A reconsideration of the first corpus of scientific English. </w:t>
      </w:r>
      <w:r w:rsidRPr="00912BEE">
        <w:rPr>
          <w:i/>
          <w:iCs/>
          <w:lang w:val="en-GB"/>
        </w:rPr>
        <w:t>Iberica</w:t>
      </w:r>
      <w:r w:rsidRPr="00912BEE">
        <w:rPr>
          <w:lang w:val="en-GB"/>
        </w:rPr>
        <w:t>, 8, 5-22.</w:t>
      </w:r>
    </w:p>
    <w:p w14:paraId="1FA3B655" w14:textId="12923FFF" w:rsidR="00927AF4" w:rsidRPr="00912BEE" w:rsidRDefault="00927AF4" w:rsidP="00927AF4">
      <w:pPr>
        <w:ind w:left="708" w:hangingChars="295" w:hanging="708"/>
        <w:rPr>
          <w:lang w:val="en-GB"/>
        </w:rPr>
      </w:pPr>
      <w:r w:rsidRPr="00912BEE">
        <w:rPr>
          <w:lang w:val="en-GB"/>
        </w:rPr>
        <w:t xml:space="preserve">Swales, J. M. (2005). Attended and unattended “this” in academic writing: A long and unfinished story. </w:t>
      </w:r>
      <w:r w:rsidRPr="00912BEE">
        <w:rPr>
          <w:i/>
          <w:iCs/>
          <w:lang w:val="en-GB"/>
        </w:rPr>
        <w:t>ESP Malaysia</w:t>
      </w:r>
      <w:r w:rsidRPr="00912BEE">
        <w:rPr>
          <w:lang w:val="en-GB"/>
        </w:rPr>
        <w:t xml:space="preserve">, </w:t>
      </w:r>
      <w:r w:rsidRPr="00912BEE">
        <w:rPr>
          <w:i/>
          <w:iCs/>
          <w:lang w:val="en-GB"/>
        </w:rPr>
        <w:t>11</w:t>
      </w:r>
      <w:r w:rsidRPr="00912BEE">
        <w:rPr>
          <w:lang w:val="en-GB"/>
        </w:rPr>
        <w:t>(1), 1-15.</w:t>
      </w:r>
    </w:p>
    <w:p w14:paraId="6E105D38" w14:textId="47DD0CD7" w:rsidR="00927AF4" w:rsidRPr="00912BEE" w:rsidRDefault="00927AF4" w:rsidP="00927AF4">
      <w:pPr>
        <w:ind w:left="708" w:hangingChars="295" w:hanging="708"/>
        <w:rPr>
          <w:lang w:val="en-GB"/>
        </w:rPr>
      </w:pPr>
      <w:r w:rsidRPr="00912BEE">
        <w:rPr>
          <w:lang w:val="en-GB"/>
        </w:rPr>
        <w:t>Swales, J. M. (2009). When there is no perfect text: Approaches to the EAP practitioner's dilemma.</w:t>
      </w:r>
      <w:r w:rsidRPr="00912BEE">
        <w:rPr>
          <w:i/>
          <w:iCs/>
          <w:lang w:val="en-GB"/>
        </w:rPr>
        <w:t xml:space="preserve"> Journal of English for Academic Purposes</w:t>
      </w:r>
      <w:r w:rsidRPr="00912BEE">
        <w:rPr>
          <w:lang w:val="en-GB"/>
        </w:rPr>
        <w:t xml:space="preserve">, </w:t>
      </w:r>
      <w:r w:rsidRPr="00912BEE">
        <w:rPr>
          <w:i/>
          <w:iCs/>
          <w:lang w:val="en-GB"/>
        </w:rPr>
        <w:t>8</w:t>
      </w:r>
      <w:r w:rsidRPr="00912BEE">
        <w:rPr>
          <w:lang w:val="en-GB"/>
        </w:rPr>
        <w:t>(1), 5-13.</w:t>
      </w:r>
    </w:p>
    <w:p w14:paraId="3BCEA21D" w14:textId="35A10D4B" w:rsidR="00927AF4" w:rsidRPr="00912BEE" w:rsidRDefault="00927AF4" w:rsidP="00927AF4">
      <w:pPr>
        <w:ind w:left="708" w:hangingChars="295" w:hanging="708"/>
        <w:rPr>
          <w:lang w:val="en-GB"/>
        </w:rPr>
      </w:pPr>
      <w:r w:rsidRPr="00912BEE">
        <w:rPr>
          <w:lang w:val="en-GB"/>
        </w:rPr>
        <w:t>Swales, J. M. (2009). Worlds of genre</w:t>
      </w:r>
      <w:r w:rsidR="00AC29A5" w:rsidRPr="00912BEE">
        <w:rPr>
          <w:lang w:val="en-GB"/>
        </w:rPr>
        <w:t xml:space="preserve">: </w:t>
      </w:r>
      <w:r w:rsidRPr="00912BEE">
        <w:rPr>
          <w:lang w:val="en-GB"/>
        </w:rPr>
        <w:t xml:space="preserve">metaphors of genre. </w:t>
      </w:r>
      <w:r w:rsidRPr="00912BEE">
        <w:rPr>
          <w:i/>
          <w:iCs/>
          <w:lang w:val="en-GB"/>
        </w:rPr>
        <w:t>Genre in a changing world</w:t>
      </w:r>
      <w:r w:rsidRPr="00912BEE">
        <w:rPr>
          <w:lang w:val="en-GB"/>
        </w:rPr>
        <w:t xml:space="preserve">, </w:t>
      </w:r>
      <w:r w:rsidRPr="00912BEE">
        <w:rPr>
          <w:i/>
          <w:iCs/>
          <w:lang w:val="en-GB"/>
        </w:rPr>
        <w:t>8</w:t>
      </w:r>
      <w:r w:rsidRPr="00912BEE">
        <w:rPr>
          <w:lang w:val="en-GB"/>
        </w:rPr>
        <w:t>(1), 3-16.</w:t>
      </w:r>
    </w:p>
    <w:p w14:paraId="7B0C6DF7" w14:textId="77777777" w:rsidR="006A574E" w:rsidRPr="00912BEE" w:rsidRDefault="006A574E" w:rsidP="006A574E">
      <w:pPr>
        <w:rPr>
          <w:lang w:val="en-GB"/>
        </w:rPr>
      </w:pPr>
    </w:p>
    <w:p w14:paraId="1717BD5B" w14:textId="273CEC9B" w:rsidR="006A574E" w:rsidRPr="00912BEE" w:rsidRDefault="006A574E" w:rsidP="006A574E">
      <w:pPr>
        <w:ind w:left="711" w:hangingChars="295" w:hanging="711"/>
        <w:rPr>
          <w:b/>
          <w:bCs/>
          <w:lang w:val="en-GB"/>
        </w:rPr>
      </w:pPr>
      <w:r w:rsidRPr="00912BEE">
        <w:rPr>
          <w:b/>
          <w:bCs/>
          <w:lang w:val="en-GB"/>
        </w:rPr>
        <w:t>3. 2010-2024</w:t>
      </w:r>
    </w:p>
    <w:p w14:paraId="2352597B" w14:textId="3809DF71" w:rsidR="0028744E" w:rsidRPr="00912BEE" w:rsidRDefault="0028744E" w:rsidP="0028744E">
      <w:pPr>
        <w:ind w:left="708" w:hangingChars="295" w:hanging="708"/>
        <w:rPr>
          <w:lang w:val="en-GB"/>
        </w:rPr>
      </w:pPr>
      <w:r w:rsidRPr="00912BEE">
        <w:rPr>
          <w:lang w:val="en-GB"/>
        </w:rPr>
        <w:t xml:space="preserve">Swales, J. M. (2011). </w:t>
      </w:r>
      <w:r w:rsidR="00F672A3" w:rsidRPr="00912BEE">
        <w:rPr>
          <w:lang w:val="en-GB"/>
        </w:rPr>
        <w:t>R</w:t>
      </w:r>
      <w:r w:rsidRPr="00912BEE">
        <w:rPr>
          <w:lang w:val="en-GB"/>
        </w:rPr>
        <w:t xml:space="preserve">eflections on the future of genre and L2 writing. </w:t>
      </w:r>
      <w:r w:rsidRPr="00912BEE">
        <w:rPr>
          <w:i/>
          <w:iCs/>
          <w:lang w:val="en-GB"/>
        </w:rPr>
        <w:t>Journal of Second Language Writing</w:t>
      </w:r>
      <w:r w:rsidRPr="00912BEE">
        <w:rPr>
          <w:lang w:val="en-GB"/>
        </w:rPr>
        <w:t xml:space="preserve">, </w:t>
      </w:r>
      <w:r w:rsidRPr="00912BEE">
        <w:rPr>
          <w:i/>
          <w:iCs/>
          <w:lang w:val="en-GB"/>
        </w:rPr>
        <w:t>20</w:t>
      </w:r>
      <w:r w:rsidRPr="00912BEE">
        <w:rPr>
          <w:lang w:val="en-GB"/>
        </w:rPr>
        <w:t>(1), 83-85.</w:t>
      </w:r>
    </w:p>
    <w:p w14:paraId="4026F9CC" w14:textId="39978110" w:rsidR="0028744E" w:rsidRPr="00912BEE" w:rsidRDefault="0028744E" w:rsidP="0028744E">
      <w:pPr>
        <w:ind w:left="708" w:hangingChars="295" w:hanging="708"/>
        <w:rPr>
          <w:lang w:val="en-GB"/>
        </w:rPr>
      </w:pPr>
      <w:r w:rsidRPr="00912BEE">
        <w:rPr>
          <w:lang w:val="en-GB"/>
        </w:rPr>
        <w:t xml:space="preserve">Swales, J. M. (2012). A text and its commentaries: Toward a reception history of “Genre in three traditions” (Hyon, 1996). </w:t>
      </w:r>
      <w:proofErr w:type="spellStart"/>
      <w:r w:rsidRPr="00912BEE">
        <w:rPr>
          <w:i/>
          <w:iCs/>
          <w:lang w:val="en-GB"/>
        </w:rPr>
        <w:t>Ibérica</w:t>
      </w:r>
      <w:proofErr w:type="spellEnd"/>
      <w:r w:rsidRPr="00912BEE">
        <w:rPr>
          <w:lang w:val="en-GB"/>
        </w:rPr>
        <w:t>, 24, 103-115.</w:t>
      </w:r>
    </w:p>
    <w:p w14:paraId="293F92A9" w14:textId="77777777" w:rsidR="0028744E" w:rsidRPr="00912BEE" w:rsidRDefault="0028744E" w:rsidP="0028744E">
      <w:pPr>
        <w:ind w:left="708" w:hangingChars="295" w:hanging="708"/>
        <w:rPr>
          <w:lang w:val="en-GB"/>
        </w:rPr>
      </w:pPr>
      <w:r w:rsidRPr="00912BEE">
        <w:rPr>
          <w:lang w:val="en-GB"/>
        </w:rPr>
        <w:t xml:space="preserve">Swales, J. M. (2014). Variation in citational practice in a corpus of student biology papers: From parenthetical plonking to intertextual storytelling. </w:t>
      </w:r>
      <w:r w:rsidRPr="00912BEE">
        <w:rPr>
          <w:i/>
          <w:iCs/>
          <w:lang w:val="en-GB"/>
        </w:rPr>
        <w:t>Written Communication</w:t>
      </w:r>
      <w:r w:rsidRPr="00912BEE">
        <w:rPr>
          <w:lang w:val="en-GB"/>
        </w:rPr>
        <w:t xml:space="preserve">, </w:t>
      </w:r>
      <w:r w:rsidRPr="00912BEE">
        <w:rPr>
          <w:i/>
          <w:iCs/>
          <w:lang w:val="en-GB"/>
        </w:rPr>
        <w:t>31</w:t>
      </w:r>
      <w:r w:rsidRPr="00912BEE">
        <w:rPr>
          <w:lang w:val="en-GB"/>
        </w:rPr>
        <w:t>(1), 118-141.</w:t>
      </w:r>
    </w:p>
    <w:p w14:paraId="1D007A4A" w14:textId="1AD3265D" w:rsidR="0028744E" w:rsidRPr="00912BEE" w:rsidRDefault="0028744E" w:rsidP="0028744E">
      <w:pPr>
        <w:ind w:left="708" w:hangingChars="295" w:hanging="708"/>
        <w:rPr>
          <w:lang w:val="en-GB"/>
        </w:rPr>
      </w:pPr>
      <w:r w:rsidRPr="00912BEE">
        <w:rPr>
          <w:lang w:val="en-GB"/>
        </w:rPr>
        <w:t xml:space="preserve">Swales, J. M. (2016). Configuring image and context: Writing ‘about’ pictures. </w:t>
      </w:r>
      <w:r w:rsidRPr="00912BEE">
        <w:rPr>
          <w:i/>
          <w:iCs/>
          <w:lang w:val="en-GB"/>
        </w:rPr>
        <w:t>English for Specific Purposes</w:t>
      </w:r>
      <w:r w:rsidRPr="00912BEE">
        <w:rPr>
          <w:lang w:val="en-GB"/>
        </w:rPr>
        <w:t>, 41, 22-35.</w:t>
      </w:r>
    </w:p>
    <w:p w14:paraId="7DFDB588" w14:textId="04D07D9E" w:rsidR="0028744E" w:rsidRPr="00912BEE" w:rsidRDefault="0028744E" w:rsidP="0028744E">
      <w:pPr>
        <w:ind w:left="708" w:hangingChars="295" w:hanging="708"/>
        <w:rPr>
          <w:lang w:val="en-GB"/>
        </w:rPr>
      </w:pPr>
      <w:r w:rsidRPr="00912BEE">
        <w:rPr>
          <w:lang w:val="en-GB"/>
        </w:rPr>
        <w:t xml:space="preserve">Swales, J. M. (2016). Reflections on the concept of discourse community. </w:t>
      </w:r>
      <w:r w:rsidRPr="00912BEE">
        <w:rPr>
          <w:i/>
          <w:iCs/>
          <w:lang w:val="en-GB"/>
        </w:rPr>
        <w:t>Asp: la revue du GERAS</w:t>
      </w:r>
      <w:r w:rsidRPr="00912BEE">
        <w:rPr>
          <w:lang w:val="en-GB"/>
        </w:rPr>
        <w:t>, 69, 7-19.</w:t>
      </w:r>
    </w:p>
    <w:p w14:paraId="092A1F77" w14:textId="77777777" w:rsidR="0028744E" w:rsidRPr="00912BEE" w:rsidRDefault="0028744E" w:rsidP="0028744E">
      <w:pPr>
        <w:ind w:left="708" w:hangingChars="295" w:hanging="708"/>
        <w:rPr>
          <w:lang w:val="en-GB"/>
        </w:rPr>
      </w:pPr>
      <w:r w:rsidRPr="00912BEE">
        <w:rPr>
          <w:lang w:val="en-GB"/>
        </w:rPr>
        <w:t xml:space="preserve">Swales, J. M. (2017). Standardisation and its discontents. In </w:t>
      </w:r>
      <w:r w:rsidRPr="00912BEE">
        <w:rPr>
          <w:i/>
          <w:iCs/>
          <w:lang w:val="en-GB"/>
        </w:rPr>
        <w:t>Publishing research in English as an additional language: Practices, pathways and potentials</w:t>
      </w:r>
      <w:r w:rsidRPr="00912BEE">
        <w:rPr>
          <w:lang w:val="en-GB"/>
        </w:rPr>
        <w:t>, 239-253.</w:t>
      </w:r>
    </w:p>
    <w:p w14:paraId="4AE373EF" w14:textId="77777777" w:rsidR="0028744E" w:rsidRPr="00912BEE" w:rsidRDefault="0028744E" w:rsidP="0028744E">
      <w:pPr>
        <w:ind w:left="708" w:hangingChars="295" w:hanging="708"/>
        <w:rPr>
          <w:lang w:val="en-GB"/>
        </w:rPr>
      </w:pPr>
      <w:r w:rsidRPr="00912BEE">
        <w:rPr>
          <w:lang w:val="en-GB"/>
        </w:rPr>
        <w:t xml:space="preserve">Swales, J. M. (2019). The futures of EAP genre studies: A personal viewpoint. </w:t>
      </w:r>
      <w:r w:rsidRPr="00912BEE">
        <w:rPr>
          <w:i/>
          <w:iCs/>
          <w:lang w:val="en-GB"/>
        </w:rPr>
        <w:t>Journal of English for Academic Purposes</w:t>
      </w:r>
      <w:r w:rsidRPr="00912BEE">
        <w:rPr>
          <w:lang w:val="en-GB"/>
        </w:rPr>
        <w:t>, 38, 75-82.</w:t>
      </w:r>
    </w:p>
    <w:p w14:paraId="10EC3338" w14:textId="77777777" w:rsidR="0028744E" w:rsidRPr="00912BEE" w:rsidRDefault="0028744E" w:rsidP="0028744E">
      <w:pPr>
        <w:ind w:left="708" w:hangingChars="295" w:hanging="708"/>
        <w:rPr>
          <w:lang w:val="en-GB"/>
        </w:rPr>
      </w:pPr>
      <w:r w:rsidRPr="00912BEE">
        <w:rPr>
          <w:lang w:val="en-GB"/>
        </w:rPr>
        <w:t xml:space="preserve">Swales, J. M. (2019). Envoi. In </w:t>
      </w:r>
      <w:r w:rsidRPr="00912BEE">
        <w:rPr>
          <w:i/>
          <w:iCs/>
          <w:lang w:val="en-GB"/>
        </w:rPr>
        <w:t>Pedagogies and Policies for Publishing Research in English</w:t>
      </w:r>
      <w:r w:rsidRPr="00912BEE">
        <w:rPr>
          <w:lang w:val="en-GB"/>
        </w:rPr>
        <w:t xml:space="preserve"> (pp. 284-290). Routledge.</w:t>
      </w:r>
    </w:p>
    <w:p w14:paraId="48240A86" w14:textId="084AF2D8" w:rsidR="0028744E" w:rsidRPr="00912BEE" w:rsidRDefault="0028744E" w:rsidP="0028744E">
      <w:pPr>
        <w:ind w:left="708" w:hangingChars="295" w:hanging="708"/>
        <w:rPr>
          <w:lang w:val="en-GB"/>
        </w:rPr>
      </w:pPr>
      <w:r w:rsidRPr="00912BEE">
        <w:rPr>
          <w:lang w:val="en-GB"/>
        </w:rPr>
        <w:t xml:space="preserve">Swales, J. M. (2020). The paradox of value: Six treatments in search of the reader. In </w:t>
      </w:r>
      <w:r w:rsidRPr="00912BEE">
        <w:rPr>
          <w:i/>
          <w:iCs/>
          <w:lang w:val="en-GB"/>
        </w:rPr>
        <w:t>Economics and language</w:t>
      </w:r>
      <w:r w:rsidRPr="00912BEE">
        <w:rPr>
          <w:lang w:val="en-GB"/>
        </w:rPr>
        <w:t xml:space="preserve"> (pp. 223-239). Routledge.</w:t>
      </w:r>
    </w:p>
    <w:p w14:paraId="138858F5" w14:textId="39D3A719" w:rsidR="0028744E" w:rsidRPr="00912BEE" w:rsidRDefault="0028744E" w:rsidP="00970371">
      <w:pPr>
        <w:ind w:left="708" w:hangingChars="295" w:hanging="708"/>
        <w:rPr>
          <w:lang w:val="en-GB"/>
        </w:rPr>
      </w:pPr>
      <w:r w:rsidRPr="00912BEE">
        <w:rPr>
          <w:lang w:val="en-GB"/>
        </w:rPr>
        <w:lastRenderedPageBreak/>
        <w:t xml:space="preserve">Swales, J. (2020). ESP serial publications before The ESP Journal/English for Specific Purposes: Recollections and reflections of an old-timer. </w:t>
      </w:r>
      <w:r w:rsidRPr="00912BEE">
        <w:rPr>
          <w:i/>
          <w:iCs/>
          <w:lang w:val="en-GB"/>
        </w:rPr>
        <w:t>English for Specific Purposes</w:t>
      </w:r>
      <w:r w:rsidRPr="00912BEE">
        <w:rPr>
          <w:lang w:val="en-GB"/>
        </w:rPr>
        <w:t>, 60, 4-8.</w:t>
      </w:r>
      <w:bookmarkEnd w:id="4"/>
    </w:p>
    <w:sectPr w:rsidR="0028744E" w:rsidRPr="00912BEE">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D7434" w14:textId="77777777" w:rsidR="00D34CEB" w:rsidRDefault="00D34CEB" w:rsidP="005A2BB3">
      <w:pPr>
        <w:spacing w:line="240" w:lineRule="auto"/>
      </w:pPr>
      <w:r>
        <w:separator/>
      </w:r>
    </w:p>
  </w:endnote>
  <w:endnote w:type="continuationSeparator" w:id="0">
    <w:p w14:paraId="57287D97" w14:textId="77777777" w:rsidR="00D34CEB" w:rsidRDefault="00D34CEB" w:rsidP="005A2B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2241267"/>
      <w:docPartObj>
        <w:docPartGallery w:val="Page Numbers (Bottom of Page)"/>
        <w:docPartUnique/>
      </w:docPartObj>
    </w:sdtPr>
    <w:sdtEndPr>
      <w:rPr>
        <w:noProof/>
      </w:rPr>
    </w:sdtEndPr>
    <w:sdtContent>
      <w:p w14:paraId="5955ACF1" w14:textId="28538C7C" w:rsidR="008B0017" w:rsidRDefault="008B00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C6FC0D" w14:textId="77777777" w:rsidR="008B0017" w:rsidRDefault="008B00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3E5BD" w14:textId="77777777" w:rsidR="00D34CEB" w:rsidRDefault="00D34CEB" w:rsidP="005A2BB3">
      <w:pPr>
        <w:spacing w:line="240" w:lineRule="auto"/>
      </w:pPr>
      <w:r>
        <w:separator/>
      </w:r>
    </w:p>
  </w:footnote>
  <w:footnote w:type="continuationSeparator" w:id="0">
    <w:p w14:paraId="443BC1C3" w14:textId="77777777" w:rsidR="00D34CEB" w:rsidRDefault="00D34CEB" w:rsidP="005A2BB3">
      <w:pPr>
        <w:spacing w:line="240" w:lineRule="auto"/>
      </w:pPr>
      <w:r>
        <w:continuationSeparator/>
      </w:r>
    </w:p>
  </w:footnote>
  <w:footnote w:id="1">
    <w:p w14:paraId="6C384552" w14:textId="7C030E98" w:rsidR="007B56DF" w:rsidRPr="007B56DF" w:rsidRDefault="007B56DF">
      <w:pPr>
        <w:pStyle w:val="FootnoteText"/>
        <w:rPr>
          <w:lang w:val="en-GB"/>
        </w:rPr>
      </w:pPr>
      <w:r>
        <w:rPr>
          <w:rStyle w:val="FootnoteReference"/>
        </w:rPr>
        <w:footnoteRef/>
      </w:r>
      <w:r>
        <w:t xml:space="preserve"> </w:t>
      </w:r>
      <w:r w:rsidR="006A22A3">
        <w:t>Mid-</w:t>
      </w:r>
      <w:r w:rsidRPr="007B56DF">
        <w:t>September, 2025</w:t>
      </w:r>
    </w:p>
  </w:footnote>
  <w:footnote w:id="2">
    <w:p w14:paraId="0C7EDA1C" w14:textId="56DEC0CD" w:rsidR="009B1A74" w:rsidRPr="009B1A74" w:rsidRDefault="009B1A74">
      <w:pPr>
        <w:pStyle w:val="FootnoteText"/>
        <w:rPr>
          <w:lang w:val="en-GB"/>
        </w:rPr>
      </w:pPr>
      <w:r>
        <w:rPr>
          <w:rStyle w:val="FootnoteReference"/>
        </w:rPr>
        <w:footnoteRef/>
      </w:r>
      <w:r>
        <w:t xml:space="preserve"> Readers, and writers, might welcome E</w:t>
      </w:r>
      <w:r w:rsidRPr="009B1A74">
        <w:t xml:space="preserve">ditors and reviewers </w:t>
      </w:r>
      <w:r>
        <w:t>extending this</w:t>
      </w:r>
      <w:r w:rsidRPr="009B1A74">
        <w:t xml:space="preserve"> expression of a personal reflective style</w:t>
      </w:r>
      <w:r>
        <w:t xml:space="preserve"> to papers they receive</w:t>
      </w:r>
      <w:r w:rsidRPr="009B1A74">
        <w:t xml:space="preserve"> from less </w:t>
      </w:r>
      <w:r>
        <w:t>celebrated</w:t>
      </w:r>
      <w:r w:rsidRPr="009B1A74">
        <w:t xml:space="preserve"> authors</w:t>
      </w:r>
      <w:r>
        <w:t>, especially when o</w:t>
      </w:r>
      <w:r w:rsidRPr="009B1A74">
        <w:t>ur authentic human voice is now more than ever what distinguishes us from AI generated texts.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706B49"/>
    <w:multiLevelType w:val="hybridMultilevel"/>
    <w:tmpl w:val="38F2FC06"/>
    <w:name w:val="Numbered list 2"/>
    <w:lvl w:ilvl="0" w:tplc="3482E474">
      <w:numFmt w:val="bullet"/>
      <w:lvlText w:val=""/>
      <w:lvlJc w:val="left"/>
      <w:pPr>
        <w:ind w:left="360" w:firstLine="0"/>
      </w:pPr>
      <w:rPr>
        <w:rFonts w:ascii="Symbol" w:hAnsi="Symbol"/>
      </w:rPr>
    </w:lvl>
    <w:lvl w:ilvl="1" w:tplc="F7B21824">
      <w:numFmt w:val="bullet"/>
      <w:lvlText w:val="o"/>
      <w:lvlJc w:val="left"/>
      <w:pPr>
        <w:ind w:left="1080" w:firstLine="0"/>
      </w:pPr>
      <w:rPr>
        <w:rFonts w:ascii="Courier New" w:hAnsi="Courier New" w:cs="Courier New"/>
      </w:rPr>
    </w:lvl>
    <w:lvl w:ilvl="2" w:tplc="772A2116">
      <w:numFmt w:val="bullet"/>
      <w:lvlText w:val=""/>
      <w:lvlJc w:val="left"/>
      <w:pPr>
        <w:ind w:left="1800" w:firstLine="0"/>
      </w:pPr>
      <w:rPr>
        <w:rFonts w:ascii="Wingdings" w:eastAsia="Wingdings" w:hAnsi="Wingdings" w:cs="Wingdings"/>
      </w:rPr>
    </w:lvl>
    <w:lvl w:ilvl="3" w:tplc="9EBC29B4">
      <w:numFmt w:val="bullet"/>
      <w:lvlText w:val=""/>
      <w:lvlJc w:val="left"/>
      <w:pPr>
        <w:ind w:left="2520" w:firstLine="0"/>
      </w:pPr>
      <w:rPr>
        <w:rFonts w:ascii="Symbol" w:hAnsi="Symbol"/>
      </w:rPr>
    </w:lvl>
    <w:lvl w:ilvl="4" w:tplc="58FC4BD0">
      <w:numFmt w:val="bullet"/>
      <w:lvlText w:val="o"/>
      <w:lvlJc w:val="left"/>
      <w:pPr>
        <w:ind w:left="3240" w:firstLine="0"/>
      </w:pPr>
      <w:rPr>
        <w:rFonts w:ascii="Courier New" w:hAnsi="Courier New" w:cs="Courier New"/>
      </w:rPr>
    </w:lvl>
    <w:lvl w:ilvl="5" w:tplc="0322A3A6">
      <w:numFmt w:val="bullet"/>
      <w:lvlText w:val=""/>
      <w:lvlJc w:val="left"/>
      <w:pPr>
        <w:ind w:left="3960" w:firstLine="0"/>
      </w:pPr>
      <w:rPr>
        <w:rFonts w:ascii="Wingdings" w:eastAsia="Wingdings" w:hAnsi="Wingdings" w:cs="Wingdings"/>
      </w:rPr>
    </w:lvl>
    <w:lvl w:ilvl="6" w:tplc="9B8E1FA0">
      <w:numFmt w:val="bullet"/>
      <w:lvlText w:val=""/>
      <w:lvlJc w:val="left"/>
      <w:pPr>
        <w:ind w:left="4680" w:firstLine="0"/>
      </w:pPr>
      <w:rPr>
        <w:rFonts w:ascii="Symbol" w:hAnsi="Symbol"/>
      </w:rPr>
    </w:lvl>
    <w:lvl w:ilvl="7" w:tplc="A5EA75F6">
      <w:numFmt w:val="bullet"/>
      <w:lvlText w:val="o"/>
      <w:lvlJc w:val="left"/>
      <w:pPr>
        <w:ind w:left="5400" w:firstLine="0"/>
      </w:pPr>
      <w:rPr>
        <w:rFonts w:ascii="Courier New" w:hAnsi="Courier New" w:cs="Courier New"/>
      </w:rPr>
    </w:lvl>
    <w:lvl w:ilvl="8" w:tplc="E7FE937E">
      <w:numFmt w:val="bullet"/>
      <w:lvlText w:val=""/>
      <w:lvlJc w:val="left"/>
      <w:pPr>
        <w:ind w:left="6120" w:firstLine="0"/>
      </w:pPr>
      <w:rPr>
        <w:rFonts w:ascii="Wingdings" w:eastAsia="Wingdings" w:hAnsi="Wingdings" w:cs="Wingdings"/>
      </w:rPr>
    </w:lvl>
  </w:abstractNum>
  <w:abstractNum w:abstractNumId="1" w15:restartNumberingAfterBreak="0">
    <w:nsid w:val="38D74212"/>
    <w:multiLevelType w:val="hybridMultilevel"/>
    <w:tmpl w:val="57E68E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01C3AA9"/>
    <w:multiLevelType w:val="multilevel"/>
    <w:tmpl w:val="5F863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942B85"/>
    <w:multiLevelType w:val="hybridMultilevel"/>
    <w:tmpl w:val="B54EE816"/>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2A6631F"/>
    <w:multiLevelType w:val="hybridMultilevel"/>
    <w:tmpl w:val="FE687C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489087">
    <w:abstractNumId w:val="4"/>
  </w:num>
  <w:num w:numId="2" w16cid:durableId="922639042">
    <w:abstractNumId w:val="2"/>
  </w:num>
  <w:num w:numId="3" w16cid:durableId="2016419465">
    <w:abstractNumId w:val="1"/>
  </w:num>
  <w:num w:numId="4" w16cid:durableId="777062342">
    <w:abstractNumId w:val="3"/>
  </w:num>
  <w:num w:numId="5" w16cid:durableId="227348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A59"/>
    <w:rsid w:val="00003131"/>
    <w:rsid w:val="00003A18"/>
    <w:rsid w:val="00012982"/>
    <w:rsid w:val="000174B7"/>
    <w:rsid w:val="00020296"/>
    <w:rsid w:val="00020EDA"/>
    <w:rsid w:val="000257EF"/>
    <w:rsid w:val="00040C5B"/>
    <w:rsid w:val="00040F89"/>
    <w:rsid w:val="000417D6"/>
    <w:rsid w:val="00044F71"/>
    <w:rsid w:val="000543DD"/>
    <w:rsid w:val="000576AC"/>
    <w:rsid w:val="00060A72"/>
    <w:rsid w:val="0007056C"/>
    <w:rsid w:val="000775BE"/>
    <w:rsid w:val="00077E4D"/>
    <w:rsid w:val="000852BA"/>
    <w:rsid w:val="000963CF"/>
    <w:rsid w:val="000A0B65"/>
    <w:rsid w:val="000A1C58"/>
    <w:rsid w:val="000A3EC4"/>
    <w:rsid w:val="000A4C46"/>
    <w:rsid w:val="000B25AC"/>
    <w:rsid w:val="000B3C75"/>
    <w:rsid w:val="000D034C"/>
    <w:rsid w:val="000D232F"/>
    <w:rsid w:val="000D501B"/>
    <w:rsid w:val="000D771D"/>
    <w:rsid w:val="000F29F3"/>
    <w:rsid w:val="000F7A21"/>
    <w:rsid w:val="00102B0A"/>
    <w:rsid w:val="00110D70"/>
    <w:rsid w:val="00115376"/>
    <w:rsid w:val="001208BB"/>
    <w:rsid w:val="00122345"/>
    <w:rsid w:val="001307F8"/>
    <w:rsid w:val="00141448"/>
    <w:rsid w:val="00156230"/>
    <w:rsid w:val="001617E5"/>
    <w:rsid w:val="00171829"/>
    <w:rsid w:val="00182CA2"/>
    <w:rsid w:val="00184360"/>
    <w:rsid w:val="0018661F"/>
    <w:rsid w:val="001971F4"/>
    <w:rsid w:val="001A108A"/>
    <w:rsid w:val="001A71C4"/>
    <w:rsid w:val="001B1D56"/>
    <w:rsid w:val="001B1F02"/>
    <w:rsid w:val="001B2917"/>
    <w:rsid w:val="001B3657"/>
    <w:rsid w:val="001B4BB1"/>
    <w:rsid w:val="001C2AE3"/>
    <w:rsid w:val="001E435B"/>
    <w:rsid w:val="001E620F"/>
    <w:rsid w:val="001F4408"/>
    <w:rsid w:val="001F6F97"/>
    <w:rsid w:val="001F739A"/>
    <w:rsid w:val="001F7CC9"/>
    <w:rsid w:val="00217745"/>
    <w:rsid w:val="002246AD"/>
    <w:rsid w:val="00230BF0"/>
    <w:rsid w:val="0024382D"/>
    <w:rsid w:val="00246494"/>
    <w:rsid w:val="00246D9B"/>
    <w:rsid w:val="0025233A"/>
    <w:rsid w:val="0025264D"/>
    <w:rsid w:val="00254271"/>
    <w:rsid w:val="00265038"/>
    <w:rsid w:val="0027790F"/>
    <w:rsid w:val="00280802"/>
    <w:rsid w:val="00283740"/>
    <w:rsid w:val="0028744E"/>
    <w:rsid w:val="002879D1"/>
    <w:rsid w:val="00295B60"/>
    <w:rsid w:val="002A0DDA"/>
    <w:rsid w:val="002A2A2F"/>
    <w:rsid w:val="002A4E3E"/>
    <w:rsid w:val="002B247E"/>
    <w:rsid w:val="002C1401"/>
    <w:rsid w:val="002C720A"/>
    <w:rsid w:val="002D6262"/>
    <w:rsid w:val="002E1467"/>
    <w:rsid w:val="002E1DFE"/>
    <w:rsid w:val="002E6A9E"/>
    <w:rsid w:val="002E77B3"/>
    <w:rsid w:val="00303750"/>
    <w:rsid w:val="00307531"/>
    <w:rsid w:val="003133FE"/>
    <w:rsid w:val="003149EE"/>
    <w:rsid w:val="0032190F"/>
    <w:rsid w:val="00346EEA"/>
    <w:rsid w:val="00353E68"/>
    <w:rsid w:val="00356AF4"/>
    <w:rsid w:val="00364651"/>
    <w:rsid w:val="00365FB7"/>
    <w:rsid w:val="00376275"/>
    <w:rsid w:val="00377800"/>
    <w:rsid w:val="00394CBE"/>
    <w:rsid w:val="003B1599"/>
    <w:rsid w:val="003C1621"/>
    <w:rsid w:val="003D3B1F"/>
    <w:rsid w:val="003D5901"/>
    <w:rsid w:val="003E47F8"/>
    <w:rsid w:val="003E54A6"/>
    <w:rsid w:val="003F560C"/>
    <w:rsid w:val="003F744B"/>
    <w:rsid w:val="00400F10"/>
    <w:rsid w:val="0040639B"/>
    <w:rsid w:val="004112AA"/>
    <w:rsid w:val="0041146B"/>
    <w:rsid w:val="0041403A"/>
    <w:rsid w:val="00414401"/>
    <w:rsid w:val="0041674D"/>
    <w:rsid w:val="0044279A"/>
    <w:rsid w:val="00445186"/>
    <w:rsid w:val="004452F0"/>
    <w:rsid w:val="00445727"/>
    <w:rsid w:val="00460E7A"/>
    <w:rsid w:val="0046424C"/>
    <w:rsid w:val="00464546"/>
    <w:rsid w:val="004A2B58"/>
    <w:rsid w:val="004A32B5"/>
    <w:rsid w:val="004B025C"/>
    <w:rsid w:val="004B1A40"/>
    <w:rsid w:val="004C0D42"/>
    <w:rsid w:val="004C185F"/>
    <w:rsid w:val="004C2431"/>
    <w:rsid w:val="004D16DA"/>
    <w:rsid w:val="004D30A5"/>
    <w:rsid w:val="004F608A"/>
    <w:rsid w:val="00500EA2"/>
    <w:rsid w:val="0052327C"/>
    <w:rsid w:val="00527ADF"/>
    <w:rsid w:val="005348FA"/>
    <w:rsid w:val="00536B24"/>
    <w:rsid w:val="00542954"/>
    <w:rsid w:val="00546B0E"/>
    <w:rsid w:val="00551651"/>
    <w:rsid w:val="005541B5"/>
    <w:rsid w:val="005663DC"/>
    <w:rsid w:val="00576972"/>
    <w:rsid w:val="00580B76"/>
    <w:rsid w:val="00581EC5"/>
    <w:rsid w:val="00582082"/>
    <w:rsid w:val="00592771"/>
    <w:rsid w:val="005973AF"/>
    <w:rsid w:val="005A2BB3"/>
    <w:rsid w:val="005A4780"/>
    <w:rsid w:val="005B0F75"/>
    <w:rsid w:val="005B31AF"/>
    <w:rsid w:val="005B3279"/>
    <w:rsid w:val="005C2EDF"/>
    <w:rsid w:val="005C4B7C"/>
    <w:rsid w:val="005C76AB"/>
    <w:rsid w:val="005D07CE"/>
    <w:rsid w:val="005D224F"/>
    <w:rsid w:val="005F7EC6"/>
    <w:rsid w:val="006037A3"/>
    <w:rsid w:val="00605B8D"/>
    <w:rsid w:val="00611825"/>
    <w:rsid w:val="00614423"/>
    <w:rsid w:val="00615865"/>
    <w:rsid w:val="00615DCF"/>
    <w:rsid w:val="0061659D"/>
    <w:rsid w:val="006312C6"/>
    <w:rsid w:val="00647823"/>
    <w:rsid w:val="006535E1"/>
    <w:rsid w:val="006647D3"/>
    <w:rsid w:val="0067080D"/>
    <w:rsid w:val="00671501"/>
    <w:rsid w:val="00671C57"/>
    <w:rsid w:val="006746BD"/>
    <w:rsid w:val="00686738"/>
    <w:rsid w:val="00690568"/>
    <w:rsid w:val="00692C01"/>
    <w:rsid w:val="00693092"/>
    <w:rsid w:val="00694C3C"/>
    <w:rsid w:val="006A22A3"/>
    <w:rsid w:val="006A574E"/>
    <w:rsid w:val="006B4A21"/>
    <w:rsid w:val="006D2EDE"/>
    <w:rsid w:val="006D3C1A"/>
    <w:rsid w:val="006E2C80"/>
    <w:rsid w:val="006E6C06"/>
    <w:rsid w:val="006F3CE9"/>
    <w:rsid w:val="00703AB3"/>
    <w:rsid w:val="0070460E"/>
    <w:rsid w:val="00704C85"/>
    <w:rsid w:val="00715E3B"/>
    <w:rsid w:val="00721087"/>
    <w:rsid w:val="0072386B"/>
    <w:rsid w:val="00724420"/>
    <w:rsid w:val="00724B8C"/>
    <w:rsid w:val="007267D5"/>
    <w:rsid w:val="00730298"/>
    <w:rsid w:val="007351A6"/>
    <w:rsid w:val="00742F01"/>
    <w:rsid w:val="007442EF"/>
    <w:rsid w:val="00744451"/>
    <w:rsid w:val="00745F76"/>
    <w:rsid w:val="00745FF4"/>
    <w:rsid w:val="007461FB"/>
    <w:rsid w:val="00766187"/>
    <w:rsid w:val="00770A7E"/>
    <w:rsid w:val="00790234"/>
    <w:rsid w:val="0079155F"/>
    <w:rsid w:val="00791EC5"/>
    <w:rsid w:val="007B56DF"/>
    <w:rsid w:val="007B6947"/>
    <w:rsid w:val="007B78CE"/>
    <w:rsid w:val="007C2A05"/>
    <w:rsid w:val="007D102E"/>
    <w:rsid w:val="007E1257"/>
    <w:rsid w:val="007E1AAF"/>
    <w:rsid w:val="007E7F1A"/>
    <w:rsid w:val="008254BA"/>
    <w:rsid w:val="00831155"/>
    <w:rsid w:val="0084284D"/>
    <w:rsid w:val="00845B75"/>
    <w:rsid w:val="008473DC"/>
    <w:rsid w:val="00851F51"/>
    <w:rsid w:val="0085584C"/>
    <w:rsid w:val="0085798D"/>
    <w:rsid w:val="00860A0E"/>
    <w:rsid w:val="0087365C"/>
    <w:rsid w:val="00890BEB"/>
    <w:rsid w:val="00894C6F"/>
    <w:rsid w:val="008B0017"/>
    <w:rsid w:val="008B22AB"/>
    <w:rsid w:val="008D0B05"/>
    <w:rsid w:val="008D102C"/>
    <w:rsid w:val="008D443E"/>
    <w:rsid w:val="008D6620"/>
    <w:rsid w:val="008E2F48"/>
    <w:rsid w:val="008E4BC2"/>
    <w:rsid w:val="008F6A4D"/>
    <w:rsid w:val="00904F77"/>
    <w:rsid w:val="00912BEE"/>
    <w:rsid w:val="00913D98"/>
    <w:rsid w:val="00914040"/>
    <w:rsid w:val="009174D8"/>
    <w:rsid w:val="0092167E"/>
    <w:rsid w:val="009228B6"/>
    <w:rsid w:val="00925D26"/>
    <w:rsid w:val="009260D8"/>
    <w:rsid w:val="00927AF4"/>
    <w:rsid w:val="00931C5A"/>
    <w:rsid w:val="00936CA3"/>
    <w:rsid w:val="0093722A"/>
    <w:rsid w:val="009454DC"/>
    <w:rsid w:val="009465C8"/>
    <w:rsid w:val="00952B50"/>
    <w:rsid w:val="00953762"/>
    <w:rsid w:val="009566E6"/>
    <w:rsid w:val="00961B7B"/>
    <w:rsid w:val="00970371"/>
    <w:rsid w:val="00970760"/>
    <w:rsid w:val="00971747"/>
    <w:rsid w:val="00973D96"/>
    <w:rsid w:val="009800F2"/>
    <w:rsid w:val="0098091D"/>
    <w:rsid w:val="00990F65"/>
    <w:rsid w:val="00993959"/>
    <w:rsid w:val="00993C1B"/>
    <w:rsid w:val="0099546D"/>
    <w:rsid w:val="0099549A"/>
    <w:rsid w:val="00997E09"/>
    <w:rsid w:val="009A6DE2"/>
    <w:rsid w:val="009B1A74"/>
    <w:rsid w:val="009B6FA8"/>
    <w:rsid w:val="009C2B4F"/>
    <w:rsid w:val="009C40EE"/>
    <w:rsid w:val="009E2D60"/>
    <w:rsid w:val="009E3B1C"/>
    <w:rsid w:val="009F721C"/>
    <w:rsid w:val="009F7C77"/>
    <w:rsid w:val="00A02671"/>
    <w:rsid w:val="00A1042B"/>
    <w:rsid w:val="00A127FE"/>
    <w:rsid w:val="00A13DD6"/>
    <w:rsid w:val="00A154FE"/>
    <w:rsid w:val="00A267A6"/>
    <w:rsid w:val="00A348EC"/>
    <w:rsid w:val="00A35CB5"/>
    <w:rsid w:val="00A43569"/>
    <w:rsid w:val="00A637E2"/>
    <w:rsid w:val="00A744B8"/>
    <w:rsid w:val="00A81F7F"/>
    <w:rsid w:val="00A85FCF"/>
    <w:rsid w:val="00A91765"/>
    <w:rsid w:val="00A92837"/>
    <w:rsid w:val="00A92B92"/>
    <w:rsid w:val="00A94D6C"/>
    <w:rsid w:val="00AA73B1"/>
    <w:rsid w:val="00AB564A"/>
    <w:rsid w:val="00AC2201"/>
    <w:rsid w:val="00AC29A5"/>
    <w:rsid w:val="00AC5080"/>
    <w:rsid w:val="00AD42B8"/>
    <w:rsid w:val="00AD4835"/>
    <w:rsid w:val="00AD4FAB"/>
    <w:rsid w:val="00AD5798"/>
    <w:rsid w:val="00AF304F"/>
    <w:rsid w:val="00AF6116"/>
    <w:rsid w:val="00B02876"/>
    <w:rsid w:val="00B175B7"/>
    <w:rsid w:val="00B42D92"/>
    <w:rsid w:val="00B47B13"/>
    <w:rsid w:val="00B836E4"/>
    <w:rsid w:val="00B86D95"/>
    <w:rsid w:val="00B900F5"/>
    <w:rsid w:val="00B93A08"/>
    <w:rsid w:val="00B93E43"/>
    <w:rsid w:val="00BA0012"/>
    <w:rsid w:val="00BB00A6"/>
    <w:rsid w:val="00BB02FE"/>
    <w:rsid w:val="00BB483C"/>
    <w:rsid w:val="00BC3207"/>
    <w:rsid w:val="00BD5A7E"/>
    <w:rsid w:val="00BE3C64"/>
    <w:rsid w:val="00BE5E86"/>
    <w:rsid w:val="00BF6412"/>
    <w:rsid w:val="00C0092D"/>
    <w:rsid w:val="00C011F9"/>
    <w:rsid w:val="00C15B13"/>
    <w:rsid w:val="00C3072D"/>
    <w:rsid w:val="00C41E79"/>
    <w:rsid w:val="00C55320"/>
    <w:rsid w:val="00C63F2C"/>
    <w:rsid w:val="00C64A1E"/>
    <w:rsid w:val="00C6535D"/>
    <w:rsid w:val="00C664EF"/>
    <w:rsid w:val="00C82A06"/>
    <w:rsid w:val="00C845C6"/>
    <w:rsid w:val="00C95FD6"/>
    <w:rsid w:val="00C9719B"/>
    <w:rsid w:val="00CA16DC"/>
    <w:rsid w:val="00CA1B7E"/>
    <w:rsid w:val="00CA5257"/>
    <w:rsid w:val="00CA7EFC"/>
    <w:rsid w:val="00CB6437"/>
    <w:rsid w:val="00CB7CB7"/>
    <w:rsid w:val="00CE4DBE"/>
    <w:rsid w:val="00CE641D"/>
    <w:rsid w:val="00CF0F41"/>
    <w:rsid w:val="00CF19FC"/>
    <w:rsid w:val="00CF5B59"/>
    <w:rsid w:val="00D014C4"/>
    <w:rsid w:val="00D10DE1"/>
    <w:rsid w:val="00D225E4"/>
    <w:rsid w:val="00D30212"/>
    <w:rsid w:val="00D3042B"/>
    <w:rsid w:val="00D30455"/>
    <w:rsid w:val="00D34CEB"/>
    <w:rsid w:val="00D355E8"/>
    <w:rsid w:val="00D365A8"/>
    <w:rsid w:val="00D401CA"/>
    <w:rsid w:val="00D436E8"/>
    <w:rsid w:val="00D43A03"/>
    <w:rsid w:val="00D443FB"/>
    <w:rsid w:val="00D45238"/>
    <w:rsid w:val="00D46D70"/>
    <w:rsid w:val="00D626A1"/>
    <w:rsid w:val="00D72449"/>
    <w:rsid w:val="00D843B9"/>
    <w:rsid w:val="00D90CDD"/>
    <w:rsid w:val="00D921D5"/>
    <w:rsid w:val="00D92B07"/>
    <w:rsid w:val="00D936BC"/>
    <w:rsid w:val="00D96EB1"/>
    <w:rsid w:val="00DA31DF"/>
    <w:rsid w:val="00DB3308"/>
    <w:rsid w:val="00DB3A2E"/>
    <w:rsid w:val="00DC3733"/>
    <w:rsid w:val="00DD4ED5"/>
    <w:rsid w:val="00DE0911"/>
    <w:rsid w:val="00DE0AC5"/>
    <w:rsid w:val="00DE2D79"/>
    <w:rsid w:val="00DF1016"/>
    <w:rsid w:val="00DF1CA1"/>
    <w:rsid w:val="00DF2171"/>
    <w:rsid w:val="00DF28E9"/>
    <w:rsid w:val="00DF3960"/>
    <w:rsid w:val="00DF5DB1"/>
    <w:rsid w:val="00E12E4F"/>
    <w:rsid w:val="00E1455F"/>
    <w:rsid w:val="00E27386"/>
    <w:rsid w:val="00E27BAB"/>
    <w:rsid w:val="00E30284"/>
    <w:rsid w:val="00E3590E"/>
    <w:rsid w:val="00E35921"/>
    <w:rsid w:val="00E56525"/>
    <w:rsid w:val="00E56BA1"/>
    <w:rsid w:val="00E572EA"/>
    <w:rsid w:val="00E704B7"/>
    <w:rsid w:val="00E72637"/>
    <w:rsid w:val="00E72BE9"/>
    <w:rsid w:val="00E75338"/>
    <w:rsid w:val="00E80147"/>
    <w:rsid w:val="00E807C4"/>
    <w:rsid w:val="00E80D72"/>
    <w:rsid w:val="00E825FB"/>
    <w:rsid w:val="00E913B1"/>
    <w:rsid w:val="00E955F7"/>
    <w:rsid w:val="00E96C46"/>
    <w:rsid w:val="00EB257A"/>
    <w:rsid w:val="00EB2A39"/>
    <w:rsid w:val="00EB3A59"/>
    <w:rsid w:val="00EB65B2"/>
    <w:rsid w:val="00EB772C"/>
    <w:rsid w:val="00EC4BE7"/>
    <w:rsid w:val="00EC5AE8"/>
    <w:rsid w:val="00EC6328"/>
    <w:rsid w:val="00EE3DB6"/>
    <w:rsid w:val="00EE3FB7"/>
    <w:rsid w:val="00EE64FE"/>
    <w:rsid w:val="00EF6F24"/>
    <w:rsid w:val="00EF78DE"/>
    <w:rsid w:val="00EF7D29"/>
    <w:rsid w:val="00F04303"/>
    <w:rsid w:val="00F131BE"/>
    <w:rsid w:val="00F14489"/>
    <w:rsid w:val="00F16A97"/>
    <w:rsid w:val="00F26981"/>
    <w:rsid w:val="00F31F46"/>
    <w:rsid w:val="00F32239"/>
    <w:rsid w:val="00F40B26"/>
    <w:rsid w:val="00F47416"/>
    <w:rsid w:val="00F51936"/>
    <w:rsid w:val="00F57247"/>
    <w:rsid w:val="00F61F6A"/>
    <w:rsid w:val="00F672A3"/>
    <w:rsid w:val="00F7013F"/>
    <w:rsid w:val="00F730E6"/>
    <w:rsid w:val="00F7407D"/>
    <w:rsid w:val="00F774AF"/>
    <w:rsid w:val="00F77EB2"/>
    <w:rsid w:val="00F81A85"/>
    <w:rsid w:val="00F82903"/>
    <w:rsid w:val="00F8734A"/>
    <w:rsid w:val="00F90EE9"/>
    <w:rsid w:val="00FA0368"/>
    <w:rsid w:val="00FB0D69"/>
    <w:rsid w:val="00FB182A"/>
    <w:rsid w:val="00FB43F6"/>
    <w:rsid w:val="00FB4D58"/>
    <w:rsid w:val="00FB6123"/>
    <w:rsid w:val="00FC2D1B"/>
    <w:rsid w:val="00FC6D4E"/>
    <w:rsid w:val="00FD6264"/>
    <w:rsid w:val="00FD6B72"/>
    <w:rsid w:val="00FD6B89"/>
    <w:rsid w:val="00FD754F"/>
    <w:rsid w:val="00FD7C4B"/>
    <w:rsid w:val="00FE21E4"/>
    <w:rsid w:val="00FE3B37"/>
    <w:rsid w:val="00FF504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88E0E1"/>
  <w15:chartTrackingRefBased/>
  <w15:docId w15:val="{13B4E8C9-74A8-42A2-8A65-63D79D138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heme="minorBidi"/>
        <w:kern w:val="2"/>
        <w:sz w:val="24"/>
        <w:szCs w:val="22"/>
        <w:lang w:val="en-US" w:eastAsia="zh-CN"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3A59"/>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EB3A5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EB3A59"/>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EB3A59"/>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EB3A59"/>
    <w:pPr>
      <w:keepNext/>
      <w:keepLines/>
      <w:spacing w:before="80" w:after="40"/>
      <w:outlineLvl w:val="4"/>
    </w:pPr>
    <w:rPr>
      <w:rFonts w:asciiTheme="minorHAnsi" w:eastAsiaTheme="minorEastAsia" w:hAnsiTheme="minorHAnsi" w:cstheme="majorBidi"/>
      <w:color w:val="0F4761" w:themeColor="accent1" w:themeShade="BF"/>
      <w:szCs w:val="24"/>
    </w:rPr>
  </w:style>
  <w:style w:type="paragraph" w:styleId="Heading6">
    <w:name w:val="heading 6"/>
    <w:basedOn w:val="Normal"/>
    <w:next w:val="Normal"/>
    <w:link w:val="Heading6Char"/>
    <w:uiPriority w:val="9"/>
    <w:semiHidden/>
    <w:unhideWhenUsed/>
    <w:qFormat/>
    <w:rsid w:val="00EB3A59"/>
    <w:pPr>
      <w:keepNext/>
      <w:keepLines/>
      <w:spacing w:before="40"/>
      <w:outlineLvl w:val="5"/>
    </w:pPr>
    <w:rPr>
      <w:rFonts w:asciiTheme="minorHAnsi" w:eastAsiaTheme="minorEastAsia" w:hAnsiTheme="minorHAnsi" w:cstheme="majorBidi"/>
      <w:b/>
      <w:bCs/>
      <w:color w:val="0F4761" w:themeColor="accent1" w:themeShade="BF"/>
    </w:rPr>
  </w:style>
  <w:style w:type="paragraph" w:styleId="Heading7">
    <w:name w:val="heading 7"/>
    <w:basedOn w:val="Normal"/>
    <w:next w:val="Normal"/>
    <w:link w:val="Heading7Char"/>
    <w:uiPriority w:val="9"/>
    <w:semiHidden/>
    <w:unhideWhenUsed/>
    <w:qFormat/>
    <w:rsid w:val="00EB3A59"/>
    <w:pPr>
      <w:keepNext/>
      <w:keepLines/>
      <w:spacing w:before="40"/>
      <w:outlineLvl w:val="6"/>
    </w:pPr>
    <w:rPr>
      <w:rFonts w:asciiTheme="minorHAnsi" w:eastAsiaTheme="minorEastAsia" w:hAnsiTheme="minorHAnsi" w:cstheme="majorBidi"/>
      <w:b/>
      <w:bCs/>
      <w:color w:val="595959" w:themeColor="text1" w:themeTint="A6"/>
    </w:rPr>
  </w:style>
  <w:style w:type="paragraph" w:styleId="Heading8">
    <w:name w:val="heading 8"/>
    <w:basedOn w:val="Normal"/>
    <w:next w:val="Normal"/>
    <w:link w:val="Heading8Char"/>
    <w:uiPriority w:val="9"/>
    <w:semiHidden/>
    <w:unhideWhenUsed/>
    <w:qFormat/>
    <w:rsid w:val="00EB3A59"/>
    <w:pPr>
      <w:keepNext/>
      <w:keepLines/>
      <w:outlineLvl w:val="7"/>
    </w:pPr>
    <w:rPr>
      <w:rFonts w:asciiTheme="minorHAnsi" w:eastAsiaTheme="minorEastAsia" w:hAnsiTheme="minorHAnsi" w:cstheme="majorBidi"/>
      <w:color w:val="595959" w:themeColor="text1" w:themeTint="A6"/>
    </w:rPr>
  </w:style>
  <w:style w:type="paragraph" w:styleId="Heading9">
    <w:name w:val="heading 9"/>
    <w:basedOn w:val="Normal"/>
    <w:next w:val="Normal"/>
    <w:link w:val="Heading9Char"/>
    <w:uiPriority w:val="9"/>
    <w:semiHidden/>
    <w:unhideWhenUsed/>
    <w:qFormat/>
    <w:rsid w:val="00EB3A59"/>
    <w:pPr>
      <w:keepNext/>
      <w:keepLines/>
      <w:outlineLvl w:val="8"/>
    </w:pPr>
    <w:rPr>
      <w:rFonts w:asciiTheme="minorHAnsi" w:eastAsiaTheme="majorEastAsia" w:hAnsiTheme="minorHAnsi"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A59"/>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EB3A59"/>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EB3A59"/>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EB3A59"/>
    <w:rPr>
      <w:rFonts w:asciiTheme="minorHAnsi" w:eastAsiaTheme="minorEastAsia" w:hAnsiTheme="minorHAnsi"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EB3A59"/>
    <w:rPr>
      <w:rFonts w:asciiTheme="minorHAnsi" w:eastAsiaTheme="minorEastAsia" w:hAnsiTheme="minorHAnsi" w:cstheme="majorBidi"/>
      <w:color w:val="0F4761" w:themeColor="accent1" w:themeShade="BF"/>
      <w:szCs w:val="24"/>
    </w:rPr>
  </w:style>
  <w:style w:type="character" w:customStyle="1" w:styleId="Heading6Char">
    <w:name w:val="Heading 6 Char"/>
    <w:basedOn w:val="DefaultParagraphFont"/>
    <w:link w:val="Heading6"/>
    <w:uiPriority w:val="9"/>
    <w:semiHidden/>
    <w:rsid w:val="00EB3A59"/>
    <w:rPr>
      <w:rFonts w:asciiTheme="minorHAnsi" w:eastAsiaTheme="minorEastAsia" w:hAnsiTheme="minorHAnsi" w:cstheme="majorBidi"/>
      <w:b/>
      <w:bCs/>
      <w:color w:val="0F4761" w:themeColor="accent1" w:themeShade="BF"/>
    </w:rPr>
  </w:style>
  <w:style w:type="character" w:customStyle="1" w:styleId="Heading7Char">
    <w:name w:val="Heading 7 Char"/>
    <w:basedOn w:val="DefaultParagraphFont"/>
    <w:link w:val="Heading7"/>
    <w:uiPriority w:val="9"/>
    <w:semiHidden/>
    <w:rsid w:val="00EB3A59"/>
    <w:rPr>
      <w:rFonts w:asciiTheme="minorHAnsi" w:eastAsiaTheme="minorEastAsia" w:hAnsiTheme="minorHAnsi" w:cstheme="majorBidi"/>
      <w:b/>
      <w:bCs/>
      <w:color w:val="595959" w:themeColor="text1" w:themeTint="A6"/>
    </w:rPr>
  </w:style>
  <w:style w:type="character" w:customStyle="1" w:styleId="Heading8Char">
    <w:name w:val="Heading 8 Char"/>
    <w:basedOn w:val="DefaultParagraphFont"/>
    <w:link w:val="Heading8"/>
    <w:uiPriority w:val="9"/>
    <w:semiHidden/>
    <w:rsid w:val="00EB3A59"/>
    <w:rPr>
      <w:rFonts w:asciiTheme="minorHAnsi" w:eastAsiaTheme="minorEastAsia" w:hAnsiTheme="minorHAnsi" w:cstheme="majorBidi"/>
      <w:color w:val="595959" w:themeColor="text1" w:themeTint="A6"/>
    </w:rPr>
  </w:style>
  <w:style w:type="character" w:customStyle="1" w:styleId="Heading9Char">
    <w:name w:val="Heading 9 Char"/>
    <w:basedOn w:val="DefaultParagraphFont"/>
    <w:link w:val="Heading9"/>
    <w:uiPriority w:val="9"/>
    <w:semiHidden/>
    <w:rsid w:val="00EB3A59"/>
    <w:rPr>
      <w:rFonts w:asciiTheme="minorHAnsi" w:eastAsiaTheme="majorEastAsia" w:hAnsiTheme="minorHAnsi" w:cstheme="majorBidi"/>
      <w:color w:val="595959" w:themeColor="text1" w:themeTint="A6"/>
    </w:rPr>
  </w:style>
  <w:style w:type="paragraph" w:styleId="Title">
    <w:name w:val="Title"/>
    <w:basedOn w:val="Normal"/>
    <w:next w:val="Normal"/>
    <w:link w:val="TitleChar"/>
    <w:uiPriority w:val="10"/>
    <w:qFormat/>
    <w:rsid w:val="00EB3A5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A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A5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3A59"/>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EB3A5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B3A59"/>
    <w:rPr>
      <w:i/>
      <w:iCs/>
      <w:color w:val="404040" w:themeColor="text1" w:themeTint="BF"/>
    </w:rPr>
  </w:style>
  <w:style w:type="paragraph" w:styleId="ListParagraph">
    <w:name w:val="List Paragraph"/>
    <w:basedOn w:val="Normal"/>
    <w:qFormat/>
    <w:rsid w:val="00EB3A59"/>
    <w:pPr>
      <w:ind w:left="720"/>
      <w:contextualSpacing/>
    </w:pPr>
  </w:style>
  <w:style w:type="character" w:styleId="IntenseEmphasis">
    <w:name w:val="Intense Emphasis"/>
    <w:basedOn w:val="DefaultParagraphFont"/>
    <w:uiPriority w:val="21"/>
    <w:qFormat/>
    <w:rsid w:val="00EB3A59"/>
    <w:rPr>
      <w:i/>
      <w:iCs/>
      <w:color w:val="0F4761" w:themeColor="accent1" w:themeShade="BF"/>
    </w:rPr>
  </w:style>
  <w:style w:type="paragraph" w:styleId="IntenseQuote">
    <w:name w:val="Intense Quote"/>
    <w:basedOn w:val="Normal"/>
    <w:next w:val="Normal"/>
    <w:link w:val="IntenseQuoteChar"/>
    <w:uiPriority w:val="30"/>
    <w:qFormat/>
    <w:rsid w:val="00EB3A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3A59"/>
    <w:rPr>
      <w:i/>
      <w:iCs/>
      <w:color w:val="0F4761" w:themeColor="accent1" w:themeShade="BF"/>
    </w:rPr>
  </w:style>
  <w:style w:type="character" w:styleId="IntenseReference">
    <w:name w:val="Intense Reference"/>
    <w:basedOn w:val="DefaultParagraphFont"/>
    <w:uiPriority w:val="32"/>
    <w:qFormat/>
    <w:rsid w:val="00EB3A59"/>
    <w:rPr>
      <w:b/>
      <w:bCs/>
      <w:smallCaps/>
      <w:color w:val="0F4761" w:themeColor="accent1" w:themeShade="BF"/>
      <w:spacing w:val="5"/>
    </w:rPr>
  </w:style>
  <w:style w:type="paragraph" w:styleId="Header">
    <w:name w:val="header"/>
    <w:basedOn w:val="Normal"/>
    <w:link w:val="HeaderChar"/>
    <w:uiPriority w:val="99"/>
    <w:unhideWhenUsed/>
    <w:rsid w:val="005A2BB3"/>
    <w:pP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5A2BB3"/>
    <w:rPr>
      <w:sz w:val="18"/>
      <w:szCs w:val="18"/>
    </w:rPr>
  </w:style>
  <w:style w:type="paragraph" w:styleId="Footer">
    <w:name w:val="footer"/>
    <w:basedOn w:val="Normal"/>
    <w:link w:val="FooterChar"/>
    <w:uiPriority w:val="99"/>
    <w:unhideWhenUsed/>
    <w:rsid w:val="005A2BB3"/>
    <w:pPr>
      <w:tabs>
        <w:tab w:val="center" w:pos="4153"/>
        <w:tab w:val="right" w:pos="8306"/>
      </w:tabs>
      <w:snapToGrid w:val="0"/>
      <w:spacing w:line="240" w:lineRule="auto"/>
      <w:jc w:val="left"/>
    </w:pPr>
    <w:rPr>
      <w:sz w:val="18"/>
      <w:szCs w:val="18"/>
    </w:rPr>
  </w:style>
  <w:style w:type="character" w:customStyle="1" w:styleId="FooterChar">
    <w:name w:val="Footer Char"/>
    <w:basedOn w:val="DefaultParagraphFont"/>
    <w:link w:val="Footer"/>
    <w:uiPriority w:val="99"/>
    <w:rsid w:val="005A2BB3"/>
    <w:rPr>
      <w:sz w:val="18"/>
      <w:szCs w:val="18"/>
    </w:rPr>
  </w:style>
  <w:style w:type="table" w:styleId="TableGrid">
    <w:name w:val="Table Grid"/>
    <w:basedOn w:val="TableNormal"/>
    <w:uiPriority w:val="39"/>
    <w:rsid w:val="005A2BB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B56DF"/>
    <w:pPr>
      <w:spacing w:line="240" w:lineRule="auto"/>
    </w:pPr>
    <w:rPr>
      <w:sz w:val="20"/>
      <w:szCs w:val="20"/>
    </w:rPr>
  </w:style>
  <w:style w:type="character" w:customStyle="1" w:styleId="FootnoteTextChar">
    <w:name w:val="Footnote Text Char"/>
    <w:basedOn w:val="DefaultParagraphFont"/>
    <w:link w:val="FootnoteText"/>
    <w:uiPriority w:val="99"/>
    <w:semiHidden/>
    <w:rsid w:val="007B56DF"/>
    <w:rPr>
      <w:sz w:val="20"/>
      <w:szCs w:val="20"/>
    </w:rPr>
  </w:style>
  <w:style w:type="character" w:styleId="FootnoteReference">
    <w:name w:val="footnote reference"/>
    <w:basedOn w:val="DefaultParagraphFont"/>
    <w:uiPriority w:val="99"/>
    <w:semiHidden/>
    <w:unhideWhenUsed/>
    <w:rsid w:val="007B56DF"/>
    <w:rPr>
      <w:vertAlign w:val="superscript"/>
    </w:rPr>
  </w:style>
  <w:style w:type="paragraph" w:styleId="BodyText2">
    <w:name w:val="Body Text 2"/>
    <w:basedOn w:val="Normal"/>
    <w:link w:val="BodyText2Char"/>
    <w:rsid w:val="00122345"/>
    <w:pPr>
      <w:tabs>
        <w:tab w:val="left" w:pos="9214"/>
      </w:tabs>
      <w:spacing w:line="480" w:lineRule="auto"/>
      <w:ind w:right="-1"/>
    </w:pPr>
    <w:rPr>
      <w:rFonts w:eastAsia="Times New Roman" w:cs="Times New Roman"/>
      <w:kern w:val="0"/>
      <w:szCs w:val="20"/>
      <w:lang w:val="en-GB" w:eastAsia="en-US"/>
      <w14:ligatures w14:val="none"/>
    </w:rPr>
  </w:style>
  <w:style w:type="character" w:customStyle="1" w:styleId="BodyText2Char">
    <w:name w:val="Body Text 2 Char"/>
    <w:basedOn w:val="DefaultParagraphFont"/>
    <w:link w:val="BodyText2"/>
    <w:rsid w:val="00122345"/>
    <w:rPr>
      <w:rFonts w:eastAsia="Times New Roman" w:cs="Times New Roman"/>
      <w:kern w:val="0"/>
      <w:szCs w:val="20"/>
      <w:lang w:val="en-GB" w:eastAsia="en-US"/>
      <w14:ligatures w14:val="none"/>
    </w:rPr>
  </w:style>
  <w:style w:type="paragraph" w:customStyle="1" w:styleId="Article">
    <w:name w:val="Article"/>
    <w:basedOn w:val="Normal"/>
    <w:rsid w:val="007302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tLeast"/>
      <w:ind w:right="-440"/>
    </w:pPr>
    <w:rPr>
      <w:rFonts w:eastAsia="Times New Roman" w:cs="Times New Roman"/>
      <w:kern w:val="0"/>
      <w:sz w:val="22"/>
      <w:szCs w:val="20"/>
      <w:lang w:val="en-GB" w:eastAsia="en-US"/>
      <w14:ligatures w14:val="none"/>
    </w:rPr>
  </w:style>
  <w:style w:type="character" w:styleId="Hyperlink">
    <w:name w:val="Hyperlink"/>
    <w:basedOn w:val="DefaultParagraphFont"/>
    <w:uiPriority w:val="99"/>
    <w:unhideWhenUsed/>
    <w:rsid w:val="001208BB"/>
    <w:rPr>
      <w:color w:val="467886" w:themeColor="hyperlink"/>
      <w:u w:val="single"/>
    </w:rPr>
  </w:style>
  <w:style w:type="character" w:styleId="UnresolvedMention">
    <w:name w:val="Unresolved Mention"/>
    <w:basedOn w:val="DefaultParagraphFont"/>
    <w:uiPriority w:val="99"/>
    <w:semiHidden/>
    <w:unhideWhenUsed/>
    <w:rsid w:val="001208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59953">
      <w:bodyDiv w:val="1"/>
      <w:marLeft w:val="0"/>
      <w:marRight w:val="0"/>
      <w:marTop w:val="0"/>
      <w:marBottom w:val="0"/>
      <w:divBdr>
        <w:top w:val="none" w:sz="0" w:space="0" w:color="auto"/>
        <w:left w:val="none" w:sz="0" w:space="0" w:color="auto"/>
        <w:bottom w:val="none" w:sz="0" w:space="0" w:color="auto"/>
        <w:right w:val="none" w:sz="0" w:space="0" w:color="auto"/>
      </w:divBdr>
    </w:div>
    <w:div w:id="1325209335">
      <w:bodyDiv w:val="1"/>
      <w:marLeft w:val="0"/>
      <w:marRight w:val="0"/>
      <w:marTop w:val="0"/>
      <w:marBottom w:val="0"/>
      <w:divBdr>
        <w:top w:val="none" w:sz="0" w:space="0" w:color="auto"/>
        <w:left w:val="none" w:sz="0" w:space="0" w:color="auto"/>
        <w:bottom w:val="none" w:sz="0" w:space="0" w:color="auto"/>
        <w:right w:val="none" w:sz="0" w:space="0" w:color="auto"/>
      </w:divBdr>
    </w:div>
    <w:div w:id="1333988402">
      <w:bodyDiv w:val="1"/>
      <w:marLeft w:val="0"/>
      <w:marRight w:val="0"/>
      <w:marTop w:val="0"/>
      <w:marBottom w:val="0"/>
      <w:divBdr>
        <w:top w:val="none" w:sz="0" w:space="0" w:color="auto"/>
        <w:left w:val="none" w:sz="0" w:space="0" w:color="auto"/>
        <w:bottom w:val="none" w:sz="0" w:space="0" w:color="auto"/>
        <w:right w:val="none" w:sz="0" w:space="0" w:color="auto"/>
      </w:divBdr>
    </w:div>
    <w:div w:id="1815294103">
      <w:bodyDiv w:val="1"/>
      <w:marLeft w:val="0"/>
      <w:marRight w:val="0"/>
      <w:marTop w:val="0"/>
      <w:marBottom w:val="0"/>
      <w:divBdr>
        <w:top w:val="none" w:sz="0" w:space="0" w:color="auto"/>
        <w:left w:val="none" w:sz="0" w:space="0" w:color="auto"/>
        <w:bottom w:val="none" w:sz="0" w:space="0" w:color="auto"/>
        <w:right w:val="none" w:sz="0" w:space="0" w:color="auto"/>
      </w:divBdr>
    </w:div>
    <w:div w:id="2011982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Interactive metadiscourse</c:v>
                </c:pt>
              </c:strCache>
            </c:strRef>
          </c:tx>
          <c:spPr>
            <a:solidFill>
              <a:schemeClr val="accent1"/>
            </a:solidFill>
            <a:ln>
              <a:noFill/>
            </a:ln>
            <a:effectLst/>
          </c:spPr>
          <c:invertIfNegative val="0"/>
          <c:cat>
            <c:strRef>
              <c:f>Sheet1!$A$2:$A$4</c:f>
              <c:strCache>
                <c:ptCount val="3"/>
                <c:pt idx="0">
                  <c:v>1980-1994</c:v>
                </c:pt>
                <c:pt idx="1">
                  <c:v>1995-2009</c:v>
                </c:pt>
                <c:pt idx="2">
                  <c:v>2010-2024</c:v>
                </c:pt>
              </c:strCache>
            </c:strRef>
          </c:cat>
          <c:val>
            <c:numRef>
              <c:f>Sheet1!$B$2:$B$4</c:f>
              <c:numCache>
                <c:formatCode>General</c:formatCode>
                <c:ptCount val="3"/>
                <c:pt idx="0">
                  <c:v>307</c:v>
                </c:pt>
                <c:pt idx="1">
                  <c:v>314.5</c:v>
                </c:pt>
                <c:pt idx="2">
                  <c:v>322.10000000000002</c:v>
                </c:pt>
              </c:numCache>
            </c:numRef>
          </c:val>
          <c:extLst>
            <c:ext xmlns:c16="http://schemas.microsoft.com/office/drawing/2014/chart" uri="{C3380CC4-5D6E-409C-BE32-E72D297353CC}">
              <c16:uniqueId val="{00000000-C6DF-4F07-B0D3-E1500A0436CE}"/>
            </c:ext>
          </c:extLst>
        </c:ser>
        <c:ser>
          <c:idx val="1"/>
          <c:order val="1"/>
          <c:tx>
            <c:strRef>
              <c:f>Sheet1!$C$1</c:f>
              <c:strCache>
                <c:ptCount val="1"/>
                <c:pt idx="0">
                  <c:v>Interactional metadiscourse</c:v>
                </c:pt>
              </c:strCache>
            </c:strRef>
          </c:tx>
          <c:spPr>
            <a:solidFill>
              <a:schemeClr val="accent2"/>
            </a:solidFill>
            <a:ln>
              <a:noFill/>
            </a:ln>
            <a:effectLst/>
          </c:spPr>
          <c:invertIfNegative val="0"/>
          <c:cat>
            <c:strRef>
              <c:f>Sheet1!$A$2:$A$4</c:f>
              <c:strCache>
                <c:ptCount val="3"/>
                <c:pt idx="0">
                  <c:v>1980-1994</c:v>
                </c:pt>
                <c:pt idx="1">
                  <c:v>1995-2009</c:v>
                </c:pt>
                <c:pt idx="2">
                  <c:v>2010-2024</c:v>
                </c:pt>
              </c:strCache>
            </c:strRef>
          </c:cat>
          <c:val>
            <c:numRef>
              <c:f>Sheet1!$C$2:$C$4</c:f>
              <c:numCache>
                <c:formatCode>General</c:formatCode>
                <c:ptCount val="3"/>
                <c:pt idx="0">
                  <c:v>437.1</c:v>
                </c:pt>
                <c:pt idx="1">
                  <c:v>459.8</c:v>
                </c:pt>
                <c:pt idx="2">
                  <c:v>482.4</c:v>
                </c:pt>
              </c:numCache>
            </c:numRef>
          </c:val>
          <c:extLst>
            <c:ext xmlns:c16="http://schemas.microsoft.com/office/drawing/2014/chart" uri="{C3380CC4-5D6E-409C-BE32-E72D297353CC}">
              <c16:uniqueId val="{00000001-C6DF-4F07-B0D3-E1500A0436CE}"/>
            </c:ext>
          </c:extLst>
        </c:ser>
        <c:dLbls>
          <c:showLegendKey val="0"/>
          <c:showVal val="0"/>
          <c:showCatName val="0"/>
          <c:showSerName val="0"/>
          <c:showPercent val="0"/>
          <c:showBubbleSize val="0"/>
        </c:dLbls>
        <c:gapWidth val="219"/>
        <c:axId val="1399913744"/>
        <c:axId val="1399912304"/>
      </c:barChart>
      <c:lineChart>
        <c:grouping val="standard"/>
        <c:varyColors val="0"/>
        <c:ser>
          <c:idx val="2"/>
          <c:order val="2"/>
          <c:tx>
            <c:strRef>
              <c:f>Sheet1!$D$1</c:f>
              <c:strCache>
                <c:ptCount val="1"/>
                <c:pt idx="0">
                  <c:v>Total</c:v>
                </c:pt>
              </c:strCache>
            </c:strRef>
          </c:tx>
          <c:spPr>
            <a:ln w="28575" cap="rnd">
              <a:solidFill>
                <a:schemeClr val="accent3"/>
              </a:solidFill>
              <a:round/>
            </a:ln>
            <a:effectLst/>
          </c:spPr>
          <c:marker>
            <c:symbol val="none"/>
          </c:marker>
          <c:cat>
            <c:strRef>
              <c:f>Sheet1!$A$2:$A$4</c:f>
              <c:strCache>
                <c:ptCount val="3"/>
                <c:pt idx="0">
                  <c:v>1980-1994</c:v>
                </c:pt>
                <c:pt idx="1">
                  <c:v>1995-2009</c:v>
                </c:pt>
                <c:pt idx="2">
                  <c:v>2010-2024</c:v>
                </c:pt>
              </c:strCache>
            </c:strRef>
          </c:cat>
          <c:val>
            <c:numRef>
              <c:f>Sheet1!$D$2:$D$4</c:f>
              <c:numCache>
                <c:formatCode>General</c:formatCode>
                <c:ptCount val="3"/>
                <c:pt idx="0">
                  <c:v>744.1</c:v>
                </c:pt>
                <c:pt idx="1">
                  <c:v>774.3</c:v>
                </c:pt>
                <c:pt idx="2">
                  <c:v>804.5</c:v>
                </c:pt>
              </c:numCache>
            </c:numRef>
          </c:val>
          <c:smooth val="0"/>
          <c:extLst>
            <c:ext xmlns:c16="http://schemas.microsoft.com/office/drawing/2014/chart" uri="{C3380CC4-5D6E-409C-BE32-E72D297353CC}">
              <c16:uniqueId val="{00000003-C6DF-4F07-B0D3-E1500A0436CE}"/>
            </c:ext>
          </c:extLst>
        </c:ser>
        <c:dLbls>
          <c:showLegendKey val="0"/>
          <c:showVal val="0"/>
          <c:showCatName val="0"/>
          <c:showSerName val="0"/>
          <c:showPercent val="0"/>
          <c:showBubbleSize val="0"/>
        </c:dLbls>
        <c:marker val="1"/>
        <c:smooth val="0"/>
        <c:axId val="1399913744"/>
        <c:axId val="1399912304"/>
      </c:lineChart>
      <c:catAx>
        <c:axId val="1399913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zh-CN"/>
          </a:p>
        </c:txPr>
        <c:crossAx val="1399912304"/>
        <c:crosses val="autoZero"/>
        <c:auto val="1"/>
        <c:lblAlgn val="ctr"/>
        <c:lblOffset val="100"/>
        <c:noMultiLvlLbl val="0"/>
      </c:catAx>
      <c:valAx>
        <c:axId val="13999123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zh-CN"/>
          </a:p>
        </c:txPr>
        <c:crossAx val="13999137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zh-CN"/>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5EDC05-58B2-46E1-BC8B-EFB5D0072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29</Pages>
  <Words>9164</Words>
  <Characters>45913</Characters>
  <Application>Microsoft Office Word</Application>
  <DocSecurity>0</DocSecurity>
  <Lines>1043</Lines>
  <Paragraphs>545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Jiang</dc:creator>
  <cp:keywords/>
  <dc:description/>
  <cp:lastModifiedBy>Ken Hyland (EDU - Staff)</cp:lastModifiedBy>
  <cp:revision>42</cp:revision>
  <dcterms:created xsi:type="dcterms:W3CDTF">2026-01-30T07:30:00Z</dcterms:created>
  <dcterms:modified xsi:type="dcterms:W3CDTF">2026-03-26T19:44:00Z</dcterms:modified>
</cp:coreProperties>
</file>