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21D5" w14:textId="1161675A" w:rsidR="00B226A2" w:rsidRPr="009E3412" w:rsidRDefault="00B226A2">
      <w:pPr>
        <w:spacing w:line="480" w:lineRule="auto"/>
        <w:jc w:val="both"/>
        <w:rPr>
          <w:rFonts w:ascii="Times New Roman" w:eastAsia="Times New Roman" w:hAnsi="Times New Roman" w:cs="Times New Roman"/>
          <w:b/>
          <w:bCs/>
        </w:rPr>
      </w:pPr>
      <w:r w:rsidRPr="009E3412">
        <w:rPr>
          <w:rFonts w:ascii="Times New Roman" w:hAnsi="Times New Roman" w:cs="Times New Roman"/>
          <w:b/>
          <w:bCs/>
          <w:bdr w:val="none" w:sz="0" w:space="0" w:color="auto" w:frame="1"/>
          <w:shd w:val="clear" w:color="auto" w:fill="FFFFFF"/>
        </w:rPr>
        <w:t xml:space="preserve">Circulatory dietary and gut-derived metabolites </w:t>
      </w:r>
      <w:r w:rsidR="004C7E1C" w:rsidRPr="009E3412">
        <w:rPr>
          <w:rFonts w:ascii="Times New Roman" w:hAnsi="Times New Roman" w:cs="Times New Roman"/>
          <w:b/>
          <w:bCs/>
          <w:bdr w:val="none" w:sz="0" w:space="0" w:color="auto" w:frame="1"/>
          <w:shd w:val="clear" w:color="auto" w:fill="FFFFFF"/>
        </w:rPr>
        <w:t>predict</w:t>
      </w:r>
      <w:r w:rsidR="0019521D" w:rsidRPr="009E3412">
        <w:rPr>
          <w:rFonts w:ascii="Times New Roman" w:hAnsi="Times New Roman" w:cs="Times New Roman"/>
          <w:b/>
          <w:bCs/>
          <w:bdr w:val="none" w:sz="0" w:space="0" w:color="auto" w:frame="1"/>
          <w:shd w:val="clear" w:color="auto" w:fill="FFFFFF"/>
        </w:rPr>
        <w:t xml:space="preserve"> </w:t>
      </w:r>
      <w:r w:rsidR="00933139" w:rsidRPr="009E3412">
        <w:rPr>
          <w:rFonts w:ascii="Times New Roman" w:hAnsi="Times New Roman" w:cs="Times New Roman"/>
          <w:b/>
          <w:bCs/>
          <w:bdr w:val="none" w:sz="0" w:space="0" w:color="auto" w:frame="1"/>
          <w:shd w:val="clear" w:color="auto" w:fill="FFFFFF"/>
        </w:rPr>
        <w:t>early cognitive decline</w:t>
      </w:r>
    </w:p>
    <w:p w14:paraId="54114BD0" w14:textId="75C591AE" w:rsidR="00150AD6" w:rsidRPr="009E3412" w:rsidRDefault="0082522C">
      <w:pPr>
        <w:spacing w:line="480" w:lineRule="auto"/>
        <w:jc w:val="both"/>
        <w:rPr>
          <w:rFonts w:ascii="Times New Roman" w:eastAsia="Times New Roman" w:hAnsi="Times New Roman" w:cs="Times New Roman"/>
        </w:rPr>
      </w:pPr>
      <w:r w:rsidRPr="009E3412">
        <w:rPr>
          <w:rFonts w:ascii="Times New Roman" w:eastAsia="Times New Roman" w:hAnsi="Times New Roman" w:cs="Times New Roman"/>
        </w:rPr>
        <w:t>Emily Connell</w:t>
      </w:r>
      <w:r w:rsidRPr="009E3412">
        <w:rPr>
          <w:rFonts w:ascii="Times New Roman" w:eastAsia="Times New Roman" w:hAnsi="Times New Roman" w:cs="Times New Roman"/>
          <w:vertAlign w:val="superscript"/>
        </w:rPr>
        <w:t>1</w:t>
      </w:r>
      <w:r w:rsidRPr="009E3412">
        <w:rPr>
          <w:rFonts w:ascii="Times New Roman" w:eastAsia="Times New Roman" w:hAnsi="Times New Roman" w:cs="Times New Roman"/>
        </w:rPr>
        <w:t xml:space="preserve">, </w:t>
      </w:r>
      <w:r w:rsidR="003C38AC" w:rsidRPr="009E3412">
        <w:rPr>
          <w:rFonts w:ascii="Times New Roman" w:eastAsia="Times New Roman" w:hAnsi="Times New Roman" w:cs="Times New Roman"/>
        </w:rPr>
        <w:t>Saber Sami</w:t>
      </w:r>
      <w:r w:rsidR="003C38AC" w:rsidRPr="009E3412">
        <w:rPr>
          <w:rFonts w:ascii="Times New Roman" w:eastAsia="Times New Roman" w:hAnsi="Times New Roman" w:cs="Times New Roman"/>
          <w:vertAlign w:val="superscript"/>
        </w:rPr>
        <w:t>1</w:t>
      </w:r>
      <w:r w:rsidR="003C38AC" w:rsidRPr="009E3412">
        <w:rPr>
          <w:rFonts w:ascii="Times New Roman" w:eastAsia="Times New Roman" w:hAnsi="Times New Roman" w:cs="Times New Roman"/>
        </w:rPr>
        <w:t>,</w:t>
      </w:r>
      <w:r w:rsidR="003C38AC" w:rsidRPr="009E3412">
        <w:rPr>
          <w:rFonts w:ascii="Times New Roman" w:eastAsia="Times New Roman" w:hAnsi="Times New Roman" w:cs="Times New Roman"/>
          <w:vertAlign w:val="superscript"/>
        </w:rPr>
        <w:t xml:space="preserve"> </w:t>
      </w:r>
      <w:r w:rsidRPr="009E3412">
        <w:rPr>
          <w:rFonts w:ascii="Times New Roman" w:eastAsia="Times New Roman" w:hAnsi="Times New Roman" w:cs="Times New Roman"/>
        </w:rPr>
        <w:t>Mizanur Khondoker</w:t>
      </w:r>
      <w:r w:rsidRPr="009E3412">
        <w:rPr>
          <w:rFonts w:ascii="Times New Roman" w:eastAsia="Times New Roman" w:hAnsi="Times New Roman" w:cs="Times New Roman"/>
          <w:vertAlign w:val="superscript"/>
        </w:rPr>
        <w:t>1</w:t>
      </w:r>
      <w:r w:rsidRPr="009E3412">
        <w:rPr>
          <w:rFonts w:ascii="Times New Roman" w:eastAsia="Times New Roman" w:hAnsi="Times New Roman" w:cs="Times New Roman"/>
        </w:rPr>
        <w:t xml:space="preserve">, </w:t>
      </w:r>
      <w:r w:rsidR="004749DD" w:rsidRPr="009E3412">
        <w:rPr>
          <w:rFonts w:ascii="Times New Roman" w:eastAsia="Times New Roman" w:hAnsi="Times New Roman" w:cs="Times New Roman"/>
        </w:rPr>
        <w:t>Anne-Marie Minihane</w:t>
      </w:r>
      <w:r w:rsidR="00953EC1" w:rsidRPr="009E3412">
        <w:rPr>
          <w:rFonts w:ascii="Times New Roman" w:eastAsia="Times New Roman" w:hAnsi="Times New Roman" w:cs="Times New Roman"/>
          <w:vertAlign w:val="superscript"/>
        </w:rPr>
        <w:t>1</w:t>
      </w:r>
      <w:r w:rsidR="00953EC1" w:rsidRPr="009E3412">
        <w:rPr>
          <w:rFonts w:ascii="Times New Roman" w:eastAsia="Times New Roman" w:hAnsi="Times New Roman" w:cs="Times New Roman"/>
        </w:rPr>
        <w:t>,</w:t>
      </w:r>
      <w:r w:rsidR="00B218DB" w:rsidRPr="009E3412">
        <w:rPr>
          <w:rFonts w:ascii="Times New Roman" w:eastAsia="Times New Roman" w:hAnsi="Times New Roman" w:cs="Times New Roman"/>
        </w:rPr>
        <w:t xml:space="preserve"> Matthew G. Pontifex</w:t>
      </w:r>
      <w:r w:rsidR="00B218DB" w:rsidRPr="009E3412">
        <w:rPr>
          <w:rFonts w:ascii="Times New Roman" w:eastAsia="Times New Roman" w:hAnsi="Times New Roman" w:cs="Times New Roman"/>
          <w:vertAlign w:val="superscript"/>
        </w:rPr>
        <w:t>1</w:t>
      </w:r>
      <w:r w:rsidR="00B218DB" w:rsidRPr="009E3412">
        <w:rPr>
          <w:rFonts w:ascii="Times New Roman" w:eastAsia="Times New Roman" w:hAnsi="Times New Roman" w:cs="Times New Roman"/>
        </w:rPr>
        <w:t xml:space="preserve">, </w:t>
      </w:r>
      <w:r w:rsidRPr="009E3412">
        <w:rPr>
          <w:rFonts w:ascii="Times New Roman" w:eastAsia="Times New Roman" w:hAnsi="Times New Roman" w:cs="Times New Roman"/>
        </w:rPr>
        <w:t>Michael Müller</w:t>
      </w:r>
      <w:r w:rsidRPr="009E3412">
        <w:rPr>
          <w:rFonts w:ascii="Times New Roman" w:eastAsia="Times New Roman" w:hAnsi="Times New Roman" w:cs="Times New Roman"/>
          <w:vertAlign w:val="superscript"/>
        </w:rPr>
        <w:t>1</w:t>
      </w:r>
      <w:r w:rsidR="00F25E5E" w:rsidRPr="009E3412">
        <w:rPr>
          <w:rFonts w:ascii="Times New Roman" w:eastAsia="Times New Roman" w:hAnsi="Times New Roman" w:cs="Times New Roman"/>
        </w:rPr>
        <w:t xml:space="preserve">, </w:t>
      </w:r>
      <w:r w:rsidR="00F109E8" w:rsidRPr="009E3412">
        <w:rPr>
          <w:rFonts w:ascii="Times New Roman" w:eastAsia="Times New Roman" w:hAnsi="Times New Roman" w:cs="Times New Roman"/>
        </w:rPr>
        <w:t>Simon McArthur</w:t>
      </w:r>
      <w:r w:rsidR="00F109E8" w:rsidRPr="009E3412">
        <w:rPr>
          <w:rFonts w:ascii="Times New Roman" w:eastAsia="Times New Roman" w:hAnsi="Times New Roman" w:cs="Times New Roman"/>
          <w:vertAlign w:val="superscript"/>
        </w:rPr>
        <w:t>2</w:t>
      </w:r>
      <w:r w:rsidR="00F109E8" w:rsidRPr="009E3412">
        <w:rPr>
          <w:rFonts w:ascii="Times New Roman" w:eastAsia="Times New Roman" w:hAnsi="Times New Roman" w:cs="Times New Roman"/>
        </w:rPr>
        <w:t xml:space="preserve">, </w:t>
      </w:r>
      <w:r w:rsidR="00754F65" w:rsidRPr="009E3412">
        <w:rPr>
          <w:rFonts w:ascii="Times New Roman" w:eastAsia="Times New Roman" w:hAnsi="Times New Roman" w:cs="Times New Roman"/>
        </w:rPr>
        <w:t>Gwenaelle Le Gall</w:t>
      </w:r>
      <w:r w:rsidR="00754F65" w:rsidRPr="009E3412">
        <w:rPr>
          <w:rFonts w:ascii="Times New Roman" w:eastAsia="Times New Roman" w:hAnsi="Times New Roman" w:cs="Times New Roman"/>
          <w:vertAlign w:val="superscript"/>
        </w:rPr>
        <w:t>1</w:t>
      </w:r>
      <w:r w:rsidR="008B53E1" w:rsidRPr="009E3412">
        <w:rPr>
          <w:rFonts w:ascii="Times New Roman" w:eastAsia="Times New Roman" w:hAnsi="Times New Roman" w:cs="Times New Roman"/>
          <w:vertAlign w:val="superscript"/>
        </w:rPr>
        <w:t>†</w:t>
      </w:r>
      <w:r w:rsidR="00754F65" w:rsidRPr="009E3412">
        <w:rPr>
          <w:rFonts w:ascii="Times New Roman" w:eastAsia="Times New Roman" w:hAnsi="Times New Roman" w:cs="Times New Roman"/>
          <w:vertAlign w:val="superscript"/>
        </w:rPr>
        <w:t xml:space="preserve"> </w:t>
      </w:r>
      <w:r w:rsidRPr="009E3412">
        <w:rPr>
          <w:rFonts w:ascii="Times New Roman" w:eastAsia="Times New Roman" w:hAnsi="Times New Roman" w:cs="Times New Roman"/>
        </w:rPr>
        <w:t>and David Vauzour</w:t>
      </w:r>
      <w:r w:rsidRPr="009E3412">
        <w:rPr>
          <w:rFonts w:ascii="Times New Roman" w:eastAsia="Times New Roman" w:hAnsi="Times New Roman" w:cs="Times New Roman"/>
          <w:vertAlign w:val="superscript"/>
        </w:rPr>
        <w:t>1</w:t>
      </w:r>
      <w:r w:rsidR="008B53E1" w:rsidRPr="009E3412">
        <w:rPr>
          <w:rFonts w:ascii="Times New Roman" w:eastAsia="Times New Roman" w:hAnsi="Times New Roman" w:cs="Times New Roman"/>
          <w:vertAlign w:val="superscript"/>
        </w:rPr>
        <w:t>†</w:t>
      </w:r>
      <w:r w:rsidRPr="009E3412">
        <w:rPr>
          <w:rFonts w:ascii="Times New Roman" w:eastAsia="Times New Roman" w:hAnsi="Times New Roman" w:cs="Times New Roman"/>
        </w:rPr>
        <w:t>*</w:t>
      </w:r>
    </w:p>
    <w:p w14:paraId="36965CFB" w14:textId="77777777" w:rsidR="00150AD6" w:rsidRPr="009E3412" w:rsidRDefault="0082522C">
      <w:pPr>
        <w:spacing w:line="480" w:lineRule="auto"/>
        <w:jc w:val="both"/>
        <w:rPr>
          <w:rFonts w:ascii="Times New Roman" w:eastAsia="Times New Roman" w:hAnsi="Times New Roman" w:cs="Times New Roman"/>
        </w:rPr>
      </w:pPr>
      <w:r w:rsidRPr="009E3412">
        <w:rPr>
          <w:rFonts w:ascii="Times New Roman" w:eastAsia="Times New Roman" w:hAnsi="Times New Roman" w:cs="Times New Roman"/>
          <w:vertAlign w:val="superscript"/>
        </w:rPr>
        <w:t>1</w:t>
      </w:r>
      <w:r w:rsidRPr="009E3412">
        <w:rPr>
          <w:rFonts w:ascii="Times New Roman" w:eastAsia="Times New Roman" w:hAnsi="Times New Roman" w:cs="Times New Roman"/>
        </w:rPr>
        <w:t xml:space="preserve"> Norwich Medical School, Faculty of Medicine and Health Sciences, University of East Anglia, Norwich NR4 7TJ, United Kingdom.</w:t>
      </w:r>
    </w:p>
    <w:p w14:paraId="1E1A74F2" w14:textId="3C39963F" w:rsidR="00F109E8" w:rsidRPr="009E3412" w:rsidRDefault="00F109E8">
      <w:pPr>
        <w:spacing w:line="480" w:lineRule="auto"/>
        <w:jc w:val="both"/>
        <w:rPr>
          <w:rFonts w:ascii="Times New Roman" w:eastAsia="Times New Roman" w:hAnsi="Times New Roman" w:cs="Times New Roman"/>
        </w:rPr>
      </w:pPr>
      <w:r w:rsidRPr="009E3412">
        <w:rPr>
          <w:rFonts w:ascii="Times New Roman" w:eastAsia="Times New Roman" w:hAnsi="Times New Roman" w:cs="Times New Roman"/>
          <w:vertAlign w:val="superscript"/>
        </w:rPr>
        <w:t>2</w:t>
      </w:r>
      <w:r w:rsidRPr="009E3412">
        <w:rPr>
          <w:rFonts w:ascii="Times New Roman" w:eastAsia="Times New Roman" w:hAnsi="Times New Roman" w:cs="Times New Roman"/>
        </w:rPr>
        <w:t xml:space="preserve"> Institute of Dentistry, Faculty of Medicine &amp; Dentistry, Queen Mary University of London, Blizard Institute, London E1 2AT, United Kingdom</w:t>
      </w:r>
    </w:p>
    <w:p w14:paraId="51D2E77B" w14:textId="77777777" w:rsidR="00DC3B10" w:rsidRPr="009E3412" w:rsidRDefault="00DC3B10">
      <w:pPr>
        <w:spacing w:line="480" w:lineRule="auto"/>
        <w:jc w:val="both"/>
        <w:rPr>
          <w:rFonts w:ascii="Times New Roman" w:eastAsia="Times New Roman" w:hAnsi="Times New Roman" w:cs="Times New Roman"/>
        </w:rPr>
      </w:pPr>
    </w:p>
    <w:p w14:paraId="7FE8A9A6" w14:textId="1C563885" w:rsidR="00DC3B10" w:rsidRPr="009E3412" w:rsidRDefault="00DC3B10">
      <w:pPr>
        <w:spacing w:line="480" w:lineRule="auto"/>
        <w:jc w:val="both"/>
        <w:rPr>
          <w:rFonts w:ascii="Times New Roman" w:eastAsia="Times New Roman" w:hAnsi="Times New Roman" w:cs="Times New Roman"/>
        </w:rPr>
      </w:pPr>
      <w:r w:rsidRPr="009E3412">
        <w:rPr>
          <w:rFonts w:ascii="Times New Roman" w:eastAsia="Times New Roman" w:hAnsi="Times New Roman" w:cs="Times New Roman"/>
        </w:rPr>
        <w:t>† These authors share</w:t>
      </w:r>
      <w:r w:rsidR="005B0D4E" w:rsidRPr="009E3412">
        <w:rPr>
          <w:rFonts w:ascii="Times New Roman" w:eastAsia="Times New Roman" w:hAnsi="Times New Roman" w:cs="Times New Roman"/>
        </w:rPr>
        <w:t xml:space="preserve"> senior </w:t>
      </w:r>
      <w:r w:rsidRPr="009E3412">
        <w:rPr>
          <w:rFonts w:ascii="Times New Roman" w:eastAsia="Times New Roman" w:hAnsi="Times New Roman" w:cs="Times New Roman"/>
        </w:rPr>
        <w:t>authorship</w:t>
      </w:r>
    </w:p>
    <w:p w14:paraId="7F06C954" w14:textId="2A89A78F" w:rsidR="00013EE7" w:rsidRPr="009E3412" w:rsidRDefault="00792FF8" w:rsidP="00013EE7">
      <w:pPr>
        <w:spacing w:line="480" w:lineRule="auto"/>
        <w:jc w:val="both"/>
        <w:rPr>
          <w:rFonts w:ascii="Times New Roman" w:eastAsia="Times New Roman" w:hAnsi="Times New Roman" w:cs="Times New Roman"/>
        </w:rPr>
      </w:pPr>
      <w:r w:rsidRPr="009E3412">
        <w:rPr>
          <w:rFonts w:ascii="Times New Roman" w:eastAsia="Times New Roman" w:hAnsi="Times New Roman" w:cs="Times New Roman"/>
          <w:b/>
          <w:bCs/>
        </w:rPr>
        <w:t xml:space="preserve">* </w:t>
      </w:r>
      <w:r w:rsidRPr="009E3412">
        <w:rPr>
          <w:rFonts w:ascii="Times New Roman" w:eastAsia="Times New Roman" w:hAnsi="Times New Roman" w:cs="Times New Roman"/>
        </w:rPr>
        <w:t xml:space="preserve">To whom correspondence should be addressed: Dr David Vauzour; email: </w:t>
      </w:r>
      <w:hyperlink r:id="rId9" w:history="1">
        <w:r w:rsidRPr="009E3412">
          <w:rPr>
            <w:rStyle w:val="Hyperlink"/>
            <w:rFonts w:ascii="Times New Roman" w:eastAsia="Times New Roman" w:hAnsi="Times New Roman" w:cs="Times New Roman"/>
            <w:color w:val="auto"/>
          </w:rPr>
          <w:t>D.Vauzour@uea.ac.uk</w:t>
        </w:r>
      </w:hyperlink>
      <w:r w:rsidRPr="009E3412">
        <w:rPr>
          <w:rFonts w:ascii="Times New Roman" w:eastAsia="Times New Roman" w:hAnsi="Times New Roman" w:cs="Times New Roman"/>
        </w:rPr>
        <w:t xml:space="preserve"> </w:t>
      </w:r>
      <w:r w:rsidR="00013EE7" w:rsidRPr="009E3412">
        <w:rPr>
          <w:rFonts w:ascii="Times New Roman" w:eastAsia="Times New Roman" w:hAnsi="Times New Roman" w:cs="Times New Roman"/>
        </w:rPr>
        <w:br w:type="page"/>
      </w:r>
    </w:p>
    <w:p w14:paraId="4179CAAC" w14:textId="362EC9DE" w:rsidR="00150AD6" w:rsidRPr="009E3412" w:rsidRDefault="0082522C">
      <w:pPr>
        <w:spacing w:line="48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lastRenderedPageBreak/>
        <w:t>Abstract</w:t>
      </w:r>
    </w:p>
    <w:p w14:paraId="6CE5BF17" w14:textId="60CA2BD4" w:rsidR="003A1752" w:rsidRPr="009E3412" w:rsidRDefault="003A1752" w:rsidP="00B74D2D">
      <w:pPr>
        <w:spacing w:line="360" w:lineRule="auto"/>
        <w:jc w:val="both"/>
        <w:rPr>
          <w:rFonts w:ascii="Times New Roman" w:hAnsi="Times New Roman" w:cs="Times New Roman"/>
        </w:rPr>
      </w:pPr>
      <w:r w:rsidRPr="009E3412">
        <w:rPr>
          <w:rFonts w:ascii="Times New Roman" w:hAnsi="Times New Roman" w:cs="Times New Roman"/>
        </w:rPr>
        <w:t>INTRODUCTION</w:t>
      </w:r>
    </w:p>
    <w:p w14:paraId="68D3FA15" w14:textId="3C71C1E7" w:rsidR="00B266DE" w:rsidRPr="009E3412" w:rsidRDefault="001F5A82" w:rsidP="00B74D2D">
      <w:pPr>
        <w:spacing w:line="360" w:lineRule="auto"/>
        <w:jc w:val="both"/>
        <w:rPr>
          <w:rFonts w:ascii="Times New Roman" w:hAnsi="Times New Roman" w:cs="Times New Roman"/>
        </w:rPr>
      </w:pPr>
      <w:r w:rsidRPr="009E3412">
        <w:rPr>
          <w:rFonts w:ascii="Times New Roman" w:hAnsi="Times New Roman" w:cs="Times New Roman"/>
        </w:rPr>
        <w:t xml:space="preserve">A </w:t>
      </w:r>
      <w:r w:rsidR="00806FDE" w:rsidRPr="009E3412">
        <w:rPr>
          <w:rFonts w:ascii="Times New Roman" w:hAnsi="Times New Roman" w:cs="Times New Roman"/>
        </w:rPr>
        <w:t>key</w:t>
      </w:r>
      <w:r w:rsidRPr="009E3412">
        <w:rPr>
          <w:rFonts w:ascii="Times New Roman" w:hAnsi="Times New Roman" w:cs="Times New Roman"/>
        </w:rPr>
        <w:t xml:space="preserve"> component o</w:t>
      </w:r>
      <w:r w:rsidR="00806FDE" w:rsidRPr="009E3412">
        <w:rPr>
          <w:rFonts w:ascii="Times New Roman" w:hAnsi="Times New Roman" w:cs="Times New Roman"/>
        </w:rPr>
        <w:t>f</w:t>
      </w:r>
      <w:r w:rsidRPr="009E3412">
        <w:rPr>
          <w:rFonts w:ascii="Times New Roman" w:hAnsi="Times New Roman" w:cs="Times New Roman"/>
        </w:rPr>
        <w:t xml:space="preserve"> disease prevention is </w:t>
      </w:r>
      <w:r w:rsidR="009470BB" w:rsidRPr="009E3412">
        <w:rPr>
          <w:rFonts w:ascii="Times New Roman" w:hAnsi="Times New Roman" w:cs="Times New Roman"/>
        </w:rPr>
        <w:t xml:space="preserve">the </w:t>
      </w:r>
      <w:r w:rsidR="0041590A" w:rsidRPr="009E3412">
        <w:rPr>
          <w:rFonts w:ascii="Times New Roman" w:hAnsi="Times New Roman" w:cs="Times New Roman"/>
        </w:rPr>
        <w:t>identi</w:t>
      </w:r>
      <w:r w:rsidR="00F11893" w:rsidRPr="009E3412">
        <w:rPr>
          <w:rFonts w:ascii="Times New Roman" w:hAnsi="Times New Roman" w:cs="Times New Roman"/>
        </w:rPr>
        <w:t>fication of</w:t>
      </w:r>
      <w:r w:rsidRPr="009E3412">
        <w:rPr>
          <w:rFonts w:ascii="Times New Roman" w:hAnsi="Times New Roman" w:cs="Times New Roman"/>
        </w:rPr>
        <w:t xml:space="preserve"> </w:t>
      </w:r>
      <w:r w:rsidR="00281E0F" w:rsidRPr="009E3412">
        <w:rPr>
          <w:rFonts w:ascii="Times New Roman" w:hAnsi="Times New Roman" w:cs="Times New Roman"/>
        </w:rPr>
        <w:t>at-risk individuals</w:t>
      </w:r>
      <w:r w:rsidR="0041590A" w:rsidRPr="009E3412">
        <w:rPr>
          <w:rFonts w:ascii="Times New Roman" w:hAnsi="Times New Roman" w:cs="Times New Roman"/>
        </w:rPr>
        <w:t xml:space="preserve">. </w:t>
      </w:r>
      <w:r w:rsidR="00B266DE" w:rsidRPr="009E3412">
        <w:rPr>
          <w:rFonts w:ascii="Times New Roman" w:hAnsi="Times New Roman" w:cs="Times New Roman"/>
        </w:rPr>
        <w:t xml:space="preserve">Microbial dysbiosis </w:t>
      </w:r>
      <w:r w:rsidR="00F9522A" w:rsidRPr="009E3412">
        <w:rPr>
          <w:rFonts w:ascii="Times New Roman" w:hAnsi="Times New Roman" w:cs="Times New Roman"/>
        </w:rPr>
        <w:t>in the early stages of</w:t>
      </w:r>
      <w:r w:rsidR="00B266DE" w:rsidRPr="009E3412">
        <w:rPr>
          <w:rFonts w:ascii="Times New Roman" w:hAnsi="Times New Roman" w:cs="Times New Roman"/>
        </w:rPr>
        <w:t xml:space="preserve"> </w:t>
      </w:r>
      <w:r w:rsidR="00B97F85" w:rsidRPr="009E3412">
        <w:rPr>
          <w:rFonts w:ascii="Times New Roman" w:hAnsi="Times New Roman" w:cs="Times New Roman"/>
          <w:bdr w:val="none" w:sz="0" w:space="0" w:color="auto" w:frame="1"/>
          <w:shd w:val="clear" w:color="auto" w:fill="FFFFFF"/>
        </w:rPr>
        <w:t>cognitive decline</w:t>
      </w:r>
      <w:r w:rsidR="00AB13EB" w:rsidRPr="009E3412">
        <w:rPr>
          <w:rFonts w:ascii="Times New Roman" w:hAnsi="Times New Roman" w:cs="Times New Roman"/>
        </w:rPr>
        <w:t xml:space="preserve"> and </w:t>
      </w:r>
      <w:r w:rsidR="00B76887" w:rsidRPr="009E3412">
        <w:rPr>
          <w:rFonts w:ascii="Times New Roman" w:hAnsi="Times New Roman" w:cs="Times New Roman"/>
        </w:rPr>
        <w:t>Alzheimer’s disease (AD</w:t>
      </w:r>
      <w:r w:rsidR="00A95BD2" w:rsidRPr="009E3412">
        <w:rPr>
          <w:rFonts w:ascii="Times New Roman" w:hAnsi="Times New Roman" w:cs="Times New Roman"/>
        </w:rPr>
        <w:t>) and</w:t>
      </w:r>
      <w:r w:rsidR="00B76887" w:rsidRPr="009E3412">
        <w:rPr>
          <w:rFonts w:ascii="Times New Roman" w:hAnsi="Times New Roman" w:cs="Times New Roman"/>
        </w:rPr>
        <w:t xml:space="preserve"> </w:t>
      </w:r>
      <w:r w:rsidR="00B266DE" w:rsidRPr="009E3412">
        <w:rPr>
          <w:rFonts w:ascii="Times New Roman" w:hAnsi="Times New Roman" w:cs="Times New Roman"/>
        </w:rPr>
        <w:t xml:space="preserve">can modulate </w:t>
      </w:r>
      <w:r w:rsidR="000857B4" w:rsidRPr="009E3412">
        <w:rPr>
          <w:rFonts w:ascii="Times New Roman" w:hAnsi="Times New Roman" w:cs="Times New Roman"/>
        </w:rPr>
        <w:t xml:space="preserve">levels of </w:t>
      </w:r>
      <w:r w:rsidR="00B266DE" w:rsidRPr="009E3412">
        <w:rPr>
          <w:rFonts w:ascii="Times New Roman" w:hAnsi="Times New Roman" w:cs="Times New Roman"/>
        </w:rPr>
        <w:t xml:space="preserve">microbe-derived metabolites (MDM), </w:t>
      </w:r>
      <w:r w:rsidR="000857B4" w:rsidRPr="009E3412">
        <w:rPr>
          <w:rFonts w:ascii="Times New Roman" w:hAnsi="Times New Roman" w:cs="Times New Roman"/>
        </w:rPr>
        <w:t xml:space="preserve">thought to </w:t>
      </w:r>
      <w:r w:rsidR="00B266DE" w:rsidRPr="009E3412">
        <w:rPr>
          <w:rFonts w:ascii="Times New Roman" w:hAnsi="Times New Roman" w:cs="Times New Roman"/>
        </w:rPr>
        <w:t xml:space="preserve">contribute to neuroinflammation, blood-brain barrier dysfunction, and neuronal degeneration. However, the precise role of MDM </w:t>
      </w:r>
      <w:r w:rsidR="00B30412" w:rsidRPr="009E3412">
        <w:rPr>
          <w:rFonts w:ascii="Times New Roman" w:hAnsi="Times New Roman" w:cs="Times New Roman"/>
        </w:rPr>
        <w:t>in this process</w:t>
      </w:r>
      <w:r w:rsidR="00B266DE" w:rsidRPr="009E3412">
        <w:rPr>
          <w:rFonts w:ascii="Times New Roman" w:hAnsi="Times New Roman" w:cs="Times New Roman"/>
        </w:rPr>
        <w:t xml:space="preserve">, as well as their potential </w:t>
      </w:r>
      <w:r w:rsidR="000857B4" w:rsidRPr="009E3412">
        <w:rPr>
          <w:rFonts w:ascii="Times New Roman" w:hAnsi="Times New Roman" w:cs="Times New Roman"/>
        </w:rPr>
        <w:t xml:space="preserve">value </w:t>
      </w:r>
      <w:r w:rsidR="00B266DE" w:rsidRPr="009E3412">
        <w:rPr>
          <w:rFonts w:ascii="Times New Roman" w:hAnsi="Times New Roman" w:cs="Times New Roman"/>
        </w:rPr>
        <w:t>as risk factors, remains poorly understood.</w:t>
      </w:r>
    </w:p>
    <w:p w14:paraId="36CCF0C3" w14:textId="1ADE9A59" w:rsidR="00900823" w:rsidRPr="009E3412" w:rsidRDefault="00900823" w:rsidP="00B74D2D">
      <w:pPr>
        <w:spacing w:line="360" w:lineRule="auto"/>
        <w:jc w:val="both"/>
        <w:rPr>
          <w:rFonts w:ascii="Times New Roman" w:hAnsi="Times New Roman" w:cs="Times New Roman"/>
        </w:rPr>
      </w:pPr>
      <w:r w:rsidRPr="009E3412">
        <w:rPr>
          <w:rFonts w:ascii="Times New Roman" w:hAnsi="Times New Roman" w:cs="Times New Roman"/>
        </w:rPr>
        <w:t>METHODS</w:t>
      </w:r>
    </w:p>
    <w:p w14:paraId="1AEE0226" w14:textId="3600621F" w:rsidR="00DF0950" w:rsidRPr="009E3412" w:rsidRDefault="000F148F" w:rsidP="00B74D2D">
      <w:pPr>
        <w:spacing w:line="360" w:lineRule="auto"/>
        <w:jc w:val="both"/>
        <w:rPr>
          <w:rFonts w:ascii="Times New Roman" w:hAnsi="Times New Roman" w:cs="Times New Roman"/>
        </w:rPr>
      </w:pPr>
      <w:r w:rsidRPr="009E3412">
        <w:rPr>
          <w:rFonts w:ascii="Times New Roman" w:hAnsi="Times New Roman" w:cs="Times New Roman"/>
        </w:rPr>
        <w:t xml:space="preserve">Mass spectrometry platforms determined the serum concentration of </w:t>
      </w:r>
      <w:r w:rsidR="004B423E" w:rsidRPr="009E3412">
        <w:rPr>
          <w:rFonts w:ascii="Times New Roman" w:hAnsi="Times New Roman" w:cs="Times New Roman"/>
        </w:rPr>
        <w:t>3</w:t>
      </w:r>
      <w:r w:rsidR="008D0BB7" w:rsidRPr="009E3412">
        <w:rPr>
          <w:rFonts w:ascii="Times New Roman" w:hAnsi="Times New Roman" w:cs="Times New Roman"/>
        </w:rPr>
        <w:t>3</w:t>
      </w:r>
      <w:r w:rsidR="004B423E" w:rsidRPr="009E3412">
        <w:rPr>
          <w:rFonts w:ascii="Times New Roman" w:hAnsi="Times New Roman" w:cs="Times New Roman"/>
        </w:rPr>
        <w:t xml:space="preserve"> </w:t>
      </w:r>
      <w:r w:rsidR="00DB5634" w:rsidRPr="009E3412">
        <w:rPr>
          <w:rFonts w:ascii="Times New Roman" w:hAnsi="Times New Roman" w:cs="Times New Roman"/>
        </w:rPr>
        <w:t>metabolites (</w:t>
      </w:r>
      <w:r w:rsidRPr="009E3412">
        <w:rPr>
          <w:rFonts w:ascii="Times New Roman" w:hAnsi="Times New Roman" w:cs="Times New Roman"/>
        </w:rPr>
        <w:t>1</w:t>
      </w:r>
      <w:r w:rsidR="00690F53" w:rsidRPr="009E3412">
        <w:rPr>
          <w:rFonts w:ascii="Times New Roman" w:hAnsi="Times New Roman" w:cs="Times New Roman"/>
        </w:rPr>
        <w:t>3</w:t>
      </w:r>
      <w:r w:rsidRPr="009E3412">
        <w:rPr>
          <w:rFonts w:ascii="Times New Roman" w:hAnsi="Times New Roman" w:cs="Times New Roman"/>
        </w:rPr>
        <w:t xml:space="preserve"> tryptophan-related compounds, </w:t>
      </w:r>
      <w:r w:rsidR="00DC7B74" w:rsidRPr="009E3412">
        <w:rPr>
          <w:rFonts w:ascii="Times New Roman" w:hAnsi="Times New Roman" w:cs="Times New Roman"/>
        </w:rPr>
        <w:t>15</w:t>
      </w:r>
      <w:r w:rsidRPr="009E3412">
        <w:rPr>
          <w:rFonts w:ascii="Times New Roman" w:hAnsi="Times New Roman" w:cs="Times New Roman"/>
        </w:rPr>
        <w:t xml:space="preserve"> bile acid compounds, 3 TMAO-related metabolites and 2 cresol metabolites</w:t>
      </w:r>
      <w:r w:rsidR="00DB5634" w:rsidRPr="009E3412">
        <w:rPr>
          <w:rFonts w:ascii="Times New Roman" w:hAnsi="Times New Roman" w:cs="Times New Roman"/>
        </w:rPr>
        <w:t>)</w:t>
      </w:r>
      <w:r w:rsidR="00C41207" w:rsidRPr="009E3412">
        <w:rPr>
          <w:rFonts w:ascii="Times New Roman" w:hAnsi="Times New Roman" w:cs="Times New Roman"/>
        </w:rPr>
        <w:t xml:space="preserve"> from</w:t>
      </w:r>
      <w:r w:rsidR="00FB010B" w:rsidRPr="009E3412">
        <w:rPr>
          <w:rFonts w:ascii="Times New Roman" w:hAnsi="Times New Roman" w:cs="Times New Roman"/>
        </w:rPr>
        <w:t xml:space="preserve"> cognitively healthy subjects, subjective cognitive impairment (SCI) participants and mild cognitive impairment (MCI) participants</w:t>
      </w:r>
      <w:r w:rsidR="00CB344E" w:rsidRPr="009E3412">
        <w:rPr>
          <w:rFonts w:ascii="Times New Roman" w:hAnsi="Times New Roman" w:cs="Times New Roman"/>
        </w:rPr>
        <w:t xml:space="preserve"> (</w:t>
      </w:r>
      <w:r w:rsidR="00CB344E" w:rsidRPr="009E3412">
        <w:rPr>
          <w:rFonts w:ascii="Times New Roman" w:hAnsi="Times New Roman" w:cs="Times New Roman"/>
          <w:i/>
          <w:iCs/>
        </w:rPr>
        <w:t>n</w:t>
      </w:r>
      <w:r w:rsidR="00CB344E" w:rsidRPr="009E3412">
        <w:rPr>
          <w:rFonts w:ascii="Times New Roman" w:hAnsi="Times New Roman" w:cs="Times New Roman"/>
        </w:rPr>
        <w:t>=50 per group, matched for age, BMI and sex</w:t>
      </w:r>
      <w:r w:rsidR="00C41207" w:rsidRPr="009E3412">
        <w:rPr>
          <w:rFonts w:ascii="Times New Roman" w:hAnsi="Times New Roman" w:cs="Times New Roman"/>
        </w:rPr>
        <w:t xml:space="preserve">). Multiple linear regression and machine learning techniques were applied to identify a metabolite panel capable of classifying early cognitive decline. 16S rRNA </w:t>
      </w:r>
      <w:r w:rsidR="001112AD" w:rsidRPr="009E3412">
        <w:rPr>
          <w:rFonts w:ascii="Times New Roman" w:hAnsi="Times New Roman" w:cs="Times New Roman"/>
        </w:rPr>
        <w:t xml:space="preserve">amplicon </w:t>
      </w:r>
      <w:r w:rsidR="00C41207" w:rsidRPr="009E3412">
        <w:rPr>
          <w:rFonts w:ascii="Times New Roman" w:hAnsi="Times New Roman" w:cs="Times New Roman"/>
        </w:rPr>
        <w:t xml:space="preserve">sequencing was </w:t>
      </w:r>
      <w:r w:rsidR="00735FDF" w:rsidRPr="009E3412">
        <w:rPr>
          <w:rFonts w:ascii="Times New Roman" w:hAnsi="Times New Roman" w:cs="Times New Roman"/>
        </w:rPr>
        <w:t>employed</w:t>
      </w:r>
      <w:r w:rsidR="00C41207" w:rsidRPr="009E3412">
        <w:rPr>
          <w:rFonts w:ascii="Times New Roman" w:hAnsi="Times New Roman" w:cs="Times New Roman"/>
        </w:rPr>
        <w:t xml:space="preserve"> to identify bacterial taxa associated with these metabolic changes.</w:t>
      </w:r>
    </w:p>
    <w:p w14:paraId="2B777324" w14:textId="77777777" w:rsidR="00DF0950" w:rsidRPr="009E3412" w:rsidRDefault="00DF0950" w:rsidP="00B74D2D">
      <w:pPr>
        <w:spacing w:line="360" w:lineRule="auto"/>
        <w:jc w:val="both"/>
        <w:rPr>
          <w:rFonts w:ascii="Times New Roman" w:hAnsi="Times New Roman" w:cs="Times New Roman"/>
        </w:rPr>
      </w:pPr>
      <w:r w:rsidRPr="009E3412">
        <w:rPr>
          <w:rFonts w:ascii="Times New Roman" w:hAnsi="Times New Roman" w:cs="Times New Roman"/>
        </w:rPr>
        <w:t>RESULTS</w:t>
      </w:r>
    </w:p>
    <w:p w14:paraId="41FDA3C2" w14:textId="6E3ED34E" w:rsidR="00F9522A" w:rsidRPr="009E3412" w:rsidRDefault="00F9522A" w:rsidP="00B74D2D">
      <w:pPr>
        <w:spacing w:line="360" w:lineRule="auto"/>
        <w:jc w:val="both"/>
        <w:rPr>
          <w:rFonts w:ascii="Times New Roman" w:hAnsi="Times New Roman" w:cs="Times New Roman"/>
        </w:rPr>
      </w:pPr>
      <w:r w:rsidRPr="009E3412">
        <w:rPr>
          <w:rFonts w:ascii="Times New Roman" w:hAnsi="Times New Roman" w:cs="Times New Roman"/>
        </w:rPr>
        <w:t>Multiple linear regression modelling, adjusted for sex, BMI, age, albumin (for its role in metabolite transport), liver and kidney function, and background diet, identified key neuroprotective metabolites,</w:t>
      </w:r>
      <w:r w:rsidR="000857B4" w:rsidRPr="009E3412">
        <w:rPr>
          <w:rFonts w:ascii="Times New Roman" w:hAnsi="Times New Roman" w:cs="Times New Roman"/>
        </w:rPr>
        <w:t xml:space="preserve"> namely</w:t>
      </w:r>
      <w:r w:rsidRPr="009E3412">
        <w:rPr>
          <w:rFonts w:ascii="Times New Roman" w:hAnsi="Times New Roman" w:cs="Times New Roman"/>
        </w:rPr>
        <w:t xml:space="preserve"> choline, 5-hydroxyindole acetic acid, and indole propionic acid (IPA), as lower in SCI and MCI </w:t>
      </w:r>
      <w:r w:rsidR="000857B4" w:rsidRPr="009E3412">
        <w:rPr>
          <w:rFonts w:ascii="Times New Roman" w:hAnsi="Times New Roman" w:cs="Times New Roman"/>
        </w:rPr>
        <w:t xml:space="preserve">individuals </w:t>
      </w:r>
      <w:r w:rsidRPr="009E3412">
        <w:rPr>
          <w:rFonts w:ascii="Times New Roman" w:hAnsi="Times New Roman" w:cs="Times New Roman"/>
        </w:rPr>
        <w:t xml:space="preserve">compared to </w:t>
      </w:r>
      <w:r w:rsidR="000857B4" w:rsidRPr="009E3412">
        <w:rPr>
          <w:rFonts w:ascii="Times New Roman" w:hAnsi="Times New Roman" w:cs="Times New Roman"/>
        </w:rPr>
        <w:t xml:space="preserve">healthy </w:t>
      </w:r>
      <w:r w:rsidRPr="009E3412">
        <w:rPr>
          <w:rFonts w:ascii="Times New Roman" w:hAnsi="Times New Roman" w:cs="Times New Roman"/>
        </w:rPr>
        <w:t>controls. In contrast, the cytotoxic metabolite</w:t>
      </w:r>
      <w:r w:rsidR="003A6605" w:rsidRPr="009E3412">
        <w:rPr>
          <w:rFonts w:ascii="Times New Roman" w:hAnsi="Times New Roman" w:cs="Times New Roman"/>
        </w:rPr>
        <w:t>,</w:t>
      </w:r>
      <w:r w:rsidRPr="009E3412">
        <w:rPr>
          <w:rFonts w:ascii="Times New Roman" w:hAnsi="Times New Roman" w:cs="Times New Roman"/>
        </w:rPr>
        <w:t xml:space="preserve"> indoxyl </w:t>
      </w:r>
      <w:proofErr w:type="spellStart"/>
      <w:r w:rsidRPr="009E3412">
        <w:rPr>
          <w:rFonts w:ascii="Times New Roman" w:hAnsi="Times New Roman" w:cs="Times New Roman"/>
        </w:rPr>
        <w:t>sulfate</w:t>
      </w:r>
      <w:proofErr w:type="spellEnd"/>
      <w:r w:rsidR="003A6605" w:rsidRPr="009E3412">
        <w:rPr>
          <w:rFonts w:ascii="Times New Roman" w:hAnsi="Times New Roman" w:cs="Times New Roman"/>
        </w:rPr>
        <w:t>, and kynurenic acid</w:t>
      </w:r>
      <w:r w:rsidRPr="009E3412">
        <w:rPr>
          <w:rFonts w:ascii="Times New Roman" w:hAnsi="Times New Roman" w:cs="Times New Roman"/>
        </w:rPr>
        <w:t xml:space="preserve"> w</w:t>
      </w:r>
      <w:r w:rsidR="003A6605" w:rsidRPr="009E3412">
        <w:rPr>
          <w:rFonts w:ascii="Times New Roman" w:hAnsi="Times New Roman" w:cs="Times New Roman"/>
        </w:rPr>
        <w:t xml:space="preserve">ere </w:t>
      </w:r>
      <w:r w:rsidRPr="009E3412">
        <w:rPr>
          <w:rFonts w:ascii="Times New Roman" w:hAnsi="Times New Roman" w:cs="Times New Roman"/>
        </w:rPr>
        <w:t xml:space="preserve">elevated. A Random Forest algorithm with multiclass classification further validated these findings, highlighting six metabolites (indoxyl </w:t>
      </w:r>
      <w:proofErr w:type="spellStart"/>
      <w:r w:rsidRPr="009E3412">
        <w:rPr>
          <w:rFonts w:ascii="Times New Roman" w:hAnsi="Times New Roman" w:cs="Times New Roman"/>
        </w:rPr>
        <w:t>sulfate</w:t>
      </w:r>
      <w:proofErr w:type="spellEnd"/>
      <w:r w:rsidRPr="009E3412">
        <w:rPr>
          <w:rFonts w:ascii="Times New Roman" w:hAnsi="Times New Roman" w:cs="Times New Roman"/>
        </w:rPr>
        <w:t>, choline, 5-hydroxyindole acetic acid, IPA, kynurenic acid, and kynurenine) as classifiers of early cognitive decline, achieving an area under the curve (AUC) of 0.7</w:t>
      </w:r>
      <w:r w:rsidR="000D5E99" w:rsidRPr="009E3412">
        <w:rPr>
          <w:rFonts w:ascii="Times New Roman" w:hAnsi="Times New Roman" w:cs="Times New Roman"/>
        </w:rPr>
        <w:t>9</w:t>
      </w:r>
      <w:r w:rsidRPr="009E3412">
        <w:rPr>
          <w:rFonts w:ascii="Times New Roman" w:hAnsi="Times New Roman" w:cs="Times New Roman"/>
        </w:rPr>
        <w:t>.</w:t>
      </w:r>
    </w:p>
    <w:p w14:paraId="6E190EC4" w14:textId="162C67DA" w:rsidR="00DF0950" w:rsidRPr="009E3412" w:rsidRDefault="00D02B0D" w:rsidP="00B74D2D">
      <w:pPr>
        <w:spacing w:line="360" w:lineRule="auto"/>
        <w:jc w:val="both"/>
        <w:rPr>
          <w:rFonts w:ascii="Times New Roman" w:hAnsi="Times New Roman" w:cs="Times New Roman"/>
        </w:rPr>
      </w:pPr>
      <w:r w:rsidRPr="009E3412">
        <w:rPr>
          <w:rFonts w:ascii="Times New Roman" w:hAnsi="Times New Roman" w:cs="Times New Roman"/>
        </w:rPr>
        <w:t>CONCLUSION</w:t>
      </w:r>
    </w:p>
    <w:p w14:paraId="18A5E18F" w14:textId="6BE5ED7C" w:rsidR="00BF1F1D" w:rsidRPr="009E3412" w:rsidRDefault="009E3412" w:rsidP="009E3412">
      <w:pPr>
        <w:spacing w:line="360" w:lineRule="auto"/>
        <w:jc w:val="both"/>
        <w:rPr>
          <w:rFonts w:ascii="Times New Roman" w:hAnsi="Times New Roman" w:cs="Times New Roman"/>
        </w:rPr>
      </w:pPr>
      <w:r w:rsidRPr="009E3412">
        <w:rPr>
          <w:rFonts w:ascii="Times New Roman" w:hAnsi="Times New Roman" w:cs="Times New Roman"/>
        </w:rPr>
        <w:t>These findings suggest that MDM may serve as putative composite</w:t>
      </w:r>
      <w:r w:rsidRPr="009E3412">
        <w:rPr>
          <w:rFonts w:ascii="Times New Roman" w:hAnsi="Times New Roman" w:cs="Times New Roman"/>
        </w:rPr>
        <w:t xml:space="preserve"> </w:t>
      </w:r>
      <w:r w:rsidRPr="009E3412">
        <w:rPr>
          <w:rFonts w:ascii="Times New Roman" w:hAnsi="Times New Roman" w:cs="Times New Roman"/>
        </w:rPr>
        <w:t>biomarkers of early cognitive decline, offering potential clinical relevance for metabolic</w:t>
      </w:r>
      <w:r w:rsidRPr="009E3412">
        <w:rPr>
          <w:rFonts w:ascii="Times New Roman" w:hAnsi="Times New Roman" w:cs="Times New Roman"/>
        </w:rPr>
        <w:t xml:space="preserve"> </w:t>
      </w:r>
      <w:r w:rsidRPr="009E3412">
        <w:rPr>
          <w:rFonts w:ascii="Times New Roman" w:hAnsi="Times New Roman" w:cs="Times New Roman"/>
        </w:rPr>
        <w:t>risk stratification and supporting the future development of minimally invasive screening</w:t>
      </w:r>
      <w:r w:rsidRPr="009E3412">
        <w:rPr>
          <w:rFonts w:ascii="Times New Roman" w:hAnsi="Times New Roman" w:cs="Times New Roman"/>
        </w:rPr>
        <w:t xml:space="preserve"> </w:t>
      </w:r>
      <w:r w:rsidRPr="009E3412">
        <w:rPr>
          <w:rFonts w:ascii="Times New Roman" w:hAnsi="Times New Roman" w:cs="Times New Roman"/>
        </w:rPr>
        <w:t>tools.</w:t>
      </w:r>
    </w:p>
    <w:p w14:paraId="2CE031B5" w14:textId="72FA94E8" w:rsidR="005A0DB4" w:rsidRPr="009E3412" w:rsidRDefault="008D67BB" w:rsidP="00D33912">
      <w:pPr>
        <w:spacing w:line="360" w:lineRule="auto"/>
        <w:jc w:val="both"/>
        <w:rPr>
          <w:rFonts w:ascii="Times New Roman" w:hAnsi="Times New Roman" w:cs="Times New Roman"/>
        </w:rPr>
      </w:pPr>
      <w:r w:rsidRPr="009E3412">
        <w:rPr>
          <w:rFonts w:ascii="Times New Roman" w:hAnsi="Times New Roman" w:cs="Times New Roman"/>
          <w:b/>
          <w:bCs/>
        </w:rPr>
        <w:t>Keywords</w:t>
      </w:r>
      <w:r w:rsidR="00B34F71" w:rsidRPr="009E3412">
        <w:rPr>
          <w:rFonts w:ascii="Times New Roman" w:hAnsi="Times New Roman" w:cs="Times New Roman"/>
        </w:rPr>
        <w:t xml:space="preserve">: </w:t>
      </w:r>
      <w:r w:rsidR="009A0A83" w:rsidRPr="009E3412">
        <w:rPr>
          <w:rFonts w:ascii="Times New Roman" w:hAnsi="Times New Roman" w:cs="Times New Roman"/>
        </w:rPr>
        <w:t xml:space="preserve">microbiome, indoxyl </w:t>
      </w:r>
      <w:proofErr w:type="spellStart"/>
      <w:r w:rsidR="009A0A83" w:rsidRPr="009E3412">
        <w:rPr>
          <w:rFonts w:ascii="Times New Roman" w:hAnsi="Times New Roman" w:cs="Times New Roman"/>
        </w:rPr>
        <w:t>sulfate</w:t>
      </w:r>
      <w:proofErr w:type="spellEnd"/>
      <w:r w:rsidR="009A0A83" w:rsidRPr="009E3412">
        <w:rPr>
          <w:rFonts w:ascii="Times New Roman" w:hAnsi="Times New Roman" w:cs="Times New Roman"/>
        </w:rPr>
        <w:t>, indole-3-propionic acid, 5-hydroxyindole acetic acid, choline</w:t>
      </w:r>
      <w:r w:rsidR="003057DD" w:rsidRPr="009E3412">
        <w:rPr>
          <w:rFonts w:ascii="Times New Roman" w:hAnsi="Times New Roman" w:cs="Times New Roman"/>
        </w:rPr>
        <w:t>, kynurenic acid</w:t>
      </w:r>
      <w:r w:rsidR="00FB2A22" w:rsidRPr="009E3412">
        <w:rPr>
          <w:rFonts w:ascii="Times New Roman" w:hAnsi="Times New Roman" w:cs="Times New Roman"/>
        </w:rPr>
        <w:t xml:space="preserve">, mild cognitive impairment, subjective </w:t>
      </w:r>
      <w:r w:rsidR="00DB60B2" w:rsidRPr="009E3412">
        <w:rPr>
          <w:rFonts w:ascii="Times New Roman" w:hAnsi="Times New Roman" w:cs="Times New Roman"/>
        </w:rPr>
        <w:t>cognitive</w:t>
      </w:r>
      <w:r w:rsidR="00FB2A22" w:rsidRPr="009E3412">
        <w:rPr>
          <w:rFonts w:ascii="Times New Roman" w:hAnsi="Times New Roman" w:cs="Times New Roman"/>
        </w:rPr>
        <w:t xml:space="preserve"> impairment.</w:t>
      </w:r>
    </w:p>
    <w:p w14:paraId="2AE20A04" w14:textId="77777777" w:rsidR="00D85BA7" w:rsidRPr="009E3412" w:rsidRDefault="00D85BA7" w:rsidP="00D33912">
      <w:pPr>
        <w:spacing w:line="360" w:lineRule="auto"/>
        <w:jc w:val="both"/>
        <w:rPr>
          <w:rFonts w:ascii="Times New Roman" w:hAnsi="Times New Roman" w:cs="Times New Roman"/>
        </w:rPr>
      </w:pPr>
    </w:p>
    <w:p w14:paraId="487507F7" w14:textId="77777777" w:rsidR="00150AD6" w:rsidRPr="009E3412" w:rsidRDefault="0082522C">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rPr>
      </w:pPr>
      <w:r w:rsidRPr="009E3412">
        <w:rPr>
          <w:rFonts w:ascii="Times New Roman" w:eastAsia="Times New Roman" w:hAnsi="Times New Roman" w:cs="Times New Roman"/>
          <w:b/>
        </w:rPr>
        <w:lastRenderedPageBreak/>
        <w:t>Introduction</w:t>
      </w:r>
    </w:p>
    <w:p w14:paraId="4CBF7442" w14:textId="04872486" w:rsidR="00150AD6" w:rsidRPr="009E3412" w:rsidRDefault="003C2239">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Currently, an estimated 5</w:t>
      </w:r>
      <w:r w:rsidR="00F25E5E" w:rsidRPr="009E3412">
        <w:rPr>
          <w:rFonts w:ascii="Times New Roman" w:eastAsia="Times New Roman" w:hAnsi="Times New Roman" w:cs="Times New Roman"/>
        </w:rPr>
        <w:t>5.2</w:t>
      </w:r>
      <w:r w:rsidRPr="009E3412">
        <w:rPr>
          <w:rFonts w:ascii="Times New Roman" w:eastAsia="Times New Roman" w:hAnsi="Times New Roman" w:cs="Times New Roman"/>
        </w:rPr>
        <w:t xml:space="preserve"> million people suffer from dementia </w:t>
      </w:r>
      <w:r w:rsidR="00C82FC5" w:rsidRPr="009E3412">
        <w:rPr>
          <w:rFonts w:ascii="Times New Roman" w:eastAsia="Times New Roman" w:hAnsi="Times New Roman" w:cs="Times New Roman"/>
        </w:rPr>
        <w:t xml:space="preserve">worldwide, </w:t>
      </w:r>
      <w:r w:rsidR="006D5F88" w:rsidRPr="009E3412">
        <w:rPr>
          <w:rFonts w:ascii="Times New Roman" w:eastAsia="Times New Roman" w:hAnsi="Times New Roman" w:cs="Times New Roman"/>
        </w:rPr>
        <w:t>of which Alzheimer’s disease (AD) is the main form</w:t>
      </w:r>
      <w:r w:rsidR="00F25E5E" w:rsidRPr="009E3412">
        <w:rPr>
          <w:rFonts w:ascii="Times New Roman" w:eastAsia="Times New Roman" w:hAnsi="Times New Roman" w:cs="Times New Roman"/>
        </w:rPr>
        <w:t xml:space="preserve"> </w:t>
      </w:r>
      <w:r w:rsidR="00F25E5E"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{"citationID":"hDJF1jOa","properties":{"formattedCitation":"[1]","plainCitation":"[1]","noteIndex":0},"citationItems":[{"id":1050,"uris":["http://zotero.org/users/9893877/items/G2TJ494Q"],"itemData":{"id":1050,"type":"article-journal","container-title":"Security Research Hub Reports","title":"Global status report on the public health response to dementia","URL":"https://digitalcommons.fiu.edu/srhreports/health/health/65","author":[{"family":"World Health Organization","given":""}],"issued":{"date-parts":[["2021",1,1]]}}}],"schema":"https://github.com/citation-style-language/schema/raw/master/csl-citation.json"} </w:instrText>
      </w:r>
      <w:r w:rsidR="00F25E5E" w:rsidRPr="009E3412">
        <w:rPr>
          <w:rFonts w:ascii="Times New Roman" w:eastAsia="Times New Roman" w:hAnsi="Times New Roman" w:cs="Times New Roman"/>
        </w:rPr>
        <w:fldChar w:fldCharType="separate"/>
      </w:r>
      <w:r w:rsidR="007A55BE" w:rsidRPr="009E3412">
        <w:rPr>
          <w:rFonts w:ascii="Times New Roman" w:hAnsi="Times New Roman" w:cs="Times New Roman"/>
        </w:rPr>
        <w:t>[1]</w:t>
      </w:r>
      <w:r w:rsidR="00F25E5E" w:rsidRPr="009E3412">
        <w:rPr>
          <w:rFonts w:ascii="Times New Roman" w:eastAsia="Times New Roman" w:hAnsi="Times New Roman" w:cs="Times New Roman"/>
        </w:rPr>
        <w:fldChar w:fldCharType="end"/>
      </w:r>
      <w:r w:rsidR="00371102" w:rsidRPr="009E3412">
        <w:rPr>
          <w:rFonts w:ascii="Times New Roman" w:eastAsia="Times New Roman" w:hAnsi="Times New Roman" w:cs="Times New Roman"/>
        </w:rPr>
        <w:t>. I</w:t>
      </w:r>
      <w:r w:rsidR="00D140B3" w:rsidRPr="009E3412">
        <w:rPr>
          <w:rFonts w:ascii="Times New Roman" w:eastAsia="Times New Roman" w:hAnsi="Times New Roman" w:cs="Times New Roman"/>
        </w:rPr>
        <w:t>n the absence of an effective strategy to slow or prevent disease progression</w:t>
      </w:r>
      <w:r w:rsidR="00C30164" w:rsidRPr="009E3412">
        <w:rPr>
          <w:rFonts w:ascii="Times New Roman" w:eastAsia="Times New Roman" w:hAnsi="Times New Roman" w:cs="Times New Roman"/>
        </w:rPr>
        <w:t>,</w:t>
      </w:r>
      <w:r w:rsidR="00D140B3" w:rsidRPr="009E3412">
        <w:rPr>
          <w:rFonts w:ascii="Times New Roman" w:eastAsia="Times New Roman" w:hAnsi="Times New Roman" w:cs="Times New Roman"/>
        </w:rPr>
        <w:t xml:space="preserve"> </w:t>
      </w:r>
      <w:r w:rsidR="00A81B09" w:rsidRPr="009E3412">
        <w:rPr>
          <w:rFonts w:ascii="Times New Roman" w:eastAsia="Times New Roman" w:hAnsi="Times New Roman" w:cs="Times New Roman"/>
        </w:rPr>
        <w:t xml:space="preserve">dementia </w:t>
      </w:r>
      <w:r w:rsidR="00C82FC5" w:rsidRPr="009E3412">
        <w:rPr>
          <w:rFonts w:ascii="Times New Roman" w:eastAsia="Times New Roman" w:hAnsi="Times New Roman" w:cs="Times New Roman"/>
        </w:rPr>
        <w:t>incidence</w:t>
      </w:r>
      <w:r w:rsidR="00775E16" w:rsidRPr="009E3412">
        <w:rPr>
          <w:rFonts w:ascii="Times New Roman" w:eastAsia="Times New Roman" w:hAnsi="Times New Roman" w:cs="Times New Roman"/>
        </w:rPr>
        <w:t xml:space="preserve"> </w:t>
      </w:r>
      <w:r w:rsidR="00A81B09" w:rsidRPr="009E3412">
        <w:rPr>
          <w:rFonts w:ascii="Times New Roman" w:eastAsia="Times New Roman" w:hAnsi="Times New Roman" w:cs="Times New Roman"/>
        </w:rPr>
        <w:t xml:space="preserve">is </w:t>
      </w:r>
      <w:r w:rsidRPr="009E3412">
        <w:rPr>
          <w:rFonts w:ascii="Times New Roman" w:eastAsia="Times New Roman" w:hAnsi="Times New Roman" w:cs="Times New Roman"/>
        </w:rPr>
        <w:t xml:space="preserve">expected to increase to 152.8 million by 2050. </w:t>
      </w:r>
      <w:r w:rsidR="006D5F88" w:rsidRPr="009E3412">
        <w:rPr>
          <w:rFonts w:ascii="Times New Roman" w:hAnsi="Times New Roman" w:cs="Times New Roman"/>
        </w:rPr>
        <w:t xml:space="preserve">By </w:t>
      </w:r>
      <w:r w:rsidR="00603DFF" w:rsidRPr="009E3412">
        <w:rPr>
          <w:rFonts w:ascii="Times New Roman" w:hAnsi="Times New Roman" w:cs="Times New Roman"/>
        </w:rPr>
        <w:t xml:space="preserve">the time </w:t>
      </w:r>
      <w:r w:rsidR="006D5F88" w:rsidRPr="009E3412">
        <w:rPr>
          <w:rFonts w:ascii="Times New Roman" w:hAnsi="Times New Roman" w:cs="Times New Roman"/>
        </w:rPr>
        <w:t xml:space="preserve">AD </w:t>
      </w:r>
      <w:r w:rsidR="00603DFF" w:rsidRPr="009E3412">
        <w:rPr>
          <w:rFonts w:ascii="Times New Roman" w:hAnsi="Times New Roman" w:cs="Times New Roman"/>
        </w:rPr>
        <w:t xml:space="preserve">is typically diagnosed, substantial neuronal loss </w:t>
      </w:r>
      <w:r w:rsidR="00A81B09" w:rsidRPr="009E3412">
        <w:rPr>
          <w:rFonts w:ascii="Times New Roman" w:hAnsi="Times New Roman" w:cs="Times New Roman"/>
        </w:rPr>
        <w:t xml:space="preserve">will </w:t>
      </w:r>
      <w:r w:rsidR="00603DFF" w:rsidRPr="009E3412">
        <w:rPr>
          <w:rFonts w:ascii="Times New Roman" w:hAnsi="Times New Roman" w:cs="Times New Roman"/>
        </w:rPr>
        <w:t xml:space="preserve">have </w:t>
      </w:r>
      <w:r w:rsidR="00A81B09" w:rsidRPr="009E3412">
        <w:rPr>
          <w:rFonts w:ascii="Times New Roman" w:hAnsi="Times New Roman" w:cs="Times New Roman"/>
        </w:rPr>
        <w:t xml:space="preserve">occurred across </w:t>
      </w:r>
      <w:r w:rsidR="0092761F" w:rsidRPr="009E3412">
        <w:rPr>
          <w:rFonts w:ascii="Times New Roman" w:hAnsi="Times New Roman" w:cs="Times New Roman"/>
        </w:rPr>
        <w:t>multiple</w:t>
      </w:r>
      <w:r w:rsidR="00603DFF" w:rsidRPr="009E3412">
        <w:rPr>
          <w:rFonts w:ascii="Times New Roman" w:hAnsi="Times New Roman" w:cs="Times New Roman"/>
        </w:rPr>
        <w:t xml:space="preserve"> brain regions</w:t>
      </w:r>
      <w:r w:rsidR="001E17AA" w:rsidRPr="009E3412">
        <w:rPr>
          <w:rFonts w:ascii="Times New Roman" w:hAnsi="Times New Roman" w:cs="Times New Roman"/>
        </w:rPr>
        <w:t>. I</w:t>
      </w:r>
      <w:r w:rsidR="00BE0A6D" w:rsidRPr="009E3412">
        <w:rPr>
          <w:rFonts w:ascii="Times New Roman" w:hAnsi="Times New Roman" w:cs="Times New Roman"/>
        </w:rPr>
        <w:t xml:space="preserve">dentifying </w:t>
      </w:r>
      <w:r w:rsidRPr="009E3412">
        <w:rPr>
          <w:rFonts w:ascii="Times New Roman" w:eastAsia="Times New Roman" w:hAnsi="Times New Roman" w:cs="Times New Roman"/>
        </w:rPr>
        <w:t xml:space="preserve">molecular precursors and biological risk </w:t>
      </w:r>
      <w:r w:rsidRPr="009E3412">
        <w:rPr>
          <w:rFonts w:ascii="Times New Roman" w:hAnsi="Times New Roman" w:cs="Times New Roman"/>
          <w:bdr w:val="none" w:sz="0" w:space="0" w:color="auto" w:frame="1"/>
          <w:shd w:val="clear" w:color="auto" w:fill="FFFFFF"/>
        </w:rPr>
        <w:t xml:space="preserve">factors </w:t>
      </w:r>
      <w:r w:rsidR="00023D2D" w:rsidRPr="009E3412">
        <w:rPr>
          <w:rFonts w:ascii="Times New Roman" w:hAnsi="Times New Roman" w:cs="Times New Roman"/>
          <w:bdr w:val="none" w:sz="0" w:space="0" w:color="auto" w:frame="1"/>
          <w:shd w:val="clear" w:color="auto" w:fill="FFFFFF"/>
        </w:rPr>
        <w:t>associated with early cognitive decline, a clinical risk state for dementia including AD</w:t>
      </w:r>
      <w:r w:rsidR="00023D2D" w:rsidRPr="009E3412">
        <w:rPr>
          <w:rFonts w:ascii="Times New Roman" w:eastAsia="Times New Roman" w:hAnsi="Times New Roman" w:cs="Times New Roman"/>
        </w:rPr>
        <w:t xml:space="preserve">, </w:t>
      </w:r>
      <w:r w:rsidR="006D5F88" w:rsidRPr="009E3412">
        <w:rPr>
          <w:rFonts w:ascii="Times New Roman" w:eastAsia="Times New Roman" w:hAnsi="Times New Roman" w:cs="Times New Roman"/>
        </w:rPr>
        <w:t>would</w:t>
      </w:r>
      <w:r w:rsidRPr="009E3412">
        <w:rPr>
          <w:rFonts w:ascii="Times New Roman" w:eastAsia="Times New Roman" w:hAnsi="Times New Roman" w:cs="Times New Roman"/>
        </w:rPr>
        <w:t xml:space="preserve"> </w:t>
      </w:r>
      <w:r w:rsidR="00EA56D5" w:rsidRPr="009E3412">
        <w:rPr>
          <w:rFonts w:ascii="Times New Roman" w:eastAsia="Times New Roman" w:hAnsi="Times New Roman" w:cs="Times New Roman"/>
        </w:rPr>
        <w:t>enable</w:t>
      </w:r>
      <w:r w:rsidRPr="009E3412">
        <w:rPr>
          <w:rFonts w:ascii="Times New Roman" w:eastAsia="Times New Roman" w:hAnsi="Times New Roman" w:cs="Times New Roman"/>
        </w:rPr>
        <w:t xml:space="preserve"> earlier detection </w:t>
      </w:r>
      <w:r w:rsidR="006D5F88" w:rsidRPr="009E3412">
        <w:rPr>
          <w:rFonts w:ascii="Times New Roman" w:eastAsia="Times New Roman" w:hAnsi="Times New Roman" w:cs="Times New Roman"/>
        </w:rPr>
        <w:t xml:space="preserve">and the targeting of regular monitoring and mitigating interventions </w:t>
      </w:r>
      <w:r w:rsidR="00BE0A6D" w:rsidRPr="009E3412">
        <w:rPr>
          <w:rFonts w:ascii="Times New Roman" w:eastAsia="Times New Roman" w:hAnsi="Times New Roman" w:cs="Times New Roman"/>
        </w:rPr>
        <w:t xml:space="preserve">while </w:t>
      </w:r>
      <w:r w:rsidR="008D4AD6" w:rsidRPr="009E3412">
        <w:rPr>
          <w:rFonts w:ascii="Times New Roman" w:eastAsia="Times New Roman" w:hAnsi="Times New Roman" w:cs="Times New Roman"/>
        </w:rPr>
        <w:t>prevention</w:t>
      </w:r>
      <w:r w:rsidRPr="009E3412">
        <w:rPr>
          <w:rFonts w:ascii="Times New Roman" w:eastAsia="Times New Roman" w:hAnsi="Times New Roman" w:cs="Times New Roman"/>
        </w:rPr>
        <w:t xml:space="preserve"> </w:t>
      </w:r>
      <w:r w:rsidR="002220A6" w:rsidRPr="009E3412">
        <w:rPr>
          <w:rFonts w:ascii="Times New Roman" w:eastAsia="Times New Roman" w:hAnsi="Times New Roman" w:cs="Times New Roman"/>
        </w:rPr>
        <w:t xml:space="preserve">is </w:t>
      </w:r>
      <w:r w:rsidRPr="009E3412">
        <w:rPr>
          <w:rFonts w:ascii="Times New Roman" w:eastAsia="Times New Roman" w:hAnsi="Times New Roman" w:cs="Times New Roman"/>
        </w:rPr>
        <w:t>viable.</w:t>
      </w:r>
    </w:p>
    <w:p w14:paraId="6A628DE2" w14:textId="4790AEE2" w:rsidR="00A435B0" w:rsidRPr="009E3412" w:rsidRDefault="0082522C">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The contribution of lifestyle factors </w:t>
      </w:r>
      <w:r w:rsidR="006D5F88" w:rsidRPr="009E3412">
        <w:rPr>
          <w:rFonts w:ascii="Times New Roman" w:eastAsia="Times New Roman" w:hAnsi="Times New Roman" w:cs="Times New Roman"/>
        </w:rPr>
        <w:t xml:space="preserve">to </w:t>
      </w:r>
      <w:r w:rsidRPr="009E3412">
        <w:rPr>
          <w:rFonts w:ascii="Times New Roman" w:eastAsia="Times New Roman" w:hAnsi="Times New Roman" w:cs="Times New Roman"/>
        </w:rPr>
        <w:t>cognitive decline and dementia is well documented</w:t>
      </w:r>
      <w:r w:rsidR="00A92E48" w:rsidRPr="009E3412">
        <w:rPr>
          <w:rFonts w:ascii="Times New Roman" w:eastAsia="Times New Roman" w:hAnsi="Times New Roman" w:cs="Times New Roman"/>
        </w:rPr>
        <w:t xml:space="preserve"> </w:t>
      </w:r>
      <w:r w:rsidR="00DB16EE"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{"citationID":"T8u28Qxv","properties":{"formattedCitation":"[2,3]","plainCitation":"[2,3]","noteIndex":0},"citationItems":[{"id":313,"uris":["http://zotero.org/users/9893877/items/JRATZWCU"],"itemData":{"id":313,"type":"article-journal","abstract":"There is increasing evidence that some lifestyle factors are linked to the development of Alzheimer's disease. Many of these are potentially modifiable and include smoking, physical activity, education, social engagement, cognitive stimulation, and d","container-title":"Journal of Alzheimer's Disease","DOI":"10.3233/JAD-2010-091624","ISSN":"1387-2877","issue":"3","language":"en","note":"publisher: IOS Press","page":"803-811","source":"content.iospress.com","title":"Modifiable Lifestyle Risk Factors for Alzheimer's Disease","volume":"20","author":[{"family":"Flicker","given":"Leon"}],"issued":{"date-parts":[["2010",1,1]]}}},{"id":487,"uris":["http://zotero.org/users/9893877/items/QVWGPHIF"],"itemData":{"id":487,"type":"article-journal","container-title":"The Lancet","DOI":"10.1016/S0140-6736(20)30367-6","ISSN":"0140-6736, 1474-547X","issue":"10248","journalAbbreviation":"The Lancet","language":"English","note":"publisher: Elsevier\nPMID: 32738937","page":"413-446","source":"www.thelancet.com","title":"Dementia prevention, intervention, and care: 2020 report of the Lancet Commission","title-short":"Dementia prevention, intervention, and care","volume":"396","author":[{"family":"Livingston","given":"Gill"},{"family":"Huntley","given":"Jonathan"},{"family":"Sommerlad","given":"Andrew"},{"family":"Ames","given":"David"},{"family":"Ballard","given":"Clive"},{"family":"Banerjee","given":"Sube"},{"family":"Brayne","given":"Carol"},{"family":"Burns","given":"Alistair"},{"family":"Cohen-Mansfield","given":"Jiska"},{"family":"Cooper","given":"Claudia"},{"family":"Costafreda","given":"Sergi G."},{"family":"Dias","given":"Amit"},{"family":"Fox","given":"Nick"},{"family":"Gitlin","given":"Laura N."},{"family":"Howard","given":"Robert"},{"family":"Kales","given":"Helen C."},{"family":"Kivimäki","given":"Mika"},{"family":"Larson","given":"Eric B."},{"family":"Ogunniyi","given":"Adesola"},{"family":"Orgeta","given":"Vasiliki"},{"family":"Ritchie","given":"Karen"},{"family":"Rockwood","given":"Kenneth"},{"family":"Sampson","given":"Elizabeth L."},{"family":"Samus","given":"Quincy"},{"family":"Schneider","given":"Lon S."},{"family":"Selbæk","given":"Geir"},{"family":"Teri","given":"Linda"},{"family":"Mukadam","given":"Naaheed"}],"issued":{"date-parts":[["2020",8,8]]}}}],"schema":"https://github.com/citation-style-language/schema/raw/master/csl-citation.json"} </w:instrText>
      </w:r>
      <w:r w:rsidR="00DB16EE" w:rsidRPr="009E3412">
        <w:rPr>
          <w:rFonts w:ascii="Times New Roman" w:eastAsia="Times New Roman" w:hAnsi="Times New Roman" w:cs="Times New Roman"/>
        </w:rPr>
        <w:fldChar w:fldCharType="separate"/>
      </w:r>
      <w:r w:rsidR="007A55BE" w:rsidRPr="009E3412">
        <w:rPr>
          <w:rFonts w:ascii="Times New Roman" w:hAnsi="Times New Roman" w:cs="Times New Roman"/>
        </w:rPr>
        <w:t>[2,3]</w:t>
      </w:r>
      <w:r w:rsidR="00DB16EE" w:rsidRPr="009E3412">
        <w:rPr>
          <w:rFonts w:ascii="Times New Roman" w:eastAsia="Times New Roman" w:hAnsi="Times New Roman" w:cs="Times New Roman"/>
        </w:rPr>
        <w:fldChar w:fldCharType="end"/>
      </w:r>
      <w:r w:rsidRPr="009E3412">
        <w:rPr>
          <w:rFonts w:ascii="Times New Roman" w:eastAsia="Times New Roman" w:hAnsi="Times New Roman" w:cs="Times New Roman"/>
        </w:rPr>
        <w:t xml:space="preserve">. </w:t>
      </w:r>
      <w:r w:rsidR="006D5F88" w:rsidRPr="009E3412">
        <w:rPr>
          <w:rFonts w:ascii="Times New Roman" w:eastAsia="Times New Roman" w:hAnsi="Times New Roman" w:cs="Times New Roman"/>
        </w:rPr>
        <w:t xml:space="preserve">Diet </w:t>
      </w:r>
      <w:proofErr w:type="gramStart"/>
      <w:r w:rsidR="000653D0" w:rsidRPr="009E3412">
        <w:rPr>
          <w:rFonts w:ascii="Times New Roman" w:eastAsia="Times New Roman" w:hAnsi="Times New Roman" w:cs="Times New Roman"/>
        </w:rPr>
        <w:t xml:space="preserve">in particular </w:t>
      </w:r>
      <w:r w:rsidRPr="009E3412">
        <w:rPr>
          <w:rFonts w:ascii="Times New Roman" w:eastAsia="Times New Roman" w:hAnsi="Times New Roman" w:cs="Times New Roman"/>
        </w:rPr>
        <w:t>has</w:t>
      </w:r>
      <w:proofErr w:type="gramEnd"/>
      <w:r w:rsidRPr="009E3412">
        <w:rPr>
          <w:rFonts w:ascii="Times New Roman" w:eastAsia="Times New Roman" w:hAnsi="Times New Roman" w:cs="Times New Roman"/>
        </w:rPr>
        <w:t xml:space="preserve"> emerged as a key influencer of brain health</w:t>
      </w:r>
      <w:r w:rsidR="000653D0" w:rsidRPr="009E3412">
        <w:rPr>
          <w:rFonts w:ascii="Times New Roman" w:eastAsia="Times New Roman" w:hAnsi="Times New Roman" w:cs="Times New Roman"/>
        </w:rPr>
        <w:t>,</w:t>
      </w:r>
      <w:r w:rsidRPr="009E3412">
        <w:rPr>
          <w:rFonts w:ascii="Times New Roman" w:eastAsia="Times New Roman" w:hAnsi="Times New Roman" w:cs="Times New Roman"/>
        </w:rPr>
        <w:t xml:space="preserve"> </w:t>
      </w:r>
      <w:r w:rsidR="006D5F88" w:rsidRPr="009E3412">
        <w:rPr>
          <w:rFonts w:ascii="Times New Roman" w:eastAsia="Times New Roman" w:hAnsi="Times New Roman" w:cs="Times New Roman"/>
        </w:rPr>
        <w:t xml:space="preserve">in part </w:t>
      </w:r>
      <w:r w:rsidRPr="009E3412">
        <w:rPr>
          <w:rFonts w:ascii="Times New Roman" w:eastAsia="Times New Roman" w:hAnsi="Times New Roman" w:cs="Times New Roman"/>
        </w:rPr>
        <w:t>by</w:t>
      </w:r>
      <w:r w:rsidR="000C6F6E" w:rsidRPr="009E3412">
        <w:rPr>
          <w:rFonts w:ascii="Times New Roman" w:eastAsia="Times New Roman" w:hAnsi="Times New Roman" w:cs="Times New Roman"/>
        </w:rPr>
        <w:t xml:space="preserve"> modulating</w:t>
      </w:r>
      <w:r w:rsidRPr="009E3412">
        <w:rPr>
          <w:rFonts w:ascii="Times New Roman" w:eastAsia="Times New Roman" w:hAnsi="Times New Roman" w:cs="Times New Roman"/>
        </w:rPr>
        <w:t xml:space="preserve"> communication along </w:t>
      </w:r>
      <w:r w:rsidR="000653D0" w:rsidRPr="009E3412">
        <w:rPr>
          <w:rFonts w:ascii="Times New Roman" w:eastAsia="Times New Roman" w:hAnsi="Times New Roman" w:cs="Times New Roman"/>
        </w:rPr>
        <w:t xml:space="preserve">the </w:t>
      </w:r>
      <w:r w:rsidRPr="009E3412">
        <w:rPr>
          <w:rFonts w:ascii="Times New Roman" w:eastAsia="Times New Roman" w:hAnsi="Times New Roman" w:cs="Times New Roman"/>
        </w:rPr>
        <w:t>microbiota-gut-brain axis</w:t>
      </w:r>
      <w:r w:rsidR="006D5F88" w:rsidRPr="009E3412">
        <w:rPr>
          <w:rFonts w:ascii="Times New Roman" w:eastAsia="Times New Roman" w:hAnsi="Times New Roman" w:cs="Times New Roman"/>
        </w:rPr>
        <w:t xml:space="preserve">. This axis </w:t>
      </w:r>
      <w:r w:rsidR="00F25E5E" w:rsidRPr="009E3412">
        <w:rPr>
          <w:rFonts w:ascii="Times New Roman" w:eastAsia="Times New Roman" w:hAnsi="Times New Roman" w:cs="Times New Roman"/>
        </w:rPr>
        <w:t>forms</w:t>
      </w:r>
      <w:r w:rsidR="00D825E1"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a bidirectional communication system </w:t>
      </w:r>
      <w:r w:rsidR="00DE4EA6" w:rsidRPr="009E3412">
        <w:rPr>
          <w:rFonts w:ascii="Times New Roman" w:eastAsia="Times New Roman" w:hAnsi="Times New Roman" w:cs="Times New Roman"/>
        </w:rPr>
        <w:t>comprising</w:t>
      </w:r>
      <w:r w:rsidRPr="009E3412">
        <w:rPr>
          <w:rFonts w:ascii="Times New Roman" w:eastAsia="Times New Roman" w:hAnsi="Times New Roman" w:cs="Times New Roman"/>
        </w:rPr>
        <w:t xml:space="preserve"> </w:t>
      </w:r>
      <w:r w:rsidR="009C6FD6" w:rsidRPr="009E3412">
        <w:rPr>
          <w:rFonts w:ascii="Times New Roman" w:eastAsia="Times New Roman" w:hAnsi="Times New Roman" w:cs="Times New Roman"/>
        </w:rPr>
        <w:t>neuronal</w:t>
      </w:r>
      <w:r w:rsidRPr="009E3412">
        <w:rPr>
          <w:rFonts w:ascii="Times New Roman" w:eastAsia="Times New Roman" w:hAnsi="Times New Roman" w:cs="Times New Roman"/>
        </w:rPr>
        <w:t>, endocrine, immune and metabolic signalling mechanisms link</w:t>
      </w:r>
      <w:r w:rsidR="00F25E5E" w:rsidRPr="009E3412">
        <w:rPr>
          <w:rFonts w:ascii="Times New Roman" w:eastAsia="Times New Roman" w:hAnsi="Times New Roman" w:cs="Times New Roman"/>
        </w:rPr>
        <w:t>ing</w:t>
      </w:r>
      <w:r w:rsidRPr="009E3412">
        <w:rPr>
          <w:rFonts w:ascii="Times New Roman" w:eastAsia="Times New Roman" w:hAnsi="Times New Roman" w:cs="Times New Roman"/>
        </w:rPr>
        <w:t xml:space="preserve"> the gut and the central nervous system</w:t>
      </w:r>
      <w:r w:rsidR="00FF09A2" w:rsidRPr="009E3412">
        <w:rPr>
          <w:rFonts w:ascii="Times New Roman" w:eastAsia="Times New Roman" w:hAnsi="Times New Roman" w:cs="Times New Roman"/>
        </w:rPr>
        <w:t xml:space="preserve"> (CNS)</w:t>
      </w:r>
      <w:r w:rsidR="00D825E1" w:rsidRPr="009E3412">
        <w:rPr>
          <w:rFonts w:ascii="Times New Roman" w:eastAsia="Times New Roman" w:hAnsi="Times New Roman" w:cs="Times New Roman"/>
        </w:rPr>
        <w:t xml:space="preserve"> </w:t>
      </w:r>
      <w:r w:rsidR="00D825E1"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{"citationID":"QhzqegmQ","properties":{"formattedCitation":"[4]","plainCitation":"[4]","noteIndex":0},"citationItems":[{"id":481,"uris":["http://zotero.org/users/9893877/items/E3UYZURG"],"itemData":{"id":481,"type":"article-journal","abstract":"The gut and brain link via various metabolic and signalling pathways, each with the potential to influence mental, brain and cognitive health. Over the past decade, the involvement of the gut microbiota in gut-brain communication has become the focus of increased scientific interest, establishing the microbiota-gut-brain axis as a field of research. There is a growing number of association studies exploring the gut microbiota's possible role in memory, learning, anxiety, stress, neurodevelopmental and neurodegenerative disorders. Consequently, attention is now turning to how the microbiota can become the target of nutritional and therapeutic strategies for improved brain health and well-being. However, while such strategies that target the gut microbiota to influence brain health and function are currently under development with varying levels of success, still very little is yet known about the triggers and mechanisms underlying the gut microbiota's apparent influence on cognitive or brain function and most evidence comes from pre-clinical studies rather than well controlled clinical trials/investigations. Filling the knowledge gaps requires establishing a standardised methodology for human studies, including strong guidance for specific focus areas of the microbiota-gut-brain axis, the need for more extensive biological sample analyses, and identification of relevant biomarkers. Other urgent requirements are new advanced models for in vitro and in vivo studies of relevant mechanisms, and a greater focus on omics technologies with supporting bioinformatics resources (training, tools) to efficiently translate study findings, as well as the identification of relevant targets in study populations. The key to building a validated evidence base rely on increasing knowledge sharing and multi-disciplinary collaborations, along with continued public-private funding support. This will allow microbiota-gut-brain axis research to move to its next phase so we can identify realistic opportunities to modulate the microbiota for better brain health.","container-title":"Cellular and molecular life sciences: CMLS","DOI":"10.1007/s00018-021-04060-w","ISSN":"1420-9071","issue":"2","journalAbbreviation":"Cell Mol Life Sci","language":"eng","note":"PMID: 35044528\nPMCID: PMC8770392","page":"80","source":"PubMed","title":"The microbiota-gut-brain axis: pathways to better brain health. Perspectives on what we know, what we need to investigate and how to put knowledge into practice","title-short":"The microbiota-gut-brain axis","volume":"79","author":[{"family":"Chakrabarti","given":"Anirikh"},{"family":"Geurts","given":"Lucie"},{"family":"Hoyles","given":"Lesley"},{"family":"Iozzo","given":"Patricia"},{"family":"Kraneveld","given":"Aletta D."},{"family":"La Fata","given":"Giorgio"},{"family":"Miani","given":"Michela"},{"family":"Patterson","given":"Elaine"},{"family":"Pot","given":"Bruno"},{"family":"Shortt","given":"Colette"},{"family":"Vauzour","given":"David"}],"issued":{"date-parts":[["2022",1,19]]}}}],"schema":"https://github.com/citation-style-language/schema/raw/master/csl-citation.json"} </w:instrText>
      </w:r>
      <w:r w:rsidR="00D825E1" w:rsidRPr="009E3412">
        <w:rPr>
          <w:rFonts w:ascii="Times New Roman" w:eastAsia="Times New Roman" w:hAnsi="Times New Roman" w:cs="Times New Roman"/>
        </w:rPr>
        <w:fldChar w:fldCharType="separate"/>
      </w:r>
      <w:r w:rsidR="007A55BE" w:rsidRPr="009E3412">
        <w:rPr>
          <w:rFonts w:ascii="Times New Roman" w:hAnsi="Times New Roman" w:cs="Times New Roman"/>
        </w:rPr>
        <w:t>[4]</w:t>
      </w:r>
      <w:r w:rsidR="00D825E1" w:rsidRPr="009E3412">
        <w:rPr>
          <w:rFonts w:ascii="Times New Roman" w:eastAsia="Times New Roman" w:hAnsi="Times New Roman" w:cs="Times New Roman"/>
        </w:rPr>
        <w:fldChar w:fldCharType="end"/>
      </w:r>
      <w:r w:rsidRPr="009E3412">
        <w:rPr>
          <w:rFonts w:ascii="Times New Roman" w:eastAsia="Times New Roman" w:hAnsi="Times New Roman" w:cs="Times New Roman"/>
        </w:rPr>
        <w:t xml:space="preserve">. </w:t>
      </w:r>
      <w:r w:rsidR="00193865" w:rsidRPr="009E3412">
        <w:rPr>
          <w:rFonts w:ascii="Times New Roman" w:eastAsia="Times New Roman" w:hAnsi="Times New Roman" w:cs="Times New Roman"/>
        </w:rPr>
        <w:t>G</w:t>
      </w:r>
      <w:r w:rsidR="006D5F88" w:rsidRPr="009E3412">
        <w:rPr>
          <w:rFonts w:ascii="Times New Roman" w:eastAsia="Times New Roman" w:hAnsi="Times New Roman" w:cs="Times New Roman"/>
        </w:rPr>
        <w:t xml:space="preserve">ut </w:t>
      </w:r>
      <w:r w:rsidR="00055F28" w:rsidRPr="009E3412">
        <w:rPr>
          <w:rFonts w:ascii="Times New Roman" w:eastAsia="Times New Roman" w:hAnsi="Times New Roman" w:cs="Times New Roman"/>
        </w:rPr>
        <w:t xml:space="preserve">microbes </w:t>
      </w:r>
      <w:r w:rsidR="00AA0B4E" w:rsidRPr="009E3412">
        <w:rPr>
          <w:rFonts w:ascii="Times New Roman" w:eastAsia="Times New Roman" w:hAnsi="Times New Roman" w:cs="Times New Roman"/>
        </w:rPr>
        <w:t>regulate</w:t>
      </w:r>
      <w:r w:rsidR="00007E73" w:rsidRPr="009E3412">
        <w:rPr>
          <w:rFonts w:ascii="Times New Roman" w:eastAsia="Times New Roman" w:hAnsi="Times New Roman" w:cs="Times New Roman"/>
        </w:rPr>
        <w:t xml:space="preserve"> this communication via the </w:t>
      </w:r>
      <w:r w:rsidRPr="009E3412">
        <w:rPr>
          <w:rFonts w:ascii="Times New Roman" w:eastAsia="Times New Roman" w:hAnsi="Times New Roman" w:cs="Times New Roman"/>
        </w:rPr>
        <w:t xml:space="preserve">breakdown </w:t>
      </w:r>
      <w:r w:rsidR="00D3198D" w:rsidRPr="009E3412">
        <w:rPr>
          <w:rFonts w:ascii="Times New Roman" w:eastAsia="Times New Roman" w:hAnsi="Times New Roman" w:cs="Times New Roman"/>
        </w:rPr>
        <w:t xml:space="preserve">of </w:t>
      </w:r>
      <w:r w:rsidRPr="009E3412">
        <w:rPr>
          <w:rFonts w:ascii="Times New Roman" w:eastAsia="Times New Roman" w:hAnsi="Times New Roman" w:cs="Times New Roman"/>
        </w:rPr>
        <w:t xml:space="preserve">dietary compounds into bioactive metabolites. </w:t>
      </w:r>
      <w:r w:rsidR="002047C6" w:rsidRPr="009E3412">
        <w:rPr>
          <w:rFonts w:ascii="Times New Roman" w:eastAsia="Times New Roman" w:hAnsi="Times New Roman" w:cs="Times New Roman"/>
        </w:rPr>
        <w:t xml:space="preserve">Such microbe-derived metabolites (MDMs) can influence </w:t>
      </w:r>
      <w:r w:rsidR="00F2456E" w:rsidRPr="009E3412">
        <w:rPr>
          <w:rFonts w:ascii="Times New Roman" w:eastAsia="Times New Roman" w:hAnsi="Times New Roman" w:cs="Times New Roman"/>
        </w:rPr>
        <w:t>CNS</w:t>
      </w:r>
      <w:r w:rsidR="002047C6" w:rsidRPr="009E3412">
        <w:rPr>
          <w:rFonts w:ascii="Times New Roman" w:eastAsia="Times New Roman" w:hAnsi="Times New Roman" w:cs="Times New Roman"/>
        </w:rPr>
        <w:t xml:space="preserve"> function both directly, by crossing the blood</w:t>
      </w:r>
      <w:r w:rsidR="00F40137" w:rsidRPr="009E3412">
        <w:rPr>
          <w:rFonts w:ascii="Times New Roman" w:eastAsia="Times New Roman" w:hAnsi="Times New Roman" w:cs="Times New Roman"/>
        </w:rPr>
        <w:t>-</w:t>
      </w:r>
      <w:r w:rsidR="002047C6" w:rsidRPr="009E3412">
        <w:rPr>
          <w:rFonts w:ascii="Times New Roman" w:eastAsia="Times New Roman" w:hAnsi="Times New Roman" w:cs="Times New Roman"/>
        </w:rPr>
        <w:t xml:space="preserve">brain barrier, and indirectly through effects on peripheral organ systems and modulation of vagal signalling </w:t>
      </w:r>
      <w:r w:rsidR="00D825E1"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{"citationID":"lknVjLe3","properties":{"formattedCitation":"[5]","plainCitation":"[5]","noteIndex":0},"citationItems":[{"id":110,"uris":["http://zotero.org/users/9893877/items/FEVEJEXC"],"itemData":{"id":110,"type":"article-journal","abstract":"A consequence of our progressively ageing global population is the increasing prevalence of worldwide age-related cognitive decline and dementia. In the absence of effective therapeutic interventions, identifying risk factors associated with cognitive decline becomes increasingly vital. Novel perspectives suggest that a dynamic bidirectional communication system between the gut, its microbiome, and the central nervous system, commonly referred to as the microbiota-gut-brain axis, may be a contributing factor for cognitive health and disease. However, the exact mechanisms remain undefined. Microbial-derived metabolites produced in the gut can cross the intestinal epithelial barrier, enter systemic circulation and trigger physiological responses both directly and indirectly affecting the central nervous system and its functions. Dysregulation of this system (i.e., dysbiosis) can modulate cytotoxic metabolite production, promote neuroinflammation and negatively impact cognition. In this review, we explore critical connections between microbial-derived metabolites (secondary bile acids, trimethylamine-N-oxide (TMAO), tryptophan derivatives and others) and their influence upon cognitive function and neurodegenerative disorders, with a particular interest in their less-explored role as risk factors of cognitive decline.","container-title":"Molecular Neurodegeneration","DOI":"10.1186/s13024-022-00548-6","ISSN":"1750-1326","issue":"1","journalAbbreviation":"Molecular Neurodegeneration","page":"43","source":"BioMed Central","title":"Microbial-derived metabolites as a risk factor of age-related cognitive decline and dementia","volume":"17","author":[{"family":"Connell","given":"Emily"},{"family":"Le Gall","given":"Gwenaelle"},{"family":"Pontifex","given":"Matthew G."},{"family":"Sami","given":"Saber"},{"family":"Cryan","given":"John F."},{"family":"Clarke","given":"Gerard"},{"family":"Müller","given":"Michael"},{"family":"Vauzour","given":"David"}],"issued":{"date-parts":[["2022",6,17]]}}}],"schema":"https://github.com/citation-style-language/schema/raw/master/csl-citation.json"} </w:instrText>
      </w:r>
      <w:r w:rsidR="00D825E1" w:rsidRPr="009E3412">
        <w:rPr>
          <w:rFonts w:ascii="Times New Roman" w:eastAsia="Times New Roman" w:hAnsi="Times New Roman" w:cs="Times New Roman"/>
        </w:rPr>
        <w:fldChar w:fldCharType="separate"/>
      </w:r>
      <w:r w:rsidR="007A55BE" w:rsidRPr="009E3412">
        <w:rPr>
          <w:rFonts w:ascii="Times New Roman" w:hAnsi="Times New Roman" w:cs="Times New Roman"/>
        </w:rPr>
        <w:t>[5]</w:t>
      </w:r>
      <w:r w:rsidR="00D825E1" w:rsidRPr="009E3412">
        <w:rPr>
          <w:rFonts w:ascii="Times New Roman" w:eastAsia="Times New Roman" w:hAnsi="Times New Roman" w:cs="Times New Roman"/>
        </w:rPr>
        <w:fldChar w:fldCharType="end"/>
      </w:r>
      <w:r w:rsidRPr="009E3412">
        <w:rPr>
          <w:rFonts w:ascii="Times New Roman" w:eastAsia="Times New Roman" w:hAnsi="Times New Roman" w:cs="Times New Roman"/>
        </w:rPr>
        <w:t xml:space="preserve">. </w:t>
      </w:r>
      <w:r w:rsidR="007114AE" w:rsidRPr="009E3412">
        <w:rPr>
          <w:rFonts w:ascii="Times New Roman" w:eastAsia="Times New Roman" w:hAnsi="Times New Roman" w:cs="Times New Roman"/>
        </w:rPr>
        <w:t>I</w:t>
      </w:r>
      <w:r w:rsidRPr="009E3412">
        <w:rPr>
          <w:rFonts w:ascii="Times New Roman" w:eastAsia="Times New Roman" w:hAnsi="Times New Roman" w:cs="Times New Roman"/>
        </w:rPr>
        <w:t xml:space="preserve">n </w:t>
      </w:r>
      <w:r w:rsidR="00CE77BA" w:rsidRPr="009E3412">
        <w:rPr>
          <w:rFonts w:ascii="Times New Roman" w:eastAsia="Times New Roman" w:hAnsi="Times New Roman" w:cs="Times New Roman"/>
        </w:rPr>
        <w:t xml:space="preserve">the </w:t>
      </w:r>
      <w:r w:rsidR="005525FB" w:rsidRPr="009E3412">
        <w:rPr>
          <w:rFonts w:ascii="Times New Roman" w:hAnsi="Times New Roman" w:cs="Times New Roman"/>
          <w:bdr w:val="none" w:sz="0" w:space="0" w:color="auto" w:frame="1"/>
          <w:shd w:val="clear" w:color="auto" w:fill="FFFFFF"/>
        </w:rPr>
        <w:t>early stages of decline</w:t>
      </w:r>
      <w:r w:rsidRPr="009E3412">
        <w:rPr>
          <w:rFonts w:ascii="Times New Roman" w:eastAsia="Times New Roman" w:hAnsi="Times New Roman" w:cs="Times New Roman"/>
        </w:rPr>
        <w:t xml:space="preserve">, </w:t>
      </w:r>
      <w:r w:rsidR="00CE77BA" w:rsidRPr="009E3412">
        <w:rPr>
          <w:rFonts w:ascii="Times New Roman" w:eastAsia="Times New Roman" w:hAnsi="Times New Roman" w:cs="Times New Roman"/>
        </w:rPr>
        <w:t xml:space="preserve">for example </w:t>
      </w:r>
      <w:r w:rsidR="00D27C44" w:rsidRPr="009E3412">
        <w:rPr>
          <w:rFonts w:ascii="Times New Roman" w:eastAsia="Times New Roman" w:hAnsi="Times New Roman" w:cs="Times New Roman"/>
        </w:rPr>
        <w:t xml:space="preserve">mild cognitive </w:t>
      </w:r>
      <w:r w:rsidR="004518EC" w:rsidRPr="009E3412">
        <w:rPr>
          <w:rFonts w:ascii="Times New Roman" w:eastAsia="Times New Roman" w:hAnsi="Times New Roman" w:cs="Times New Roman"/>
        </w:rPr>
        <w:t>impairment</w:t>
      </w:r>
      <w:r w:rsidR="000F0B7D" w:rsidRPr="009E3412">
        <w:rPr>
          <w:rFonts w:ascii="Times New Roman" w:eastAsia="Times New Roman" w:hAnsi="Times New Roman" w:cs="Times New Roman"/>
        </w:rPr>
        <w:t xml:space="preserve"> (MCI)</w:t>
      </w:r>
      <w:r w:rsidR="00D27C44" w:rsidRPr="009E3412">
        <w:rPr>
          <w:rFonts w:ascii="Times New Roman" w:eastAsia="Times New Roman" w:hAnsi="Times New Roman" w:cs="Times New Roman"/>
        </w:rPr>
        <w:t xml:space="preserve">, </w:t>
      </w:r>
      <w:r w:rsidR="001074FC" w:rsidRPr="009E3412">
        <w:rPr>
          <w:rFonts w:ascii="Times New Roman" w:eastAsia="Times New Roman" w:hAnsi="Times New Roman" w:cs="Times New Roman"/>
        </w:rPr>
        <w:t>the</w:t>
      </w:r>
      <w:r w:rsidRPr="009E3412">
        <w:rPr>
          <w:rFonts w:ascii="Times New Roman" w:eastAsia="Times New Roman" w:hAnsi="Times New Roman" w:cs="Times New Roman"/>
        </w:rPr>
        <w:t xml:space="preserve"> microbiota-gut-brain axis</w:t>
      </w:r>
      <w:r w:rsidR="001074FC" w:rsidRPr="009E3412">
        <w:rPr>
          <w:rFonts w:ascii="Times New Roman" w:eastAsia="Times New Roman" w:hAnsi="Times New Roman" w:cs="Times New Roman"/>
        </w:rPr>
        <w:t xml:space="preserve"> becomes dysregulated</w:t>
      </w:r>
      <w:r w:rsidRPr="009E3412">
        <w:rPr>
          <w:rFonts w:ascii="Times New Roman" w:eastAsia="Times New Roman" w:hAnsi="Times New Roman" w:cs="Times New Roman"/>
        </w:rPr>
        <w:t xml:space="preserve"> </w:t>
      </w:r>
      <w:r w:rsidR="00850A9E" w:rsidRPr="009E3412">
        <w:rPr>
          <w:rFonts w:ascii="Times New Roman" w:eastAsia="Times New Roman" w:hAnsi="Times New Roman" w:cs="Times New Roman"/>
        </w:rPr>
        <w:t xml:space="preserve">(i.e., dysbiosis), </w:t>
      </w:r>
      <w:r w:rsidR="00CE77BA" w:rsidRPr="009E3412">
        <w:rPr>
          <w:rFonts w:ascii="Times New Roman" w:eastAsia="Times New Roman" w:hAnsi="Times New Roman" w:cs="Times New Roman"/>
        </w:rPr>
        <w:t xml:space="preserve">a change </w:t>
      </w:r>
      <w:r w:rsidR="000C1242" w:rsidRPr="009E3412">
        <w:rPr>
          <w:rFonts w:ascii="Times New Roman" w:eastAsia="Times New Roman" w:hAnsi="Times New Roman" w:cs="Times New Roman"/>
        </w:rPr>
        <w:t xml:space="preserve">associated with </w:t>
      </w:r>
      <w:r w:rsidRPr="009E3412">
        <w:rPr>
          <w:rFonts w:ascii="Times New Roman" w:eastAsia="Times New Roman" w:hAnsi="Times New Roman" w:cs="Times New Roman"/>
        </w:rPr>
        <w:t>pathological proces</w:t>
      </w:r>
      <w:r w:rsidR="00D3198D" w:rsidRPr="009E3412">
        <w:rPr>
          <w:rFonts w:ascii="Times New Roman" w:eastAsia="Times New Roman" w:hAnsi="Times New Roman" w:cs="Times New Roman"/>
        </w:rPr>
        <w:t>se</w:t>
      </w:r>
      <w:r w:rsidRPr="009E3412">
        <w:rPr>
          <w:rFonts w:ascii="Times New Roman" w:eastAsia="Times New Roman" w:hAnsi="Times New Roman" w:cs="Times New Roman"/>
        </w:rPr>
        <w:t>s such as neuroinflammation and neural injury</w:t>
      </w:r>
      <w:r w:rsidR="005526E7" w:rsidRPr="009E3412">
        <w:rPr>
          <w:rFonts w:ascii="Times New Roman" w:eastAsia="Times New Roman" w:hAnsi="Times New Roman" w:cs="Times New Roman"/>
        </w:rPr>
        <w:t>,</w:t>
      </w:r>
      <w:r w:rsidRPr="009E3412">
        <w:rPr>
          <w:rFonts w:ascii="Times New Roman" w:eastAsia="Times New Roman" w:hAnsi="Times New Roman" w:cs="Times New Roman"/>
        </w:rPr>
        <w:t xml:space="preserve"> </w:t>
      </w:r>
      <w:r w:rsidR="00CE77BA" w:rsidRPr="009E3412">
        <w:rPr>
          <w:rFonts w:ascii="Times New Roman" w:eastAsia="Times New Roman" w:hAnsi="Times New Roman" w:cs="Times New Roman"/>
        </w:rPr>
        <w:t xml:space="preserve">and thought to contribute to </w:t>
      </w:r>
      <w:r w:rsidRPr="009E3412">
        <w:rPr>
          <w:rFonts w:ascii="Times New Roman" w:eastAsia="Times New Roman" w:hAnsi="Times New Roman" w:cs="Times New Roman"/>
        </w:rPr>
        <w:t>accelerat</w:t>
      </w:r>
      <w:r w:rsidR="005526E7" w:rsidRPr="009E3412">
        <w:rPr>
          <w:rFonts w:ascii="Times New Roman" w:eastAsia="Times New Roman" w:hAnsi="Times New Roman" w:cs="Times New Roman"/>
        </w:rPr>
        <w:t>ing</w:t>
      </w:r>
      <w:r w:rsidRPr="009E3412">
        <w:rPr>
          <w:rFonts w:ascii="Times New Roman" w:eastAsia="Times New Roman" w:hAnsi="Times New Roman" w:cs="Times New Roman"/>
        </w:rPr>
        <w:t xml:space="preserve"> cognitive decline</w:t>
      </w:r>
      <w:r w:rsidR="00130352" w:rsidRPr="009E3412">
        <w:rPr>
          <w:rFonts w:ascii="Times New Roman" w:eastAsia="Times New Roman" w:hAnsi="Times New Roman" w:cs="Times New Roman"/>
        </w:rPr>
        <w:t xml:space="preserve"> </w:t>
      </w:r>
      <w:r w:rsidR="00130352"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{"citationID":"PaJDSZOV","properties":{"formattedCitation":"[6\\uc0\\u8211{}8]","plainCitation":"[6–8]","noteIndex":0},"citationItems":[{"id":349,"uris":["http://zotero.org/users/9893877/items/6JZBYDWC"],"itemData":{"id":349,"type":"article-journal","abstract":"Objective\nGut microbiota changes before the onset of Alzheimer's disease (AD) and the alterations could be detected in the stage of mild cognitive impairment (MCI). The findings might offer diagnostic biomarkers before the onset of dementia.\nBackground\nAD is the most common cause of dementia, and MCI is the predementia state. Recent studies suggest the alterations in the gut microbial communities associated with AD, whereas the microbiota in MCI before the onset of dementia has not been discovered and characterized in humans.\nNew/Updated Hypothesis\nWe hypothesize that the dysbiosis happens in the MCI stage. Patients with AD and MCI have decreased microbial diversity, and changes in gut microbiota could be detected for early detection of AD. In our preliminary study, we identified differences between AD and normal controls in 11 genera from the feces and 11 genera from the blood. No difference in genera between AD and MCI was detected. Using the diagnostic model from fecal samples with all different genera input, 93% (28 in 30) of patients with MCI could be identified correctly.\nMajor Challenges for the Hypothesis\nThe diagnosis of MCI and AD in the study was based on symptoms and neuroimaging, and AD biomarkers should be included for precise diagnosis in further validating studies. Besides, as the microbiota changes longitudinally, their relationship with the progress of dementia needs to be studied in the prospective studies.\nLinkage to Other Major Theories\nEscherichia was observed increased at genus level in both fecal and blood samples from AD and MCI. For AD biomarker, postmortem brain tissue from patients with AD showed lipopolysaccharides and gram-negative Escherichia coli fragments colocalize with amyloid plaque. In this way, the amyloid pathogenesis for AD would be triggered during MCI by gut microbiota shifting. Besides, systemic inflammatory reactions caused by compounds secreted by bacteria may impair the blood-brain barrier and promote neuroinflammation and/or neurodegeneration. Furthermore, abnormal metabolites caused by microbial gene functions have an impact on neurodegeneration.","container-title":"Alzheimer's &amp; Dementia","DOI":"10.1016/j.jalz.2019.07.002","ISSN":"1552-5260","issue":"10","journalAbbreviation":"Alzheimer's &amp; Dementia","language":"en","page":"1357-1366","source":"ScienceDirect","title":"Mild cognitive impairment has similar alterations as Alzheimer's disease in gut microbiota","volume":"15","author":[{"family":"Li","given":"Binyin"},{"family":"He","given":"Yixi"},{"family":"Ma","given":"Jianfang"},{"family":"Huang","given":"Pei"},{"family":"Du","given":"Juanjuan"},{"family":"Cao","given":"Li"},{"family":"Wang","given":"Yan"},{"family":"Xiao","given":"Qin"},{"family":"Tang","given":"Huidong"},{"family":"Chen","given":"Shengdi"}],"issued":{"date-parts":[["2019",10,1]]}}},{"id":344,"uris":["http://zotero.org/users/9893877/items/L6BZVLJV"],"itemData":{"id":344,"type":"article-journal","abstract":"Objective\n(Background): Alzheimer’s disease (AD), clinically characterized by the progressive neurodegenerative condition and cognitive impairment, is one of the main causes of disability in elder people worldwide. Recently, several animal studies indicated that the ‘gut-brain’ axis might contribute to the amyloid deposition of AD. However, data about gut dysbiosis in human AD remains scarce in the literature, especially including the whole process of AD. In this prospective and cross-sectional study, we aimed at identifying differences in microbiome between patients with AD (Pre-onset stage amnestic mild cognitive impairment, aMCI; and AD) and the normal cognition healthy controls (HC). Additionally, the potential association between IM and clinical characteristics of AD was evaluated.\nMethods\nA total of 97 subjects (33 AD, 32 aMCI, and 32 HC) were recruited in the study. The composition of gut bacterial communities was determined by 16S ribosomal RNA Miseq sequencing. In addition, Phylogenetic Investigation of Communities by Reconstruction of Unobserved States (PICRUSt) was used to predict function shift of intestinal microbiota. The Mini-Mental State Examination (MMSE), Montreal Cognitive Assessment (MoCA) or Clinical Dementia Rating (CDR) scores were used to evaluate the severity of cognitive impairment in patients.\nResults\nThe fecal microbial diversity was decreased in AD patients compared with aMCI patients and HC. And the microbial composition was distinct among aMCI, AD and healthy control groups. Among bacterial taxa, the proportion of phylum Firmicutes was significantly reduced (P = 0.008), whereas Proteobacteria (P = 0.024) was highly enriched in the AD compared with HC. In addition, similar alterations were observed at the order, class and family levels of these two phyla. And Gammaproteobacteria, Enterobacteriales and Enterobacteriaceae showed a progressive enriched prevalence from HC to aMCI and AD patients. Further, a significant correlation was observed between the clinical severity scores of AD patients and the abundance of altered microbiomes. Moreover, the KEGG results showed the increased modules related to glycan biosynthesis and metabolism in AD and aMCI patients and decreased pathways related to immune system in AD patients. Importantly, the discriminating models based on predominant microbiota could effectively distinguish aMCI and AD from HC (AUC = 0.890, 0.940, respectively), and also AD from aMCI (AUC = 0.925). Notably, the models based on the abundance of family Enterobacteriaceae could distinguish AD from both aMCI (AUC = 0.688) and HC (AUC = 0.698).\nConclusions\nDistinct microbial communities, especially enriched Enterobacteriaceae, were associated with patients with AD when compared with predementia stage aMCI and healthy subjects. These novel findings will give new clues to understand the disease and provide new therapeutic target for intervention or a marker for this disease.","container-title":"Brain, Behavior, and Immunity","DOI":"10.1016/j.bbi.2019.05.008","ISSN":"0889-1591","journalAbbreviation":"Brain, Behavior, and Immunity","language":"en","page":"633-643","source":"ScienceDirect","title":"Altered microbiomes distinguish Alzheimer’s disease from amnestic mild cognitive impairment and health in a Chinese cohort","volume":"80","author":[{"family":"Liu","given":"Ping"},{"family":"Wu","given":"Li"},{"family":"Peng","given":"Guoping"},{"family":"Han","given":"Yuqiu"},{"family":"Tang","given":"Ruiqi"},{"family":"Ge","given":"Jianping"},{"family":"Zhang","given":"Lijiang"},{"family":"Jia","given":"Longfei"},{"family":"Yue","given":"Siqing"},{"family":"Zhou","given":"Kai"},{"family":"Li","given":"Lanjuan"},{"family":"Luo","given":"Benyan"},{"family":"Wang","given":"Baohong"}],"issued":{"date-parts":[["2019",8,1]]}}},{"id":341,"uris":["http://zotero.org/users/9893877/items/6HAZ7ZRQ"],"itemData":{"id":341,"type":"article-journal","abstract":"BACKGROUND: Recently, we reported that patients with mild cognitive impairment (MCI) harbor specific signature of bacteria in their gut and that a modified Mediterranean ketogenic diet (MMKD) improves Alzheimer's disease (AD) markers in cerebrospinal fluid (CSF) and the signatures of gut bacteria. However, other microbial population such as gut fungi (mycobiome) in relation to MCI/AD pathology, gut bacteria and diet remain unknown.\nMETHODS: We measure gut mycobiome by sequencing of the fungal rRNA ITS1 gene in 17 older adults (11 MCI; 6 cognitively normal [CN]) in a single-center, randomized, double-blind, crossover pilot study, before and after 6 weeks intervention of MMKD and American Heart Association Diet (AHAD), and determine its correlation with AD markers in CSF and gut bacteria.\nFINDINGS: Compared to CN counterparts, patients with MCI have higher proportion of families Sclerotiniaceae, Phaffomyceteceae, Trichocomaceae, Cystofilobasidiaceae, Togniniaceae and genera Botrytis, Kazachstania, Phaeoacremonium and Cladosporium and lower abundance of Meyerozyma. Specific fungal taxa exhibit distinct correlation arrays with AD markers and gut bacteria in subjects with versus without MCI. MMKD induces broader effect on fungal diversity in subjects with MCI and increases Agaricus and Mrakia while decreasing Saccharomyces and Claviceps with differential response in subjects with or without MCI.\nINTERPRETATION: The study reveals MCI-specific mycobiome signatures and demonstrates that distinct diets modulate the mycobiome in association with AD markers and fungal-bacterial co-regulation networks in patients with MCI. The findings corroborate the notion of considering gut mycobiome as a unique factor that can affect cognitive health/AD by interacting with gut bacteria and diet and facilitate better understanding of the AD and related microbiome, using unique diet or microbiome modulators.","container-title":"EBioMedicine","DOI":"10.1016/j.ebiom.2020.102950","ISSN":"2352-3964","journalAbbreviation":"EBioMedicine","language":"eng","note":"PMID: 32861197\nPMCID: PMC7475073","page":"102950","source":"PubMed","title":"Gut mycobiome and its interaction with diet, gut bacteria and alzheimer's disease markers in subjects with mild cognitive impairment: A pilot study","title-short":"Gut mycobiome and its interaction with diet, gut bacteria and alzheimer's disease markers in subjects with mild cognitive impairment","volume":"59","author":[{"family":"Nagpal","given":"Ravinder"},{"family":"Neth","given":"Bryan J."},{"family":"Wang","given":"Shaohua"},{"family":"Mishra","given":"Sidharth P."},{"family":"Craft","given":"Suzanne"},{"family":"Yadav","given":"Hariom"}],"issued":{"date-parts":[["2020",9]]}}}],"schema":"https://github.com/citation-style-language/schema/raw/master/csl-citation.json"} </w:instrText>
      </w:r>
      <w:r w:rsidR="00130352" w:rsidRPr="009E3412">
        <w:rPr>
          <w:rFonts w:ascii="Times New Roman" w:eastAsia="Times New Roman" w:hAnsi="Times New Roman" w:cs="Times New Roman"/>
        </w:rPr>
        <w:fldChar w:fldCharType="separate"/>
      </w:r>
      <w:r w:rsidR="007A55BE" w:rsidRPr="009E3412">
        <w:rPr>
          <w:rFonts w:ascii="Times New Roman" w:hAnsi="Times New Roman" w:cs="Times New Roman"/>
        </w:rPr>
        <w:t>[6–8]</w:t>
      </w:r>
      <w:r w:rsidR="00130352" w:rsidRPr="009E3412">
        <w:rPr>
          <w:rFonts w:ascii="Times New Roman" w:eastAsia="Times New Roman" w:hAnsi="Times New Roman" w:cs="Times New Roman"/>
        </w:rPr>
        <w:fldChar w:fldCharType="end"/>
      </w:r>
      <w:r w:rsidRPr="009E3412">
        <w:rPr>
          <w:rFonts w:ascii="Times New Roman" w:eastAsia="Times New Roman" w:hAnsi="Times New Roman" w:cs="Times New Roman"/>
        </w:rPr>
        <w:t xml:space="preserve">. </w:t>
      </w:r>
      <w:r w:rsidR="00903406" w:rsidRPr="009E3412">
        <w:rPr>
          <w:rFonts w:ascii="Times New Roman" w:eastAsia="Times New Roman" w:hAnsi="Times New Roman" w:cs="Times New Roman"/>
        </w:rPr>
        <w:t xml:space="preserve">However, the </w:t>
      </w:r>
      <w:r w:rsidR="00CE77BA" w:rsidRPr="009E3412">
        <w:rPr>
          <w:rFonts w:ascii="Times New Roman" w:eastAsia="Times New Roman" w:hAnsi="Times New Roman" w:cs="Times New Roman"/>
        </w:rPr>
        <w:t xml:space="preserve">mechanism(s) underlying these changes, and the </w:t>
      </w:r>
      <w:r w:rsidR="00903406" w:rsidRPr="009E3412">
        <w:rPr>
          <w:rFonts w:ascii="Times New Roman" w:eastAsia="Times New Roman" w:hAnsi="Times New Roman" w:cs="Times New Roman"/>
        </w:rPr>
        <w:t xml:space="preserve">role of </w:t>
      </w:r>
      <w:r w:rsidR="00C13695" w:rsidRPr="009E3412">
        <w:rPr>
          <w:rFonts w:ascii="Times New Roman" w:eastAsia="Times New Roman" w:hAnsi="Times New Roman" w:cs="Times New Roman"/>
        </w:rPr>
        <w:t>MDM</w:t>
      </w:r>
      <w:r w:rsidR="00903406" w:rsidRPr="009E3412">
        <w:rPr>
          <w:rFonts w:ascii="Times New Roman" w:eastAsia="Times New Roman" w:hAnsi="Times New Roman" w:cs="Times New Roman"/>
        </w:rPr>
        <w:t xml:space="preserve"> in this process remains unknown. </w:t>
      </w:r>
    </w:p>
    <w:p w14:paraId="66587BF0" w14:textId="31FF5AEA" w:rsidR="00D826F3" w:rsidRPr="009E3412" w:rsidRDefault="00CE77BA" w:rsidP="005F4661">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Several examples of </w:t>
      </w:r>
      <w:r w:rsidR="00C13695" w:rsidRPr="009E3412">
        <w:rPr>
          <w:rFonts w:ascii="Times New Roman" w:eastAsia="Times New Roman" w:hAnsi="Times New Roman" w:cs="Times New Roman"/>
        </w:rPr>
        <w:t>MDM</w:t>
      </w:r>
      <w:r w:rsidR="00223099"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have been linked to cognitive health </w:t>
      </w:r>
      <w:r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{"citationID":"7V73cUUE","properties":{"formattedCitation":"[5]","plainCitation":"[5]","noteIndex":0},"citationItems":[{"id":110,"uris":["http://zotero.org/users/9893877/items/FEVEJEXC"],"itemData":{"id":110,"type":"article-journal","abstract":"A consequence of our progressively ageing global population is the increasing prevalence of worldwide age-related cognitive decline and dementia. In the absence of effective therapeutic interventions, identifying risk factors associated with cognitive decline becomes increasingly vital. Novel perspectives suggest that a dynamic bidirectional communication system between the gut, its microbiome, and the central nervous system, commonly referred to as the microbiota-gut-brain axis, may be a contributing factor for cognitive health and disease. However, the exact mechanisms remain undefined. Microbial-derived metabolites produced in the gut can cross the intestinal epithelial barrier, enter systemic circulation and trigger physiological responses both directly and indirectly affecting the central nervous system and its functions. Dysregulation of this system (i.e., dysbiosis) can modulate cytotoxic metabolite production, promote neuroinflammation and negatively impact cognition. In this review, we explore critical connections between microbial-derived metabolites (secondary bile acids, trimethylamine-N-oxide (TMAO), tryptophan derivatives and others) and their influence upon cognitive function and neurodegenerative disorders, with a particular interest in their less-explored role as risk factors of cognitive decline.","container-title":"Molecular Neurodegeneration","DOI":"10.1186/s13024-022-00548-6","ISSN":"1750-1326","issue":"1","journalAbbreviation":"Molecular Neurodegeneration","page":"43","source":"BioMed Central","title":"Microbial-derived metabolites as a risk factor of age-related cognitive decline and dementia","volume":"17","author":[{"family":"Connell","given":"Emily"},{"family":"Le Gall","given":"Gwenaelle"},{"family":"Pontifex","given":"Matthew G."},{"family":"Sami","given":"Saber"},{"family":"Cryan","given":"John F."},{"family":"Clarke","given":"Gerard"},{"family":"Müller","given":"Michael"},{"family":"Vauzour","given":"David"}],"issued":{"date-parts":[["2022",6,17]]}}}],"schema":"https://github.com/citation-style-language/schema/raw/master/csl-citation.json"} </w:instrText>
      </w:r>
      <w:r w:rsidRPr="009E3412">
        <w:rPr>
          <w:rFonts w:ascii="Times New Roman" w:eastAsia="Times New Roman" w:hAnsi="Times New Roman" w:cs="Times New Roman"/>
        </w:rPr>
        <w:fldChar w:fldCharType="separate"/>
      </w:r>
      <w:r w:rsidR="007A55BE" w:rsidRPr="009E3412">
        <w:rPr>
          <w:rFonts w:ascii="Times New Roman" w:hAnsi="Times New Roman" w:cs="Times New Roman"/>
        </w:rPr>
        <w:t>[5]</w:t>
      </w:r>
      <w:r w:rsidRPr="009E3412">
        <w:rPr>
          <w:rFonts w:ascii="Times New Roman" w:eastAsia="Times New Roman" w:hAnsi="Times New Roman" w:cs="Times New Roman"/>
        </w:rPr>
        <w:fldChar w:fldCharType="end"/>
      </w:r>
      <w:r w:rsidRPr="009E3412">
        <w:rPr>
          <w:rFonts w:ascii="Times New Roman" w:eastAsia="Times New Roman" w:hAnsi="Times New Roman" w:cs="Times New Roman"/>
        </w:rPr>
        <w:t xml:space="preserve">, </w:t>
      </w:r>
      <w:r w:rsidR="00223099" w:rsidRPr="009E3412">
        <w:rPr>
          <w:rFonts w:ascii="Times New Roman" w:eastAsia="Times New Roman" w:hAnsi="Times New Roman" w:cs="Times New Roman"/>
        </w:rPr>
        <w:t xml:space="preserve">including </w:t>
      </w:r>
      <w:r w:rsidR="009E7CC6" w:rsidRPr="009E3412">
        <w:rPr>
          <w:rFonts w:ascii="Times New Roman" w:eastAsia="Times New Roman" w:hAnsi="Times New Roman" w:cs="Times New Roman"/>
        </w:rPr>
        <w:t>trimethylamine N-oxide (</w:t>
      </w:r>
      <w:r w:rsidR="009B2F62" w:rsidRPr="009E3412">
        <w:rPr>
          <w:rFonts w:ascii="Times New Roman" w:eastAsia="Times New Roman" w:hAnsi="Times New Roman" w:cs="Times New Roman"/>
        </w:rPr>
        <w:t>TMAO</w:t>
      </w:r>
      <w:r w:rsidR="009E7CC6" w:rsidRPr="009E3412">
        <w:rPr>
          <w:rFonts w:ascii="Times New Roman" w:eastAsia="Times New Roman" w:hAnsi="Times New Roman" w:cs="Times New Roman"/>
        </w:rPr>
        <w:t>)</w:t>
      </w:r>
      <w:r w:rsidR="00D169DD" w:rsidRPr="009E3412">
        <w:rPr>
          <w:rFonts w:ascii="Times New Roman" w:eastAsia="Times New Roman" w:hAnsi="Times New Roman" w:cs="Times New Roman"/>
        </w:rPr>
        <w:t xml:space="preserve"> </w:t>
      </w:r>
      <w:r w:rsidR="00D169DD"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{"citationID":"r41DTHcN","properties":{"formattedCitation":"[9\\uc0\\u8211{}12]","plainCitation":"[9–12]","noteIndex":0},"citationItems":[{"id":376,"uris":["http://zotero.org/users/9893877/items/M5P5GA2R"],"itemData":{"id":376,"type":"article-journal","abstract":"Aging is associated with declines in cognitive performance, which are mediated in part by neuroinflammation, characterized by astrocyte activation and higher levels of pro-inflammatory cytokines; however, the upstream drivers are unknown. We investigated the potential role of the gut microbiome–derived metabolite trimethylamine N-oxide (TMAO) in modulating neuroinflammation and cognitive function with aging. Study 1: In middle-aged and older humans (65 ± 7 years), plasma TMAO levels were inversely related to performance on NIH Toolbox Cognition Battery tests of memory and fluid cognition (both r2 = 0.07, p &lt; 0.05). Study 2: In mice, TMAO concentrations in plasma and the brain increased in parallel with aging (r2 = 0.60), suggesting TMAO crosses the blood-brain barrier. The greater TMAO concentrations in old mice (27 months) were associated with higher brain pro-inflammatory cytokines and markers of astrocyte activation vs. young adult mice (6 months). Study 3: To determine if TMAO independently induces an “aging-like” decline in cognitive function, young mice (6 months) were supplemented with TMAO in chow for 6 months. Compared with controls, TMAO-supplemented mice performed worse on the novel object recognition test, indicating impaired memory and learning, and had increased neuroinflammation and markers of astrocyte activation. Study 4: Human astrocytes cultured with TMAO vs. control media exhibited changes in cellular morphology and protein markers consistent with astrocyte activation, indicating TMAO directly acts on these cells. Our results provide translational insight into a novel pathway that modulates neuroinflammation and cognitive function with aging, and suggest that TMAO might be a promising target for prevention of neuroinflammation and cognitive decline with aging.","container-title":"GeroScience","DOI":"10.1007/s11357-020-00257-2","ISSN":"2509-2723","issue":"1","journalAbbreviation":"GeroScience","language":"en","page":"377-394","source":"Springer Link","title":"The gut microbiome–derived metabolite trimethylamine N-oxide modulates neuroinflammation and cognitive function with aging","volume":"43","author":[{"family":"Brunt","given":"Vienna E."},{"family":"LaRocca","given":"Thomas J."},{"family":"Bazzoni","given":"Amy E."},{"family":"Sapinsley","given":"Zachary J."},{"family":"Miyamoto-Ditmon","given":"Jill"},{"family":"Gioscia-Ryan","given":"Rachel A."},{"family":"Neilson","given":"Andrew P."},{"family":"Link","given":"Christopher D."},{"family":"Seals","given":"Douglas R."}],"issued":{"date-parts":[["2021",2,1]]}}},{"id":378,"uris":["http://zotero.org/users/9893877/items/UIYTECDI"],"itemData":{"id":378,"type":"article-journal","abstract":"Gut microbiota can influence the aging process and may modulate aging-related changes in cognitive function. Trimethylamine-N-oxide (TMAO), a metabolite of intestinal flora, has been shown to be closely associated with cardiovascular disease and other diseases. However, the relationship between TMAO and aging, especially brain aging, has not been fully elucidated. To explore the relationship between TMAO and brain aging, we analysed the plasma levels of TMAO in both humans and mice and administered exogenous TMAO to 24-week-old senescence-accelerated prone mouse strain 8 (SAMP8) and age-matched senescence-accelerated mouse resistant 1 (SAMR1) mice for 16 weeks. We found that the plasma levels of TMAO increased in both the elderly and the aged mice. Compared with SAMR1-control mice, SAMP8-control mice exhibited a brain aging phenotype characterized by more senescent cells in the hippocampal CA3 region and cognitive dysfunction. Surprisingly, TMAO treatment increased the number of senescent cells, which were primarily neurons, and enhanced the mitochondrial impairments and superoxide production. Moreover, we observed that TMAO treatment increased synaptic damage and reduced the expression levels of synaptic plasticity-related proteins by inhibiting the mTOR signalling pathway, which induces and aggravates aging-related cognitive dysfunction in SAMR1 and SAMP8 mice, respectively. Our findings suggested that TMAO could induce brain aging and age-related cognitive dysfunction in SAMR1 mice and aggravate the cerebral aging process of SAMP8 mice, which might provide new insight into the effects of intestinal microbiota on the brain aging process and help to delay senescence by regulating intestinal flora metabolites.","container-title":"Aging Cell","DOI":"10.1111/acel.12768","ISSN":"1474-9726","issue":"4","journalAbbreviation":"Aging Cell","language":"eng","note":"PMID: 29749694\nPMCID: PMC6052480","page":"e12768","source":"PubMed","title":"Trimethylamine-N-oxide promotes brain aging and cognitive impairment in mice","volume":"17","author":[{"family":"Li","given":"Dang"},{"family":"Ke","given":"Yilang"},{"family":"Zhan","given":"Rui"},{"family":"Liu","given":"Changjie"},{"family":"Zhao","given":"Mingming"},{"family":"Zeng","given":"Aiping"},{"family":"Shi","given":"Xiaoyun"},{"family":"Ji","given":"Liang"},{"family":"Cheng","given":"Si"},{"family":"Pan","given":"Bing"},{"family":"Zheng","given":"Lemin"},{"family":"Hong","given":"Huashan"}],"issued":{"date-parts":[["2018",8]]}}},{"id":381,"uris":["http://zotero.org/users/9893877/items/X5IFAV7P"],"itemData":{"id":381,"type":"article-journal","abstract":"Observational studies have shown that gut microbiota–dependent metabolites are associated with the risk of Alzheimer's disease (AD). However, whether such association reflects a causality remains unclear. We conducted a bidirectional Mendelian randomization analysis to examine the causal relationships between gut microbiota–dependent metabolites trimethylamine N-oxide (TMAO) or its predecessors and AD. We observed that genetically predicted TMAO (odds ratio: 0.99, 95% confidence interval: 0.89 to 1.09 per 10 units, p = 0.775) or its predecessors including betaine (1.06, 1.00 to 1.12 per 10 units, p = 0.056), carnitine (1.05, 0.98 to 1.12 per 10 units, p = 0.178), and choline (1.01, 0.92 to 1.10 per 10 units, p = 0.905) were not associated with the risk of AD. Our Mendelian randomization estimates from AD to metabolites showed that genetically predicted higher risk of AD was also not causally associated with TMAO, betaine, carnitine, and choline levels. Our findings support that gut microbiota–dependent metabolites TMAO or its predecessors do not play causal roles in the development of AD.","container-title":"Neurobiology of Aging","DOI":"10.1016/j.neurobiolaging.2020.10.022","ISSN":"0197-4580","journalAbbreviation":"Neurobiology of Aging","language":"en","page":"119.e15-119.e18","source":"ScienceDirect","title":"Causal relationships between gut metabolites and Alzheimer's disease: a bidirectional Mendelian randomization study","title-short":"Causal relationships between gut metabolites and Alzheimer's disease","volume":"100","author":[{"family":"Zhuang","given":"Zhenhuang"},{"family":"Gao","given":"Meng"},{"family":"Yang","given":"Ruotong"},{"family":"Liu","given":"Zhonghua"},{"family":"Cao","given":"Weihua"},{"family":"Huang","given":"Tao"}],"issued":{"date-parts":[["2021",4,1]]}}},{"id":420,"uris":["http://zotero.org/users/9893877/items/J9QFZYXR"],"itemData":{"id":420,"type":"article-journal","abstract":"BACKGROUND: Communication between the gut microbiota and the brain is primarily mediated via soluble microbe-derived metabolites, but the details of this pathway remain poorly defined. Methylamines produced by microbial metabolism of dietary choline and L-carnitine have received attention due to their proposed association with vascular disease, but their effects upon the cerebrovascular circulation have hitherto not been studied.\nRESULTS: Here, we use an integrated in vitro/in vivo approach to show that physiologically relevant concentrations of the dietary methylamine trimethylamine N-oxide (TMAO) enhanced blood-brain barrier (BBB) integrity and protected it from inflammatory insult, acting through the tight junction regulator annexin A1. In contrast, the TMAO precursor trimethylamine (TMA) impaired BBB function and disrupted tight junction integrity. Moreover, we show that long-term exposure to TMAO protects murine cognitive function from inflammatory challenge, acting to limit astrocyte and microglial reactivity in a brain region-specific manner.\nCONCLUSION: Our findings demonstrate the mechanisms through which microbiome-associated methylamines directly interact with the mammalian BBB, with consequences for cerebrovascular and cognitive function. Video abstract.","container-title":"Microbiome","DOI":"10.1186/s40168-021-01181-z","ISSN":"2049-2618","issue":"1","journalAbbreviation":"Microbiome","language":"eng","note":"PMID: 34836554\nPMCID: PMC8626999","page":"235","source":"PubMed","title":"Regulation of blood-brain barrier integrity by microbiome-associated methylamines and cognition by trimethylamine N-oxide","volume":"9","author":[{"family":"Hoyles","given":"Lesley"},{"family":"Pontifex","given":"Matthew G."},{"family":"Rodriguez-Ramiro","given":"Ildefonso"},{"family":"Anis-Alavi","given":"M. Areeb"},{"family":"Jelane","given":"Khadija S."},{"family":"Snelling","given":"Tom"},{"family":"Solito","given":"Egle"},{"family":"Fonseca","given":"Sonia"},{"family":"Carvalho","given":"Ana L."},{"family":"Carding","given":"Simon R."},{"family":"Müller","given":"Michael"},{"family":"Glen","given":"Robert C."},{"family":"Vauzour","given":"David"},{"family":"McArthur","given":"Simon"}],"issued":{"date-parts":[["2021",11,27]]}}}],"schema":"https://github.com/citation-style-language/schema/raw/master/csl-citation.json"} </w:instrText>
      </w:r>
      <w:r w:rsidR="00D169DD" w:rsidRPr="009E3412">
        <w:rPr>
          <w:rFonts w:ascii="Times New Roman" w:eastAsia="Times New Roman" w:hAnsi="Times New Roman" w:cs="Times New Roman"/>
        </w:rPr>
        <w:fldChar w:fldCharType="separate"/>
      </w:r>
      <w:r w:rsidR="007A55BE" w:rsidRPr="009E3412">
        <w:rPr>
          <w:rFonts w:ascii="Times New Roman" w:hAnsi="Times New Roman" w:cs="Times New Roman"/>
        </w:rPr>
        <w:t>[9–12]</w:t>
      </w:r>
      <w:r w:rsidR="00D169DD" w:rsidRPr="009E3412">
        <w:rPr>
          <w:rFonts w:ascii="Times New Roman" w:eastAsia="Times New Roman" w:hAnsi="Times New Roman" w:cs="Times New Roman"/>
        </w:rPr>
        <w:fldChar w:fldCharType="end"/>
      </w:r>
      <w:r w:rsidR="009B2F62" w:rsidRPr="009E3412">
        <w:rPr>
          <w:rFonts w:ascii="Times New Roman" w:eastAsia="Times New Roman" w:hAnsi="Times New Roman" w:cs="Times New Roman"/>
        </w:rPr>
        <w:t>, bile acids</w:t>
      </w:r>
      <w:r w:rsidR="009E7CC6" w:rsidRPr="009E3412">
        <w:rPr>
          <w:rFonts w:ascii="Times New Roman" w:eastAsia="Times New Roman" w:hAnsi="Times New Roman" w:cs="Times New Roman"/>
        </w:rPr>
        <w:t xml:space="preserve"> (BAs)</w:t>
      </w:r>
      <w:r w:rsidR="00D169DD" w:rsidRPr="009E3412">
        <w:rPr>
          <w:rFonts w:ascii="Times New Roman" w:eastAsia="Times New Roman" w:hAnsi="Times New Roman" w:cs="Times New Roman"/>
        </w:rPr>
        <w:t xml:space="preserve"> </w:t>
      </w:r>
      <w:r w:rsidR="00D169DD"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{"citationID":"LIxTVNJz","properties":{"formattedCitation":"[13\\uc0\\u8211{}15]","plainCitation":"[13–15]","noteIndex":0},"citationItems":[{"id":351,"uris":["http://zotero.org/users/9893877/items/D9LR8LVP"],"itemData":{"id":351,"type":"article-journal","abstract":"Increasing evidence suggests Alzheimer's disease (AD) pathophysiology is influenced by primary and secondary bile acids, the end product of cholesterol metabolism. We analyze 2,114 post-mortem brain transcriptomes and identify genes in the alternative bile acid synthesis pathway to be expressed in the brain. A targeted metabolomic analysis of primary and secondary bile acids measured from post-mortem brain samples of 111 individuals supports these results. Our metabolic network analysis suggests that taurine transport, bile acid synthesis, and cholesterol metabolism differ in AD and cognitively normal individuals. We also identify putative transcription factors regulating metabolic genes and influencing altered metabolism in AD. Intriguingly, some bile acids measured in brain tissue cannot be explained by the presence of enzymes responsible for their synthesis, suggesting that they may originate from the gut microbiome and are transported to the brain. These findings motivate further research into bile acid metabolism in AD to elucidate their possible connection to cognitive decline.","container-title":"Cell Reports. Medicine","DOI":"10.1016/j.xcrm.2020.100138","ISSN":"2666-3791","issue":"8","journalAbbreviation":"Cell Rep Med","language":"eng","note":"PMID: 33294859\nPMCID: PMC7691449","page":"100138","source":"PubMed","title":"Metabolic Network Analysis Reveals Altered Bile Acid Synthesis and Metabolism in Alzheimer's Disease","volume":"1","author":[{"family":"Baloni","given":"Priyanka"},{"family":"Funk","given":"Cory C."},{"family":"Yan","given":"Jingwen"},{"family":"Yurkovich","given":"James T."},{"family":"Kueider-Paisley","given":"Alexandra"},{"family":"Nho","given":"Kwangsik"},{"family":"Heinken","given":"Almut"},{"family":"Jia","given":"Wei"},{"family":"Mahmoudiandehkordi","given":"Siamak"},{"family":"Louie","given":"Gregory"},{"family":"Saykin","given":"Andrew J."},{"family":"Arnold","given":"Matthias"},{"family":"Kastenmüller","given":"Gabi"},{"family":"Griffiths","given":"William J."},{"family":"Thiele","given":"Ines"},{"literal":"Alzheimer’s Disease Metabolomics Consortium"},{"family":"Kaddurah-Daouk","given":"Rima"},{"family":"Price","given":"Nathan D."}],"issued":{"date-parts":[["2020",11,17]]}}},{"id":384,"uris":["http://zotero.org/users/9893877/items/TTV4R7PC"],"itemData":{"id":384,"type":"article-journal","abstract":"Introduction:\nIncreasing evidence suggests a role for the gut microbiome in central nervous system disorders and specific role for the gut-brain axis in neurodegeneration. Bile acids (BA), products of cholesterol metabolism and clearance, are produced in the liver and are further metabolized by gut bacteria. They have major regulatory and signaling functions and seem dysregulated in Alzheimer disease (AD).\n\nMethods:\nSerum levels of 15 primary and secondary BAs and their conjugated forms were measured in 1,464 subjects including 370 cognitively normal older adults (CN), 284 with early mild cognitive impairment (MCI), 505 with late MCI, and 305 AD cases enrolled in the AD Neuroimaging Initiative. We assessed associations of BA profiles including selected ratios with diagnosis, cognition, and AD-related genetic variants, adjusting for cofounders and multiple testing.\n\nResults:\nIn AD compared to CN, we observed significantly lower serum concentrations of a primary BA (cholic acid CA) and increased levels of the bacterially produced, secondary BA, deoxycholic acid (DCA), and its glycine and taurine conjugated forms. An increased ratio of DCA:CA, which reflects 7α-dehydroxylation of CA by gut bacteria, strongly associated with cognitive decline, a finding replicated in serum and brain samples in the Rush Religious Orders and Memory and Aging Project. Several genetic variants in immune response related genes implicated in AD showed associations with BA profiles.\n\nConclusion:\nWe report for the first time an association between altered BA profile, genetic variants implicated in AD and cognitive changes in disease using a large multicenter study. These findings warrant further investigation of gut dysbiosis and possible role of gut liver brain axis in the pathogenesis of AD.","container-title":"Alzheimer's &amp; dementia : the journal of the Alzheimer's Association","DOI":"10.1016/j.jalz.2018.07.217","ISSN":"1552-5260","issue":"1","journalAbbreviation":"Alzheimers Dement","note":"PMID: 30337151\nPMCID: PMC6487485","page":"76-92","source":"PubMed Central","title":"Altered Bile Acid Profile Associates with Cognitive Impairment in Alzheimer’s Disease – An Emerging Role for Gut Microbiome","volume":"15","author":[{"family":"MahmoudianDehkordi","given":"Siamak"},{"family":"Arnold","given":"Matthias"},{"family":"Nho","given":"Kwangsik"},{"family":"Ahmad","given":"Shahzad"},{"family":"Jia","given":"Wei"},{"family":"Xie","given":"Guoxiang"},{"family":"Louie","given":"Gregory"},{"family":"Kueider-Paisley","given":"Alexandra"},{"family":"Arthur Moseley","given":"M."},{"family":"Will Thompson","given":"J."},{"family":"Williams","given":"Lisa St John"},{"family":"Tenenbaum","given":"Jessica D."},{"family":"Blach","given":"Colette"},{"family":"Baillie","given":"Rebecca"},{"family":"Han","given":"Xianlin"},{"family":"Bhattacharyya","given":"Sudeepa"},{"family":"Toledo","given":"Jon B."},{"family":"Schafferer","given":"Simon"},{"family":"Klein","given":"Sebastian"},{"family":"Koal","given":"Therese"},{"family":"Risacher","given":"Shannon L."},{"family":"Kling","given":"Mitchel Allan"},{"family":"Motsinger-Reif","given":"Alison"},{"family":"Rotroff","given":"Daniel M."},{"family":"Jack","given":"John"},{"family":"Hankemeier","given":"Thomas"},{"family":"Bennett","given":"David A."},{"family":"De Jager","given":"Philip L."},{"family":"Trojanowski","given":"John Q."},{"family":"Shaw","given":"Leslie M."},{"family":"Weiner","given":"Michael W."},{"family":"Doraiswamy","given":"P. Murali"},{"family":"Duijn","given":"Cornelia M.","non-dropping-particle":"van"},{"family":"Saykin","given":"Andrew J."},{"family":"Kastenmüller","given":"Gabi"},{"family":"Kaddurah-Daouk","given":"Rima"}],"issued":{"date-parts":[["2019",1]]}}},{"id":253,"uris":["http://zotero.org/users/9893877/items/X5T77H8H"],"itemData":{"id":253,"type":"article-journal","abstract":"Introduction:\nBile acids (BAs) are the end products of cholesterol metabolism produced by human and gut microbiome co-metabolism. Recent evidence suggests gut microbiota influence pathological features of Alzheimer’s disease (AD) including neuroinflammation and amyloid-β deposition.\n\nMethod:\nSerum levels of 20 primary and secondary BA metabolites from the AD Neuroimaging Initiative (n=1562) were measured using targeted metabolomic profiling. We assessed the association of BAs with the “A/T/N” (Amyloid, Tau and Neurodegeneration) biomarkers for AD: CSF biomarkers, atrophy (MRI), and brain glucose metabolism ([18F]FDG-PET).\n\nResults:\nOf 23 BA and relevant calculated ratios after quality control procedures, three BA signatures were associated with CSF Aβ1–42 (“A”) and three with CSF p-tau181 (“T”) (corrected p&lt;0.05). Furthermore, three, twelve, and fourteen BA signatures were associated with CSF t-tau, glucose metabolism, and atrophy (“N”), respectively (corrected p&lt;0.05).\n\nConclusion:\nThis is the first study to show serum-based BA metabolites are associated with “A/T/N” AD biomarkers, providing further support for a role of BA pathways in AD pathophysiology. Prospective clinical observations and validation in model systems are needed to assess causality and specific mechanisms underlying this association.","container-title":"Alzheimer's &amp; dementia : the journal of the Alzheimer's Association","DOI":"10.1016/j.jalz.2018.08.012","ISSN":"1552-5260","issue":"2","journalAbbreviation":"Alzheimers Dement","note":"PMID: 30337152\nPMCID: PMC6454538","page":"232-244","source":"PubMed Central","title":"Altered Bile Acid Profile in Mild Cognitive Impairment and Alzheimer’s Disease: Relationship to Neuroimaging and CSF Biomarkers","title-short":"Altered Bile Acid Profile in Mild Cognitive Impairment and Alzheimer’s Disease","volume":"15","author":[{"family":"Nho","given":"Kwangsik"},{"family":"Kueider-Paisley","given":"Alexandra"},{"family":"MahmoudianDehkordi","given":"Siamak"},{"family":"Arnold","given":"Matthias"},{"family":"Risacher","given":"Shannon L."},{"family":"Louie","given":"Gregory"},{"family":"Blach","given":"Colette"},{"family":"Baillie","given":"Rebecca"},{"family":"Han","given":"Xianlin"},{"family":"Kastenmüller","given":"Gabi"},{"family":"Jia","given":"Wei"},{"family":"Xie","given":"Guoxiang"},{"family":"Ahmad","given":"Shahzad"},{"family":"Hankemeier","given":"Thomas"},{"family":"Duijn","given":"Cornelia M.","non-dropping-particle":"van"},{"family":"Trojanowski","given":"John Q."},{"family":"Shaw","given":"Leslie M."},{"family":"Weiner","given":"Michael W."},{"family":"Doraiswamy","given":"P. Murali"},{"family":"Saykin","given":"Andrew J."},{"family":"Kaddurah-Daouk","given":"Rima"}],"issued":{"date-parts":[["2019",2]]}}}],"schema":"https://github.com/citation-style-language/schema/raw/master/csl-citation.json"} </w:instrText>
      </w:r>
      <w:r w:rsidR="00D169DD" w:rsidRPr="009E3412">
        <w:rPr>
          <w:rFonts w:ascii="Times New Roman" w:eastAsia="Times New Roman" w:hAnsi="Times New Roman" w:cs="Times New Roman"/>
        </w:rPr>
        <w:fldChar w:fldCharType="separate"/>
      </w:r>
      <w:r w:rsidR="007A55BE" w:rsidRPr="009E3412">
        <w:rPr>
          <w:rFonts w:ascii="Times New Roman" w:hAnsi="Times New Roman" w:cs="Times New Roman"/>
        </w:rPr>
        <w:t>[13–15]</w:t>
      </w:r>
      <w:r w:rsidR="00D169DD" w:rsidRPr="009E3412">
        <w:rPr>
          <w:rFonts w:ascii="Times New Roman" w:eastAsia="Times New Roman" w:hAnsi="Times New Roman" w:cs="Times New Roman"/>
        </w:rPr>
        <w:fldChar w:fldCharType="end"/>
      </w:r>
      <w:r w:rsidR="009B2F62" w:rsidRPr="009E3412">
        <w:rPr>
          <w:rFonts w:ascii="Times New Roman" w:eastAsia="Times New Roman" w:hAnsi="Times New Roman" w:cs="Times New Roman"/>
        </w:rPr>
        <w:t>, tryptophan</w:t>
      </w:r>
      <w:r w:rsidR="005F4661" w:rsidRPr="009E3412">
        <w:rPr>
          <w:rFonts w:ascii="Times New Roman" w:eastAsia="Times New Roman" w:hAnsi="Times New Roman" w:cs="Times New Roman"/>
        </w:rPr>
        <w:t xml:space="preserve"> </w:t>
      </w:r>
      <w:r w:rsidR="005F4661"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{"citationID":"SS8Y8aK9","properties":{"formattedCitation":"[16\\uc0\\u8211{}19]","plainCitation":"[16–19]","noteIndex":0},"citationItems":[{"id":396,"uris":["http://zotero.org/users/9893877/items/5PI3JA5U"],"itemData":{"id":396,"type":"article-journal","abstract":"Emerging evidence suggests that neuroinflammation is involved in both depression and neurodegenerative diseases. The kynurenine pathway, generating metabolites which may play a role in pathogenesis, is one of several competing pathways of tryptophan metabolism. The present article is a narrative review of tryptophan metabolism, neuroinflammation, depression, and neurodegeneration. A disturbed tryptophan metabolism with increased activity of the kynurenine pathway and production of quinolinic acid may result in deficiencies in tryptophan and derived neurotransmitters. Quinolinic acid is an N-methyl-D-aspartate receptor agonist, and raised levels in CSF, together with increased levels of inflammatory cytokines, have been reported in mood disorders. Increased quinolinic acid has also been observed in neurodegenerative diseases, including Parkinson’s disease, Alzheimer’s disease, amyotrophic lateral sclerosis, and HIV-related cognitive decline. Oxidative stress in connection with increased indole-dioxygenase (IDO) activity and kynurenine formation may contribute to inflammatory responses and the production of cytokines. Increased formation of quinolinic acid may occur at the expense of kynurenic acid and neuroprotective picolinic acid. While awaiting ongoing research on potential pharmacological interventions on tryptophan metabolism, adequate protein intake with appropriate amounts of tryptophan and antioxidants may offer protection against oxidative stress and provide a balanced set of physiological receptor ligands.","container-title":"Biomolecules","DOI":"10.3390/biom12070998","ISSN":"2218-273X","issue":"7","language":"en","license":"http://creativecommons.org/licenses/by/3.0/","note":"number: 7\npublisher: Multidisciplinary Digital Publishing Institute","page":"998","source":"www.mdpi.com","title":"The Role of Tryptophan Dysmetabolism and Quinolinic Acid in Depressive and Neurodegenerative Diseases","volume":"12","author":[{"family":"Hestad","given":"Knut"},{"family":"Alexander","given":"Jan"},{"family":"Rootwelt","given":"Helge"},{"family":"Aaseth","given":"Jan O."}],"issued":{"date-parts":[["2022",7]]}}},{"id":399,"uris":["http://zotero.org/users/9893877/items/VN4AF45G"],"itemData":{"id":399,"type":"article-journal","abstract":"The essential amino acid tryptophan is not only a precursor of serotonin but is also degraded to several other neuroactive compounds, including kynurenic acid, 3-hydroxykynurenine and quinolinic acid. The synthesis of these metabolites is regulated by an enzymatic cascade, known as the kynurenine pathway, that is tightly controlled by the immune system. Dysregulation of this pathway, resulting in hyper-or hypofunction of active metabolites, is associated with neurodegenerative and other neurological disorders, as well as with psychiatric diseases such as depression and schizophrenia. With recently developed pharmacological agents, it is now possible to restore metabolic equilibrium and envisage novel therapeutic interventions.","container-title":"Nature Reviews. Neuroscience","DOI":"10.1038/nrn3257","ISSN":"1471-0048","issue":"7","journalAbbreviation":"Nat Rev Neurosci","language":"eng","note":"PMID: 22678511\nPMCID: PMC3681811","page":"465-477","source":"PubMed","title":"Kynurenines in the mammalian brain: when physiology meets pathology","title-short":"Kynurenines in the mammalian brain","volume":"13","author":[{"family":"Schwarcz","given":"Robert"},{"family":"Bruno","given":"John P."},{"family":"Muchowski","given":"Paul J."},{"family":"Wu","given":"Hui-Qiu"}],"issued":{"date-parts":[["2012",7]]}}},{"id":402,"uris":["http://zotero.org/users/9893877/items/UJBPW423"],"itemData":{"id":402,"type":"article-journal","abstract":"Objective: To identify compounds endogenous to the human brain capable of curatively inhibiting progression of Alzheimer’s disease (AD). Although administration of replacement compounds (insulin for diabetes) or analogs of endogenous compounds (isoproterenol as a norepinephrine analog) are time-honored therapeutic strategies, this direction has not been evaluated for AD. An “endogenous anti-AD compound” represents an unexplored concept.\nBackground: AD arises from cytotoxic protein misfolding and aggregation of β-amyloid and tau, concomitantly associated with microglial activation and synaptotoxic/neurotoxic immuno-inflammation, leading to a combined proteopathic-immunopathic pathogenesis. Since many peptide sequences are susceptible to aggregation, there is evolutionary pressure to inhibit proteopathic misfolding; the immunopathic cascade associated with such misfolding is likewise subject to endogenous regulation. Accordingly, it is reasonable to postulate the existence of endogenous human brain molecules capable of interrupting AD disease progression.\nDesign/Methods: We assembled a library of 1,107 molecules (molecular weight&lt;600 Da) endogenous to the human brain and employed a primary in vitro screening assay targeting β-amyloid and tau oligomerization, and then a secondary screen against lipopolysaccharide-triggered, microglial-mediated pro-inflammatory cytokine release.\nResults: The primary screen identified multiple metabolites of tryptophan (indoleamines, anthranilates) as putative endogenous anti-proteopathic agents. Tryptamine, 5-hydroxytryptamine (5-HT), 5-methoxytryptamine, 3-hydroxyanthranilic acid (3-HA) and nicotinate inhibited β-amyloid and tau aggregation; neither tryptophan nor nicotinamide had any effect. Beyond anti-aggregation activities, 3-HA reduced glial cytokine expression and cytokine-induced neuronal death while 5-HT inhibited TNF-alpha release from activated microglia – suggesting the capacity of tryptophan metabolites to modulate both parallel pathways of the interdependent proteopathic-immunopathic etiopathogenesis of AD.\nConclusions: We have identified multiple tryptophan metabolites as putative endogenous anti-AD molecules capable of inhibiting AD’s proteopathic-immunopathic cycle. These results are compatible with clinical data: serum tryptophan levels show a statistically significant reduction with age; people with AD have significantly reduced plasma levels of tryptophan; and, acute tryptophan depletion in people with AD causes increased cognitive dysfunction.Disclosure: Dr. Weaver holds stock and/or stock options in Treventis Corp. which sponsored research in which Dr. Weaver was involved as an investigator. Dr. Gupta has nothing to disclose. Dr. Meek has nothing to disclose. Dr. Wang has nothing to disclose. Dr. Wu has nothing to disclose.","container-title":"Neurology","ISSN":"0028-3878, 1526-632X","issue":"15 Supplement","language":"en","license":"© 2020","note":"publisher: Wolters Kluwer Health, Inc. on behalf of the American Academy of Neurology\nsection: Saturday, April 25","source":"n.neurology.org","title":"Alzheimer’s Disease as a Disorder of Tryptophan Metabolism (2745)","URL":"https://n.neurology.org/content/94/15_Supplement/2745","volume":"94","author":[{"family":"Weaver","given":"Donald"},{"family":"Gupta","given":"Mayuri"},{"family":"Meek","given":"Autumn"},{"family":"Wang","given":"Yanfei"},{"family":"Wu","given":"Fan"}],"accessed":{"date-parts":[["2022",10,31]]},"issued":{"date-parts":[["2020",4,14]]}}},{"id":334,"uris":["http://zotero.org/users/9893877/items/W4YX9RUX"],"itemData":{"id":334,"type":"article-journal","abstract":"Both serotonergic signalling disruption and systemic inflammation have been associated with the pathogenesis of Alzheimer’s disease (AD). The common denominator linking the two is the catabolism of the essential amino acid, tryptophan. Metabolism via tryptophan hydroxylase results in serotonin synthesis, whilst metabolism via indoleamine 2,3-dioxygenase (IDO) results in kynurenine and its downstream derivatives. IDO is reported to be activated in times of host systemic inflammation and therefore is thought to influence both pathways. To investigate metabolic alterations in AD, a large-scale metabolic phenotyping study was conducted on both urine and serum samples collected from a multi-centre clinical cohort, consisting of individuals clinically diagnosed with AD, mild cognitive impairment (MCI) and age-matched controls.","container-title":"Alzheimer's Research &amp; Therapy","DOI":"10.1186/s13195-020-00741-z","ISSN":"1758-9193","issue":"1","journalAbbreviation":"Alzheimer's Research &amp; Therapy","page":"20","source":"BioMed Central","title":"Metabolic phenotyping reveals a reduction in the bioavailability of serotonin and kynurenine pathway metabolites in both the urine and serum of individuals living with Alzheimer’s disease","volume":"13","author":[{"family":"Whiley","given":"Luke"},{"family":"Chappell","given":"Katie E."},{"family":"D’Hondt","given":"Ellie"},{"family":"Lewis","given":"Matthew R."},{"family":"Jiménez","given":"Beatriz"},{"family":"Snowden","given":"Stuart G."},{"family":"Soininen","given":"Hilkka"},{"family":"Kłoszewska","given":"Iwona"},{"family":"Mecocci","given":"Patrizia"},{"family":"Tsolaki","given":"Magda"},{"family":"Vellas","given":"Bruno"},{"family":"Swann","given":"Jonathan R."},{"family":"Hye","given":"Abdul"},{"family":"Lovestone","given":"Simon"},{"family":"Legido-Quigley","given":"Cristina"},{"family":"Holmes","given":"Elaine"},{"family":"Soininen","given":"Hilkka"},{"family":"Kłoszewska","given":"Iwona"},{"family":"Mecocci","given":"Patrizia"},{"family":"Tsolaki","given":"Magda"},{"family":"Vellas","given":"Bruno"},{"family":"Lovestone","given":"Simon"},{"literal":"on behalf of AddNeuroMed consortium"}],"issued":{"date-parts":[["2021",1,9]]}}}],"schema":"https://github.com/citation-style-language/schema/raw/master/csl-citation.json"} </w:instrText>
      </w:r>
      <w:r w:rsidR="005F4661" w:rsidRPr="009E3412">
        <w:rPr>
          <w:rFonts w:ascii="Times New Roman" w:eastAsia="Times New Roman" w:hAnsi="Times New Roman" w:cs="Times New Roman"/>
        </w:rPr>
        <w:fldChar w:fldCharType="separate"/>
      </w:r>
      <w:r w:rsidR="007A55BE" w:rsidRPr="009E3412">
        <w:rPr>
          <w:rFonts w:ascii="Times New Roman" w:hAnsi="Times New Roman" w:cs="Times New Roman"/>
        </w:rPr>
        <w:t>[16–19]</w:t>
      </w:r>
      <w:r w:rsidR="005F4661" w:rsidRPr="009E3412">
        <w:rPr>
          <w:rFonts w:ascii="Times New Roman" w:eastAsia="Times New Roman" w:hAnsi="Times New Roman" w:cs="Times New Roman"/>
        </w:rPr>
        <w:fldChar w:fldCharType="end"/>
      </w:r>
      <w:r w:rsidR="009B2F62" w:rsidRPr="009E3412">
        <w:rPr>
          <w:rFonts w:ascii="Times New Roman" w:eastAsia="Times New Roman" w:hAnsi="Times New Roman" w:cs="Times New Roman"/>
        </w:rPr>
        <w:t xml:space="preserve">, </w:t>
      </w:r>
      <w:r w:rsidR="009B2F62" w:rsidRPr="009E3412">
        <w:rPr>
          <w:rFonts w:ascii="Times New Roman" w:eastAsia="Times New Roman" w:hAnsi="Times New Roman" w:cs="Times New Roman"/>
          <w:i/>
          <w:iCs/>
        </w:rPr>
        <w:t>p</w:t>
      </w:r>
      <w:r w:rsidR="009B2F62" w:rsidRPr="009E3412">
        <w:rPr>
          <w:rFonts w:ascii="Times New Roman" w:eastAsia="Times New Roman" w:hAnsi="Times New Roman" w:cs="Times New Roman"/>
        </w:rPr>
        <w:t xml:space="preserve">-cresol and </w:t>
      </w:r>
      <w:r w:rsidRPr="009E3412">
        <w:rPr>
          <w:rFonts w:ascii="Times New Roman" w:eastAsia="Times New Roman" w:hAnsi="Times New Roman" w:cs="Times New Roman"/>
        </w:rPr>
        <w:t xml:space="preserve">its </w:t>
      </w:r>
      <w:r w:rsidR="009B2F62" w:rsidRPr="009E3412">
        <w:rPr>
          <w:rFonts w:ascii="Times New Roman" w:eastAsia="Times New Roman" w:hAnsi="Times New Roman" w:cs="Times New Roman"/>
        </w:rPr>
        <w:t>derivatives</w:t>
      </w:r>
      <w:r w:rsidR="005F4661" w:rsidRPr="009E3412">
        <w:rPr>
          <w:rFonts w:ascii="Times New Roman" w:eastAsia="Times New Roman" w:hAnsi="Times New Roman" w:cs="Times New Roman"/>
        </w:rPr>
        <w:t xml:space="preserve"> </w:t>
      </w:r>
      <w:r w:rsidR="005F4661"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{"citationID":"wYIZgbwS","properties":{"formattedCitation":"[20,21]","plainCitation":"[20,21]","noteIndex":0},"citationItems":[{"id":404,"uris":["http://zotero.org/users/9893877/items/33I7FFRE"],"itemData":{"id":404,"type":"article-journal","abstract":"Background\nIn Parkinson’s disease (PD), impairment of brain to blood barrier and/or blood-cerebrospinal fluid (CSF) barrier is described. It can increase the level of uremic toxins in CSF. So far, role of these compounds in neurological disorders has not been completely understood. However, a link has been observed between chronic kidney disease and neurological disorders. We measured the concentrations of uremic toxins (i.e. indoxyl sulfate (IS), p-cresol sulfate (pCS), symmetric dimethylarginine (SDMA), asymmetric dimethylarginine (ADMA), and trimethylamine N-oxide (TMAO)) in CSF and plasma, and correlated them with inflammation and oxidative stress biomarkers.\nMethods\nPlasma and CSF samples were collected from 27 volunteers (18 with PD and 9 controls). The level of toxins was determined using liquid chromatography coupled with tandem mass spectrometry.\nResults\nIn PD, for IS and pCS, CSF-plasma ratio was higher. Concentration of pCS in CSF was higher in PD compared to controls. TMAO level was also higher in plasma of that group. Patients with motor fluctuations had higher level of uremic toxins in CSF, but not in plasma.\nConclusions\nThe level of pCS and IS in CSF of PD is higher than expected, based on their blood level. It can influence pathogenesis and progression of PD.","container-title":"Clinica Chimica Acta","DOI":"10.1016/j.cca.2019.10.038","ISSN":"0009-8981","journalAbbreviation":"Clinica Chimica Acta","language":"en","page":"165-173","source":"ScienceDirect","title":"Higher cerebrospinal fluid to plasma ratio of p-cresol sulfate and indoxyl sulfate in patients with Parkinson’s disease","volume":"501","author":[{"family":"Sankowski","given":"Bartłomiej"},{"family":"Księżarczyk","given":"Karolina"},{"family":"Raćkowska","given":"Emilia"},{"family":"Szlufik","given":"Stanisław"},{"family":"Koziorowski","given":"Dariusz"},{"family":"Giebułtowicz","given":"Joanna"}],"issued":{"date-parts":[["2020",2,1]]}}},{"id":915,"uris":["http://zotero.org/users/9893877/items/PQKQCSLM"],"itemData":{"id":915,"type":"article","abstract":"Chronic kidney disease is linked to impaired cognitive function and increased neurovascular disease risk even after correction for classical risk factors. The mechanism(s) underlying these links are unclear but may involve interactions of uraemic toxins with the blood-brain barrier (BBB). Here, we studied how the major uraemic toxin p-cresol sulfate (pCS) could affect BBB integrity. Exposure of human hCMEC/D3 endothelial cells to pCS dose-dependently increased paracellular permeability and disrupted intercellular tight junctions, a permeabilising effect mirrored in mice. Whole brain RNAseq analysis identified pCS-mediated suppression of neuronal activity, transcription and mitochondrial respiration pathways. In vitro studies identified pCS binding to the epidermal growth factor receptor (EGFR), leading via annexin A1 and STAT3 signalling to mobilisation of matrix metalloproteinase (MMP)-2/9. Confirming this pathway in vivo, the BBB damaging effects of pCS were prevented by pre-treatment with the EGFR antagonist erlotinib or the MMP2/9 inhibitor SB-3CT. Finally, hCMEC/D3 cells exposed to haemodialysis patient serum, but not to that of healthy donors, showed an erlotinib-sensitive increase in paracellular permeability that closely correlated in size to the total serum pCS content. Overall, we define a pathway linking the uraemic toxin pCS with BBB damage suggesting that targeting the EGFR may be useful in mitigating against cerebrovascular damage in chronic kidney disease.\nTranslational Statement Patients with chronic kidney disease (CKD) have increased risk of cognitive impairment and stroke, pathologies associated cerebromicrovascular disease, but it is not clear why. Here, we show that the uraemic toxin p-cresol sulfate impairs BBB function in vitro and in vivo through EGFR-dependent MMP mobilisation. Importantly, serum from haemodialysis patients can also impair permeability of an in vitro BBB model, an effect prevented by EGFR inhibition, and proportional in magnitude to serum pCS content. Our data suggest that existing EGFR inhibitory drugs might have utility in preventing cerebral small vessel disease in CKD patients.","DOI":"10.1101/2022.11.12.516113","language":"en","license":"© 2022, Posted by Cold Spring Harbor Laboratory. This pre-print is available under a Creative Commons License (Attribution-NonCommercial-NoDerivs 4.0 International), CC BY-NC-ND 4.0, as described at http://creativecommons.org/licenses/by-nc-nd/4.0/","note":"page: 2022.11.12.516113\nsection: New Results","publisher":"bioRxiv","source":"bioRxiv","title":"Cerebrovascular damage caused by the gut microbe-derived uraemic toxin p-cresol sulfate is prevented by blockade of the epidermal growth factor receptor","URL":"https://www.biorxiv.org/content/10.1101/2022.11.12.516113v1","author":[{"family":"Shah","given":"Sita N."},{"family":"Knausenberger","given":"Tobias B.-A."},{"family":"Connell","given":"Emily"},{"family":"Gall","given":"Gwenaelle Le"},{"family":"Hardy","given":"Tom A. J."},{"family":"Randall","given":"David W."},{"family":"McCafferty","given":"Kieran"},{"family":"Yaqoob","given":"Muhammad M."},{"family":"Solito","given":"E."},{"family":"Müller","given":"Michael"},{"family":"Stachulski","given":"Andrew V."},{"family":"Glen","given":"Robert C."},{"family":"Vauzour","given":"David"},{"family":"Hoyles","given":"Lesley"},{"family":"McArthur","given":"Simon"}],"accessed":{"date-parts":[["2023",12,18]]},"issued":{"date-parts":[["2022",11,15]]}}}],"schema":"https://github.com/citation-style-language/schema/raw/master/csl-citation.json"} </w:instrText>
      </w:r>
      <w:r w:rsidR="005F4661" w:rsidRPr="009E3412">
        <w:rPr>
          <w:rFonts w:ascii="Times New Roman" w:eastAsia="Times New Roman" w:hAnsi="Times New Roman" w:cs="Times New Roman"/>
        </w:rPr>
        <w:fldChar w:fldCharType="separate"/>
      </w:r>
      <w:r w:rsidR="007A55BE" w:rsidRPr="009E3412">
        <w:rPr>
          <w:rFonts w:ascii="Times New Roman" w:hAnsi="Times New Roman" w:cs="Times New Roman"/>
        </w:rPr>
        <w:t>[20,21]</w:t>
      </w:r>
      <w:r w:rsidR="005F4661" w:rsidRPr="009E3412">
        <w:rPr>
          <w:rFonts w:ascii="Times New Roman" w:eastAsia="Times New Roman" w:hAnsi="Times New Roman" w:cs="Times New Roman"/>
        </w:rPr>
        <w:fldChar w:fldCharType="end"/>
      </w:r>
      <w:r w:rsidR="00223099" w:rsidRPr="009E3412">
        <w:rPr>
          <w:rFonts w:ascii="Times New Roman" w:eastAsia="Times New Roman" w:hAnsi="Times New Roman" w:cs="Times New Roman"/>
        </w:rPr>
        <w:t>.</w:t>
      </w:r>
      <w:r w:rsidRPr="009E3412">
        <w:rPr>
          <w:rFonts w:ascii="Times New Roman" w:eastAsia="Times New Roman" w:hAnsi="Times New Roman" w:cs="Times New Roman"/>
        </w:rPr>
        <w:t xml:space="preserve"> Notably, these same MDM</w:t>
      </w:r>
      <w:r w:rsidR="00223099"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have been further linked to </w:t>
      </w:r>
      <w:r w:rsidR="00056723" w:rsidRPr="009E3412">
        <w:rPr>
          <w:rFonts w:ascii="Times New Roman" w:eastAsia="Times New Roman" w:hAnsi="Times New Roman" w:cs="Times New Roman"/>
        </w:rPr>
        <w:t>pathological processes associated with AD</w:t>
      </w:r>
      <w:r w:rsidR="005F4661" w:rsidRPr="009E3412">
        <w:rPr>
          <w:rFonts w:ascii="Times New Roman" w:eastAsia="Times New Roman" w:hAnsi="Times New Roman" w:cs="Times New Roman"/>
        </w:rPr>
        <w:t xml:space="preserve"> </w:t>
      </w:r>
      <w:r w:rsidR="005F4661"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{"citationID":"5Jyr0age","properties":{"formattedCitation":"[21\\uc0\\u8211{}28]","plainCitation":"[21–28]","noteIndex":0},"citationItems":[{"id":915,"uris":["http://zotero.org/users/9893877/items/PQKQCSLM"],"itemData":{"id":915,"type":"article","abstract":"Chronic kidney disease is linked to impaired cognitive function and increased neurovascular disease risk even after correction for classical risk factors. The mechanism(s) underlying these links are unclear but may involve interactions of uraemic toxins with the blood-brain barrier (BBB). Here, we studied how the major uraemic toxin p-cresol sulfate (pCS) could affect BBB integrity. Exposure of human hCMEC/D3 endothelial cells to pCS dose-dependently increased paracellular permeability and disrupted intercellular tight junctions, a permeabilising effect mirrored in mice. Whole brain RNAseq analysis identified pCS-mediated suppression of neuronal activity, transcription and mitochondrial respiration pathways. In vitro studies identified pCS binding to the epidermal growth factor receptor (EGFR), leading via annexin A1 and STAT3 signalling to mobilisation of matrix metalloproteinase (MMP)-2/9. Confirming this pathway in vivo, the BBB damaging effects of pCS were prevented by pre-treatment with the EGFR antagonist erlotinib or the MMP2/9 inhibitor SB-3CT. Finally, hCMEC/D3 cells exposed to haemodialysis patient serum, but not to that of healthy donors, showed an erlotinib-sensitive increase in paracellular permeability that closely correlated in size to the total serum pCS content. Overall, we define a pathway linking the uraemic toxin pCS with BBB damage suggesting that targeting the EGFR may be useful in mitigating against cerebrovascular damage in chronic kidney disease.\nTranslational Statement Patients with chronic kidney disease (CKD) have increased risk of cognitive impairment and stroke, pathologies associated cerebromicrovascular disease, but it is not clear why. Here, we show that the uraemic toxin p-cresol sulfate impairs BBB function in vitro and in vivo through EGFR-dependent MMP mobilisation. Importantly, serum from haemodialysis patients can also impair permeability of an in vitro BBB model, an effect prevented by EGFR inhibition, and proportional in magnitude to serum pCS content. Our data suggest that existing EGFR inhibitory drugs might have utility in preventing cerebral small vessel disease in CKD patients.","DOI":"10.1101/2022.11.12.516113","language":"en","license":"© 2022, Posted by Cold Spring Harbor Laboratory. This pre-print is available under a Creative Commons License (Attribution-NonCommercial-NoDerivs 4.0 International), CC BY-NC-ND 4.0, as described at http://creativecommons.org/licenses/by-nc-nd/4.0/","note":"page: 2022.11.12.516113\nsection: New Results","publisher":"bioRxiv","source":"bioRxiv","title":"Cerebrovascular damage caused by the gut microbe-derived uraemic toxin p-cresol sulfate is prevented by blockade of the epidermal growth factor receptor","URL":"https://www.biorxiv.org/content/10.1101/2022.11.12.516113v1","author":[{"family":"Shah","given":"Sita N."},{"family":"Knausenberger","given":"Tobias B.-A."},{"family":"Connell","given":"Emily"},{"family":"Gall","given":"Gwenaelle Le"},{"family":"Hardy","given":"Tom A. J."},{"family":"Randall","given":"David W."},{"family":"McCafferty","given":"Kieran"},{"family":"Yaqoob","given":"Muhammad M."},{"family":"Solito","given":"E."},{"family":"Müller","given":"Michael"},{"family":"Stachulski","given":"Andrew V."},{"family":"Glen","given":"Robert C."},{"family":"Vauzour","given":"David"},{"family":"Hoyles","given":"Lesley"},{"family":"McArthur","given":"Simon"}],"accessed":{"date-parts":[["2023",12,18]]},"issued":{"date-parts":[["2022",11,15]]}}},{"id":425,"uris":["http://zotero.org/users/9893877/items/WV8VTSEL"],"itemData":{"id":425,"type":"article-journal","abstract":"Coding region and intronic mutations in the gene for microtubule-associated protein tau cause frontotemporal dementia and Parkinsonism linked to chromosome 17 (FTDP-17). Most coding region mutations effect a reduced ability of tau protein to interact with microtubules and lead to the formation of a filamentous pathology made of hyperphosphorylated tau. Here we show that trimethylamine N-oxide (TMAO) restores the ability of tau with FTDP-17 mutations to promote microtubule assembly. To mimic phosphorylation, serine and threonine residues in tau were singly or multiply mutated to glutamic acid, resulting in a reduced ability of tau to promote microtubule assembly. With the exception of the most heavily substituted protein (27 glutamic acid residues), TMAO increased the ability of mutant tau to promote microtubule assembly. However, it had no significant effect on heparin-induced assembly of tau into filaments.","container-title":"FEBS letters","DOI":"10.1016/s0014-5793(00)02169-4","ISSN":"0014-5793","issue":"3","journalAbbreviation":"FEBS Lett","language":"eng","note":"PMID: 11078890","page":"265-270","source":"PubMed","title":"The natural osmolyte trimethylamine N-oxide (TMAO) restores the ability of mutant tau to promote microtubule assembly","volume":"484","author":[{"family":"Smith","given":"M. J."},{"family":"Crowther","given":"R. A."},{"family":"Goedert","given":"M."}],"issued":{"date-parts":[["2000",11,10]]}}},{"id":357,"uris":["http://zotero.org/users/9893877/items/9R6VDRG3"],"itemData":{"id":357,"type":"article-journal","abstract":"The goal of this study was to identify the intrinsic links that explain the effect of a Western diet (WD) on cognitive dysfunction. Specific pathogen-free, wild-type mice were fed either a control diet (CD) or a high-fat, high-sucrose WD after weaning and were euthanized at 10 mo of age to study the pathways that affect cognitive health. The results showed that long-term WD intake reduced hippocampal synaptic plasticity and the level of brain-derived neurotrophic factor mRNA in the brain and isolated microglia. A WD also activated ERK1/2 and reduced postsynaptic density-95 in the brain, suggesting postsynaptic damage. Moreover, WD-fed mice had increased inflammatory signaling in the brain, ileum, liver, adipose tissue, and spleen, which was accompanied by microglia activation. In the brain, as well as in the digestive tract, a WD reduced signaling regulated by retinoic acid and bile acids (BAs), whose receptors form heterodimers to control metabolism and inflammation. Furthermore, a WD intake caused dysbiosis and dysregulated BA synthesis with reduced endogenous ligands for BA receptors, i.e., farnesoid X receptor and G-protein-coupled bile acid receptor in the liver and brain. Together, dysregulated BA synthesis and dysbiosis were accompanied by systemic inflammation, microglial activation, and reduced neuroplasticity induced by WD.-Jena, P. K., Sheng, L., Di Lucente, J., Jin, L.-W., Maezawa, I., Wan, Y.-J. Y. Dysregulated bile acid synthesis and dysbiosis are implicated in Western diet-induced systemic inflammation, microglial activation, and reduced neuroplasticity.","container-title":"FASEB journal: official publication of the Federation of American Societies for Experimental Biology","DOI":"10.1096/fj.201700984RR","ISSN":"1530-6860","issue":"5","journalAbbreviation":"FASEB J","language":"eng","note":"PMID: 29401580\nPMCID: PMC5901391","page":"2866-2877","source":"PubMed","title":"Dysregulated bile acid synthesis and dysbiosis are implicated in Western diet-induced systemic inflammation, microglial activation, and reduced neuroplasticity","volume":"32","author":[{"family":"Jena","given":"Prasant Kumar"},{"family":"Sheng","given":"Lili"},{"family":"Di Lucente","given":"Jacopo"},{"family":"Jin","given":"Lee-Way"},{"family":"Maezawa","given":"Izumi"},{"family":"Wan","given":"Yu-Jui Yvonne"}],"issued":{"date-parts":[["2018",5]]}}},{"id":387,"uris":["http://zotero.org/users/9893877/items/R6APTAHQ"],"itemData":{"id":387,"type":"article-journal","abstract":"There is evidence to link obesity (and metabolic syndrome) with alterations in gut permeability and microbiota. The underlying mechanisms have been questioned and have prompted this review. We propose that the gut barrier function is a primary driver in maintaining metabolic health with poor health being linked to ‘gut leakiness'. This review will highlight changes in intestinal permeability and how it may change gut microflora and subsequently affect metabolic health by influencing the functioning of major bodily organs/organ systems: the lymphatic system, liver and pancreas. We also discuss the likelihood that metabolic syndrome undergoes a cyclic worsening facilitated by an increase in intestinal permeability leading to gut dysbiosis, culminating in ongoing poor health leading to further exacerbated gut leakiness.","container-title":"Future Microbiology","DOI":"10.2217/FMB.15.54","ISSN":"1746-0913","issue":"8","note":"publisher: Future Medicine","page":"1339-1353","source":"futuremedicine.com (Atypon)","title":"Gut permeability, its interaction with gut microflora and effects on metabolic health are mediated by the lymphatics system, liver and bile acid","volume":"10","author":[{"family":"Tran","given":"Cuong D"},{"family":"Grice","given":"Desma M"},{"family":"Wade","given":"Ben"},{"family":"Kerr","given":"Caroline A"},{"family":"Bauer","given":"Denis C"},{"family":"Li","given":"Dongmei"},{"family":"Hannan","given":"Garry N"}],"issued":{"date-parts":[["2015",8]]}}},{"id":407,"uris":["http://zotero.org/users/9893877/items/EG48LFD3"],"itemData":{"id":407,"type":"article-journal","abstract":"Immune system dysfunction is a common condition in chronic kidney disease (CKD). The present study investigated the effect of p-Cresyl sulfate (pCS) on human cell line U937 monocyte-derived macrophages (MDM) activity. MDM (1×106 cells/mL) were incubated with pCS (10, 25, or 50μg/mL), with or without lipopolysaccharide (LPS; 25ng/mL) and then evaluated NO production, phagocytosis and antigen-presenting molecules expression (HLA-ABC, HLA-DR, CD80 and CD86). All analyses were performed by flow cytometry. All pCS concentrations were able to increase NO production (49±12.1%, 39.8±7.75%, 43.7±11.9%, respectively) compared to untreated cells (4.35±3.34%) after 6h incubation but only the lowest concentration increased this production after 12h (82.9±8.6%, 61±7.2%, 40.8±11.7%). Combined with LPS, the same results were observed. Regarding to phagocytosis, all concentrations were able to induce bead engulfment (35.4±2.71%, 30±3.04%, 23.28±4.58%). In addition, pCS (50μg/mL) was able to increase HLA-ABC and CD80 expression, showed a slight effect on HLA-DR expression and, no difference in basal CD86 levels. pCS can induce an increased oxidative burst and phagocytosis by human macrophages while no modulation of HLA-DR or CD86 expression was induced. Together, these results suggest that pCS induces macrophage activation but interfere in antigen processing, leading to a failure in adaptive immune response in CKD.","container-title":"Toxicology Letters","DOI":"10.1016/j.toxlet.2016.10.006","ISSN":"1879-3169","journalAbbreviation":"Toxicol Lett","language":"eng","note":"PMID: 27760375","page":"1-5","source":"PubMed","title":"p-Cresyl sulfate affects the oxidative burst, phagocytosis process, and antigen presentation of monocyte-derived macrophages","volume":"263","author":[{"family":"Azevedo","given":"M. L. V."},{"family":"Bonan","given":"N. B."},{"family":"Dias","given":"G."},{"family":"Brehm","given":"F."},{"family":"Steiner","given":"T. M."},{"family":"Souza","given":"W. M."},{"family":"Stinghen","given":"A. E. M."},{"family":"Barreto","given":"F. C."},{"family":"Elifio-Esposito","given":"Selene"},{"family":"Pecoits-Filho","given":"R."},{"family":"Moreno-Amaral","given":"A. N."}],"issued":{"date-parts":[["2016",11,30]]}}},{"id":409,"uris":["http://zotero.org/users/9893877/items/ME3HPU44"],"itemData":{"id":409,"type":"article-journal","abstract":"In chronic kidney disease patients, oxidative stress is generally associated with disease progression and pathogenesis of its comorbidities. Phenyl sulfate is a protein-bound uremic solute, which accumulates in chronic kidney disease patients, but little is known about its nature. Although many reports revealed that protein-bound uremic solutes induce reactive oxygen species production, the effects of these solutes on anti-oxidant level have not been well studied. Therefore, we examined the effects of protein-bound uremic solutes on glutathione levels. As a result, indoxyl sulfate, phenyl sulfate, and p-cresyl sulfate decreased glutathione levels in porcine renal tubular cells. Next we examined whether phenyl sulfate-treated cells becomes vulnerable to oxidative stress. In phenyl sulfate-treated cells, hydrogen peroxide induced higher rates of cell death than in control cells. Buthionine sulfoximine, which is known to decrease glutathione level, well mimicked the effect of phenyl sulfate. Finally, we evaluated a mixture of indoxyl sulfate, phenyl sulfate, and p-cresyl sulfate at concentrations comparable to the serum concentrations of hemodialysis patients, and we confirmed its decreasing effect on glutathione level. In conclusion, indoxyl sulfate, phenyl sulfate, and p-cresyl sulfate decrease glutathione levels, rendering the cells vulnerable to oxidative stress.","container-title":"PloS One","DOI":"10.1371/journal.pone.0193342","ISSN":"1932-6203","issue":"2","journalAbbreviation":"PLoS One","language":"eng","note":"PMID: 29474405\nPMCID: PMC5825083","page":"e0193342","source":"PubMed","title":"Phenyl sulfate, indoxyl sulfate and p-cresyl sulfate decrease glutathione level to render cells vulnerable to oxidative stress in renal tubular cells","volume":"13","author":[{"family":"Edamatsu","given":"Takeo"},{"family":"Fujieda","given":"Ayako"},{"family":"Itoh","given":"Yoshiharu"}],"issued":{"date-parts":[["2018"]]}}},{"id":414,"uris":["http://zotero.org/users/9893877/items/JDXNIJXC"],"itemData":{"id":414,"type":"article-journal","abstract":"Protein-bound uremic toxins, indoxyl sulfate and p-cresol sulfate, increase oxidative stress and adversely affect chronic kidney disease progression and cardiovascular complications. In this study, we examined whether mitochondria are the target of indoxyl sulfate and p-cresol sulfate intoxication in vivo and in vitro. The kidneys of 10-week-old male B-6 mice with ½-nephrectomy treated with indoxyl sulfate and p-cresol sulfate were used for the animal study. Cultured human renal tubular cells were used for the in vitro study. Our results indicated that indoxyl sulfate and p-cresol sulfate impaired aerobic and anaerobic metabolism in vivo and in vitro. Indoxyl sulfate and p-cresol sulfate caused mitochondrial fission by modulating the expression of mitochondrial fission-fusion proteins. Mitochondrial dysfunction and impaired biogenesis could be protected by treatment with antioxidants. The in vitro study also demonstrated that indoxyl sulfate and p-cresol sulfate reduced mitochondrial mass by activating autophagic machinery. In summary, our study suggests that mitochondrial injury is one of the major pathological mechanisms for uremic intoxication, which is related to chronic kidney disease and its complications.","container-title":"Oncotarget","DOI":"10.18632/oncotarget.20773","ISSN":"1949-2553","issue":"44","journalAbbreviation":"Oncotarget","language":"eng","note":"PMID: 29100420\nPMCID: PMC5652810","page":"77722-77733","source":"PubMed","title":"Protein-bound uremic toxins impaired mitochondrial dynamics and functions","volume":"8","author":[{"family":"Sun","given":"Chiao-Yin"},{"family":"Cheng","given":"Mei-Ling"},{"family":"Pan","given":"Heng-Chih"},{"family":"Lee","given":"Jia-Hung"},{"family":"Lee","given":"Chin-Chan"}],"issued":{"date-parts":[["2017",9,29]]}}},{"id":412,"uris":["http://zotero.org/users/9893877/items/GHKDU6RF"],"itemData":{"id":412,"type":"article-journal","abstract":"The goal of the present studies is to investigate that the impact of p-cresylsulfate (PCS) on the endothelial barrier integrity via in situ exposure and systemic exposure. Vascular permeability changes induced by local injection of PCS were evaluated by the techniques of both Evans blue (EB) and India ink tracer. Rats were intravenously injected with EB or India ink followed by intradermal injections of various doses of PCS (0, 0.4, 2, 10 and 50 µmol/site) on rat back skins. At different time points, skin EB was extracted and quantified. The administration of India ink was used to demonstrate leaky microvessels. Skin PCS levels were also determined by liquid chromatography–mass spectrometry. We also investigated whether the increased endothelial leakage occurred in the aortic endothelium in rats treated with 5/6 nephrectomy and intraperitoneal injection of PCS 50 mg/kg/day for 4 weeks. The aortic endothelial integrity was evaluated by increased immunoglobulin G (IgG) leakage. High doses of PCS, but not lower doses, significantly induced vascular leakage as compared to saline injection and EB leakage exhibited in time-dependent manner. A time-correlated increase in leaky microvessels was detected in the tissues examined. The injected PCS declined with time and displayed an inverse relationship with vascular leakage. Chronic kidney disease (CKD) rats administered with PCS, compared to control rats, had significantly higher serum levels of PCS and apparent IgG deposition in the aortic intima. Increased endothelial leakage induced by PCS in skin microvessels and the aorta of CKD rats suggests that the PCS-induced endothelial barrier dysfunction.","container-title":"Histochemistry and Cell Biology","DOI":"10.1007/s00418-018-1662-0","ISSN":"1432-119X","issue":"6","journalAbbreviation":"Histochem Cell Biol","language":"en","page":"607-617","source":"Springer Link","title":"Protein-bounded uremic toxin p-cresylsulfate induces vascular permeability alternations","volume":"149","author":[{"family":"Tang","given":"Wei-Hua"},{"family":"Wang","given":"Chao-Ping"},{"family":"Yu","given":"Teng-Hung"},{"family":"Tai","given":"Pei-Yang"},{"family":"Liang","given":"Shih-Shin"},{"family":"Hung","given":"Wei-Chin"},{"family":"Wu","given":"Cheng-Ching"},{"family":"Huang","given":"Sung-Hao"},{"family":"Lee","given":"Yau-Jiunn"},{"family":"Chen","given":"Shih-Chieh"}],"issued":{"date-parts":[["2018",6,1]]}}}],"schema":"https://github.com/citation-style-language/schema/raw/master/csl-citation.json"} </w:instrText>
      </w:r>
      <w:r w:rsidR="005F4661" w:rsidRPr="009E3412">
        <w:rPr>
          <w:rFonts w:ascii="Times New Roman" w:eastAsia="Times New Roman" w:hAnsi="Times New Roman" w:cs="Times New Roman"/>
        </w:rPr>
        <w:fldChar w:fldCharType="separate"/>
      </w:r>
      <w:r w:rsidR="007A55BE" w:rsidRPr="009E3412">
        <w:rPr>
          <w:rFonts w:ascii="Times New Roman" w:hAnsi="Times New Roman" w:cs="Times New Roman"/>
        </w:rPr>
        <w:t>[21–28]</w:t>
      </w:r>
      <w:r w:rsidR="005F4661" w:rsidRPr="009E3412">
        <w:rPr>
          <w:rFonts w:ascii="Times New Roman" w:eastAsia="Times New Roman" w:hAnsi="Times New Roman" w:cs="Times New Roman"/>
        </w:rPr>
        <w:fldChar w:fldCharType="end"/>
      </w:r>
      <w:r w:rsidR="005F4661" w:rsidRPr="009E3412">
        <w:rPr>
          <w:rFonts w:ascii="Times New Roman" w:eastAsia="Times New Roman" w:hAnsi="Times New Roman" w:cs="Times New Roman"/>
        </w:rPr>
        <w:t xml:space="preserve">, </w:t>
      </w:r>
      <w:r w:rsidR="00056723" w:rsidRPr="009E3412">
        <w:rPr>
          <w:rFonts w:ascii="Times New Roman" w:eastAsia="Times New Roman" w:hAnsi="Times New Roman" w:cs="Times New Roman"/>
        </w:rPr>
        <w:t xml:space="preserve">including neuroinflammation, synaptic damage and blood-brain barrier disruption, but whether changes in these MDM are drivers or correlates of </w:t>
      </w:r>
      <w:r w:rsidR="00435BA6" w:rsidRPr="009E3412">
        <w:rPr>
          <w:rFonts w:ascii="Times New Roman" w:eastAsia="Times New Roman" w:hAnsi="Times New Roman" w:cs="Times New Roman"/>
        </w:rPr>
        <w:t xml:space="preserve">these </w:t>
      </w:r>
      <w:r w:rsidR="00056723" w:rsidRPr="009E3412">
        <w:rPr>
          <w:rFonts w:ascii="Times New Roman" w:eastAsia="Times New Roman" w:hAnsi="Times New Roman" w:cs="Times New Roman"/>
        </w:rPr>
        <w:t xml:space="preserve">processes requires </w:t>
      </w:r>
      <w:r w:rsidR="00EC1C61" w:rsidRPr="009E3412">
        <w:rPr>
          <w:rFonts w:ascii="Times New Roman" w:eastAsia="Times New Roman" w:hAnsi="Times New Roman" w:cs="Times New Roman"/>
        </w:rPr>
        <w:t>comprehensive</w:t>
      </w:r>
      <w:r w:rsidR="00056723" w:rsidRPr="009E3412">
        <w:rPr>
          <w:rFonts w:ascii="Times New Roman" w:eastAsia="Times New Roman" w:hAnsi="Times New Roman" w:cs="Times New Roman"/>
        </w:rPr>
        <w:t xml:space="preserve"> investigation.</w:t>
      </w:r>
      <w:r w:rsidR="007E126D" w:rsidRPr="009E3412">
        <w:rPr>
          <w:rFonts w:ascii="Times New Roman" w:eastAsia="Times New Roman" w:hAnsi="Times New Roman" w:cs="Times New Roman"/>
        </w:rPr>
        <w:t xml:space="preserve"> However, despite these links, many of these MDMs remain under-investigated in the context of early cognitive decline, where disease-modifying interventions may be most effective</w:t>
      </w:r>
      <w:r w:rsidR="002047C6" w:rsidRPr="009E3412">
        <w:rPr>
          <w:rFonts w:ascii="Times New Roman" w:eastAsia="Times New Roman" w:hAnsi="Times New Roman" w:cs="Times New Roman"/>
        </w:rPr>
        <w:t xml:space="preserve">, representing a critical gap in the understanding of early metabolic dysregulation. As such, this study aimed to </w:t>
      </w:r>
      <w:r w:rsidR="00365D16" w:rsidRPr="009E3412">
        <w:rPr>
          <w:rFonts w:ascii="Times New Roman" w:eastAsia="Times New Roman" w:hAnsi="Times New Roman" w:cs="Times New Roman"/>
        </w:rPr>
        <w:t xml:space="preserve">quantify and </w:t>
      </w:r>
      <w:r w:rsidR="00773C03" w:rsidRPr="009E3412">
        <w:rPr>
          <w:rFonts w:ascii="Times New Roman" w:eastAsia="Times New Roman" w:hAnsi="Times New Roman" w:cs="Times New Roman"/>
        </w:rPr>
        <w:t>profile</w:t>
      </w:r>
      <w:r w:rsidR="00365D16" w:rsidRPr="009E3412">
        <w:rPr>
          <w:rFonts w:ascii="Times New Roman" w:eastAsia="Times New Roman" w:hAnsi="Times New Roman" w:cs="Times New Roman"/>
        </w:rPr>
        <w:t xml:space="preserve"> these metabolites to identify </w:t>
      </w:r>
      <w:r w:rsidR="0019162C" w:rsidRPr="009E3412">
        <w:rPr>
          <w:rFonts w:ascii="Times New Roman" w:eastAsia="Times New Roman" w:hAnsi="Times New Roman" w:cs="Times New Roman"/>
        </w:rPr>
        <w:t xml:space="preserve">novel </w:t>
      </w:r>
      <w:r w:rsidR="00365D16" w:rsidRPr="009E3412">
        <w:rPr>
          <w:rFonts w:ascii="Times New Roman" w:eastAsia="Times New Roman" w:hAnsi="Times New Roman" w:cs="Times New Roman"/>
        </w:rPr>
        <w:t xml:space="preserve">metabolic </w:t>
      </w:r>
      <w:r w:rsidR="0019162C" w:rsidRPr="009E3412">
        <w:rPr>
          <w:rFonts w:ascii="Times New Roman" w:eastAsia="Times New Roman" w:hAnsi="Times New Roman" w:cs="Times New Roman"/>
        </w:rPr>
        <w:t>risk factors</w:t>
      </w:r>
      <w:r w:rsidR="00365D16" w:rsidRPr="009E3412">
        <w:rPr>
          <w:rFonts w:ascii="Times New Roman" w:eastAsia="Times New Roman" w:hAnsi="Times New Roman" w:cs="Times New Roman"/>
        </w:rPr>
        <w:t xml:space="preserve"> </w:t>
      </w:r>
      <w:r w:rsidR="00703165" w:rsidRPr="009E3412">
        <w:rPr>
          <w:rFonts w:ascii="Times New Roman" w:eastAsia="Times New Roman" w:hAnsi="Times New Roman" w:cs="Times New Roman"/>
        </w:rPr>
        <w:t xml:space="preserve">in early cognitive decline </w:t>
      </w:r>
      <w:r w:rsidR="00365D16" w:rsidRPr="009E3412">
        <w:rPr>
          <w:rFonts w:ascii="Times New Roman" w:eastAsia="Times New Roman" w:hAnsi="Times New Roman" w:cs="Times New Roman"/>
        </w:rPr>
        <w:t>and inform early-detection and intervention strategies.</w:t>
      </w:r>
    </w:p>
    <w:p w14:paraId="160E5A41" w14:textId="292C2A3E" w:rsidR="00AB54CF" w:rsidRPr="009E3412" w:rsidRDefault="00D826F3">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Targeted metabolomics presents a powerful tool to comprehensively assess changes in the endogenous metabolome. </w:t>
      </w:r>
      <w:r w:rsidR="001B6B84" w:rsidRPr="009E3412">
        <w:rPr>
          <w:rFonts w:ascii="Times New Roman" w:eastAsia="Times New Roman" w:hAnsi="Times New Roman" w:cs="Times New Roman"/>
        </w:rPr>
        <w:t xml:space="preserve">Here, we </w:t>
      </w:r>
      <w:r w:rsidR="00554B34" w:rsidRPr="009E3412">
        <w:rPr>
          <w:rFonts w:ascii="Times New Roman" w:eastAsia="Times New Roman" w:hAnsi="Times New Roman" w:cs="Times New Roman"/>
        </w:rPr>
        <w:t>present</w:t>
      </w:r>
      <w:r w:rsidR="001B6B84" w:rsidRPr="009E3412">
        <w:rPr>
          <w:rFonts w:ascii="Times New Roman" w:eastAsia="Times New Roman" w:hAnsi="Times New Roman" w:cs="Times New Roman"/>
        </w:rPr>
        <w:t xml:space="preserve"> a targeted metabolomics approach </w:t>
      </w:r>
      <w:r w:rsidR="004D29F6" w:rsidRPr="009E3412">
        <w:rPr>
          <w:rFonts w:ascii="Times New Roman" w:eastAsia="Times New Roman" w:hAnsi="Times New Roman" w:cs="Times New Roman"/>
        </w:rPr>
        <w:t>employing</w:t>
      </w:r>
      <w:r w:rsidR="001B6B84" w:rsidRPr="009E3412">
        <w:rPr>
          <w:rFonts w:ascii="Times New Roman" w:eastAsia="Times New Roman" w:hAnsi="Times New Roman" w:cs="Times New Roman"/>
        </w:rPr>
        <w:t xml:space="preserve"> liquid chromatography</w:t>
      </w:r>
      <w:r w:rsidR="004D29F6" w:rsidRPr="009E3412">
        <w:rPr>
          <w:rFonts w:ascii="Times New Roman" w:eastAsia="Times New Roman" w:hAnsi="Times New Roman" w:cs="Times New Roman"/>
        </w:rPr>
        <w:t>-</w:t>
      </w:r>
      <w:r w:rsidR="001B6B84" w:rsidRPr="009E3412">
        <w:rPr>
          <w:rFonts w:ascii="Times New Roman" w:eastAsia="Times New Roman" w:hAnsi="Times New Roman" w:cs="Times New Roman"/>
        </w:rPr>
        <w:t xml:space="preserve">tandem mass spectrometry (LC-MS/MS) </w:t>
      </w:r>
      <w:r w:rsidR="0091009A" w:rsidRPr="009E3412">
        <w:rPr>
          <w:rFonts w:ascii="Times New Roman" w:eastAsia="Times New Roman" w:hAnsi="Times New Roman" w:cs="Times New Roman"/>
        </w:rPr>
        <w:t>to</w:t>
      </w:r>
      <w:r w:rsidR="001B6B84" w:rsidRPr="009E3412">
        <w:rPr>
          <w:rFonts w:ascii="Times New Roman" w:eastAsia="Times New Roman" w:hAnsi="Times New Roman" w:cs="Times New Roman"/>
        </w:rPr>
        <w:t xml:space="preserve"> </w:t>
      </w:r>
      <w:r w:rsidR="000F0B7D" w:rsidRPr="009E3412">
        <w:rPr>
          <w:rFonts w:ascii="Times New Roman" w:eastAsia="Times New Roman" w:hAnsi="Times New Roman" w:cs="Times New Roman"/>
        </w:rPr>
        <w:t>quantify</w:t>
      </w:r>
      <w:r w:rsidR="0091009A" w:rsidRPr="009E3412">
        <w:rPr>
          <w:rFonts w:ascii="Times New Roman" w:eastAsia="Times New Roman" w:hAnsi="Times New Roman" w:cs="Times New Roman"/>
        </w:rPr>
        <w:t xml:space="preserve"> 33 metabolites, including</w:t>
      </w:r>
      <w:r w:rsidR="00BC37DF" w:rsidRPr="009E3412">
        <w:rPr>
          <w:rFonts w:ascii="Times New Roman" w:eastAsia="Times New Roman" w:hAnsi="Times New Roman" w:cs="Times New Roman"/>
        </w:rPr>
        <w:t xml:space="preserve"> 1</w:t>
      </w:r>
      <w:r w:rsidR="004A6DAC" w:rsidRPr="009E3412">
        <w:rPr>
          <w:rFonts w:ascii="Times New Roman" w:eastAsia="Times New Roman" w:hAnsi="Times New Roman" w:cs="Times New Roman"/>
        </w:rPr>
        <w:t>3</w:t>
      </w:r>
      <w:r w:rsidR="00BC37DF" w:rsidRPr="009E3412">
        <w:rPr>
          <w:rFonts w:ascii="Times New Roman" w:eastAsia="Times New Roman" w:hAnsi="Times New Roman" w:cs="Times New Roman"/>
        </w:rPr>
        <w:t xml:space="preserve"> tryptophan-related compounds, </w:t>
      </w:r>
      <w:r w:rsidR="004A6DAC" w:rsidRPr="009E3412">
        <w:rPr>
          <w:rFonts w:ascii="Times New Roman" w:eastAsia="Times New Roman" w:hAnsi="Times New Roman" w:cs="Times New Roman"/>
        </w:rPr>
        <w:t>15</w:t>
      </w:r>
      <w:r w:rsidR="00BC37DF" w:rsidRPr="009E3412">
        <w:rPr>
          <w:rFonts w:ascii="Times New Roman" w:eastAsia="Times New Roman" w:hAnsi="Times New Roman" w:cs="Times New Roman"/>
        </w:rPr>
        <w:t xml:space="preserve"> bile acid compounds, 3 TMAO-related metabolites and 2 cresol metabolites</w:t>
      </w:r>
      <w:r w:rsidR="008D641C" w:rsidRPr="009E3412">
        <w:rPr>
          <w:rFonts w:ascii="Times New Roman" w:eastAsia="Times New Roman" w:hAnsi="Times New Roman" w:cs="Times New Roman"/>
        </w:rPr>
        <w:t xml:space="preserve">, </w:t>
      </w:r>
      <w:r w:rsidR="005D70AD" w:rsidRPr="009E3412">
        <w:rPr>
          <w:rFonts w:ascii="Times New Roman" w:eastAsia="Times New Roman" w:hAnsi="Times New Roman" w:cs="Times New Roman"/>
        </w:rPr>
        <w:t>in the serum</w:t>
      </w:r>
      <w:r w:rsidR="000F0B7D" w:rsidRPr="009E3412">
        <w:rPr>
          <w:rFonts w:ascii="Times New Roman" w:eastAsia="Times New Roman" w:hAnsi="Times New Roman" w:cs="Times New Roman"/>
        </w:rPr>
        <w:t xml:space="preserve"> of healthy controls and</w:t>
      </w:r>
      <w:r w:rsidR="005D70AD" w:rsidRPr="009E3412">
        <w:rPr>
          <w:rFonts w:ascii="Times New Roman" w:eastAsia="Times New Roman" w:hAnsi="Times New Roman" w:cs="Times New Roman"/>
        </w:rPr>
        <w:t xml:space="preserve"> pa</w:t>
      </w:r>
      <w:r w:rsidR="00133663" w:rsidRPr="009E3412">
        <w:rPr>
          <w:rFonts w:ascii="Times New Roman" w:eastAsia="Times New Roman" w:hAnsi="Times New Roman" w:cs="Times New Roman"/>
        </w:rPr>
        <w:t>rticipants</w:t>
      </w:r>
      <w:r w:rsidR="005D70AD" w:rsidRPr="009E3412">
        <w:rPr>
          <w:rFonts w:ascii="Times New Roman" w:eastAsia="Times New Roman" w:hAnsi="Times New Roman" w:cs="Times New Roman"/>
        </w:rPr>
        <w:t xml:space="preserve"> in</w:t>
      </w:r>
      <w:r w:rsidR="00324441" w:rsidRPr="009E3412">
        <w:rPr>
          <w:rFonts w:ascii="Times New Roman" w:eastAsia="Times New Roman" w:hAnsi="Times New Roman" w:cs="Times New Roman"/>
        </w:rPr>
        <w:t xml:space="preserve"> </w:t>
      </w:r>
      <w:r w:rsidR="005D70AD" w:rsidRPr="009E3412">
        <w:rPr>
          <w:rFonts w:ascii="Times New Roman" w:eastAsia="Times New Roman" w:hAnsi="Times New Roman" w:cs="Times New Roman"/>
        </w:rPr>
        <w:t>early cognitive decline</w:t>
      </w:r>
      <w:r w:rsidR="00B13CD4" w:rsidRPr="009E3412">
        <w:rPr>
          <w:rFonts w:ascii="Times New Roman" w:eastAsia="Times New Roman" w:hAnsi="Times New Roman" w:cs="Times New Roman"/>
        </w:rPr>
        <w:t xml:space="preserve"> (e.g. individuals</w:t>
      </w:r>
      <w:r w:rsidR="000F0B7D" w:rsidRPr="009E3412">
        <w:rPr>
          <w:rFonts w:ascii="Times New Roman" w:eastAsia="Times New Roman" w:hAnsi="Times New Roman" w:cs="Times New Roman"/>
        </w:rPr>
        <w:t xml:space="preserve"> with</w:t>
      </w:r>
      <w:r w:rsidR="00CC7BCD" w:rsidRPr="009E3412">
        <w:rPr>
          <w:rFonts w:ascii="Times New Roman" w:eastAsia="Times New Roman" w:hAnsi="Times New Roman" w:cs="Times New Roman"/>
        </w:rPr>
        <w:t xml:space="preserve"> </w:t>
      </w:r>
      <w:r w:rsidR="003E2FB5" w:rsidRPr="009E3412">
        <w:rPr>
          <w:rFonts w:ascii="Times New Roman" w:eastAsia="Times New Roman" w:hAnsi="Times New Roman" w:cs="Times New Roman"/>
        </w:rPr>
        <w:t xml:space="preserve">subjective </w:t>
      </w:r>
      <w:r w:rsidR="00DF6F6D" w:rsidRPr="009E3412">
        <w:rPr>
          <w:rFonts w:ascii="Times New Roman" w:eastAsia="Times New Roman" w:hAnsi="Times New Roman" w:cs="Times New Roman"/>
        </w:rPr>
        <w:lastRenderedPageBreak/>
        <w:t>cognitive</w:t>
      </w:r>
      <w:r w:rsidR="003E2FB5" w:rsidRPr="009E3412">
        <w:rPr>
          <w:rFonts w:ascii="Times New Roman" w:eastAsia="Times New Roman" w:hAnsi="Times New Roman" w:cs="Times New Roman"/>
        </w:rPr>
        <w:t xml:space="preserve"> impairment</w:t>
      </w:r>
      <w:r w:rsidR="0030644F" w:rsidRPr="009E3412">
        <w:rPr>
          <w:rFonts w:ascii="Times New Roman" w:eastAsia="Times New Roman" w:hAnsi="Times New Roman" w:cs="Times New Roman"/>
        </w:rPr>
        <w:t xml:space="preserve"> (S</w:t>
      </w:r>
      <w:r w:rsidR="00DF6F6D" w:rsidRPr="009E3412">
        <w:rPr>
          <w:rFonts w:ascii="Times New Roman" w:eastAsia="Times New Roman" w:hAnsi="Times New Roman" w:cs="Times New Roman"/>
        </w:rPr>
        <w:t>C</w:t>
      </w:r>
      <w:r w:rsidR="0030644F" w:rsidRPr="009E3412">
        <w:rPr>
          <w:rFonts w:ascii="Times New Roman" w:eastAsia="Times New Roman" w:hAnsi="Times New Roman" w:cs="Times New Roman"/>
        </w:rPr>
        <w:t>I)</w:t>
      </w:r>
      <w:r w:rsidR="003E2FB5" w:rsidRPr="009E3412">
        <w:rPr>
          <w:rFonts w:ascii="Times New Roman" w:eastAsia="Times New Roman" w:hAnsi="Times New Roman" w:cs="Times New Roman"/>
        </w:rPr>
        <w:t xml:space="preserve"> and mild cognitive impairment</w:t>
      </w:r>
      <w:r w:rsidR="00660DB6" w:rsidRPr="009E3412">
        <w:rPr>
          <w:rFonts w:ascii="Times New Roman" w:eastAsia="Times New Roman" w:hAnsi="Times New Roman" w:cs="Times New Roman"/>
        </w:rPr>
        <w:t xml:space="preserve"> (MCI</w:t>
      </w:r>
      <w:r w:rsidR="000B5B73" w:rsidRPr="009E3412">
        <w:rPr>
          <w:rFonts w:ascii="Times New Roman" w:eastAsia="Times New Roman" w:hAnsi="Times New Roman" w:cs="Times New Roman"/>
        </w:rPr>
        <w:t>)</w:t>
      </w:r>
      <w:r w:rsidR="00247F71" w:rsidRPr="009E3412">
        <w:rPr>
          <w:rFonts w:ascii="Times New Roman" w:eastAsia="Times New Roman" w:hAnsi="Times New Roman" w:cs="Times New Roman"/>
        </w:rPr>
        <w:t>)</w:t>
      </w:r>
      <w:r w:rsidR="00C52D04" w:rsidRPr="009E3412">
        <w:rPr>
          <w:rFonts w:ascii="Times New Roman" w:eastAsia="Times New Roman" w:hAnsi="Times New Roman" w:cs="Times New Roman"/>
        </w:rPr>
        <w:t>.</w:t>
      </w:r>
      <w:r w:rsidR="005D70AD" w:rsidRPr="009E3412">
        <w:rPr>
          <w:rFonts w:ascii="Times New Roman" w:eastAsia="Times New Roman" w:hAnsi="Times New Roman" w:cs="Times New Roman"/>
        </w:rPr>
        <w:t xml:space="preserve"> </w:t>
      </w:r>
      <w:r w:rsidR="00BC37DF" w:rsidRPr="009E3412">
        <w:rPr>
          <w:rFonts w:ascii="Times New Roman" w:eastAsia="Times New Roman" w:hAnsi="Times New Roman" w:cs="Times New Roman"/>
        </w:rPr>
        <w:t xml:space="preserve">Multiple linear regression and machine learning techniques were applied to identify a metabolite panel </w:t>
      </w:r>
      <w:r w:rsidR="00AB54CF" w:rsidRPr="009E3412">
        <w:rPr>
          <w:rFonts w:ascii="Times New Roman" w:eastAsia="Times New Roman" w:hAnsi="Times New Roman" w:cs="Times New Roman"/>
        </w:rPr>
        <w:t>to</w:t>
      </w:r>
      <w:r w:rsidR="00F9522A" w:rsidRPr="009E3412">
        <w:rPr>
          <w:rFonts w:ascii="Times New Roman" w:eastAsia="Times New Roman" w:hAnsi="Times New Roman" w:cs="Times New Roman"/>
        </w:rPr>
        <w:t xml:space="preserve"> distinguish</w:t>
      </w:r>
      <w:r w:rsidR="00BC37DF" w:rsidRPr="009E3412">
        <w:rPr>
          <w:rFonts w:ascii="Times New Roman" w:eastAsia="Times New Roman" w:hAnsi="Times New Roman" w:cs="Times New Roman"/>
        </w:rPr>
        <w:t xml:space="preserve"> control, SCI and MCI participants. </w:t>
      </w:r>
      <w:r w:rsidR="00841C4E" w:rsidRPr="009E3412">
        <w:rPr>
          <w:rFonts w:ascii="Times New Roman" w:eastAsia="Times New Roman" w:hAnsi="Times New Roman" w:cs="Times New Roman"/>
        </w:rPr>
        <w:t>This study presents</w:t>
      </w:r>
      <w:r w:rsidR="00056723" w:rsidRPr="009E3412">
        <w:rPr>
          <w:rFonts w:ascii="Times New Roman" w:eastAsia="Times New Roman" w:hAnsi="Times New Roman" w:cs="Times New Roman"/>
        </w:rPr>
        <w:t>,</w:t>
      </w:r>
      <w:r w:rsidR="00841C4E" w:rsidRPr="009E3412">
        <w:rPr>
          <w:rFonts w:ascii="Times New Roman" w:eastAsia="Times New Roman" w:hAnsi="Times New Roman" w:cs="Times New Roman"/>
        </w:rPr>
        <w:t xml:space="preserve"> </w:t>
      </w:r>
      <w:r w:rsidR="000F0B7D" w:rsidRPr="009E3412">
        <w:rPr>
          <w:rFonts w:ascii="Times New Roman" w:eastAsia="Times New Roman" w:hAnsi="Times New Roman" w:cs="Times New Roman"/>
        </w:rPr>
        <w:t xml:space="preserve">for </w:t>
      </w:r>
      <w:r w:rsidR="00841C4E" w:rsidRPr="009E3412">
        <w:rPr>
          <w:rFonts w:ascii="Times New Roman" w:eastAsia="Times New Roman" w:hAnsi="Times New Roman" w:cs="Times New Roman"/>
        </w:rPr>
        <w:t>the first time</w:t>
      </w:r>
      <w:r w:rsidR="00056723" w:rsidRPr="009E3412">
        <w:rPr>
          <w:rFonts w:ascii="Times New Roman" w:eastAsia="Times New Roman" w:hAnsi="Times New Roman" w:cs="Times New Roman"/>
        </w:rPr>
        <w:t>,</w:t>
      </w:r>
      <w:r w:rsidR="00841C4E" w:rsidRPr="009E3412">
        <w:rPr>
          <w:rFonts w:ascii="Times New Roman" w:eastAsia="Times New Roman" w:hAnsi="Times New Roman" w:cs="Times New Roman"/>
        </w:rPr>
        <w:t xml:space="preserve"> </w:t>
      </w:r>
      <w:r w:rsidR="00FA563C" w:rsidRPr="009E3412">
        <w:rPr>
          <w:rFonts w:ascii="Times New Roman" w:eastAsia="Times New Roman" w:hAnsi="Times New Roman" w:cs="Times New Roman"/>
        </w:rPr>
        <w:t>how key metabolites, in combination, can classify individuals at different stages of early cognitive decline. It is also one of the few studies characterising metabolic perturbations in these early stages, including participants with SCI</w:t>
      </w:r>
      <w:bookmarkStart w:id="0" w:name="_heading=h.30j0zll" w:colFirst="0" w:colLast="0"/>
      <w:bookmarkEnd w:id="0"/>
      <w:r w:rsidR="00AB54CF" w:rsidRPr="009E3412">
        <w:rPr>
          <w:rFonts w:ascii="Times New Roman" w:eastAsia="Times New Roman" w:hAnsi="Times New Roman" w:cs="Times New Roman"/>
        </w:rPr>
        <w:t>.</w:t>
      </w:r>
    </w:p>
    <w:p w14:paraId="60EEA974" w14:textId="52154BEB" w:rsidR="00150AD6" w:rsidRPr="009E3412" w:rsidRDefault="0082522C">
      <w:pPr>
        <w:spacing w:line="360" w:lineRule="auto"/>
        <w:jc w:val="both"/>
        <w:rPr>
          <w:rFonts w:ascii="Times New Roman" w:eastAsia="Times New Roman" w:hAnsi="Times New Roman" w:cs="Times New Roman"/>
          <w:b/>
        </w:rPr>
      </w:pPr>
      <w:r w:rsidRPr="009E3412">
        <w:rPr>
          <w:rFonts w:ascii="Times New Roman" w:eastAsia="Times New Roman" w:hAnsi="Times New Roman" w:cs="Times New Roman"/>
          <w:b/>
        </w:rPr>
        <w:t>2. Materials and methods</w:t>
      </w:r>
    </w:p>
    <w:p w14:paraId="3EE7C193" w14:textId="77777777" w:rsidR="00150AD6" w:rsidRPr="009E3412" w:rsidRDefault="0082522C">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2.1 Study samples</w:t>
      </w:r>
    </w:p>
    <w:p w14:paraId="108860C3" w14:textId="77777777" w:rsidR="00C0689F" w:rsidRPr="009E3412" w:rsidRDefault="000643BE" w:rsidP="00185781">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Overnight fasted h</w:t>
      </w:r>
      <w:r w:rsidR="0082522C" w:rsidRPr="009E3412">
        <w:rPr>
          <w:rFonts w:ascii="Times New Roman" w:eastAsia="Times New Roman" w:hAnsi="Times New Roman" w:cs="Times New Roman"/>
        </w:rPr>
        <w:t>uman serum samples from</w:t>
      </w:r>
      <w:r w:rsidR="00D82E12" w:rsidRPr="009E3412">
        <w:rPr>
          <w:rFonts w:ascii="Times New Roman" w:eastAsia="Times New Roman" w:hAnsi="Times New Roman" w:cs="Times New Roman"/>
        </w:rPr>
        <w:t xml:space="preserve"> the</w:t>
      </w:r>
      <w:r w:rsidR="0082522C" w:rsidRPr="009E3412">
        <w:rPr>
          <w:rFonts w:ascii="Times New Roman" w:eastAsia="Times New Roman" w:hAnsi="Times New Roman" w:cs="Times New Roman"/>
        </w:rPr>
        <w:t xml:space="preserve"> baseline measurements of two previously conducted clinical studies</w:t>
      </w:r>
      <w:r w:rsidR="00D82E12" w:rsidRPr="009E3412">
        <w:rPr>
          <w:rFonts w:ascii="Times New Roman" w:eastAsia="Times New Roman" w:hAnsi="Times New Roman" w:cs="Times New Roman"/>
        </w:rPr>
        <w:t xml:space="preserve"> were used</w:t>
      </w:r>
      <w:r w:rsidR="0082522C" w:rsidRPr="009E3412">
        <w:rPr>
          <w:rFonts w:ascii="Times New Roman" w:eastAsia="Times New Roman" w:hAnsi="Times New Roman" w:cs="Times New Roman"/>
        </w:rPr>
        <w:t xml:space="preserve">: </w:t>
      </w:r>
      <w:r w:rsidR="00805BF1" w:rsidRPr="009E3412">
        <w:rPr>
          <w:rFonts w:ascii="Times New Roman" w:eastAsia="Times New Roman" w:hAnsi="Times New Roman" w:cs="Times New Roman"/>
        </w:rPr>
        <w:t>(</w:t>
      </w:r>
      <w:r w:rsidR="00BA497A" w:rsidRPr="009E3412">
        <w:rPr>
          <w:rFonts w:ascii="Times New Roman" w:eastAsia="Times New Roman" w:hAnsi="Times New Roman" w:cs="Times New Roman"/>
        </w:rPr>
        <w:t xml:space="preserve">1) the </w:t>
      </w:r>
      <w:r w:rsidR="0082522C" w:rsidRPr="009E3412">
        <w:rPr>
          <w:rFonts w:ascii="Times New Roman" w:eastAsia="Times New Roman" w:hAnsi="Times New Roman" w:cs="Times New Roman"/>
        </w:rPr>
        <w:t xml:space="preserve">impact of Cranberries </w:t>
      </w:r>
      <w:proofErr w:type="gramStart"/>
      <w:r w:rsidR="0082522C" w:rsidRPr="009E3412">
        <w:rPr>
          <w:rFonts w:ascii="Times New Roman" w:eastAsia="Times New Roman" w:hAnsi="Times New Roman" w:cs="Times New Roman"/>
        </w:rPr>
        <w:t>On</w:t>
      </w:r>
      <w:proofErr w:type="gramEnd"/>
      <w:r w:rsidR="0082522C" w:rsidRPr="009E3412">
        <w:rPr>
          <w:rFonts w:ascii="Times New Roman" w:eastAsia="Times New Roman" w:hAnsi="Times New Roman" w:cs="Times New Roman"/>
        </w:rPr>
        <w:t xml:space="preserve"> the Microbiome and Brain in healthy Ageing </w:t>
      </w:r>
      <w:proofErr w:type="spellStart"/>
      <w:r w:rsidR="0082522C" w:rsidRPr="009E3412">
        <w:rPr>
          <w:rFonts w:ascii="Times New Roman" w:eastAsia="Times New Roman" w:hAnsi="Times New Roman" w:cs="Times New Roman"/>
        </w:rPr>
        <w:t>sTudy</w:t>
      </w:r>
      <w:proofErr w:type="spellEnd"/>
      <w:r w:rsidR="0082522C" w:rsidRPr="009E3412">
        <w:rPr>
          <w:rFonts w:ascii="Times New Roman" w:eastAsia="Times New Roman" w:hAnsi="Times New Roman" w:cs="Times New Roman"/>
        </w:rPr>
        <w:t xml:space="preserve"> (COMBAT</w:t>
      </w:r>
      <w:r w:rsidR="00BA497A" w:rsidRPr="009E3412">
        <w:rPr>
          <w:rFonts w:ascii="Times New Roman" w:eastAsia="Times New Roman" w:hAnsi="Times New Roman" w:cs="Times New Roman"/>
        </w:rPr>
        <w:t>; NCT03679533</w:t>
      </w:r>
      <w:r w:rsidR="0082522C" w:rsidRPr="009E3412">
        <w:rPr>
          <w:rFonts w:ascii="Times New Roman" w:eastAsia="Times New Roman" w:hAnsi="Times New Roman" w:cs="Times New Roman"/>
        </w:rPr>
        <w:t xml:space="preserve">) and </w:t>
      </w:r>
      <w:r w:rsidR="00805BF1" w:rsidRPr="009E3412">
        <w:rPr>
          <w:rFonts w:ascii="Times New Roman" w:eastAsia="Times New Roman" w:hAnsi="Times New Roman" w:cs="Times New Roman"/>
        </w:rPr>
        <w:t>(</w:t>
      </w:r>
      <w:r w:rsidR="00BA497A" w:rsidRPr="009E3412">
        <w:rPr>
          <w:rFonts w:ascii="Times New Roman" w:eastAsia="Times New Roman" w:hAnsi="Times New Roman" w:cs="Times New Roman"/>
        </w:rPr>
        <w:t xml:space="preserve">2) the </w:t>
      </w:r>
      <w:r w:rsidR="0082522C" w:rsidRPr="009E3412">
        <w:rPr>
          <w:rFonts w:ascii="Times New Roman" w:eastAsia="Times New Roman" w:hAnsi="Times New Roman" w:cs="Times New Roman"/>
        </w:rPr>
        <w:t>Cognitive Ageing, Nutrition and Neurogenesis (CANN</w:t>
      </w:r>
      <w:r w:rsidR="00BA497A" w:rsidRPr="009E3412">
        <w:rPr>
          <w:rFonts w:ascii="Times New Roman" w:eastAsia="Times New Roman" w:hAnsi="Times New Roman" w:cs="Times New Roman"/>
        </w:rPr>
        <w:t>; NCT02525198</w:t>
      </w:r>
      <w:r w:rsidR="0082522C" w:rsidRPr="009E3412">
        <w:rPr>
          <w:rFonts w:ascii="Times New Roman" w:eastAsia="Times New Roman" w:hAnsi="Times New Roman" w:cs="Times New Roman"/>
        </w:rPr>
        <w:t>) study. The COMBAT study recruited 60 adults</w:t>
      </w:r>
      <w:r w:rsidR="0080730A" w:rsidRPr="009E3412">
        <w:rPr>
          <w:rFonts w:ascii="Times New Roman" w:eastAsia="Times New Roman" w:hAnsi="Times New Roman" w:cs="Times New Roman"/>
        </w:rPr>
        <w:t>,</w:t>
      </w:r>
      <w:r w:rsidR="0082522C" w:rsidRPr="009E3412">
        <w:rPr>
          <w:rFonts w:ascii="Times New Roman" w:eastAsia="Times New Roman" w:hAnsi="Times New Roman" w:cs="Times New Roman"/>
        </w:rPr>
        <w:t xml:space="preserve"> </w:t>
      </w:r>
      <w:r w:rsidR="0080730A" w:rsidRPr="009E3412">
        <w:rPr>
          <w:rFonts w:ascii="Times New Roman" w:eastAsia="Times New Roman" w:hAnsi="Times New Roman" w:cs="Times New Roman"/>
        </w:rPr>
        <w:t>aged</w:t>
      </w:r>
      <w:r w:rsidR="0082522C" w:rsidRPr="009E3412">
        <w:rPr>
          <w:rFonts w:ascii="Times New Roman" w:eastAsia="Times New Roman" w:hAnsi="Times New Roman" w:cs="Times New Roman"/>
        </w:rPr>
        <w:t xml:space="preserve"> 50-80 years</w:t>
      </w:r>
      <w:r w:rsidR="0080730A" w:rsidRPr="009E3412">
        <w:rPr>
          <w:rFonts w:ascii="Times New Roman" w:eastAsia="Times New Roman" w:hAnsi="Times New Roman" w:cs="Times New Roman"/>
        </w:rPr>
        <w:t>,</w:t>
      </w:r>
      <w:r w:rsidR="0082522C" w:rsidRPr="009E3412">
        <w:rPr>
          <w:rFonts w:ascii="Times New Roman" w:eastAsia="Times New Roman" w:hAnsi="Times New Roman" w:cs="Times New Roman"/>
        </w:rPr>
        <w:t xml:space="preserve"> with no subjective memory complaints as assessed by the Cognitive Change Index (CCI) questionnaire </w:t>
      </w:r>
      <w:r w:rsidR="006947E9"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{"citationID":"13BMb7vS","properties":{"formattedCitation":"[29]","plainCitation":"[29]","noteIndex":0},"citationItems":[{"id":242,"uris":["http://zotero.org/users/9893877/items/QC77P9EE"],"itemData":{"id":242,"type":"article-journal","abstract":"BackgroundAgeing is highly associated with cognitive decline and modifiable risk factors such as diet are believed to protect against this process. Specific dietary components and in particular, (poly)phenol-rich fruits such as berries have been increasingly recognised for their protection against age-related neurodegeneration. However, the impact of cranberries on cognitive function and neural functioning in older adults remains unclear.DesignA 12-week parallel randomised placebo-controlled trial of freeze-dried cranberry powder was conducted in 60 older adults aged between 50 and 80 years. Cognitive assessment, including memory and executive function, neuroimaging and blood sample collection were conducted before and after the intervention to assess the impact of daily cranberry consumption on cognition, brain function and biomarkers of neuronal signalling.ResultsCranberry supplementation for 12 weeks was associated with improvements in visual episodic memory in aged participants when compared to placebo. Mechanisms of action may include increased regional perfusion in the right entorhinal cortex, the accumbens area and the caudate in the cranberry group. Significant decrease in low-density lipoprotein (LDL) cholesterol during the course of the intervention was also observed. No significant differences were, however, detected for BDNF levels between groups.ConclusionsThe results of this study indicate that daily cranberry supplementation (equivalent to 1 small cup of cranberries) over a 12-week period improves episodic memory performance and neural functioning, providing a basis for future investigations to determine efficacy in the context of neurological disease. This trial was registered at clinicaltrials.gov as NCT03679533 and at ISRCTN as ISRCTN76069316.","container-title":"Frontiers in Nutrition","ISSN":"2296-861X","source":"Frontiers","title":"Chronic Consumption of Cranberries (Vaccinium macrocarpon) for 12 Weeks Improves Episodic Memory and Regional Brain Perfusion in Healthy Older Adults: A Randomised, Placebo-Controlled, Parallel-Groups Feasibility Study","title-short":"Chronic Consumption of Cranberries (Vaccinium macrocarpon) for 12 Weeks Improves Episodic Memory and Regional Brain Perfusion in Healthy Older Adults","URL":"https://www.frontiersin.org/articles/10.3389/fnut.2022.849902","volume":"9","author":[{"family":"Flanagan","given":"Emma"},{"family":"Cameron","given":"Donnie"},{"family":"Sobhan","given":"Rashed"},{"family":"Wong","given":"Chloe"},{"family":"Pontifex","given":"Matthew G."},{"family":"Tosi","given":"Nicole"},{"family":"Mena","given":"Pedro"},{"family":"Del Rio","given":"Daniele"},{"family":"Sami","given":"Saber"},{"family":"Narbad","given":"Arjan"},{"family":"Müller","given":"Michael"},{"family":"Hornberger","given":"Michael"},{"family":"Vauzour","given":"David"}],"accessed":{"date-parts":[["2022",9,12]]},"issued":{"date-parts":[["2022"]]}}}],"schema":"https://github.com/citation-style-language/schema/raw/master/csl-citation.json"} </w:instrText>
      </w:r>
      <w:r w:rsidR="006947E9" w:rsidRPr="009E3412">
        <w:rPr>
          <w:rFonts w:ascii="Times New Roman" w:eastAsia="Times New Roman" w:hAnsi="Times New Roman" w:cs="Times New Roman"/>
        </w:rPr>
        <w:fldChar w:fldCharType="separate"/>
      </w:r>
      <w:r w:rsidR="007A55BE" w:rsidRPr="009E3412">
        <w:rPr>
          <w:rFonts w:ascii="Times New Roman" w:hAnsi="Times New Roman" w:cs="Times New Roman"/>
        </w:rPr>
        <w:t>[29]</w:t>
      </w:r>
      <w:r w:rsidR="006947E9" w:rsidRPr="009E3412">
        <w:rPr>
          <w:rFonts w:ascii="Times New Roman" w:eastAsia="Times New Roman" w:hAnsi="Times New Roman" w:cs="Times New Roman"/>
        </w:rPr>
        <w:fldChar w:fldCharType="end"/>
      </w:r>
      <w:r w:rsidR="0082522C" w:rsidRPr="009E3412">
        <w:rPr>
          <w:rFonts w:ascii="Times New Roman" w:eastAsia="Times New Roman" w:hAnsi="Times New Roman" w:cs="Times New Roman"/>
        </w:rPr>
        <w:t xml:space="preserve">. The CANN study recruited 259 </w:t>
      </w:r>
      <w:r w:rsidR="00070BC0" w:rsidRPr="009E3412">
        <w:rPr>
          <w:rFonts w:ascii="Times New Roman" w:eastAsia="Times New Roman" w:hAnsi="Times New Roman" w:cs="Times New Roman"/>
        </w:rPr>
        <w:t>participants</w:t>
      </w:r>
      <w:r w:rsidR="0080730A" w:rsidRPr="009E3412">
        <w:rPr>
          <w:rFonts w:ascii="Times New Roman" w:eastAsia="Times New Roman" w:hAnsi="Times New Roman" w:cs="Times New Roman"/>
        </w:rPr>
        <w:t>, aged ≥ 5</w:t>
      </w:r>
      <w:r w:rsidR="00825144" w:rsidRPr="009E3412">
        <w:rPr>
          <w:rFonts w:ascii="Times New Roman" w:eastAsia="Times New Roman" w:hAnsi="Times New Roman" w:cs="Times New Roman"/>
        </w:rPr>
        <w:t>0</w:t>
      </w:r>
      <w:r w:rsidR="0080730A" w:rsidRPr="009E3412">
        <w:rPr>
          <w:rFonts w:ascii="Times New Roman" w:eastAsia="Times New Roman" w:hAnsi="Times New Roman" w:cs="Times New Roman"/>
        </w:rPr>
        <w:t xml:space="preserve"> years,</w:t>
      </w:r>
      <w:r w:rsidR="0082522C" w:rsidRPr="009E3412">
        <w:rPr>
          <w:rFonts w:ascii="Times New Roman" w:eastAsia="Times New Roman" w:hAnsi="Times New Roman" w:cs="Times New Roman"/>
        </w:rPr>
        <w:t xml:space="preserve"> with subjective cognitive impairment (SCI) or mild cognitive impairment (MCI) based on criteria developed by the National Institute of Aging-</w:t>
      </w:r>
      <w:r w:rsidR="001D62B8" w:rsidRPr="009E3412">
        <w:rPr>
          <w:rFonts w:ascii="Times New Roman" w:eastAsia="Times New Roman" w:hAnsi="Times New Roman" w:cs="Times New Roman"/>
        </w:rPr>
        <w:t>Alzheimer’s</w:t>
      </w:r>
      <w:r w:rsidR="00BC0A96"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Association</w:t>
      </w:r>
      <w:r w:rsidR="00D82E12" w:rsidRPr="009E3412">
        <w:rPr>
          <w:rFonts w:ascii="Times New Roman" w:eastAsia="Times New Roman" w:hAnsi="Times New Roman" w:cs="Times New Roman"/>
        </w:rPr>
        <w:t>,</w:t>
      </w:r>
      <w:r w:rsidR="0082522C" w:rsidRPr="009E3412">
        <w:rPr>
          <w:rFonts w:ascii="Times New Roman" w:eastAsia="Times New Roman" w:hAnsi="Times New Roman" w:cs="Times New Roman"/>
        </w:rPr>
        <w:t xml:space="preserve"> </w:t>
      </w:r>
      <w:r w:rsidR="00D82E12" w:rsidRPr="009E3412">
        <w:rPr>
          <w:rFonts w:ascii="Times New Roman" w:eastAsia="Times New Roman" w:hAnsi="Times New Roman" w:cs="Times New Roman"/>
        </w:rPr>
        <w:t>with</w:t>
      </w:r>
      <w:r w:rsidR="0082522C" w:rsidRPr="009E3412">
        <w:rPr>
          <w:rFonts w:ascii="Times New Roman" w:eastAsia="Times New Roman" w:hAnsi="Times New Roman" w:cs="Times New Roman"/>
        </w:rPr>
        <w:t xml:space="preserve"> no indication of clinical dementia</w:t>
      </w:r>
      <w:r w:rsidR="00024580" w:rsidRPr="009E3412">
        <w:rPr>
          <w:rFonts w:ascii="Times New Roman" w:eastAsia="Times New Roman" w:hAnsi="Times New Roman" w:cs="Times New Roman"/>
        </w:rPr>
        <w:t xml:space="preserve"> </w:t>
      </w:r>
      <w:r w:rsidR="00024580"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{"citationID":"UUHiNjuI","properties":{"formattedCitation":"[30]","plainCitation":"[30]","noteIndex":0},"citationItems":[{"id":244,"uris":["http://zotero.org/users/9893877/items/PR4ZR4UH"],"itemData":{"id":244,"type":"article-journal","abstract":"Introduction\nThe Cognitive Ageing, Nutrition and Neurogenesis trial hypothesizes that a combined intervention with long-chain n-3 polyunsaturated fatty acids (n-3) and cocoa flavan-3-ols (FLAV) will mitigate the cognitive decline anticipated to naturally occur over 1 year in older adults.\n\nMethods\nIn a double-blinded, placebo-controlled parallel design, 259 individuals with mild cognitive impairment or subjective memory impairment were randomized to a control or n-3 FLAV group (1.5 g docosahexaenoic acid + eicosapentaenoic acid and 500 mg n-3 FLAV daily) for 12 months. Cognition was measured at 0, 3, and 12 months. The primary end-point is hippocampus-sensitive cognitive function (e.g., number of false-positives on the Picture Recognition Task of the Cognitive Drug Research test battery). Secondary outcomes include additional cognitive measures, brain atrophy and blood flow (assessed by magnetic resonance imaging), vascular function, circulating biomarkers of cardiovascular and cognitive health, gut microflora, red blood cell fatty acid status, and urine flavan-3-ol metabolites.\n\nResults\nScreening began in 2015, with all baseline visits completed in March 2017. The intervention was finished in March 2018.\n\nDiscussion\nCognitive Ageing, Nutrition and Neurogenesis aims to identify an effective diet-based intervention to prevent or delay cognitive impairment in cognitively at-risk individuals, which could ultimately contribute to a reduced population burden of dementia.\n\nClinicaltrials.gov\nNCT02525198.","container-title":"Alzheimer's &amp; Dementia : Translational Research &amp; Clinical Interventions","DOI":"10.1016/j.trci.2018.08.001","ISSN":"2352-8737","journalAbbreviation":"Alzheimers Dement (N Y)","note":"PMID: 30426067\nPMCID: PMC6222033","page":"591-601","source":"PubMed Central","title":"The Cognitive Ageing, Nutrition and Neurogenesis (CANN) trial: Design and progress","title-short":"The Cognitive Ageing, Nutrition and Neurogenesis (CANN) trial","volume":"4","author":[{"family":"Irvine","given":"Michael A."},{"family":"Scholey","given":"Andrew"},{"family":"King","given":"Rebecca"},{"family":"Gillings","given":"Rachel"},{"family":"Vauzour","given":"David"},{"family":"Demichele","given":"Stephen J."},{"family":"Das","given":"Tapas"},{"family":"Wesnes","given":"Keith A."},{"family":"Sutton","given":"Brad P."},{"family":"Cassidy","given":"Aedin"},{"family":"Pipingas","given":"Andrew"},{"family":"Potter","given":"John F."},{"family":"Johnson","given":"Glyn"},{"family":"White","given":"David"},{"family":"Larsen","given":"Ryan"},{"family":"Cohen","given":"Neal J."},{"family":"Minihane","given":"Anne-Marie"}],"issued":{"date-parts":[["2018",9,5]]}}}],"schema":"https://github.com/citation-style-language/schema/raw/master/csl-citation.json"} </w:instrText>
      </w:r>
      <w:r w:rsidR="00024580" w:rsidRPr="009E3412">
        <w:rPr>
          <w:rFonts w:ascii="Times New Roman" w:eastAsia="Times New Roman" w:hAnsi="Times New Roman" w:cs="Times New Roman"/>
        </w:rPr>
        <w:fldChar w:fldCharType="separate"/>
      </w:r>
      <w:r w:rsidR="007A55BE" w:rsidRPr="009E3412">
        <w:rPr>
          <w:rFonts w:ascii="Times New Roman" w:hAnsi="Times New Roman" w:cs="Times New Roman"/>
        </w:rPr>
        <w:t>[30]</w:t>
      </w:r>
      <w:r w:rsidR="00024580" w:rsidRPr="009E3412">
        <w:rPr>
          <w:rFonts w:ascii="Times New Roman" w:eastAsia="Times New Roman" w:hAnsi="Times New Roman" w:cs="Times New Roman"/>
        </w:rPr>
        <w:fldChar w:fldCharType="end"/>
      </w:r>
      <w:r w:rsidR="0082522C" w:rsidRPr="009E3412">
        <w:rPr>
          <w:rFonts w:ascii="Times New Roman" w:eastAsia="Times New Roman" w:hAnsi="Times New Roman" w:cs="Times New Roman"/>
        </w:rPr>
        <w:t>.</w:t>
      </w:r>
      <w:r w:rsidR="00825144" w:rsidRPr="009E3412">
        <w:rPr>
          <w:rFonts w:ascii="Times New Roman" w:eastAsia="Times New Roman" w:hAnsi="Times New Roman" w:cs="Times New Roman"/>
        </w:rPr>
        <w:t xml:space="preserve"> </w:t>
      </w:r>
      <w:r w:rsidR="006A5770" w:rsidRPr="009E3412">
        <w:rPr>
          <w:rFonts w:ascii="Times New Roman" w:eastAsia="Times New Roman" w:hAnsi="Times New Roman" w:cs="Times New Roman"/>
        </w:rPr>
        <w:t xml:space="preserve">In brief, the classification of MCI was based on </w:t>
      </w:r>
      <w:r w:rsidR="00AB54CF" w:rsidRPr="009E3412">
        <w:rPr>
          <w:rFonts w:ascii="Times New Roman" w:eastAsia="Times New Roman" w:hAnsi="Times New Roman" w:cs="Times New Roman"/>
        </w:rPr>
        <w:t xml:space="preserve">an </w:t>
      </w:r>
      <w:r w:rsidR="006A5770" w:rsidRPr="009E3412">
        <w:rPr>
          <w:rFonts w:ascii="Times New Roman" w:eastAsia="Times New Roman" w:hAnsi="Times New Roman" w:cs="Times New Roman"/>
        </w:rPr>
        <w:t>established criteria, requiring (1) self-reported memory decline over 2–3 years, (2) preserved functional independence, indicated by a Functional Activities Questionnaire score of less than 6, (3) absence of dementia, defined as a Montreal Cognitive Assessment score of 18 or higher</w:t>
      </w:r>
      <w:r w:rsidR="006C07D4" w:rsidRPr="009E3412">
        <w:rPr>
          <w:rFonts w:ascii="Times New Roman" w:eastAsia="Times New Roman" w:hAnsi="Times New Roman" w:cs="Times New Roman"/>
        </w:rPr>
        <w:t xml:space="preserve"> </w:t>
      </w:r>
      <w:r w:rsidR="006C07D4" w:rsidRPr="009E3412">
        <w:rPr>
          <w:rFonts w:ascii="Times New Roman" w:eastAsia="Times New Roman" w:hAnsi="Times New Roman" w:cs="Times New Roman"/>
        </w:rPr>
        <w:fldChar w:fldCharType="begin"/>
      </w:r>
      <w:r w:rsidR="006C07D4" w:rsidRPr="009E3412">
        <w:rPr>
          <w:rFonts w:ascii="Times New Roman" w:eastAsia="Times New Roman" w:hAnsi="Times New Roman" w:cs="Times New Roman"/>
        </w:rPr>
        <w:instrText xml:space="preserve"> ADDIN ZOTERO_ITEM CSL_CITATION {"citationID":"mOvh173U","properties":{"formattedCitation":"[31]","plainCitation":"[31]","noteIndex":0},"citationItems":[{"id":2461,"uris":["http://zotero.org/users/9893877/items/LF2IRKI5"],"itemData":{"id":2461,"type":"article-journal","abstract":"Objectives: To develop a 10-minute cognitive screening tool (Montreal Cognitive Assessment, MoCA) to assist first-line physicians in detection of mild cognitive impairment (MCI), a clinical state that often progresses to dementia. Design: Validation study. Setting: A community clinic and an academic center. Participants: Ninety-four patients meeting MCI clinical criteria supported by psychometric measures, 93 patients with mild Alzheimer's disease (AD) (Mini-Mental State Examination (MMSE) score≥17), and 90 healthy elderly controls (NC). Measurements: The MoCA and MMSE were administered to all participants, and sensitivity and specificity of both measures were assessed for detection of MCI and mild AD. Results: Using a cutoff score 26, the MMSE had a sensitivity of 18% to detect MCI, whereas the MoCA detected 90% of MCI subjects. In the mild AD group, the MMSE had a sensitivity of 78%, whereas the MoCA detected 100%. Specificity was excellent for both MMSE and MoCA (100% and 87%, respectively). Conclusion: MCI as an entity is evolving and somewhat controversial. The MoCA is a brief cognitive screening tool with high sensitivity and specificity for detecting MCI as currently conceptualized in patients performing in the normal range on the MMSE.","container-title":"Journal of the American Geriatrics Society","DOI":"10.1111/j.1532-5415.2005.53221.x","ISSN":"1532-5415","issue":"4","language":"en","note":"_eprint: https://onlinelibrary.wiley.com/doi/pdf/10.1111/j.1532-5415.2005.53221.x","page":"695-699","source":"Wiley Online Library","title":"The Montreal Cognitive Assessment, MoCA: A Brief Screening Tool For Mild Cognitive Impairment","title-short":"The Montreal Cognitive Assessment, MoCA","volume":"53","author":[{"family":"Nasreddine","given":"Ziad S."},{"family":"Phillips","given":"Natalie A."},{"family":"Bédirian","given":"Valérie"},{"family":"Charbonneau","given":"Simon"},{"family":"Whitehead","given":"Victor"},{"family":"Collin","given":"Isabelle"},{"family":"Cummings","given":"Jeffrey L."},{"family":"Chertkow","given":"Howard"}],"issued":{"date-parts":[["2005"]]}}}],"schema":"https://github.com/citation-style-language/schema/raw/master/csl-citation.json"} </w:instrText>
      </w:r>
      <w:r w:rsidR="006C07D4" w:rsidRPr="009E3412">
        <w:rPr>
          <w:rFonts w:ascii="Times New Roman" w:eastAsia="Times New Roman" w:hAnsi="Times New Roman" w:cs="Times New Roman"/>
        </w:rPr>
        <w:fldChar w:fldCharType="separate"/>
      </w:r>
      <w:r w:rsidR="006C07D4" w:rsidRPr="009E3412">
        <w:rPr>
          <w:rFonts w:ascii="Times New Roman" w:hAnsi="Times New Roman" w:cs="Times New Roman"/>
        </w:rPr>
        <w:t>[31]</w:t>
      </w:r>
      <w:r w:rsidR="006C07D4" w:rsidRPr="009E3412">
        <w:rPr>
          <w:rFonts w:ascii="Times New Roman" w:eastAsia="Times New Roman" w:hAnsi="Times New Roman" w:cs="Times New Roman"/>
        </w:rPr>
        <w:fldChar w:fldCharType="end"/>
      </w:r>
      <w:r w:rsidR="006A5770" w:rsidRPr="009E3412">
        <w:rPr>
          <w:rFonts w:ascii="Times New Roman" w:eastAsia="Times New Roman" w:hAnsi="Times New Roman" w:cs="Times New Roman"/>
        </w:rPr>
        <w:t>, and (4) no significant depression, determined by a Geriatric Depression Scale-15 score of less than 10</w:t>
      </w:r>
      <w:r w:rsidR="00614A09" w:rsidRPr="009E3412">
        <w:rPr>
          <w:rFonts w:ascii="Times New Roman" w:eastAsia="Times New Roman" w:hAnsi="Times New Roman" w:cs="Times New Roman"/>
        </w:rPr>
        <w:t xml:space="preserve"> </w:t>
      </w:r>
      <w:r w:rsidR="00614A09" w:rsidRPr="009E3412">
        <w:rPr>
          <w:rFonts w:ascii="Times New Roman" w:eastAsia="Times New Roman" w:hAnsi="Times New Roman" w:cs="Times New Roman"/>
        </w:rPr>
        <w:fldChar w:fldCharType="begin"/>
      </w:r>
      <w:r w:rsidR="00614A09" w:rsidRPr="009E3412">
        <w:rPr>
          <w:rFonts w:ascii="Times New Roman" w:eastAsia="Times New Roman" w:hAnsi="Times New Roman" w:cs="Times New Roman"/>
        </w:rPr>
        <w:instrText xml:space="preserve"> ADDIN ZOTERO_ITEM CSL_CITATION {"citationID":"ydaq6Zmx","properties":{"formattedCitation":"[32]","plainCitation":"[32]","noteIndex":0},"citationItems":[{"id":2472,"uris":["http://zotero.org/users/9893877/items/26TMF4RW"],"itemData":{"id":2472,"type":"article-journal","abstract":"Reviews validation studies of the Geriatric Depression Scale (GDS) indicating that the GDS is a promising screen for detecting depression in the elderly. A study comparing the GDS with the Center for Epidemiological Studies-Depression Scale, the Hamilton Rating Scale for Depression, and the Depression Adjective Checklist is described. Data show that the GDS represents a reliable and valid screening device for measuring depression with the elderly, and that the GDS is also sensitive to depression among elderly persons suffering from mild to moderate dementia and physical illness. The Short Form of the GDS is considered useful in situations where economy of time is required. (PsycINFO Database Record (c) 2016 APA, all rights reserved)","container-title":"Clinical Gerontologist: The Journal of Aging and Mental Health","DOI":"10.1300/J018v05n01_09","ISSN":"1545-2301","issue":"1-2","note":"publisher-place: US\npublisher: Haworth Press","page":"165-173","source":"APA PsycNet","title":"Geriatric Depression Scale (GDS): Recent evidence and development of a shorter version","title-short":"Geriatric Depression Scale (GDS)","volume":"5","author":[{"family":"Sheikh","given":"Javaid I."},{"family":"Yesavage","given":"Jerome A."}],"issued":{"date-parts":[["1986"]]}}}],"schema":"https://github.com/citation-style-language/schema/raw/master/csl-citation.json"} </w:instrText>
      </w:r>
      <w:r w:rsidR="00614A09" w:rsidRPr="009E3412">
        <w:rPr>
          <w:rFonts w:ascii="Times New Roman" w:eastAsia="Times New Roman" w:hAnsi="Times New Roman" w:cs="Times New Roman"/>
        </w:rPr>
        <w:fldChar w:fldCharType="separate"/>
      </w:r>
      <w:r w:rsidR="00614A09" w:rsidRPr="009E3412">
        <w:rPr>
          <w:rFonts w:ascii="Times New Roman" w:hAnsi="Times New Roman" w:cs="Times New Roman"/>
        </w:rPr>
        <w:t>[32]</w:t>
      </w:r>
      <w:r w:rsidR="00614A09" w:rsidRPr="009E3412">
        <w:rPr>
          <w:rFonts w:ascii="Times New Roman" w:eastAsia="Times New Roman" w:hAnsi="Times New Roman" w:cs="Times New Roman"/>
        </w:rPr>
        <w:fldChar w:fldCharType="end"/>
      </w:r>
      <w:r w:rsidR="006A5770" w:rsidRPr="009E3412">
        <w:rPr>
          <w:rFonts w:ascii="Times New Roman" w:eastAsia="Times New Roman" w:hAnsi="Times New Roman" w:cs="Times New Roman"/>
        </w:rPr>
        <w:t xml:space="preserve">. Additionally, MCI classification required cognitive impairment of at least one standard deviation below the age- and education-adjusted mean on at least one neuropsychological test assessing memory (California Verbal Learning Test-II </w:t>
      </w:r>
      <w:r w:rsidR="006C07D4" w:rsidRPr="009E3412">
        <w:rPr>
          <w:rFonts w:ascii="Times New Roman" w:eastAsia="Times New Roman" w:hAnsi="Times New Roman" w:cs="Times New Roman"/>
        </w:rPr>
        <w:fldChar w:fldCharType="begin"/>
      </w:r>
      <w:r w:rsidR="00614A09" w:rsidRPr="009E3412">
        <w:rPr>
          <w:rFonts w:ascii="Times New Roman" w:eastAsia="Times New Roman" w:hAnsi="Times New Roman" w:cs="Times New Roman"/>
        </w:rPr>
        <w:instrText xml:space="preserve"> ADDIN ZOTERO_ITEM CSL_CITATION {"citationID":"Wsg9WALX","properties":{"formattedCitation":"[33]","plainCitation":"[33]","noteIndex":0},"citationItems":[{"id":2463,"uris":["http://zotero.org/users/9893877/items/LMT7GFXB"],"itemData":{"id":2463,"type":"article-journal","abstract":"The California Verbal Learning Test – second edition (CVLT-II) is one of the most widely used neuropsychological tests in North America. The present study evaluated the 1-month test-retest reliability and practice effects associated with the standard and alternate forms of the CVLT-II in a sample of 195 healthy adults. Eighty participants underwent repeat assessment using the standard form of the CVLT-II on both occasions, whereas the remaining 115 individuals received the standard form at baseline and the alternate form at follow-up. Consistent with prior research, results revealed generally large test-retest correlation coefficients for the primary CVLT-II measures in both the standard/standard (range=0.80–0.84) and standard/alternate (range=0.61–0.73) cohorts. Despite exhibiting slightly lower test-retest reliability coefficients, participants in the alternate form group displayed notably smaller practice effects (Cohen's d range=−0.01 to 0.18) on the primary indices relative to individuals who received the standard form on both occasions (Cohen's d range=0.27–0.61). Reliable change indices were also generated and applied to primary CVLT-II variables to determine the base rates of significant improvements (range=2–10%), declines (range=0–7%), and stability (range=85–97%) in performance over time. Overall, findings from this study support the test-retest reliability of the standard and alternate forms of the CVLT-II in healthy adults and may enhance the usefulness of this test in longitudinal neuropsychological evaluations.","container-title":"Archives of Clinical Neuropsychology","DOI":"10.1016/j.acn.2006.06.002","ISSN":"0887-6177","issue":"5","journalAbbreviation":"Archives of Clinical Neuropsychology","page":"413-420","source":"ScienceDirect","title":"The California Verbal Learning Test – second edition: Test-retest reliability, practice effects, and reliable change indices for the standard and alternate forms","title-short":"The California Verbal Learning Test – second edition","volume":"21","author":[{"family":"Woods","given":"Steven Paul"},{"family":"Delis","given":"Dean C."},{"family":"Scott","given":"J. Cobb"},{"family":"Kramer","given":"Joel H."},{"family":"Holdnack","given":"James A."}],"issued":{"date-parts":[["2006",8,1]]}}}],"schema":"https://github.com/citation-style-language/schema/raw/master/csl-citation.json"} </w:instrText>
      </w:r>
      <w:r w:rsidR="006C07D4" w:rsidRPr="009E3412">
        <w:rPr>
          <w:rFonts w:ascii="Times New Roman" w:eastAsia="Times New Roman" w:hAnsi="Times New Roman" w:cs="Times New Roman"/>
        </w:rPr>
        <w:fldChar w:fldCharType="separate"/>
      </w:r>
      <w:r w:rsidR="00614A09" w:rsidRPr="009E3412">
        <w:rPr>
          <w:rFonts w:ascii="Times New Roman" w:hAnsi="Times New Roman" w:cs="Times New Roman"/>
        </w:rPr>
        <w:t>[33]</w:t>
      </w:r>
      <w:r w:rsidR="006C07D4" w:rsidRPr="009E3412">
        <w:rPr>
          <w:rFonts w:ascii="Times New Roman" w:eastAsia="Times New Roman" w:hAnsi="Times New Roman" w:cs="Times New Roman"/>
        </w:rPr>
        <w:fldChar w:fldCharType="end"/>
      </w:r>
      <w:r w:rsidR="006A5770" w:rsidRPr="009E3412">
        <w:rPr>
          <w:rFonts w:ascii="Times New Roman" w:eastAsia="Times New Roman" w:hAnsi="Times New Roman" w:cs="Times New Roman"/>
        </w:rPr>
        <w:t>), language (Boston Naming Test</w:t>
      </w:r>
      <w:r w:rsidR="006C07D4" w:rsidRPr="009E3412">
        <w:rPr>
          <w:rFonts w:ascii="Times New Roman" w:eastAsia="Times New Roman" w:hAnsi="Times New Roman" w:cs="Times New Roman"/>
        </w:rPr>
        <w:t xml:space="preserve"> </w:t>
      </w:r>
      <w:r w:rsidR="006C07D4" w:rsidRPr="009E3412">
        <w:rPr>
          <w:rFonts w:ascii="Times New Roman" w:eastAsia="Times New Roman" w:hAnsi="Times New Roman" w:cs="Times New Roman"/>
        </w:rPr>
        <w:fldChar w:fldCharType="begin"/>
      </w:r>
      <w:r w:rsidR="00614A09" w:rsidRPr="009E3412">
        <w:rPr>
          <w:rFonts w:ascii="Times New Roman" w:eastAsia="Times New Roman" w:hAnsi="Times New Roman" w:cs="Times New Roman"/>
        </w:rPr>
        <w:instrText xml:space="preserve"> ADDIN ZOTERO_ITEM CSL_CITATION {"citationID":"05EEGywK","properties":{"formattedCitation":"[34]","plainCitation":"[34]","noteIndex":0},"citationItems":[{"id":2465,"uris":["http://zotero.org/users/9893877/items/6MMTFVZ9"],"itemData":{"id":2465,"type":"chapter","container-title":"Encyclopedia of Clinical Neuropsychology","event-place":"New York, NY","ISBN":"978-0-387-79948-3","language":"en","note":"DOI: 10.1007/978-0-387-79948-3_869","page":"430-433","publisher":"Springer","publisher-place":"New York, NY","source":"Springer Link","title":"Boston Naming Test","URL":"https://doi.org/10.1007/978-0-387-79948-3_869","author":[{"family":"Roth","given":"Carole"}],"editor":[{"family":"Kreutzer","given":"Jeffrey S."},{"family":"DeLuca","given":"John"},{"family":"Caplan","given":"Bruce"}],"accessed":{"date-parts":[["2025",3,2]]},"issued":{"date-parts":[["2011"]]}}}],"schema":"https://github.com/citation-style-language/schema/raw/master/csl-citation.json"} </w:instrText>
      </w:r>
      <w:r w:rsidR="006C07D4" w:rsidRPr="009E3412">
        <w:rPr>
          <w:rFonts w:ascii="Times New Roman" w:eastAsia="Times New Roman" w:hAnsi="Times New Roman" w:cs="Times New Roman"/>
        </w:rPr>
        <w:fldChar w:fldCharType="separate"/>
      </w:r>
      <w:r w:rsidR="00614A09" w:rsidRPr="009E3412">
        <w:rPr>
          <w:rFonts w:ascii="Times New Roman" w:hAnsi="Times New Roman" w:cs="Times New Roman"/>
        </w:rPr>
        <w:t>[34]</w:t>
      </w:r>
      <w:r w:rsidR="006C07D4" w:rsidRPr="009E3412">
        <w:rPr>
          <w:rFonts w:ascii="Times New Roman" w:eastAsia="Times New Roman" w:hAnsi="Times New Roman" w:cs="Times New Roman"/>
        </w:rPr>
        <w:fldChar w:fldCharType="end"/>
      </w:r>
      <w:r w:rsidR="006A5770" w:rsidRPr="009E3412">
        <w:rPr>
          <w:rFonts w:ascii="Times New Roman" w:eastAsia="Times New Roman" w:hAnsi="Times New Roman" w:cs="Times New Roman"/>
        </w:rPr>
        <w:t>), visuospatial function (Figure Copy task of the Repeatable Battery for the Assessment of Neuropsychological Status</w:t>
      </w:r>
      <w:r w:rsidR="006C07D4" w:rsidRPr="009E3412">
        <w:rPr>
          <w:rFonts w:ascii="Times New Roman" w:eastAsia="Times New Roman" w:hAnsi="Times New Roman" w:cs="Times New Roman"/>
        </w:rPr>
        <w:t xml:space="preserve"> </w:t>
      </w:r>
      <w:r w:rsidR="006C07D4" w:rsidRPr="009E3412">
        <w:rPr>
          <w:rFonts w:ascii="Times New Roman" w:eastAsia="Times New Roman" w:hAnsi="Times New Roman" w:cs="Times New Roman"/>
        </w:rPr>
        <w:fldChar w:fldCharType="begin"/>
      </w:r>
      <w:r w:rsidR="00614A09" w:rsidRPr="009E3412">
        <w:rPr>
          <w:rFonts w:ascii="Times New Roman" w:eastAsia="Times New Roman" w:hAnsi="Times New Roman" w:cs="Times New Roman"/>
        </w:rPr>
        <w:instrText xml:space="preserve"> ADDIN ZOTERO_ITEM CSL_CITATION {"citationID":"VefaAbB1","properties":{"formattedCitation":"[35]","plainCitation":"[35]","noteIndex":0},"citationItems":[{"id":2466,"uris":["http://zotero.org/users/9893877/items/PA7W6BHX"],"itemData":{"id":2466,"type":"article-journal","abstract":"Neuropsychological assessment of older individuals with dementing illnesses has suffered from a lack of appropriately designed test instruments. The Repeatable Battery for the Assessment of Neuropsychological Status (RBANS) was developed for the dual purposes of identifying and characterizing abnormal cognitive decline in the older adult and as a neuropsychological screening battery for younger patients. The entire battery takes less than 30 minutes to administer, and yields scaled scores for five cognitive domains. The current study reports preliminary clinical validity results with the RBANS, comparing very mildly demented patients with a diagnosis of probable Alzheimer's disease (n = 20) to patients with Huntington's disease (n = 20) and normal controls (n = 40). Although the patient groups had essentially identical total scores on the RBANS, they exhibited opposite profiles, differing significantly on four of the five subsections. The AD patients performed most poorly on Language, and Delayed Memory subsections, while the HD patients obtained their lowest scaled scores on the Attention and the Visuospatial/Constructional subsections. These results are consistent with the neuropsychological profiles of these dementing disorders derived from lengthier standardized tests and experimental investigations. In addition, even those patients who performed above the suggested cut-off points on the MMSE and the Dementia Rating Scale scored significantly below their controls on the RBANS. These data suggest that the RBANS is effective at both detecting and characterizing dementia of different etiologies.","container-title":"Journal of clinical and experimental neuropsychology","DOI":"10.1076/jcen.20.3.310.823","ISSN":"1744-411X","issue":"3","journalAbbreviation":"J Clin Exp Neuropsychol","language":"eng","note":"PMID: 9845158","page":"310-319","source":"Europe PMC","title":"The Repeatable Battery for the Assessment of Neuropsychological Status (RBANS): preliminary clinical validity","title-short":"The Repeatable Battery for the Assessment of Neuropsychological Status (RBANS)","volume":"20","author":[{"family":"Randolph","given":"C"},{"family":"Tierney","given":"M C"},{"family":"Mohr","given":"E"},{"family":"Chase","given":"T N"}],"issued":{"date-parts":[["1998",6,1]]}}}],"schema":"https://github.com/citation-style-language/schema/raw/master/csl-citation.json"} </w:instrText>
      </w:r>
      <w:r w:rsidR="006C07D4" w:rsidRPr="009E3412">
        <w:rPr>
          <w:rFonts w:ascii="Times New Roman" w:eastAsia="Times New Roman" w:hAnsi="Times New Roman" w:cs="Times New Roman"/>
        </w:rPr>
        <w:fldChar w:fldCharType="separate"/>
      </w:r>
      <w:r w:rsidR="00614A09" w:rsidRPr="009E3412">
        <w:rPr>
          <w:rFonts w:ascii="Times New Roman" w:hAnsi="Times New Roman" w:cs="Times New Roman"/>
        </w:rPr>
        <w:t>[35]</w:t>
      </w:r>
      <w:r w:rsidR="006C07D4" w:rsidRPr="009E3412">
        <w:rPr>
          <w:rFonts w:ascii="Times New Roman" w:eastAsia="Times New Roman" w:hAnsi="Times New Roman" w:cs="Times New Roman"/>
        </w:rPr>
        <w:fldChar w:fldCharType="end"/>
      </w:r>
      <w:r w:rsidR="006A5770" w:rsidRPr="009E3412">
        <w:rPr>
          <w:rFonts w:ascii="Times New Roman" w:eastAsia="Times New Roman" w:hAnsi="Times New Roman" w:cs="Times New Roman"/>
        </w:rPr>
        <w:t>), attention (Digit Span task, Forward or Backward, from the Wechsler Adult Intelligence Scale</w:t>
      </w:r>
      <w:r w:rsidR="006C07D4" w:rsidRPr="009E3412">
        <w:rPr>
          <w:rFonts w:ascii="Times New Roman" w:eastAsia="Times New Roman" w:hAnsi="Times New Roman" w:cs="Times New Roman"/>
        </w:rPr>
        <w:t xml:space="preserve"> </w:t>
      </w:r>
      <w:r w:rsidR="006C07D4" w:rsidRPr="009E3412">
        <w:rPr>
          <w:rFonts w:ascii="Times New Roman" w:eastAsia="Times New Roman" w:hAnsi="Times New Roman" w:cs="Times New Roman"/>
        </w:rPr>
        <w:fldChar w:fldCharType="begin"/>
      </w:r>
      <w:r w:rsidR="00614A09" w:rsidRPr="009E3412">
        <w:rPr>
          <w:rFonts w:ascii="Times New Roman" w:eastAsia="Times New Roman" w:hAnsi="Times New Roman" w:cs="Times New Roman"/>
        </w:rPr>
        <w:instrText xml:space="preserve"> ADDIN ZOTERO_ITEM CSL_CITATION {"citationID":"IQKyGyg0","properties":{"formattedCitation":"[36]","plainCitation":"[36]","noteIndex":0},"citationItems":[{"id":2467,"uris":["http://zotero.org/users/9893877/items/CKXQ752X"],"itemData":{"id":2467,"type":"dataset","DOI":"10.1037/t49755-000","language":"en","note":"Institution: American Psychological Association","source":"DOI.org (Crossref)","title":"Wechsler Adult Intelligence Scale--Third Edition","URL":"https://doi.apa.org/doi/10.1037/t49755-000","author":[{"family":"Wechsler","given":"David"}],"accessed":{"date-parts":[["2025",3,2]]},"issued":{"date-parts":[["2019",2,11]]}}}],"schema":"https://github.com/citation-style-language/schema/raw/master/csl-citation.json"} </w:instrText>
      </w:r>
      <w:r w:rsidR="006C07D4" w:rsidRPr="009E3412">
        <w:rPr>
          <w:rFonts w:ascii="Times New Roman" w:eastAsia="Times New Roman" w:hAnsi="Times New Roman" w:cs="Times New Roman"/>
        </w:rPr>
        <w:fldChar w:fldCharType="separate"/>
      </w:r>
      <w:r w:rsidR="00614A09" w:rsidRPr="009E3412">
        <w:rPr>
          <w:rFonts w:ascii="Times New Roman" w:hAnsi="Times New Roman" w:cs="Times New Roman"/>
        </w:rPr>
        <w:t>[36]</w:t>
      </w:r>
      <w:r w:rsidR="006C07D4" w:rsidRPr="009E3412">
        <w:rPr>
          <w:rFonts w:ascii="Times New Roman" w:eastAsia="Times New Roman" w:hAnsi="Times New Roman" w:cs="Times New Roman"/>
        </w:rPr>
        <w:fldChar w:fldCharType="end"/>
      </w:r>
      <w:r w:rsidR="006A5770" w:rsidRPr="009E3412">
        <w:rPr>
          <w:rFonts w:ascii="Times New Roman" w:eastAsia="Times New Roman" w:hAnsi="Times New Roman" w:cs="Times New Roman"/>
        </w:rPr>
        <w:t>), or executive function (Trail Making Test, Part A or B</w:t>
      </w:r>
      <w:r w:rsidR="006C07D4" w:rsidRPr="009E3412">
        <w:rPr>
          <w:rFonts w:ascii="Times New Roman" w:eastAsia="Times New Roman" w:hAnsi="Times New Roman" w:cs="Times New Roman"/>
        </w:rPr>
        <w:t xml:space="preserve"> </w:t>
      </w:r>
      <w:r w:rsidR="006C07D4" w:rsidRPr="009E3412">
        <w:rPr>
          <w:rFonts w:ascii="Times New Roman" w:eastAsia="Times New Roman" w:hAnsi="Times New Roman" w:cs="Times New Roman"/>
        </w:rPr>
        <w:fldChar w:fldCharType="begin"/>
      </w:r>
      <w:r w:rsidR="00614A09" w:rsidRPr="009E3412">
        <w:rPr>
          <w:rFonts w:ascii="Times New Roman" w:eastAsia="Times New Roman" w:hAnsi="Times New Roman" w:cs="Times New Roman"/>
        </w:rPr>
        <w:instrText xml:space="preserve"> ADDIN ZOTERO_ITEM CSL_CITATION {"citationID":"YtFwcr8L","properties":{"formattedCitation":"[37]","plainCitation":"[37]","noteIndex":0},"citationItems":[{"id":2468,"uris":["http://zotero.org/users/9893877/items/839Y699V"],"itemData":{"id":2468,"type":"article-journal","abstract":"The Trail Making Test was administered to brain damaged and hospitalized control subjects. The results indicated that \"this short, inexpensive, and easily administered test may be a fairly valid indicator of certain effects of brain damage.\" (PsycINFO Database Record (c) 2016 APA, all rights reserved)","container-title":"Journal of Consulting Psychology","DOI":"10.1037/h0044509","ISSN":"0095-8891","issue":"5","note":"publisher-place: US\npublisher: American Psychological Association","page":"393-394","source":"APA PsycNet","title":"The relation of the Trail Making Test to organic brain damage","volume":"19","author":[{"family":"Reitan","given":"Ralph M."}],"issued":{"date-parts":[["1955"]]}}}],"schema":"https://github.com/citation-style-language/schema/raw/master/csl-citation.json"} </w:instrText>
      </w:r>
      <w:r w:rsidR="006C07D4" w:rsidRPr="009E3412">
        <w:rPr>
          <w:rFonts w:ascii="Times New Roman" w:eastAsia="Times New Roman" w:hAnsi="Times New Roman" w:cs="Times New Roman"/>
        </w:rPr>
        <w:fldChar w:fldCharType="separate"/>
      </w:r>
      <w:r w:rsidR="00614A09" w:rsidRPr="009E3412">
        <w:rPr>
          <w:rFonts w:ascii="Times New Roman" w:hAnsi="Times New Roman" w:cs="Times New Roman"/>
        </w:rPr>
        <w:t>[37]</w:t>
      </w:r>
      <w:r w:rsidR="006C07D4" w:rsidRPr="009E3412">
        <w:rPr>
          <w:rFonts w:ascii="Times New Roman" w:eastAsia="Times New Roman" w:hAnsi="Times New Roman" w:cs="Times New Roman"/>
        </w:rPr>
        <w:fldChar w:fldCharType="end"/>
      </w:r>
      <w:r w:rsidR="006A5770" w:rsidRPr="009E3412">
        <w:rPr>
          <w:rFonts w:ascii="Times New Roman" w:eastAsia="Times New Roman" w:hAnsi="Times New Roman" w:cs="Times New Roman"/>
        </w:rPr>
        <w:t>). Participants meeting all criteria except for cognitive impairment were classified</w:t>
      </w:r>
      <w:r w:rsidR="00BD149C" w:rsidRPr="009E3412">
        <w:rPr>
          <w:rFonts w:ascii="Times New Roman" w:eastAsia="Times New Roman" w:hAnsi="Times New Roman" w:cs="Times New Roman"/>
        </w:rPr>
        <w:t xml:space="preserve"> as</w:t>
      </w:r>
      <w:r w:rsidR="006A5770" w:rsidRPr="009E3412">
        <w:rPr>
          <w:rFonts w:ascii="Times New Roman" w:eastAsia="Times New Roman" w:hAnsi="Times New Roman" w:cs="Times New Roman"/>
        </w:rPr>
        <w:t xml:space="preserve"> SCI. </w:t>
      </w:r>
      <w:r w:rsidR="0080730A" w:rsidRPr="009E3412">
        <w:rPr>
          <w:rFonts w:ascii="Times New Roman" w:eastAsia="Times New Roman" w:hAnsi="Times New Roman" w:cs="Times New Roman"/>
        </w:rPr>
        <w:t>C</w:t>
      </w:r>
      <w:r w:rsidR="0082522C" w:rsidRPr="009E3412">
        <w:rPr>
          <w:rFonts w:ascii="Times New Roman" w:eastAsia="Times New Roman" w:hAnsi="Times New Roman" w:cs="Times New Roman"/>
        </w:rPr>
        <w:t xml:space="preserve">ognitively healthy adults were selected </w:t>
      </w:r>
      <w:r w:rsidR="009D3491" w:rsidRPr="009E3412">
        <w:rPr>
          <w:rFonts w:ascii="Times New Roman" w:eastAsia="Times New Roman" w:hAnsi="Times New Roman" w:cs="Times New Roman"/>
        </w:rPr>
        <w:t>from the COMBA</w:t>
      </w:r>
      <w:r w:rsidR="003F6ADB" w:rsidRPr="009E3412">
        <w:rPr>
          <w:rFonts w:ascii="Times New Roman" w:eastAsia="Times New Roman" w:hAnsi="Times New Roman" w:cs="Times New Roman"/>
        </w:rPr>
        <w:t>T</w:t>
      </w:r>
      <w:r w:rsidR="009D3491" w:rsidRPr="009E3412">
        <w:rPr>
          <w:rFonts w:ascii="Times New Roman" w:eastAsia="Times New Roman" w:hAnsi="Times New Roman" w:cs="Times New Roman"/>
        </w:rPr>
        <w:t xml:space="preserve"> study </w:t>
      </w:r>
      <w:r w:rsidR="00805BF1" w:rsidRPr="009E3412">
        <w:rPr>
          <w:rFonts w:ascii="Times New Roman" w:eastAsia="Times New Roman" w:hAnsi="Times New Roman" w:cs="Times New Roman"/>
        </w:rPr>
        <w:t>as a control group</w:t>
      </w:r>
      <w:r w:rsidR="0080730A" w:rsidRPr="009E3412">
        <w:rPr>
          <w:rFonts w:ascii="Times New Roman" w:eastAsia="Times New Roman" w:hAnsi="Times New Roman" w:cs="Times New Roman"/>
        </w:rPr>
        <w:t>, with all groups</w:t>
      </w:r>
      <w:r w:rsidR="00805BF1" w:rsidRPr="009E3412">
        <w:rPr>
          <w:rFonts w:ascii="Times New Roman" w:eastAsia="Times New Roman" w:hAnsi="Times New Roman" w:cs="Times New Roman"/>
        </w:rPr>
        <w:t xml:space="preserve"> </w:t>
      </w:r>
      <w:r w:rsidR="0080730A" w:rsidRPr="009E3412">
        <w:rPr>
          <w:rFonts w:ascii="Times New Roman" w:eastAsia="Times New Roman" w:hAnsi="Times New Roman" w:cs="Times New Roman"/>
        </w:rPr>
        <w:t>(controls, SCI and MCI,</w:t>
      </w:r>
      <w:r w:rsidR="0080730A" w:rsidRPr="009E3412">
        <w:rPr>
          <w:rFonts w:ascii="Times New Roman" w:eastAsia="Times New Roman" w:hAnsi="Times New Roman" w:cs="Times New Roman"/>
          <w:i/>
          <w:iCs/>
        </w:rPr>
        <w:t xml:space="preserve"> n</w:t>
      </w:r>
      <w:r w:rsidR="0080730A" w:rsidRPr="009E3412">
        <w:rPr>
          <w:rFonts w:ascii="Times New Roman" w:eastAsia="Times New Roman" w:hAnsi="Times New Roman" w:cs="Times New Roman"/>
        </w:rPr>
        <w:t xml:space="preserve">=50 per group) </w:t>
      </w:r>
      <w:r w:rsidR="005660DF" w:rsidRPr="009E3412">
        <w:rPr>
          <w:rFonts w:ascii="Times New Roman" w:eastAsia="Times New Roman" w:hAnsi="Times New Roman" w:cs="Times New Roman"/>
        </w:rPr>
        <w:t xml:space="preserve">matched </w:t>
      </w:r>
      <w:r w:rsidR="0080730A" w:rsidRPr="009E3412">
        <w:rPr>
          <w:rFonts w:ascii="Times New Roman" w:eastAsia="Times New Roman" w:hAnsi="Times New Roman" w:cs="Times New Roman"/>
        </w:rPr>
        <w:t>for</w:t>
      </w:r>
      <w:r w:rsidR="00805BF1" w:rsidRPr="009E3412">
        <w:rPr>
          <w:rFonts w:ascii="Times New Roman" w:eastAsia="Times New Roman" w:hAnsi="Times New Roman" w:cs="Times New Roman"/>
        </w:rPr>
        <w:t xml:space="preserve"> </w:t>
      </w:r>
      <w:r w:rsidR="005660DF" w:rsidRPr="009E3412">
        <w:rPr>
          <w:rFonts w:ascii="Times New Roman" w:eastAsia="Times New Roman" w:hAnsi="Times New Roman" w:cs="Times New Roman"/>
        </w:rPr>
        <w:t>age, BMI and sex</w:t>
      </w:r>
      <w:r w:rsidR="00866DA6" w:rsidRPr="009E3412">
        <w:rPr>
          <w:rFonts w:ascii="Times New Roman" w:eastAsia="Times New Roman" w:hAnsi="Times New Roman" w:cs="Times New Roman"/>
        </w:rPr>
        <w:t>,</w:t>
      </w:r>
      <w:r w:rsidR="0082522C" w:rsidRPr="009E3412">
        <w:rPr>
          <w:rFonts w:ascii="Times New Roman" w:eastAsia="Times New Roman" w:hAnsi="Times New Roman" w:cs="Times New Roman"/>
        </w:rPr>
        <w:t xml:space="preserve"> as these are key </w:t>
      </w:r>
      <w:r w:rsidR="004246F0" w:rsidRPr="009E3412">
        <w:rPr>
          <w:rFonts w:ascii="Times New Roman" w:eastAsia="Times New Roman" w:hAnsi="Times New Roman" w:cs="Times New Roman"/>
        </w:rPr>
        <w:t>variables</w:t>
      </w:r>
      <w:r w:rsidR="0082522C" w:rsidRPr="009E3412">
        <w:rPr>
          <w:rFonts w:ascii="Times New Roman" w:eastAsia="Times New Roman" w:hAnsi="Times New Roman" w:cs="Times New Roman"/>
        </w:rPr>
        <w:t xml:space="preserve"> known to affect microbiome composition</w:t>
      </w:r>
      <w:r w:rsidR="007937BF" w:rsidRPr="009E3412">
        <w:rPr>
          <w:rFonts w:ascii="Times New Roman" w:eastAsia="Times New Roman" w:hAnsi="Times New Roman" w:cs="Times New Roman"/>
        </w:rPr>
        <w:t xml:space="preserve"> </w:t>
      </w:r>
      <w:r w:rsidR="007937BF" w:rsidRPr="009E3412">
        <w:rPr>
          <w:rFonts w:ascii="Times New Roman" w:eastAsia="Times New Roman" w:hAnsi="Times New Roman" w:cs="Times New Roman"/>
        </w:rPr>
        <w:fldChar w:fldCharType="begin"/>
      </w:r>
      <w:r w:rsidR="00614A09" w:rsidRPr="009E3412">
        <w:rPr>
          <w:rFonts w:ascii="Times New Roman" w:eastAsia="Times New Roman" w:hAnsi="Times New Roman" w:cs="Times New Roman"/>
        </w:rPr>
        <w:instrText xml:space="preserve"> ADDIN ZOTERO_ITEM CSL_CITATION {"citationID":"Xnzph9vU","properties":{"formattedCitation":"[38,39]","plainCitation":"[38,39]","noteIndex":0},"citationItems":[{"id":308,"uris":["http://zotero.org/users/9893877/items/AZJ9TLY2"],"itemData":{"id":308,"type":"article-journal","abstract":"Intestinal microbiota changes are associated with the development of obesity. However, studies in humans have generated conflicting results due to high inter-individual heterogeneity in terms of diet, age, and hormonal factors, and the largely unexplored influence of gender. In this work, we aimed to identify differential gut microbiota signatures associated with obesity, as a function of gender and changes in body mass index (BMI). Differences in the bacterial community structure were analyzed by 16S sequencing in 39 men and 36 post-menopausal women, who had similar dietary background, matched by age and stratified according to the BMI. We observed that the abundance of the Bacteroides genus was lower in men than in women (P&lt;0.001, Q = 0.002) when BMI was &gt; 33. In fact, the abundance of this genus decreased in men with an increase in BMI (P&lt;0.001, Q&lt;0.001). However, in women, it remained unchanged within the different ranges of BMI. We observed a higher presence of Veillonella (84.6% vs. 47.2%; X2 test P = 0.001, Q = 0.019) and Methanobrevibacter genera (84.6% vs. 47.2%; X2 test P = 0.002, Q = 0.026) in fecal samples in men compared to women. We also observed that the abundance of Bilophila was lower in men compared to women regardless of BMI (P = 0.002, Q = 0.041). Additionally, after correcting for age and sex, 66 bacterial taxa at the genus level were found to be associated with BMI and plasma lipids. Microbiota explained at P = 0.001, 31.17% variation in BMI, 29.04% in triglycerides, 33.70% in high-density lipoproteins, 46.86% in low-density lipoproteins, and 28.55% in total cholesterol. Our results suggest that gut microbiota may differ between men and women, and that these differences may be influenced by the grade of obesity. The divergence in gut microbiota observed between men and women might have a dominant role in the definition of gender differences in the prevalence of metabolic and intestinal inflammatory diseases.","container-title":"PLOS ONE","DOI":"10.1371/journal.pone.0154090","ISSN":"1932-6203","issue":"5","journalAbbreviation":"PLOS ONE","language":"en","note":"publisher: Public Library of Science","page":"e0154090","source":"PLoS Journals","title":"Intestinal Microbiota Is Influenced by Gender and Body Mass Index","volume":"11","author":[{"family":"Haro","given":"Carmen"},{"family":"Rangel-Zúñiga","given":"Oriol A."},{"family":"Alcalá-Díaz","given":"Juan F."},{"family":"Gómez-Delgado","given":"Francisco"},{"family":"Pérez-Martínez","given":"Pablo"},{"family":"Delgado-Lista","given":"Javier"},{"family":"Quintana-Navarro","given":"Gracia M."},{"family":"Landa","given":"Blanca B."},{"family":"Navas-Cortés","given":"Juan A."},{"family":"Tena-Sempere","given":"Manuel"},{"family":"Clemente","given":"José C."},{"family":"López-Miranda","given":"José"},{"family":"Pérez-Jiménez","given":"Francisco"},{"family":"Camargo","given":"Antonio"}],"issued":{"date-parts":[["2016",5,26]]}}},{"id":310,"uris":["http://zotero.org/users/9893877/items/47HQHH8I"],"itemData":{"id":310,"type":"article-journal","abstract":"Lifelong sex- and age-related trajectories of the human gut microbiota remain largely unexplored. Using metagenomics, we derived the gut microbial composition of 2,338 adults (26–76 years) from a Han Chinese population-based cohort where metabolic health, hormone levels and aspects of their lifestyles were also recorded. In this cohort, and in three independent cohorts distributed across China, Israel and the Netherlands, we observed sex differences in the gut microbial composition and a shared age-related decrease in sex-dependent differences in gut microbiota. Compared to men, the gut microbiota of premenopausal women exhibited higher microbial diversity and higher abundances of multiple species known to have beneficial effects on host metabolism. We also found consistent sex-independent, age-related gut microbial characteristics across all populations, with the presence of members of the oral microbiota being the strongest indicator of older chronological age. Our findings highlight the existence of sex- and age-related trajectories in the human gut microbiota that are shared between populations of different ethnicities and emphasize the pivotal links between sex hormones, gut microbiota and host metabolism.","container-title":"Nature Aging","DOI":"10.1038/s43587-020-00014-2","ISSN":"2662-8465","issue":"1","journalAbbreviation":"Nat Aging","language":"en","license":"2021 The Author(s), under exclusive licence to Springer Nature America, Inc.","note":"number: 1\npublisher: Nature Publishing Group","page":"87-100","source":"www.nature.com","title":"Sex- and age-related trajectories of the adult human gut microbiota shared across populations of different ethnicities","volume":"1","author":[{"family":"Zhang","given":"Xiuying"},{"family":"Zhong","given":"Huanzi"},{"family":"Li","given":"Yufeng"},{"family":"Shi","given":"Zhun"},{"family":"Ren","given":"Huahui"},{"family":"Zhang","given":"Zhe"},{"family":"Zhou","given":"Xianghai"},{"family":"Tang","given":"Shanmei"},{"family":"Han","given":"Xueyao"},{"family":"Lin","given":"Yuxiang"},{"family":"Yang","given":"Fangming"},{"family":"Wang","given":"Dan"},{"family":"Fang","given":"Chao"},{"family":"Fu","given":"Zuodi"},{"family":"Wang","given":"Lianying"},{"family":"Zhu","given":"Shida"},{"family":"Hou","given":"Yong"},{"family":"Xu","given":"Xun"},{"family":"Yang","given":"Huanming"},{"family":"Wang","given":"Jian"},{"family":"Kristiansen","given":"Karsten"},{"family":"Li","given":"Junhua"},{"family":"Ji","given":"Linong"}],"issued":{"date-parts":[["2021",1]]}}}],"schema":"https://github.com/citation-style-language/schema/raw/master/csl-citation.json"} </w:instrText>
      </w:r>
      <w:r w:rsidR="007937BF" w:rsidRPr="009E3412">
        <w:rPr>
          <w:rFonts w:ascii="Times New Roman" w:eastAsia="Times New Roman" w:hAnsi="Times New Roman" w:cs="Times New Roman"/>
        </w:rPr>
        <w:fldChar w:fldCharType="separate"/>
      </w:r>
      <w:r w:rsidR="00614A09" w:rsidRPr="009E3412">
        <w:rPr>
          <w:rFonts w:ascii="Times New Roman" w:hAnsi="Times New Roman" w:cs="Times New Roman"/>
        </w:rPr>
        <w:t>[38,39]</w:t>
      </w:r>
      <w:r w:rsidR="007937BF" w:rsidRPr="009E3412">
        <w:rPr>
          <w:rFonts w:ascii="Times New Roman" w:eastAsia="Times New Roman" w:hAnsi="Times New Roman" w:cs="Times New Roman"/>
        </w:rPr>
        <w:fldChar w:fldCharType="end"/>
      </w:r>
      <w:r w:rsidR="0082522C" w:rsidRPr="009E3412">
        <w:rPr>
          <w:rFonts w:ascii="Times New Roman" w:eastAsia="Times New Roman" w:hAnsi="Times New Roman" w:cs="Times New Roman"/>
        </w:rPr>
        <w:t xml:space="preserve">. </w:t>
      </w:r>
    </w:p>
    <w:p w14:paraId="51F575E6" w14:textId="1DFEB98C" w:rsidR="00F52DDF" w:rsidRPr="009E3412" w:rsidRDefault="00E55FAA" w:rsidP="00F52DDF">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Participant recruitment for both the COMBAT and CANN studies followed consistent eligibility criteria</w:t>
      </w:r>
      <w:r w:rsidR="00FA5A0F" w:rsidRPr="009E3412">
        <w:rPr>
          <w:rFonts w:ascii="Times New Roman" w:eastAsia="Times New Roman" w:hAnsi="Times New Roman" w:cs="Times New Roman"/>
        </w:rPr>
        <w:t xml:space="preserve"> which </w:t>
      </w:r>
      <w:r w:rsidRPr="009E3412">
        <w:rPr>
          <w:rFonts w:ascii="Times New Roman" w:eastAsia="Times New Roman" w:hAnsi="Times New Roman" w:cs="Times New Roman"/>
        </w:rPr>
        <w:t>ensure</w:t>
      </w:r>
      <w:r w:rsidR="00FA5A0F" w:rsidRPr="009E3412">
        <w:rPr>
          <w:rFonts w:ascii="Times New Roman" w:eastAsia="Times New Roman" w:hAnsi="Times New Roman" w:cs="Times New Roman"/>
        </w:rPr>
        <w:t>s</w:t>
      </w:r>
      <w:r w:rsidRPr="009E3412">
        <w:rPr>
          <w:rFonts w:ascii="Times New Roman" w:eastAsia="Times New Roman" w:hAnsi="Times New Roman" w:cs="Times New Roman"/>
        </w:rPr>
        <w:t xml:space="preserve"> baseline comparability. Individuals were eligible if they were aged ≥50 years, generally healthy, fluent in English, and either cognitively intact or experiencing early cognitive concerns not meeting</w:t>
      </w:r>
      <w:r w:rsidR="00FA5A0F" w:rsidRPr="009E3412">
        <w:rPr>
          <w:rFonts w:ascii="Times New Roman" w:eastAsia="Times New Roman" w:hAnsi="Times New Roman" w:cs="Times New Roman"/>
        </w:rPr>
        <w:t xml:space="preserve"> the</w:t>
      </w:r>
      <w:r w:rsidRPr="009E3412">
        <w:rPr>
          <w:rFonts w:ascii="Times New Roman" w:eastAsia="Times New Roman" w:hAnsi="Times New Roman" w:cs="Times New Roman"/>
        </w:rPr>
        <w:t xml:space="preserve"> criteria for dementia. Recruitment was restricted to residents of Norwich, UK, </w:t>
      </w:r>
      <w:r w:rsidR="00FA5A0F" w:rsidRPr="009E3412">
        <w:rPr>
          <w:rFonts w:ascii="Times New Roman" w:eastAsia="Times New Roman" w:hAnsi="Times New Roman" w:cs="Times New Roman"/>
        </w:rPr>
        <w:t>which provides</w:t>
      </w:r>
      <w:r w:rsidRPr="009E3412">
        <w:rPr>
          <w:rFonts w:ascii="Times New Roman" w:eastAsia="Times New Roman" w:hAnsi="Times New Roman" w:cs="Times New Roman"/>
        </w:rPr>
        <w:t xml:space="preserve"> geographical consistency, with data collection conducted by researchers from the same affiliated group using harmonised protocols.</w:t>
      </w:r>
      <w:r w:rsidR="009D6C22" w:rsidRPr="009E3412">
        <w:rPr>
          <w:rFonts w:ascii="Times New Roman" w:eastAsia="Times New Roman" w:hAnsi="Times New Roman" w:cs="Times New Roman"/>
        </w:rPr>
        <w:t xml:space="preserve"> </w:t>
      </w:r>
      <w:r w:rsidR="00F52DDF" w:rsidRPr="009E3412">
        <w:rPr>
          <w:rFonts w:ascii="Times New Roman" w:hAnsi="Times New Roman" w:cs="Times New Roman"/>
          <w:bdr w:val="none" w:sz="0" w:space="0" w:color="auto" w:frame="1"/>
          <w:shd w:val="clear" w:color="auto" w:fill="FFFFFF"/>
        </w:rPr>
        <w:t>The overnight fasted blood sample was collected on participants’ baseline visit for metabolomic and biochemical analyses.</w:t>
      </w:r>
      <w:r w:rsidR="00F52DDF" w:rsidRPr="009E3412">
        <w:rPr>
          <w:rFonts w:ascii="Times New Roman" w:eastAsia="Times New Roman" w:hAnsi="Times New Roman" w:cs="Times New Roman"/>
        </w:rPr>
        <w:t xml:space="preserve"> The use of overnight fasted </w:t>
      </w:r>
      <w:r w:rsidR="00F52DDF" w:rsidRPr="009E3412">
        <w:rPr>
          <w:rFonts w:ascii="Times New Roman" w:eastAsia="Times New Roman" w:hAnsi="Times New Roman" w:cs="Times New Roman"/>
        </w:rPr>
        <w:lastRenderedPageBreak/>
        <w:t xml:space="preserve">serum samples was implemented to minimise pre-analytical variation, as metabolic markers fluctuate substantially following food intake </w:t>
      </w:r>
      <w:r w:rsidR="00F52DDF"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{"citationID":"DI2xb5SD","properties":{"formattedCitation":"[40]","plainCitation":"[40]","noteIndex":0},"citationItems":[{"id":2546,"uris":["http://zotero.org/users/9893877/items/A2H3LMIX"],"itemData":{"id":2546,"type":"article-journal","abstract":"Background: It has been suggested that metabolomics could play a role in dietary assessment and identification of novel biomarkers of dietary intake. Objective: This study examined the link between habitual dietary patterns and metabolomic profiles. Design: A total of 160 volunteers participated in a double-blind, randomized, placebo-controlled dietary intervention. We collected biofluids and recorded 3-d food diaries. Food data were reduced to 33 food groups, and a k-means cluster analysis was performed to identify dietary patterns. 1H Nuclear magnetic resonance (NMR) spectra were acquired for plasma and urine samples, and gas chromatography was used for plasma fatty acid profiling. Results: Cluster analysis identified 3 distinct dietary patterns on the basis of the energy contribution of different food groups. Dietary clusters were reflected in plasma fatty acid profiles and in metabolomic data. 1H NMR spectra of urine allowed the identification of metabolites associated with different dietary patterns. Several of the metabolites identified were linked to the intake of specific food groups; in particular, there was a positive association between O-acetylcarnitine and phenylacetylglutamine and red-meat and vegetable intakes, respectively. Conclusions: Habitual dietary patterns are shown in metabolomic data. This approach successfully identified potential biomarkers of red-meat and vegetable intakes.","container-title":"The American Journal of Clinical Nutrition","DOI":"10.3945/ajcn.110.000950","ISSN":"0002-9165","issue":"2","journalAbbreviation":"The American Journal of Clinical Nutrition","page":"314-321","source":"ScienceDirect","title":"Dietary intake patterns are reflected in metabolomic profiles: potential role in dietary assessment studies","title-short":"Dietary intake patterns are reflected in metabolomic profiles","volume":"93","author":[{"family":"O'Sullivan","given":"Aifric"},{"family":"Gibney","given":"Michael J"},{"family":"Brennan","given":"Lorraine"}],"issued":{"date-parts":[["2011",2,1]]}}}],"schema":"https://github.com/citation-style-language/schema/raw/master/csl-citation.json"} </w:instrText>
      </w:r>
      <w:r w:rsidR="00F52DDF" w:rsidRPr="009E3412">
        <w:rPr>
          <w:rFonts w:ascii="Times New Roman" w:eastAsia="Times New Roman" w:hAnsi="Times New Roman" w:cs="Times New Roman"/>
        </w:rPr>
        <w:fldChar w:fldCharType="separate"/>
      </w:r>
      <w:r w:rsidR="00CC6090" w:rsidRPr="009E3412">
        <w:rPr>
          <w:rFonts w:ascii="Times New Roman" w:hAnsi="Times New Roman" w:cs="Times New Roman"/>
        </w:rPr>
        <w:t>[40]</w:t>
      </w:r>
      <w:r w:rsidR="00F52DDF" w:rsidRPr="009E3412">
        <w:rPr>
          <w:rFonts w:ascii="Times New Roman" w:eastAsia="Times New Roman" w:hAnsi="Times New Roman" w:cs="Times New Roman"/>
        </w:rPr>
        <w:fldChar w:fldCharType="end"/>
      </w:r>
      <w:r w:rsidR="00F52DDF" w:rsidRPr="009E3412">
        <w:rPr>
          <w:rFonts w:ascii="Times New Roman" w:eastAsia="Times New Roman" w:hAnsi="Times New Roman" w:cs="Times New Roman"/>
        </w:rPr>
        <w:t xml:space="preserve">. Fasting standardises metabolic conditions across participants, thereby enhancing the reliability of metabolomic and biochemical analyses and reducing the potential for dietary-induced variability to obscure metabolic patterns. </w:t>
      </w:r>
    </w:p>
    <w:p w14:paraId="172B3140" w14:textId="7464E316" w:rsidR="004B3B7F" w:rsidRPr="009E3412" w:rsidRDefault="00F52DDF" w:rsidP="00F52DDF">
      <w:pPr>
        <w:spacing w:line="360" w:lineRule="auto"/>
        <w:jc w:val="both"/>
        <w:rPr>
          <w:rFonts w:ascii="Times New Roman" w:hAnsi="Times New Roman" w:cs="Times New Roman"/>
          <w:bdr w:val="none" w:sz="0" w:space="0" w:color="auto" w:frame="1"/>
          <w:shd w:val="clear" w:color="auto" w:fill="FFFFFF"/>
        </w:rPr>
      </w:pPr>
      <w:r w:rsidRPr="009E3412">
        <w:rPr>
          <w:rFonts w:ascii="Times New Roman" w:eastAsia="Times New Roman" w:hAnsi="Times New Roman" w:cs="Times New Roman"/>
        </w:rPr>
        <w:t xml:space="preserve">Faecal samples were collected during the baseline visit using the collection vessels (NHS-approved Easy sampler collection kit supplied by Cover them Limited). The storage container was placed in a cool dry location prior to returning to the research facility at the earliest opportunity (i.e. at the study visit). </w:t>
      </w:r>
      <w:r w:rsidR="005B1C3D" w:rsidRPr="009E3412">
        <w:rPr>
          <w:rFonts w:ascii="Times New Roman" w:hAnsi="Times New Roman" w:cs="Times New Roman"/>
          <w:bdr w:val="none" w:sz="0" w:space="0" w:color="auto" w:frame="1"/>
          <w:shd w:val="clear" w:color="auto" w:fill="FFFFFF"/>
        </w:rPr>
        <w:t xml:space="preserve">Baseline biological samples from the CANN study were collected between 2015 and 2017 and stored for approximately 4-6 years, while baseline samples from the COMBAT study were collected between 2018 and 2019 and stored for approximately 2-3 years, prior to analysis. All samples were stored at -80 °C at the University of East Anglia Biorepository to preserve metabolite and microbiome integrity, a storage condition reported to maintain stability of the majority of plasma metabolites, with only approximately 2% exhibiting changes within the first seven years of storage </w:t>
      </w:r>
      <w:r w:rsidR="00CC6090" w:rsidRPr="009E3412">
        <w:rPr>
          <w:rFonts w:ascii="Times New Roman" w:hAnsi="Times New Roman" w:cs="Times New Roman"/>
          <w:bdr w:val="none" w:sz="0" w:space="0" w:color="auto" w:frame="1"/>
          <w:shd w:val="clear" w:color="auto" w:fill="FFFFFF"/>
        </w:rPr>
        <w:fldChar w:fldCharType="begin"/>
      </w:r>
      <w:r w:rsidR="00CC6090" w:rsidRPr="009E3412">
        <w:rPr>
          <w:rFonts w:ascii="Times New Roman" w:hAnsi="Times New Roman" w:cs="Times New Roman"/>
          <w:bdr w:val="none" w:sz="0" w:space="0" w:color="auto" w:frame="1"/>
          <w:shd w:val="clear" w:color="auto" w:fill="FFFFFF"/>
        </w:rPr>
        <w:instrText xml:space="preserve"> ADDIN ZOTERO_ITEM CSL_CITATION {"citationID":"GTkXvI2O","properties":{"formattedCitation":"[41]","plainCitation":"[41]","noteIndex":0},"citationItems":[{"id":2619,"uris":["http://zotero.org/users/9893877/items/4Z6DMP95"],"itemData":{"id":2619,"type":"article-journal","abstract":"High-quality biological samples are required for the favorable outcome of research studies, and valid data sets are crucial for successful biomarker identification. Prolonged storage of biospecimens may have an artificial effect on compound levels. In order to investigate the potential effects of long-term storage on the metabolome, human ethylenediaminetetraacetic acid (EDTA) plasma samples stored for up to 16 years were analyzed by gas and liquid chromatography-tandem mass spectrometry-based metabolomics. Only 2% of 231 tested plasma metabolites were altered in the first seven years of storage. However, upon longer storage periods of up to 16 years and more time differences of few years significantly affected up to 26% of the investigated metabolites when analyzed within subject age groups. Ontology classes that were most affected included complex lipids, fatty acids, energy metabolism molecules, and amino acids. In conclusion, the human plasma metabolome is adequately stable to long-term storage at −80 °C for up to seven years but significant changes occur upon longer storage. However, other biospecimens may display different sensitivities to long-term storage. Therefore, in retrospective studies on EDTA plasma samples, analysis is best performed within the first seven years of storage.","container-title":"Metabolites","DOI":"10.3390/metabo9050099","ISSN":"2218-1989","issue":"5","journalAbbreviation":"Metabolites","note":"PMID: 31108909\nPMCID: PMC6572224","page":"99","source":"PubMed Central","title":"Effects of Long-Term Storage at −80 °C on the Human Plasma Metabolome","volume":"9","author":[{"family":"Wagner-Golbs","given":"Antje"},{"family":"Neuber","given":"Sebastian"},{"family":"Kamlage","given":"Beate"},{"family":"Christiansen","given":"Nicole"},{"family":"Bethan","given":"Bianca"},{"family":"Rennefahrt","given":"Ulrike"},{"family":"Schatz","given":"Philipp"},{"family":"Lind","given":"Lars"}],"issued":{"date-parts":[["2019",5,17]]}}}],"schema":"https://github.com/citation-style-language/schema/raw/master/csl-citation.json"} </w:instrText>
      </w:r>
      <w:r w:rsidR="00CC6090" w:rsidRPr="009E3412">
        <w:rPr>
          <w:rFonts w:ascii="Times New Roman" w:hAnsi="Times New Roman" w:cs="Times New Roman"/>
          <w:bdr w:val="none" w:sz="0" w:space="0" w:color="auto" w:frame="1"/>
          <w:shd w:val="clear" w:color="auto" w:fill="FFFFFF"/>
        </w:rPr>
        <w:fldChar w:fldCharType="separate"/>
      </w:r>
      <w:r w:rsidR="00CC6090" w:rsidRPr="009E3412">
        <w:rPr>
          <w:rFonts w:ascii="Times New Roman" w:hAnsi="Times New Roman" w:cs="Times New Roman"/>
          <w:bdr w:val="none" w:sz="0" w:space="0" w:color="auto" w:frame="1"/>
          <w:shd w:val="clear" w:color="auto" w:fill="FFFFFF"/>
        </w:rPr>
        <w:t>[41]</w:t>
      </w:r>
      <w:r w:rsidR="00CC6090" w:rsidRPr="009E3412">
        <w:rPr>
          <w:rFonts w:ascii="Times New Roman" w:hAnsi="Times New Roman" w:cs="Times New Roman"/>
          <w:bdr w:val="none" w:sz="0" w:space="0" w:color="auto" w:frame="1"/>
          <w:shd w:val="clear" w:color="auto" w:fill="FFFFFF"/>
        </w:rPr>
        <w:fldChar w:fldCharType="end"/>
      </w:r>
      <w:r w:rsidRPr="009E3412">
        <w:rPr>
          <w:rFonts w:ascii="Times New Roman" w:hAnsi="Times New Roman" w:cs="Times New Roman"/>
          <w:bdr w:val="none" w:sz="0" w:space="0" w:color="auto" w:frame="1"/>
          <w:shd w:val="clear" w:color="auto" w:fill="FFFFFF"/>
        </w:rPr>
        <w:t xml:space="preserve">. </w:t>
      </w:r>
      <w:r w:rsidR="00A92EC2" w:rsidRPr="009E3412">
        <w:rPr>
          <w:rFonts w:ascii="Times New Roman" w:hAnsi="Times New Roman" w:cs="Times New Roman"/>
          <w:bdr w:val="none" w:sz="0" w:space="0" w:color="auto" w:frame="1"/>
          <w:shd w:val="clear" w:color="auto" w:fill="FFFFFF"/>
        </w:rPr>
        <w:t>Following</w:t>
      </w:r>
      <w:r w:rsidRPr="009E3412">
        <w:rPr>
          <w:rFonts w:ascii="Times New Roman" w:hAnsi="Times New Roman" w:cs="Times New Roman"/>
          <w:bdr w:val="none" w:sz="0" w:space="0" w:color="auto" w:frame="1"/>
          <w:shd w:val="clear" w:color="auto" w:fill="FFFFFF"/>
        </w:rPr>
        <w:t xml:space="preserve"> storage, all samples were processed in the same analytical batch for metabolomic and microbiome analyses, minimising technical variability and batch effects. </w:t>
      </w:r>
    </w:p>
    <w:p w14:paraId="4CE93375" w14:textId="77E13E97" w:rsidR="00E55FAA" w:rsidRPr="009E3412" w:rsidRDefault="004B3B7F" w:rsidP="00F52DDF">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Biochemical analyses included blood glucose, liver function (bilirubin, albumin, aspartate aminotransferase (AST), alanine aminotransferase (ALT) and AST/ALT ratio), kidney function (creatinine) and serum lipid concentrations (total-, LDL-, HDL-cholesterol and triglyceride) were conducted in all participants. </w:t>
      </w:r>
    </w:p>
    <w:p w14:paraId="415249E0" w14:textId="00622220" w:rsidR="00D33613" w:rsidRPr="009E3412" w:rsidRDefault="00E55FAA" w:rsidP="00E55FAA">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Exclusion criteria </w:t>
      </w:r>
      <w:r w:rsidR="00FA5A0F" w:rsidRPr="009E3412">
        <w:rPr>
          <w:rFonts w:ascii="Times New Roman" w:eastAsia="Times New Roman" w:hAnsi="Times New Roman" w:cs="Times New Roman"/>
        </w:rPr>
        <w:t xml:space="preserve">for both studies </w:t>
      </w:r>
      <w:r w:rsidRPr="009E3412">
        <w:rPr>
          <w:rFonts w:ascii="Times New Roman" w:eastAsia="Times New Roman" w:hAnsi="Times New Roman" w:cs="Times New Roman"/>
        </w:rPr>
        <w:t>were designed to minimi</w:t>
      </w:r>
      <w:r w:rsidR="00FA5A0F" w:rsidRPr="009E3412">
        <w:rPr>
          <w:rFonts w:ascii="Times New Roman" w:eastAsia="Times New Roman" w:hAnsi="Times New Roman" w:cs="Times New Roman"/>
        </w:rPr>
        <w:t>s</w:t>
      </w:r>
      <w:r w:rsidRPr="009E3412">
        <w:rPr>
          <w:rFonts w:ascii="Times New Roman" w:eastAsia="Times New Roman" w:hAnsi="Times New Roman" w:cs="Times New Roman"/>
        </w:rPr>
        <w:t xml:space="preserve">e confounding variables, particularly those affecting gut microbiota composition. Participants were excluded if they had a history of significant neurological, psychiatric, gastrointestinal, or metabolic disorders (e.g., diabetes mellitus, liver disease), chronic fatigue syndrome, or gall bladder abnormalities. Additional exclusions included current or recent smoking, alcohol or drug dependence, and use of medications or supplements known to alter gut microbiota (e.g., antibiotics, probiotics, prebiotics, symbiotics, fish oil, or high flavonoid intake, defined as &gt;15 portions/day) within four weeks of sample collection. Individuals taking antidepressants, antipsychotics, anticoagulants (e.g., warfarin), or any medication affecting gastrointestinal function were also excluded. To further assess mental health, participants completed the Patient Health Questionnaire-9 (PHQ-9) and Generalised Anxiety Disorder-7 (GAD-7) </w:t>
      </w:r>
      <w:r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{"citationID":"jRVaGqQh","properties":{"formattedCitation":"[42]","plainCitation":"[42]","noteIndex":0},"citationItems":[{"id":2477,"uris":["http://zotero.org/users/9893877/items/C45U2JNN"],"itemData":{"id":2477,"type":"article-journal","abstract":"Generalized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scale.The GAD-7 is a valid and efficient tool for screening for GAD and assessing its severity in clinical practice and research.Arch Intern Med. 2006;166:1092-1097--&gt;","container-title":"Archives of Internal Medicine","DOI":"10.1001/archinte.166.10.1092","ISSN":"0003-9926","issue":"10","journalAbbreviation":"Archives of Internal Medicine","page":"1092-1097","source":"Silverchair","title":"A Brief Measure for Assessing Generalized Anxiety Disorder: The GAD-7","title-short":"A Brief Measure for Assessing Generalized Anxiety Disorder","volume":"166","author":[{"family":"Spitzer","given":"Robert L."},{"family":"Kroenke","given":"Kurt"},{"family":"Williams","given":"Janet B. W."},{"family":"Löwe","given":"Bernd"}],"issued":{"date-parts":[["2006",5,22]]}}}],"schema":"https://github.com/citation-style-language/schema/raw/master/csl-citation.json"} </w:instrText>
      </w:r>
      <w:r w:rsidRPr="009E3412">
        <w:rPr>
          <w:rFonts w:ascii="Times New Roman" w:eastAsia="Times New Roman" w:hAnsi="Times New Roman" w:cs="Times New Roman"/>
        </w:rPr>
        <w:fldChar w:fldCharType="separate"/>
      </w:r>
      <w:r w:rsidR="00CC6090" w:rsidRPr="009E3412">
        <w:rPr>
          <w:rFonts w:ascii="Times New Roman" w:hAnsi="Times New Roman" w:cs="Times New Roman"/>
        </w:rPr>
        <w:t>[42]</w:t>
      </w:r>
      <w:r w:rsidRPr="009E3412">
        <w:rPr>
          <w:rFonts w:ascii="Times New Roman" w:eastAsia="Times New Roman" w:hAnsi="Times New Roman" w:cs="Times New Roman"/>
        </w:rPr>
        <w:fldChar w:fldCharType="end"/>
      </w:r>
      <w:r w:rsidRPr="009E3412">
        <w:rPr>
          <w:rFonts w:ascii="Times New Roman" w:eastAsia="Times New Roman" w:hAnsi="Times New Roman" w:cs="Times New Roman"/>
        </w:rPr>
        <w:t>. Those with clinically significant depression or anxiety were excluded</w:t>
      </w:r>
      <w:r w:rsidR="00FA5A0F" w:rsidRPr="009E3412">
        <w:rPr>
          <w:rFonts w:ascii="Times New Roman" w:eastAsia="Times New Roman" w:hAnsi="Times New Roman" w:cs="Times New Roman"/>
        </w:rPr>
        <w:t xml:space="preserve"> in both studies</w:t>
      </w:r>
      <w:r w:rsidRPr="009E3412">
        <w:rPr>
          <w:rFonts w:ascii="Times New Roman" w:eastAsia="Times New Roman" w:hAnsi="Times New Roman" w:cs="Times New Roman"/>
        </w:rPr>
        <w:t xml:space="preserve">. Participants reporting gastrointestinal symptoms such as diarrhoea at baseline were also excluded. </w:t>
      </w:r>
    </w:p>
    <w:p w14:paraId="0DF200F3" w14:textId="75C7CA8A" w:rsidR="00F52DDF" w:rsidRPr="009E3412" w:rsidRDefault="00E636FD" w:rsidP="00F52DDF">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C</w:t>
      </w:r>
      <w:r w:rsidR="0082522C" w:rsidRPr="009E3412">
        <w:rPr>
          <w:rFonts w:ascii="Times New Roman" w:eastAsia="Times New Roman" w:hAnsi="Times New Roman" w:cs="Times New Roman"/>
        </w:rPr>
        <w:t>ognitive health was assessed using a variety of cognitive tests</w:t>
      </w:r>
      <w:r w:rsidRPr="009E3412">
        <w:rPr>
          <w:rFonts w:ascii="Times New Roman" w:eastAsia="Times New Roman" w:hAnsi="Times New Roman" w:cs="Times New Roman"/>
        </w:rPr>
        <w:t xml:space="preserve"> in both the COMBAT and CANN study</w:t>
      </w:r>
      <w:r w:rsidR="004A2A46" w:rsidRPr="009E3412">
        <w:rPr>
          <w:rFonts w:ascii="Times New Roman" w:eastAsia="Times New Roman" w:hAnsi="Times New Roman" w:cs="Times New Roman"/>
        </w:rPr>
        <w:t xml:space="preserve"> at the participants’ baseline visit</w:t>
      </w:r>
      <w:r w:rsidRPr="009E3412">
        <w:rPr>
          <w:rFonts w:ascii="Times New Roman" w:eastAsia="Times New Roman" w:hAnsi="Times New Roman" w:cs="Times New Roman"/>
        </w:rPr>
        <w:t>. H</w:t>
      </w:r>
      <w:r w:rsidR="0082522C" w:rsidRPr="009E3412">
        <w:rPr>
          <w:rFonts w:ascii="Times New Roman" w:eastAsia="Times New Roman" w:hAnsi="Times New Roman" w:cs="Times New Roman"/>
        </w:rPr>
        <w:t>owever</w:t>
      </w:r>
      <w:r w:rsidRPr="009E3412">
        <w:rPr>
          <w:rFonts w:ascii="Times New Roman" w:eastAsia="Times New Roman" w:hAnsi="Times New Roman" w:cs="Times New Roman"/>
        </w:rPr>
        <w:t>,</w:t>
      </w:r>
      <w:r w:rsidR="0082522C" w:rsidRPr="009E3412">
        <w:rPr>
          <w:rFonts w:ascii="Times New Roman" w:eastAsia="Times New Roman" w:hAnsi="Times New Roman" w:cs="Times New Roman"/>
        </w:rPr>
        <w:t xml:space="preserve"> only the </w:t>
      </w:r>
      <w:r w:rsidR="000B5B73" w:rsidRPr="009E3412">
        <w:rPr>
          <w:rFonts w:ascii="Times New Roman" w:eastAsia="Times New Roman" w:hAnsi="Times New Roman" w:cs="Times New Roman"/>
        </w:rPr>
        <w:t>T</w:t>
      </w:r>
      <w:r w:rsidR="0082522C" w:rsidRPr="009E3412">
        <w:rPr>
          <w:rFonts w:ascii="Times New Roman" w:eastAsia="Times New Roman" w:hAnsi="Times New Roman" w:cs="Times New Roman"/>
        </w:rPr>
        <w:t>rail</w:t>
      </w:r>
      <w:r w:rsidR="000B5B73" w:rsidRPr="009E3412">
        <w:rPr>
          <w:rFonts w:ascii="Times New Roman" w:eastAsia="Times New Roman" w:hAnsi="Times New Roman" w:cs="Times New Roman"/>
        </w:rPr>
        <w:t xml:space="preserve"> M</w:t>
      </w:r>
      <w:r w:rsidR="0082522C" w:rsidRPr="009E3412">
        <w:rPr>
          <w:rFonts w:ascii="Times New Roman" w:eastAsia="Times New Roman" w:hAnsi="Times New Roman" w:cs="Times New Roman"/>
        </w:rPr>
        <w:t xml:space="preserve">aking </w:t>
      </w:r>
      <w:r w:rsidR="000B5B73" w:rsidRPr="009E3412">
        <w:rPr>
          <w:rFonts w:ascii="Times New Roman" w:eastAsia="Times New Roman" w:hAnsi="Times New Roman" w:cs="Times New Roman"/>
        </w:rPr>
        <w:t>T</w:t>
      </w:r>
      <w:r w:rsidR="0082522C" w:rsidRPr="009E3412">
        <w:rPr>
          <w:rFonts w:ascii="Times New Roman" w:eastAsia="Times New Roman" w:hAnsi="Times New Roman" w:cs="Times New Roman"/>
        </w:rPr>
        <w:t>est</w:t>
      </w:r>
      <w:r w:rsidR="00FE7DF6" w:rsidRPr="009E3412">
        <w:rPr>
          <w:rFonts w:ascii="Times New Roman" w:eastAsia="Times New Roman" w:hAnsi="Times New Roman" w:cs="Times New Roman"/>
        </w:rPr>
        <w:t xml:space="preserve"> (</w:t>
      </w:r>
      <w:r w:rsidR="00DC0F02" w:rsidRPr="009E3412">
        <w:rPr>
          <w:rFonts w:ascii="Times New Roman" w:eastAsia="Times New Roman" w:hAnsi="Times New Roman" w:cs="Times New Roman"/>
        </w:rPr>
        <w:t>assess</w:t>
      </w:r>
      <w:r w:rsidR="009A5519" w:rsidRPr="009E3412">
        <w:rPr>
          <w:rFonts w:ascii="Times New Roman" w:eastAsia="Times New Roman" w:hAnsi="Times New Roman" w:cs="Times New Roman"/>
        </w:rPr>
        <w:t>ing</w:t>
      </w:r>
      <w:r w:rsidR="00DC0F02" w:rsidRPr="009E3412">
        <w:rPr>
          <w:rFonts w:ascii="Times New Roman" w:eastAsia="Times New Roman" w:hAnsi="Times New Roman" w:cs="Times New Roman"/>
        </w:rPr>
        <w:t xml:space="preserve"> </w:t>
      </w:r>
      <w:r w:rsidR="00655721" w:rsidRPr="009E3412">
        <w:rPr>
          <w:rFonts w:ascii="Times New Roman" w:eastAsia="Times New Roman" w:hAnsi="Times New Roman" w:cs="Times New Roman"/>
        </w:rPr>
        <w:t>visual</w:t>
      </w:r>
      <w:r w:rsidR="00DC0F02" w:rsidRPr="009E3412">
        <w:rPr>
          <w:rFonts w:ascii="Times New Roman" w:eastAsia="Times New Roman" w:hAnsi="Times New Roman" w:cs="Times New Roman"/>
        </w:rPr>
        <w:t xml:space="preserve"> processing</w:t>
      </w:r>
      <w:r w:rsidR="00655721" w:rsidRPr="009E3412">
        <w:rPr>
          <w:rFonts w:ascii="Times New Roman" w:eastAsia="Times New Roman" w:hAnsi="Times New Roman" w:cs="Times New Roman"/>
        </w:rPr>
        <w:t xml:space="preserve"> speed, </w:t>
      </w:r>
      <w:r w:rsidR="00023C11" w:rsidRPr="009E3412">
        <w:rPr>
          <w:rFonts w:ascii="Times New Roman" w:eastAsia="Times New Roman" w:hAnsi="Times New Roman" w:cs="Times New Roman"/>
        </w:rPr>
        <w:t>scanning</w:t>
      </w:r>
      <w:r w:rsidR="00655721" w:rsidRPr="009E3412">
        <w:rPr>
          <w:rFonts w:ascii="Times New Roman" w:eastAsia="Times New Roman" w:hAnsi="Times New Roman" w:cs="Times New Roman"/>
        </w:rPr>
        <w:t>, mental flexibility, as well as executive functio</w:t>
      </w:r>
      <w:r w:rsidR="00DC0F02" w:rsidRPr="009E3412">
        <w:rPr>
          <w:rFonts w:ascii="Times New Roman" w:eastAsia="Times New Roman" w:hAnsi="Times New Roman" w:cs="Times New Roman"/>
        </w:rPr>
        <w:t xml:space="preserve">n) </w:t>
      </w:r>
      <w:r w:rsidR="0082522C" w:rsidRPr="009E3412">
        <w:rPr>
          <w:rFonts w:ascii="Times New Roman" w:eastAsia="Times New Roman" w:hAnsi="Times New Roman" w:cs="Times New Roman"/>
        </w:rPr>
        <w:t xml:space="preserve">and the digit span test </w:t>
      </w:r>
      <w:r w:rsidR="00DC0F02" w:rsidRPr="009E3412">
        <w:rPr>
          <w:rFonts w:ascii="Times New Roman" w:eastAsia="Times New Roman" w:hAnsi="Times New Roman" w:cs="Times New Roman"/>
        </w:rPr>
        <w:t>(</w:t>
      </w:r>
      <w:r w:rsidR="00510014" w:rsidRPr="009E3412">
        <w:rPr>
          <w:rFonts w:ascii="Times New Roman" w:eastAsia="Times New Roman" w:hAnsi="Times New Roman" w:cs="Times New Roman"/>
        </w:rPr>
        <w:t>assess</w:t>
      </w:r>
      <w:r w:rsidR="009A5519" w:rsidRPr="009E3412">
        <w:rPr>
          <w:rFonts w:ascii="Times New Roman" w:eastAsia="Times New Roman" w:hAnsi="Times New Roman" w:cs="Times New Roman"/>
        </w:rPr>
        <w:t>ing</w:t>
      </w:r>
      <w:r w:rsidR="00510014" w:rsidRPr="009E3412">
        <w:rPr>
          <w:rFonts w:ascii="Times New Roman" w:eastAsia="Times New Roman" w:hAnsi="Times New Roman" w:cs="Times New Roman"/>
        </w:rPr>
        <w:t xml:space="preserve"> verbal short</w:t>
      </w:r>
      <w:r w:rsidR="00C56F1B" w:rsidRPr="009E3412">
        <w:rPr>
          <w:rFonts w:ascii="Times New Roman" w:eastAsia="Times New Roman" w:hAnsi="Times New Roman" w:cs="Times New Roman"/>
        </w:rPr>
        <w:t>-</w:t>
      </w:r>
      <w:r w:rsidR="00510014" w:rsidRPr="009E3412">
        <w:rPr>
          <w:rFonts w:ascii="Times New Roman" w:eastAsia="Times New Roman" w:hAnsi="Times New Roman" w:cs="Times New Roman"/>
        </w:rPr>
        <w:t xml:space="preserve">term and working memory) </w:t>
      </w:r>
      <w:r w:rsidR="0082522C" w:rsidRPr="009E3412">
        <w:rPr>
          <w:rFonts w:ascii="Times New Roman" w:eastAsia="Times New Roman" w:hAnsi="Times New Roman" w:cs="Times New Roman"/>
        </w:rPr>
        <w:t>were used across the COMBAT and CANN stud</w:t>
      </w:r>
      <w:r w:rsidR="00C56F1B" w:rsidRPr="009E3412">
        <w:rPr>
          <w:rFonts w:ascii="Times New Roman" w:eastAsia="Times New Roman" w:hAnsi="Times New Roman" w:cs="Times New Roman"/>
        </w:rPr>
        <w:t>ies</w:t>
      </w:r>
      <w:r w:rsidR="0082522C" w:rsidRPr="009E3412">
        <w:rPr>
          <w:rFonts w:ascii="Times New Roman" w:eastAsia="Times New Roman" w:hAnsi="Times New Roman" w:cs="Times New Roman"/>
        </w:rPr>
        <w:t xml:space="preserve"> </w:t>
      </w:r>
      <w:r w:rsidR="005F0C55" w:rsidRPr="009E3412">
        <w:rPr>
          <w:rFonts w:ascii="Times New Roman" w:eastAsia="Times New Roman" w:hAnsi="Times New Roman" w:cs="Times New Roman"/>
        </w:rPr>
        <w:t>enabling</w:t>
      </w:r>
      <w:r w:rsidR="0082522C"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lastRenderedPageBreak/>
        <w:t>comparison</w:t>
      </w:r>
      <w:r w:rsidR="001774C3" w:rsidRPr="009E3412">
        <w:rPr>
          <w:rFonts w:ascii="Times New Roman" w:eastAsia="Times New Roman" w:hAnsi="Times New Roman" w:cs="Times New Roman"/>
        </w:rPr>
        <w:t>s</w:t>
      </w:r>
      <w:r w:rsidR="0082522C" w:rsidRPr="009E3412">
        <w:rPr>
          <w:rFonts w:ascii="Times New Roman" w:eastAsia="Times New Roman" w:hAnsi="Times New Roman" w:cs="Times New Roman"/>
        </w:rPr>
        <w:t xml:space="preserve">. </w:t>
      </w:r>
      <w:r w:rsidR="00B2722C" w:rsidRPr="009E3412">
        <w:rPr>
          <w:rFonts w:ascii="Times New Roman" w:eastAsia="Times New Roman" w:hAnsi="Times New Roman" w:cs="Times New Roman"/>
        </w:rPr>
        <w:t>P</w:t>
      </w:r>
      <w:r w:rsidR="00E02864" w:rsidRPr="009E3412">
        <w:rPr>
          <w:rFonts w:ascii="Times New Roman" w:eastAsia="Times New Roman" w:hAnsi="Times New Roman" w:cs="Times New Roman"/>
        </w:rPr>
        <w:t xml:space="preserve">articipants </w:t>
      </w:r>
      <w:r w:rsidR="00B2722C" w:rsidRPr="009E3412">
        <w:rPr>
          <w:rFonts w:ascii="Times New Roman" w:eastAsia="Times New Roman" w:hAnsi="Times New Roman" w:cs="Times New Roman"/>
        </w:rPr>
        <w:t xml:space="preserve">also </w:t>
      </w:r>
      <w:r w:rsidR="00E02864" w:rsidRPr="009E3412">
        <w:rPr>
          <w:rFonts w:ascii="Times New Roman" w:eastAsia="Times New Roman" w:hAnsi="Times New Roman" w:cs="Times New Roman"/>
        </w:rPr>
        <w:t xml:space="preserve">completed </w:t>
      </w:r>
      <w:r w:rsidR="006824E4" w:rsidRPr="009E3412">
        <w:rPr>
          <w:rFonts w:ascii="Times New Roman" w:eastAsia="Times New Roman" w:hAnsi="Times New Roman" w:cs="Times New Roman"/>
        </w:rPr>
        <w:t xml:space="preserve">a validated, semi-quantitative </w:t>
      </w:r>
      <w:r w:rsidR="00133663" w:rsidRPr="009E3412">
        <w:rPr>
          <w:rFonts w:ascii="Times New Roman" w:eastAsia="Times New Roman" w:hAnsi="Times New Roman" w:cs="Times New Roman"/>
        </w:rPr>
        <w:t>Scottish Collaborative Group  (</w:t>
      </w:r>
      <w:r w:rsidR="006824E4" w:rsidRPr="009E3412">
        <w:rPr>
          <w:rFonts w:ascii="Times New Roman" w:eastAsia="Times New Roman" w:hAnsi="Times New Roman" w:cs="Times New Roman"/>
        </w:rPr>
        <w:t>SCG</w:t>
      </w:r>
      <w:r w:rsidR="00133663" w:rsidRPr="009E3412">
        <w:rPr>
          <w:rFonts w:ascii="Times New Roman" w:eastAsia="Times New Roman" w:hAnsi="Times New Roman" w:cs="Times New Roman"/>
        </w:rPr>
        <w:t>)</w:t>
      </w:r>
      <w:r w:rsidR="006824E4" w:rsidRPr="009E3412">
        <w:rPr>
          <w:rFonts w:ascii="Times New Roman" w:eastAsia="Times New Roman" w:hAnsi="Times New Roman" w:cs="Times New Roman"/>
        </w:rPr>
        <w:t xml:space="preserve"> food frequency questionnaire (version 6.6) to assess background die</w:t>
      </w:r>
      <w:r w:rsidR="00C135FD" w:rsidRPr="009E3412">
        <w:rPr>
          <w:rFonts w:ascii="Times New Roman" w:eastAsia="Times New Roman" w:hAnsi="Times New Roman" w:cs="Times New Roman"/>
        </w:rPr>
        <w:t xml:space="preserve">t </w:t>
      </w:r>
      <w:r w:rsidR="009D6C22"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{"citationID":"L3XFyAvu","properties":{"formattedCitation":"[43]","plainCitation":"[43]","noteIndex":0},"citationItems":[{"id":256,"uris":["http://zotero.org/users/9893877/items/4UCYJCZ5"],"itemData":{"id":256,"type":"article-journal","abstract":"ObjectiveTo assess the relative validity of the latest version of the Scottish Collaborative Group (SCG) FFQ (version 6.6) in adults living in Scotland.DesignA cross-sectional validation study. Participants completed the self-administered, 169-item SCG FFQ followed by a 7 d, non-weighed food diary. Energy and energy-adjusted macronutrients and micronutrients were examined for relative validity through Spearman’s correlation, the percentage of classification into thirds of intake, Cohen’s weighted kappa (κw) and Bland–Altman analysis.SettingGeneral population living in Scotland.SubjectsNinety-six adults aged 18–65 years.ResultsSpearman’s correlation coefficients ranged from 0·21 (retinol) to 0·71 (Mg). A median of 52 % of adults were correctly classified into thirds of intake (range: 42 % (PUFA, MUFA and Fe) to 64 % (percentage energy from carbohydrates)) and 8 % were grossly misclassified into opposite thirds of intake (range: 3 % (carbohydrates, percentage energy from carbohydrates) to 19 % (thiamin)). Values of κw ranged between 0·20 (PUFA, β-carotene) to 0·55 (percentage energy from carbohydrates). In the Bland–Altman analysis, the smallest limits of agreement, when expressed as a percentage of the mean intake from the FFQ and food diary, were seen for the main macronutrients carbohydrates, fat and protein.ConclusionsAs in the previous validation study more than 10 years ago, the FFQ gave higher estimates of energy and most nutrients than the food diary, but after adjustment for energy intake the FFQ could be used in place of non-weighed food diaries for most macronutrients and many micronutrients in large-scale epidemiological studies.","container-title":"Public Health Nutrition","DOI":"10.1017/S1368980016002421","ISSN":"1368-9800, 1475-2727","issue":"3","language":"en","note":"publisher: Cambridge University Press","page":"449-455","source":"Cambridge University Press","title":"Assessing the relative validity of the Scottish Collaborative Group FFQ for measuring dietary intake in adults","volume":"20","author":[{"family":"Hollis","given":"Jenna L."},{"family":"Craig","given":"Leone CA"},{"family":"Whybrow","given":"Stephen"},{"family":"Clark","given":"Heather"},{"family":"Kyle","given":"Janet AM"},{"family":"McNeill","given":"Geraldine"}],"issued":{"date-parts":[["2017",2]]}}}],"schema":"https://github.com/citation-style-language/schema/raw/master/csl-citation.json"} </w:instrText>
      </w:r>
      <w:r w:rsidR="009D6C22" w:rsidRPr="009E3412">
        <w:rPr>
          <w:rFonts w:ascii="Times New Roman" w:eastAsia="Times New Roman" w:hAnsi="Times New Roman" w:cs="Times New Roman"/>
        </w:rPr>
        <w:fldChar w:fldCharType="separate"/>
      </w:r>
      <w:r w:rsidR="00CC6090" w:rsidRPr="009E3412">
        <w:rPr>
          <w:rFonts w:ascii="Times New Roman" w:hAnsi="Times New Roman" w:cs="Times New Roman"/>
        </w:rPr>
        <w:t>[43]</w:t>
      </w:r>
      <w:r w:rsidR="009D6C22" w:rsidRPr="009E3412">
        <w:rPr>
          <w:rFonts w:ascii="Times New Roman" w:eastAsia="Times New Roman" w:hAnsi="Times New Roman" w:cs="Times New Roman"/>
        </w:rPr>
        <w:fldChar w:fldCharType="end"/>
      </w:r>
      <w:r w:rsidR="009D6C22" w:rsidRPr="009E3412">
        <w:rPr>
          <w:rFonts w:ascii="Times New Roman" w:eastAsia="Times New Roman" w:hAnsi="Times New Roman" w:cs="Times New Roman"/>
        </w:rPr>
        <w:t xml:space="preserve">. </w:t>
      </w:r>
    </w:p>
    <w:p w14:paraId="5BF9F699" w14:textId="0C18786B" w:rsidR="00150AD6" w:rsidRPr="009E3412" w:rsidRDefault="00BA497A" w:rsidP="00185781">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The </w:t>
      </w:r>
      <w:r w:rsidR="0082522C" w:rsidRPr="009E3412">
        <w:rPr>
          <w:rFonts w:ascii="Times New Roman" w:eastAsia="Times New Roman" w:hAnsi="Times New Roman" w:cs="Times New Roman"/>
        </w:rPr>
        <w:t>protocols were approved by the</w:t>
      </w:r>
      <w:r w:rsidR="00A769D6" w:rsidRPr="009E3412">
        <w:rPr>
          <w:rFonts w:ascii="Times New Roman" w:eastAsia="Times New Roman" w:hAnsi="Times New Roman" w:cs="Times New Roman"/>
        </w:rPr>
        <w:t xml:space="preserve"> UK</w:t>
      </w:r>
      <w:r w:rsidRPr="009E3412">
        <w:t xml:space="preserve"> </w:t>
      </w:r>
      <w:r w:rsidRPr="009E3412">
        <w:rPr>
          <w:rFonts w:ascii="Times New Roman" w:eastAsia="Times New Roman" w:hAnsi="Times New Roman" w:cs="Times New Roman"/>
        </w:rPr>
        <w:t xml:space="preserve">National Research Ethics Service (NRES) Committee, (Study ID: 14/EE/0189) for CANN and by the </w:t>
      </w:r>
      <w:r w:rsidR="00185781" w:rsidRPr="009E3412">
        <w:rPr>
          <w:rFonts w:ascii="Times New Roman" w:eastAsia="Times New Roman" w:hAnsi="Times New Roman" w:cs="Times New Roman"/>
        </w:rPr>
        <w:t xml:space="preserve">University of East Anglia’s Faculty of Medicine and Health Sciences Ethical Review Committee (Reference: 201819–039) and the </w:t>
      </w:r>
      <w:r w:rsidR="00A769D6" w:rsidRPr="009E3412">
        <w:rPr>
          <w:rFonts w:ascii="Times New Roman" w:eastAsia="Times New Roman" w:hAnsi="Times New Roman" w:cs="Times New Roman"/>
        </w:rPr>
        <w:t xml:space="preserve">UK </w:t>
      </w:r>
      <w:r w:rsidR="00185781" w:rsidRPr="009E3412">
        <w:rPr>
          <w:rFonts w:ascii="Times New Roman" w:eastAsia="Times New Roman" w:hAnsi="Times New Roman" w:cs="Times New Roman"/>
        </w:rPr>
        <w:t>Health Research Authority (IRAS number: 237251) for COM</w:t>
      </w:r>
      <w:r w:rsidR="000019F6" w:rsidRPr="009E3412">
        <w:rPr>
          <w:rFonts w:ascii="Times New Roman" w:eastAsia="Times New Roman" w:hAnsi="Times New Roman" w:cs="Times New Roman"/>
        </w:rPr>
        <w:t>B</w:t>
      </w:r>
      <w:r w:rsidR="00185781" w:rsidRPr="009E3412">
        <w:rPr>
          <w:rFonts w:ascii="Times New Roman" w:eastAsia="Times New Roman" w:hAnsi="Times New Roman" w:cs="Times New Roman"/>
        </w:rPr>
        <w:t>AT</w:t>
      </w:r>
      <w:r w:rsidR="0082522C" w:rsidRPr="009E3412">
        <w:rPr>
          <w:rFonts w:ascii="Times New Roman" w:eastAsia="Times New Roman" w:hAnsi="Times New Roman" w:cs="Times New Roman"/>
        </w:rPr>
        <w:t>.</w:t>
      </w:r>
      <w:r w:rsidR="00185781" w:rsidRPr="009E3412">
        <w:t xml:space="preserve"> </w:t>
      </w:r>
      <w:r w:rsidR="00185781" w:rsidRPr="009E3412">
        <w:rPr>
          <w:rFonts w:ascii="Times New Roman" w:eastAsia="Times New Roman" w:hAnsi="Times New Roman" w:cs="Times New Roman"/>
        </w:rPr>
        <w:t>The participants provided written informed consent to participate.</w:t>
      </w:r>
    </w:p>
    <w:p w14:paraId="3B1FCBE0" w14:textId="77777777" w:rsidR="00997C6C" w:rsidRPr="009E3412" w:rsidRDefault="00997C6C" w:rsidP="00185781">
      <w:pPr>
        <w:spacing w:line="360" w:lineRule="auto"/>
        <w:jc w:val="both"/>
        <w:rPr>
          <w:rFonts w:ascii="Times New Roman" w:eastAsia="Times New Roman" w:hAnsi="Times New Roman" w:cs="Times New Roman"/>
        </w:rPr>
      </w:pPr>
    </w:p>
    <w:p w14:paraId="36678BA6" w14:textId="2655B224" w:rsidR="00997C6C" w:rsidRPr="009E3412" w:rsidRDefault="00997C6C" w:rsidP="00185781">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2.2 Microbiome Profiling</w:t>
      </w:r>
    </w:p>
    <w:p w14:paraId="0C59712C" w14:textId="63423DA3" w:rsidR="00997C6C" w:rsidRPr="009E3412" w:rsidRDefault="007E5116" w:rsidP="00185781">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Microbiome analysis was performed by 16S rRNA </w:t>
      </w:r>
      <w:r w:rsidR="00023C11" w:rsidRPr="009E3412">
        <w:rPr>
          <w:rFonts w:ascii="Times New Roman" w:eastAsia="Times New Roman" w:hAnsi="Times New Roman" w:cs="Times New Roman"/>
        </w:rPr>
        <w:t xml:space="preserve">amplicon </w:t>
      </w:r>
      <w:r w:rsidRPr="009E3412">
        <w:rPr>
          <w:rFonts w:ascii="Times New Roman" w:eastAsia="Times New Roman" w:hAnsi="Times New Roman" w:cs="Times New Roman"/>
        </w:rPr>
        <w:t xml:space="preserve">sequencing as previously </w:t>
      </w:r>
      <w:r w:rsidR="000019F6" w:rsidRPr="009E3412">
        <w:rPr>
          <w:rFonts w:ascii="Times New Roman" w:eastAsia="Times New Roman" w:hAnsi="Times New Roman" w:cs="Times New Roman"/>
        </w:rPr>
        <w:t>reported</w:t>
      </w:r>
      <w:r w:rsidRPr="009E3412">
        <w:rPr>
          <w:rFonts w:ascii="Times New Roman" w:eastAsia="Times New Roman" w:hAnsi="Times New Roman" w:cs="Times New Roman"/>
        </w:rPr>
        <w:t xml:space="preserve"> </w:t>
      </w:r>
      <w:r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{"citationID":"h8kepyBH","properties":{"formattedCitation":"[44]","plainCitation":"[44]","noteIndex":0},"citationItems":[{"id":557,"uris":["http://zotero.org/users/9893877/items/N8YCB85G"],"itemData":{"id":557,"type":"article-journal","abstract":"Treatment of anxiety and depression predominantly centres around pharmacological interventions, which have faced criticism for their associated side effects, lack of efficacy and low tolerability. Saffron, which is reportedly well tolerated in humans, has been recognised for its antidepressant and anti-anxiety properties. Indeed, we previously reported upon the efficacy of saffron extract supplementation in healthy adults with subclinical anxiety. However, the molecular aetiology remains unclear. In a rodent model of low-grade chronic inflammation, we explored the impact of a saffron extract (Safr'Inside™) supplemented at a physiological dose, which equated to 22 ± 1.2 mg per day human equivalent dose for a person of 60 kg. Behavioural tests (Open Field task, Y maze, Novel object recognition), caecal 16S rRNA microbial sequencing, caecal 1H NMR metabolomic analysis and 2DE brain proteomic analyses were completed to probe gut–brain axis interactions. Time occupying the centre of the Open Field maze (OF) was increased by 62% in saffron supplemented animals. This improvement in anxiety-related behaviour coincided with gut microbial shifts, notably Akkermansia, Muribaculaceae, Christensenellacae and Alloprevotella which significantly increased in response to saffron supplementation. Akkermansia and Muribaculaceae abundance negatively correlated with the neurotoxic metabolite dimethylamine which was reduced in saffron supplemented animals. Brain proteomic analysis highlighted several significantly altered proteins including ketimine reductase mu-crystallin which also correlated with dimethylamine concentration. Both dimethylamine and ketimine reductase mu-crystallin were associated with OF performance. This may be indicative of a novel interaction across the gut–brain axis which contributes to anxiety-related disorders.","container-title":"Food &amp; Function","DOI":"10.1039/D2FO02739A","ISSN":"2042-650X","issue":"23","journalAbbreviation":"Food Funct.","language":"en","note":"publisher: The Royal Society of Chemistry","page":"12219-12233","source":"pubs.rsc.org","title":"Saffron extract (Safr'Inside™) improves anxiety related behaviour in a mouse model of low-grade inflammation through the modulation of the microbiota and gut derived metabolites","volume":"13","author":[{"family":"Pontifex","given":"Matthew G."},{"family":"Connell","given":"Emily"},{"family":"Gall","given":"Gwenaelle Le"},{"family":"Pourtau","given":"Line"},{"family":"Gaudout","given":"David"},{"family":"Angeloni","given":"Cristina"},{"family":"Zallocco","given":"Lorenzo"},{"family":"Ronci","given":"Maurizio"},{"family":"Giusti","given":"Laura"},{"family":"Müller","given":"Michael"},{"family":"Vauzour","given":"David"}],"issued":{"date-parts":[["2022",11,28]]}}}],"schema":"https://github.com/citation-style-language/schema/raw/master/csl-citation.json"} </w:instrText>
      </w:r>
      <w:r w:rsidRPr="009E3412">
        <w:rPr>
          <w:rFonts w:ascii="Times New Roman" w:eastAsia="Times New Roman" w:hAnsi="Times New Roman" w:cs="Times New Roman"/>
        </w:rPr>
        <w:fldChar w:fldCharType="separate"/>
      </w:r>
      <w:r w:rsidR="00CC6090" w:rsidRPr="009E3412">
        <w:rPr>
          <w:rFonts w:ascii="Times New Roman" w:hAnsi="Times New Roman" w:cs="Times New Roman"/>
        </w:rPr>
        <w:t>[44]</w:t>
      </w:r>
      <w:r w:rsidRPr="009E3412">
        <w:rPr>
          <w:rFonts w:ascii="Times New Roman" w:eastAsia="Times New Roman" w:hAnsi="Times New Roman" w:cs="Times New Roman"/>
        </w:rPr>
        <w:fldChar w:fldCharType="end"/>
      </w:r>
      <w:r w:rsidRPr="009E3412">
        <w:rPr>
          <w:rFonts w:ascii="Times New Roman" w:eastAsia="Times New Roman" w:hAnsi="Times New Roman" w:cs="Times New Roman"/>
        </w:rPr>
        <w:t>. In brief, DNA extraction was performed</w:t>
      </w:r>
      <w:r w:rsidR="00997C6C" w:rsidRPr="009E3412">
        <w:rPr>
          <w:rFonts w:ascii="Times New Roman" w:eastAsia="Times New Roman" w:hAnsi="Times New Roman" w:cs="Times New Roman"/>
        </w:rPr>
        <w:t xml:space="preserve"> from approximately 50 mg of </w:t>
      </w:r>
      <w:r w:rsidR="00A401D7" w:rsidRPr="009E3412">
        <w:rPr>
          <w:rFonts w:ascii="Times New Roman" w:eastAsia="Times New Roman" w:hAnsi="Times New Roman" w:cs="Times New Roman"/>
        </w:rPr>
        <w:t>f</w:t>
      </w:r>
      <w:r w:rsidR="00997C6C" w:rsidRPr="009E3412">
        <w:rPr>
          <w:rFonts w:ascii="Times New Roman" w:eastAsia="Times New Roman" w:hAnsi="Times New Roman" w:cs="Times New Roman"/>
        </w:rPr>
        <w:t xml:space="preserve">aecal content using the </w:t>
      </w:r>
      <w:proofErr w:type="spellStart"/>
      <w:r w:rsidR="00997C6C" w:rsidRPr="009E3412">
        <w:rPr>
          <w:rFonts w:ascii="Times New Roman" w:eastAsia="Times New Roman" w:hAnsi="Times New Roman" w:cs="Times New Roman"/>
        </w:rPr>
        <w:t>QIAamp</w:t>
      </w:r>
      <w:proofErr w:type="spellEnd"/>
      <w:r w:rsidR="00997C6C" w:rsidRPr="009E3412">
        <w:rPr>
          <w:rFonts w:ascii="Times New Roman" w:eastAsia="Times New Roman" w:hAnsi="Times New Roman" w:cs="Times New Roman"/>
        </w:rPr>
        <w:t xml:space="preserve"> </w:t>
      </w:r>
      <w:proofErr w:type="spellStart"/>
      <w:r w:rsidR="00997C6C" w:rsidRPr="009E3412">
        <w:rPr>
          <w:rFonts w:ascii="Times New Roman" w:eastAsia="Times New Roman" w:hAnsi="Times New Roman" w:cs="Times New Roman"/>
        </w:rPr>
        <w:t>PowerFecal</w:t>
      </w:r>
      <w:proofErr w:type="spellEnd"/>
      <w:r w:rsidR="00997C6C" w:rsidRPr="009E3412">
        <w:rPr>
          <w:rFonts w:ascii="Times New Roman" w:eastAsia="Times New Roman" w:hAnsi="Times New Roman" w:cs="Times New Roman"/>
        </w:rPr>
        <w:t xml:space="preserve"> Pro DNA Kit (Qiagen, Manchester, UK) as per the manufacturer's instructions. DNA quantity was </w:t>
      </w:r>
      <w:r w:rsidRPr="009E3412">
        <w:rPr>
          <w:rFonts w:ascii="Times New Roman" w:eastAsia="Times New Roman" w:hAnsi="Times New Roman" w:cs="Times New Roman"/>
        </w:rPr>
        <w:t>evaluated</w:t>
      </w:r>
      <w:r w:rsidR="00997C6C" w:rsidRPr="009E3412">
        <w:rPr>
          <w:rFonts w:ascii="Times New Roman" w:eastAsia="Times New Roman" w:hAnsi="Times New Roman" w:cs="Times New Roman"/>
        </w:rPr>
        <w:t xml:space="preserve"> using a Nanodrop 2000 Spectrophotometer (Fisher Scientific, UK). Quality assessment by agarose gel electrophoresis </w:t>
      </w:r>
      <w:r w:rsidRPr="009E3412">
        <w:rPr>
          <w:rFonts w:ascii="Times New Roman" w:eastAsia="Times New Roman" w:hAnsi="Times New Roman" w:cs="Times New Roman"/>
        </w:rPr>
        <w:t>distinguished the</w:t>
      </w:r>
      <w:r w:rsidR="00997C6C" w:rsidRPr="009E3412">
        <w:rPr>
          <w:rFonts w:ascii="Times New Roman" w:eastAsia="Times New Roman" w:hAnsi="Times New Roman" w:cs="Times New Roman"/>
        </w:rPr>
        <w:t xml:space="preserve"> DNA integrity, purity, fragment size and concentration. </w:t>
      </w:r>
      <w:r w:rsidRPr="009E3412">
        <w:rPr>
          <w:rFonts w:ascii="Times New Roman" w:eastAsia="Times New Roman" w:hAnsi="Times New Roman" w:cs="Times New Roman"/>
        </w:rPr>
        <w:t xml:space="preserve">Illumina </w:t>
      </w:r>
      <w:proofErr w:type="spellStart"/>
      <w:r w:rsidRPr="009E3412">
        <w:rPr>
          <w:rFonts w:ascii="Times New Roman" w:eastAsia="Times New Roman" w:hAnsi="Times New Roman" w:cs="Times New Roman"/>
        </w:rPr>
        <w:t>NovaSeq</w:t>
      </w:r>
      <w:proofErr w:type="spellEnd"/>
      <w:r w:rsidRPr="009E3412">
        <w:rPr>
          <w:rFonts w:ascii="Times New Roman" w:eastAsia="Times New Roman" w:hAnsi="Times New Roman" w:cs="Times New Roman"/>
        </w:rPr>
        <w:t xml:space="preserve"> 6000 PE250 was used to amplify </w:t>
      </w:r>
      <w:r w:rsidR="00997C6C" w:rsidRPr="009E3412">
        <w:rPr>
          <w:rFonts w:ascii="Times New Roman" w:eastAsia="Times New Roman" w:hAnsi="Times New Roman" w:cs="Times New Roman"/>
        </w:rPr>
        <w:t xml:space="preserve">the V3–V4 hypervariable region. Sequence analysis </w:t>
      </w:r>
      <w:r w:rsidR="00A37020" w:rsidRPr="009E3412">
        <w:rPr>
          <w:rFonts w:ascii="Times New Roman" w:eastAsia="Times New Roman" w:hAnsi="Times New Roman" w:cs="Times New Roman"/>
        </w:rPr>
        <w:t xml:space="preserve">was carried out using </w:t>
      </w:r>
      <w:proofErr w:type="spellStart"/>
      <w:r w:rsidR="00997C6C" w:rsidRPr="009E3412">
        <w:rPr>
          <w:rFonts w:ascii="Times New Roman" w:eastAsia="Times New Roman" w:hAnsi="Times New Roman" w:cs="Times New Roman"/>
        </w:rPr>
        <w:t>Uparse</w:t>
      </w:r>
      <w:proofErr w:type="spellEnd"/>
      <w:r w:rsidR="00997C6C" w:rsidRPr="009E3412">
        <w:rPr>
          <w:rFonts w:ascii="Times New Roman" w:eastAsia="Times New Roman" w:hAnsi="Times New Roman" w:cs="Times New Roman"/>
        </w:rPr>
        <w:t xml:space="preserve"> software (</w:t>
      </w:r>
      <w:proofErr w:type="spellStart"/>
      <w:r w:rsidR="00997C6C" w:rsidRPr="009E3412">
        <w:rPr>
          <w:rFonts w:ascii="Times New Roman" w:eastAsia="Times New Roman" w:hAnsi="Times New Roman" w:cs="Times New Roman"/>
        </w:rPr>
        <w:t>Uparse</w:t>
      </w:r>
      <w:proofErr w:type="spellEnd"/>
      <w:r w:rsidR="00997C6C" w:rsidRPr="009E3412">
        <w:rPr>
          <w:rFonts w:ascii="Times New Roman" w:eastAsia="Times New Roman" w:hAnsi="Times New Roman" w:cs="Times New Roman"/>
        </w:rPr>
        <w:t xml:space="preserve"> v7.0.1001) </w:t>
      </w:r>
      <w:r w:rsidR="00997C6C"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{"citationID":"jGKBhJPQ","properties":{"formattedCitation":"[45]","plainCitation":"[45]","noteIndex":0},"citationItems":[{"id":682,"uris":["http://zotero.org/users/9893877/items/LEB7ZCGF"],"itemData":{"id":682,"type":"article-journal","abstract":"The Ribosomal Database Project (RDP) Classifier, a naïve Bayesian classifier, can rapidly and accurately classify bacterial 16S rRNA sequences into the new higher-order taxonomy proposed in Bergey's Taxonomic Outline of the Prokaryotes (2nd ed., release 5.0, Springer-Verlag, New York, NY, 2004). It provides taxonomic assignments from domain to genus, with confidence estimates for each assignment. The majority of classifications (98%) were of high estimated confidence (&gt; or = 95%) and high accuracy (98%). In addition to being tested with the corpus of 5,014 type strain sequences from Bergey's outline, the RDP Classifier was tested with a corpus of 23,095 rRNA sequences as assigned by the NCBI into their alternative higher-order taxonomy. The results from leave-one-out testing on both corpora show that the overall accuracies at all levels of confidence for near-full-length and 400-base segments were 89% or above down to the genus level, and the majority of the classification errors appear to be due to anomalies in the current taxonomies. For shorter rRNA segments, such as those that might be generated by pyrosequencing, the error rate varied greatly over the length of the 16S rRNA gene, with segments around the V2 and V4 variable regions giving the lowest error rates. The RDP Classifier is suitable both for the analysis of single rRNA sequences and for the analysis of libraries of thousands of sequences. Another related tool, RDP Library Compare, was developed to facilitate microbial-community comparison based on 16S rRNA gene sequence libraries. It combines the RDP Classifier with a statistical test to flag taxa differentially represented between samples. The RDP Classifier and RDP Library Compare are available online at http://rdp.cme.msu.edu/.","container-title":"Applied and Environmental Microbiology","DOI":"10.1128/AEM.00062-07","ISSN":"0099-2240","issue":"16","journalAbbreviation":"Appl Environ Microbiol","language":"eng","note":"PMID: 17586664\nPMCID: PMC1950982","page":"5261-5267","source":"PubMed","title":"Naive Bayesian classifier for rapid assignment of rRNA sequences into the new bacterial taxonomy","volume":"73","author":[{"family":"Wang","given":"Qiong"},{"family":"Garrity","given":"George M."},{"family":"Tiedje","given":"James M."},{"family":"Cole","given":"James R."}],"issued":{"date-parts":[["2007",8]]}}}],"schema":"https://github.com/citation-style-language/schema/raw/master/csl-citation.json"} </w:instrText>
      </w:r>
      <w:r w:rsidR="00997C6C" w:rsidRPr="009E3412">
        <w:rPr>
          <w:rFonts w:ascii="Times New Roman" w:eastAsia="Times New Roman" w:hAnsi="Times New Roman" w:cs="Times New Roman"/>
        </w:rPr>
        <w:fldChar w:fldCharType="separate"/>
      </w:r>
      <w:r w:rsidR="00CC6090" w:rsidRPr="009E3412">
        <w:rPr>
          <w:rFonts w:ascii="Times New Roman" w:hAnsi="Times New Roman" w:cs="Times New Roman"/>
        </w:rPr>
        <w:t>[45]</w:t>
      </w:r>
      <w:r w:rsidR="00997C6C" w:rsidRPr="009E3412">
        <w:rPr>
          <w:rFonts w:ascii="Times New Roman" w:eastAsia="Times New Roman" w:hAnsi="Times New Roman" w:cs="Times New Roman"/>
        </w:rPr>
        <w:fldChar w:fldCharType="end"/>
      </w:r>
      <w:r w:rsidR="00997C6C" w:rsidRPr="009E3412">
        <w:rPr>
          <w:rFonts w:ascii="Times New Roman" w:eastAsia="Times New Roman" w:hAnsi="Times New Roman" w:cs="Times New Roman"/>
        </w:rPr>
        <w:t xml:space="preserve">, </w:t>
      </w:r>
      <w:r w:rsidR="00A37020" w:rsidRPr="009E3412">
        <w:rPr>
          <w:rFonts w:ascii="Times New Roman" w:eastAsia="Times New Roman" w:hAnsi="Times New Roman" w:cs="Times New Roman"/>
        </w:rPr>
        <w:t>incorporating</w:t>
      </w:r>
      <w:r w:rsidR="00997C6C" w:rsidRPr="009E3412">
        <w:rPr>
          <w:rFonts w:ascii="Times New Roman" w:eastAsia="Times New Roman" w:hAnsi="Times New Roman" w:cs="Times New Roman"/>
        </w:rPr>
        <w:t xml:space="preserve"> all the effective tags.</w:t>
      </w:r>
      <w:r w:rsidR="00A37020" w:rsidRPr="009E3412">
        <w:t xml:space="preserve"> </w:t>
      </w:r>
      <w:r w:rsidR="00A37020" w:rsidRPr="009E3412">
        <w:rPr>
          <w:rFonts w:ascii="Times New Roman" w:eastAsia="Times New Roman" w:hAnsi="Times New Roman" w:cs="Times New Roman"/>
        </w:rPr>
        <w:t>Sequences sharing a similarity of ≥97% were grouped into the same Operational Taxonomic Unit (OTU)</w:t>
      </w:r>
      <w:r w:rsidR="00997C6C" w:rsidRPr="009E3412">
        <w:rPr>
          <w:rFonts w:ascii="Times New Roman" w:eastAsia="Times New Roman" w:hAnsi="Times New Roman" w:cs="Times New Roman"/>
        </w:rPr>
        <w:t xml:space="preserve">. A representative sequence for each OTU was screened for further annotation. </w:t>
      </w:r>
      <w:r w:rsidR="00A37020" w:rsidRPr="009E3412">
        <w:rPr>
          <w:rFonts w:ascii="Times New Roman" w:eastAsia="Times New Roman" w:hAnsi="Times New Roman" w:cs="Times New Roman"/>
        </w:rPr>
        <w:t>A representative OTU</w:t>
      </w:r>
      <w:r w:rsidR="00997C6C" w:rsidRPr="009E3412">
        <w:rPr>
          <w:rFonts w:ascii="Times New Roman" w:eastAsia="Times New Roman" w:hAnsi="Times New Roman" w:cs="Times New Roman"/>
        </w:rPr>
        <w:t xml:space="preserve"> sequence </w:t>
      </w:r>
      <w:r w:rsidR="00A37020" w:rsidRPr="009E3412">
        <w:rPr>
          <w:rFonts w:ascii="Times New Roman" w:eastAsia="Times New Roman" w:hAnsi="Times New Roman" w:cs="Times New Roman"/>
        </w:rPr>
        <w:t xml:space="preserve">was further analysed using </w:t>
      </w:r>
      <w:r w:rsidR="00997C6C" w:rsidRPr="009E3412">
        <w:rPr>
          <w:rFonts w:ascii="Times New Roman" w:eastAsia="Times New Roman" w:hAnsi="Times New Roman" w:cs="Times New Roman"/>
        </w:rPr>
        <w:t xml:space="preserve">the </w:t>
      </w:r>
      <w:proofErr w:type="spellStart"/>
      <w:r w:rsidR="00997C6C" w:rsidRPr="009E3412">
        <w:rPr>
          <w:rFonts w:ascii="Times New Roman" w:eastAsia="Times New Roman" w:hAnsi="Times New Roman" w:cs="Times New Roman"/>
        </w:rPr>
        <w:t>SSUrRNA</w:t>
      </w:r>
      <w:proofErr w:type="spellEnd"/>
      <w:r w:rsidR="00997C6C" w:rsidRPr="009E3412">
        <w:rPr>
          <w:rFonts w:ascii="Times New Roman" w:eastAsia="Times New Roman" w:hAnsi="Times New Roman" w:cs="Times New Roman"/>
        </w:rPr>
        <w:t xml:space="preserve"> database of SILVA Database 138 </w:t>
      </w:r>
      <w:r w:rsidR="00997C6C"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{"citationID":"XahQ61Cq","properties":{"formattedCitation":"[46]","plainCitation":"[46]","noteIndex":0},"citationItems":[{"id":696,"uris":["http://zotero.org/users/9893877/items/L3L4TJ39"],"itemData":{"id":696,"type":"article-journal","abstract":"SILVA (from Latin silva, forest, http://www.arb-silva.de) is a comprehensive web resource for up to date, quality-controlled databases of aligned ribosomal RNA (rRNA) gene sequences from the Bacteria, Archaea and Eukaryota domains and supplementary online services. The referred database release 111 (July 2012) contains 3 194 778 small subunit and 288 717 large subunit rRNA gene sequences. Since the initial description of the project, substantial new features have been introduced, including advanced quality control procedures, an improved rRNA gene aligner, online tools for probe and primer evaluation and optimized browsing, searching and downloading on the website. Furthermore, the extensively curated SILVA taxonomy and the new non-redundant SILVA datasets provide an ideal reference for high-throughput classification of data from next-generation sequencing approaches.","container-title":"Nucleic Acids Research","DOI":"10.1093/nar/gks1219","ISSN":"1362-4962","issue":"Database issue","journalAbbreviation":"Nucleic Acids Res","language":"eng","note":"PMID: 23193283\nPMCID: PMC3531112","page":"D590-596","source":"PubMed","title":"The SILVA ribosomal RNA gene database project: improved data processing and web-based tools","title-short":"The SILVA ribosomal RNA gene database project","volume":"41","author":[{"family":"Quast","given":"Christian"},{"family":"Pruesse","given":"Elmar"},{"family":"Yilmaz","given":"Pelin"},{"family":"Gerken","given":"Jan"},{"family":"Schweer","given":"Timmy"},{"family":"Yarza","given":"Pablo"},{"family":"Peplies","given":"Jörg"},{"family":"Glöckner","given":"Frank Oliver"}],"issued":{"date-parts":[["2013",1]]}}}],"schema":"https://github.com/citation-style-language/schema/raw/master/csl-citation.json"} </w:instrText>
      </w:r>
      <w:r w:rsidR="00997C6C" w:rsidRPr="009E3412">
        <w:rPr>
          <w:rFonts w:ascii="Times New Roman" w:eastAsia="Times New Roman" w:hAnsi="Times New Roman" w:cs="Times New Roman"/>
        </w:rPr>
        <w:fldChar w:fldCharType="separate"/>
      </w:r>
      <w:r w:rsidR="00CC6090" w:rsidRPr="009E3412">
        <w:rPr>
          <w:rFonts w:ascii="Times New Roman" w:hAnsi="Times New Roman" w:cs="Times New Roman"/>
        </w:rPr>
        <w:t>[46]</w:t>
      </w:r>
      <w:r w:rsidR="00997C6C" w:rsidRPr="009E3412">
        <w:rPr>
          <w:rFonts w:ascii="Times New Roman" w:eastAsia="Times New Roman" w:hAnsi="Times New Roman" w:cs="Times New Roman"/>
        </w:rPr>
        <w:fldChar w:fldCharType="end"/>
      </w:r>
      <w:r w:rsidR="00997C6C" w:rsidRPr="009E3412">
        <w:rPr>
          <w:rFonts w:ascii="Times New Roman" w:eastAsia="Times New Roman" w:hAnsi="Times New Roman" w:cs="Times New Roman"/>
        </w:rPr>
        <w:t xml:space="preserve">. </w:t>
      </w:r>
      <w:r w:rsidR="00C20C71" w:rsidRPr="009E3412">
        <w:rPr>
          <w:rFonts w:ascii="Times New Roman" w:eastAsia="Times New Roman" w:hAnsi="Times New Roman" w:cs="Times New Roman"/>
        </w:rPr>
        <w:t>OT</w:t>
      </w:r>
      <w:r w:rsidR="000019F6" w:rsidRPr="009E3412">
        <w:rPr>
          <w:rFonts w:ascii="Times New Roman" w:eastAsia="Times New Roman" w:hAnsi="Times New Roman" w:cs="Times New Roman"/>
        </w:rPr>
        <w:t>U</w:t>
      </w:r>
      <w:r w:rsidR="00C20C71" w:rsidRPr="009E3412">
        <w:rPr>
          <w:rFonts w:ascii="Times New Roman" w:eastAsia="Times New Roman" w:hAnsi="Times New Roman" w:cs="Times New Roman"/>
        </w:rPr>
        <w:t xml:space="preserve"> a</w:t>
      </w:r>
      <w:r w:rsidR="00A37020" w:rsidRPr="009E3412">
        <w:rPr>
          <w:rFonts w:ascii="Times New Roman" w:eastAsia="Times New Roman" w:hAnsi="Times New Roman" w:cs="Times New Roman"/>
        </w:rPr>
        <w:t xml:space="preserve">bundance </w:t>
      </w:r>
      <w:r w:rsidR="00C20C71" w:rsidRPr="009E3412">
        <w:rPr>
          <w:rFonts w:ascii="Times New Roman" w:eastAsia="Times New Roman" w:hAnsi="Times New Roman" w:cs="Times New Roman"/>
        </w:rPr>
        <w:t xml:space="preserve">data </w:t>
      </w:r>
      <w:r w:rsidR="00A37020" w:rsidRPr="009E3412">
        <w:rPr>
          <w:rFonts w:ascii="Times New Roman" w:eastAsia="Times New Roman" w:hAnsi="Times New Roman" w:cs="Times New Roman"/>
        </w:rPr>
        <w:t>were</w:t>
      </w:r>
      <w:r w:rsidR="00997C6C" w:rsidRPr="009E3412">
        <w:rPr>
          <w:rFonts w:ascii="Times New Roman" w:eastAsia="Times New Roman" w:hAnsi="Times New Roman" w:cs="Times New Roman"/>
        </w:rPr>
        <w:t xml:space="preserve"> normalised using a standard sequence number corresponding to the sample with the least sequences. Alpha</w:t>
      </w:r>
      <w:r w:rsidR="000B5B73" w:rsidRPr="009E3412">
        <w:rPr>
          <w:rFonts w:ascii="Times New Roman" w:eastAsia="Times New Roman" w:hAnsi="Times New Roman" w:cs="Times New Roman"/>
        </w:rPr>
        <w:t xml:space="preserve"> </w:t>
      </w:r>
      <w:r w:rsidR="00997C6C" w:rsidRPr="009E3412">
        <w:rPr>
          <w:rFonts w:ascii="Times New Roman" w:eastAsia="Times New Roman" w:hAnsi="Times New Roman" w:cs="Times New Roman"/>
        </w:rPr>
        <w:t>diversity was assessed using both Chao1 and Shannon H diversity ind</w:t>
      </w:r>
      <w:r w:rsidR="00A769D6" w:rsidRPr="009E3412">
        <w:rPr>
          <w:rFonts w:ascii="Times New Roman" w:eastAsia="Times New Roman" w:hAnsi="Times New Roman" w:cs="Times New Roman"/>
        </w:rPr>
        <w:t>ices</w:t>
      </w:r>
      <w:r w:rsidR="00C20C71" w:rsidRPr="009E3412">
        <w:rPr>
          <w:rFonts w:ascii="Times New Roman" w:eastAsia="Times New Roman" w:hAnsi="Times New Roman" w:cs="Times New Roman"/>
        </w:rPr>
        <w:t>,</w:t>
      </w:r>
      <w:r w:rsidR="00997C6C" w:rsidRPr="009E3412">
        <w:rPr>
          <w:rFonts w:ascii="Times New Roman" w:eastAsia="Times New Roman" w:hAnsi="Times New Roman" w:cs="Times New Roman"/>
        </w:rPr>
        <w:t xml:space="preserve"> whilst beta diversity was assessed using Bray–</w:t>
      </w:r>
      <w:proofErr w:type="gramStart"/>
      <w:r w:rsidR="00997C6C" w:rsidRPr="009E3412">
        <w:rPr>
          <w:rFonts w:ascii="Times New Roman" w:eastAsia="Times New Roman" w:hAnsi="Times New Roman" w:cs="Times New Roman"/>
        </w:rPr>
        <w:t>Curtis</w:t>
      </w:r>
      <w:proofErr w:type="gramEnd"/>
      <w:r w:rsidR="00CD3DA1" w:rsidRPr="009E3412">
        <w:rPr>
          <w:rFonts w:ascii="Times New Roman" w:eastAsia="Times New Roman" w:hAnsi="Times New Roman" w:cs="Times New Roman"/>
        </w:rPr>
        <w:t xml:space="preserve"> dissimilarity</w:t>
      </w:r>
      <w:r w:rsidR="00997C6C" w:rsidRPr="009E3412">
        <w:rPr>
          <w:rFonts w:ascii="Times New Roman" w:eastAsia="Times New Roman" w:hAnsi="Times New Roman" w:cs="Times New Roman"/>
        </w:rPr>
        <w:t>. Statistical significance was determined by Kruskal–Wallis or Permutational Multivariate Analysis of Variance (PERMANOVA). Comparisons at the phylum and genus level were made using classical univariate analysis using Kruskal–Wallis combined with a false discovery rate (FDR) approach used to correct for multiple testing.</w:t>
      </w:r>
      <w:r w:rsidR="00743B5B" w:rsidRPr="009E3412">
        <w:rPr>
          <w:rFonts w:ascii="Times New Roman" w:eastAsia="Times New Roman" w:hAnsi="Times New Roman" w:cs="Times New Roman"/>
        </w:rPr>
        <w:t xml:space="preserve"> P-values below 0.05 were considered statistically significant.</w:t>
      </w:r>
    </w:p>
    <w:p w14:paraId="25DE57C1" w14:textId="77777777" w:rsidR="00185781" w:rsidRPr="009E3412" w:rsidRDefault="00185781" w:rsidP="00BE31DC">
      <w:pPr>
        <w:pStyle w:val="NoSpacing"/>
      </w:pPr>
    </w:p>
    <w:p w14:paraId="68D63106" w14:textId="151DC5E0" w:rsidR="00150AD6" w:rsidRPr="009E3412" w:rsidRDefault="00033AD5">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2.</w:t>
      </w:r>
      <w:r w:rsidR="00837255" w:rsidRPr="009E3412">
        <w:rPr>
          <w:rFonts w:ascii="Times New Roman" w:eastAsia="Times New Roman" w:hAnsi="Times New Roman" w:cs="Times New Roman"/>
        </w:rPr>
        <w:t>3</w:t>
      </w:r>
      <w:r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Metabolite Profiling</w:t>
      </w:r>
    </w:p>
    <w:p w14:paraId="3F7AE959" w14:textId="720B43AF" w:rsidR="00BB428F" w:rsidRPr="009E3412" w:rsidRDefault="00BB428F" w:rsidP="00C34479">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Serum samples were diluted with methanol at a ratio of 1:10 (v/v) and placed on dry ice for 10 min. Samples were then centrifuged (5 min, 16,000x g at room temp), supernatants filtered using a 0.45 µM PTFE syringe filter and evaporated to dryness using a Savant™ </w:t>
      </w:r>
      <w:proofErr w:type="spellStart"/>
      <w:r w:rsidRPr="009E3412">
        <w:rPr>
          <w:rFonts w:ascii="Times New Roman" w:eastAsia="Times New Roman" w:hAnsi="Times New Roman" w:cs="Times New Roman"/>
        </w:rPr>
        <w:t>SpeedVac</w:t>
      </w:r>
      <w:proofErr w:type="spellEnd"/>
      <w:r w:rsidRPr="009E3412">
        <w:rPr>
          <w:rFonts w:ascii="Times New Roman" w:eastAsia="Times New Roman" w:hAnsi="Times New Roman" w:cs="Times New Roman"/>
        </w:rPr>
        <w:t>™ High-Capacity Concentrator (</w:t>
      </w:r>
      <w:proofErr w:type="spellStart"/>
      <w:r w:rsidRPr="009E3412">
        <w:rPr>
          <w:rFonts w:ascii="Times New Roman" w:eastAsia="Times New Roman" w:hAnsi="Times New Roman" w:cs="Times New Roman"/>
        </w:rPr>
        <w:t>Thermofisher</w:t>
      </w:r>
      <w:proofErr w:type="spellEnd"/>
      <w:r w:rsidRPr="009E3412">
        <w:rPr>
          <w:rFonts w:ascii="Times New Roman" w:eastAsia="Times New Roman" w:hAnsi="Times New Roman" w:cs="Times New Roman"/>
        </w:rPr>
        <w:t xml:space="preserve">, UK). Dried samples were resuspended in either 50 µL of methanol with the addition of 15 µL of lithocholic acid-d4 and cholic acid-d4 at 50 µg/mL for the detection of bile acids, 50 µL water with TMA-d9 N-oxide, TMA 13C 15N hydrochloride at 50 µg/mL for the detection </w:t>
      </w:r>
      <w:r w:rsidRPr="009E3412">
        <w:rPr>
          <w:rFonts w:ascii="Times New Roman" w:eastAsia="Times New Roman" w:hAnsi="Times New Roman" w:cs="Times New Roman"/>
        </w:rPr>
        <w:lastRenderedPageBreak/>
        <w:t>of TMAO/TMA/choline or 50 µL water with 15 µL of L-methionine-3, 3, 4, 4 d4 and p-</w:t>
      </w:r>
      <w:proofErr w:type="spellStart"/>
      <w:r w:rsidRPr="009E3412">
        <w:rPr>
          <w:rFonts w:ascii="Times New Roman" w:eastAsia="Times New Roman" w:hAnsi="Times New Roman" w:cs="Times New Roman"/>
        </w:rPr>
        <w:t>toluenesulfonic</w:t>
      </w:r>
      <w:proofErr w:type="spellEnd"/>
      <w:r w:rsidRPr="009E3412">
        <w:rPr>
          <w:rFonts w:ascii="Times New Roman" w:eastAsia="Times New Roman" w:hAnsi="Times New Roman" w:cs="Times New Roman"/>
        </w:rPr>
        <w:t xml:space="preserve"> acid at 50 µg/mL for the detection of tryptophan and </w:t>
      </w:r>
      <w:r w:rsidRPr="009E3412">
        <w:rPr>
          <w:rFonts w:ascii="Times New Roman" w:eastAsia="Times New Roman" w:hAnsi="Times New Roman" w:cs="Times New Roman"/>
          <w:i/>
          <w:iCs/>
        </w:rPr>
        <w:t>p</w:t>
      </w:r>
      <w:r w:rsidRPr="009E3412">
        <w:rPr>
          <w:rFonts w:ascii="Times New Roman" w:eastAsia="Times New Roman" w:hAnsi="Times New Roman" w:cs="Times New Roman"/>
        </w:rPr>
        <w:t xml:space="preserve">-cresol metabolites respectively. All internal standards were supplied </w:t>
      </w:r>
      <w:r w:rsidR="00A769D6" w:rsidRPr="009E3412">
        <w:rPr>
          <w:rFonts w:ascii="Times New Roman" w:eastAsia="Times New Roman" w:hAnsi="Times New Roman" w:cs="Times New Roman"/>
        </w:rPr>
        <w:t xml:space="preserve">by </w:t>
      </w:r>
      <w:proofErr w:type="spellStart"/>
      <w:r w:rsidRPr="009E3412">
        <w:rPr>
          <w:rFonts w:ascii="Times New Roman" w:eastAsia="Times New Roman" w:hAnsi="Times New Roman" w:cs="Times New Roman"/>
        </w:rPr>
        <w:t>Thermofisher</w:t>
      </w:r>
      <w:proofErr w:type="spellEnd"/>
      <w:r w:rsidRPr="009E3412">
        <w:rPr>
          <w:rFonts w:ascii="Times New Roman" w:eastAsia="Times New Roman" w:hAnsi="Times New Roman" w:cs="Times New Roman"/>
        </w:rPr>
        <w:t xml:space="preserve">, UK. Samples were analysed using </w:t>
      </w:r>
      <w:r w:rsidR="000B5B73" w:rsidRPr="009E3412">
        <w:rPr>
          <w:rFonts w:ascii="Times New Roman" w:eastAsia="Times New Roman" w:hAnsi="Times New Roman" w:cs="Times New Roman"/>
        </w:rPr>
        <w:t xml:space="preserve">the </w:t>
      </w:r>
      <w:r w:rsidRPr="009E3412">
        <w:rPr>
          <w:rFonts w:ascii="Times New Roman" w:eastAsia="Times New Roman" w:hAnsi="Times New Roman" w:cs="Times New Roman"/>
        </w:rPr>
        <w:t xml:space="preserve">Waters </w:t>
      </w:r>
      <w:proofErr w:type="spellStart"/>
      <w:r w:rsidRPr="009E3412">
        <w:rPr>
          <w:rFonts w:ascii="Times New Roman" w:eastAsia="Times New Roman" w:hAnsi="Times New Roman" w:cs="Times New Roman"/>
        </w:rPr>
        <w:t>Acquity</w:t>
      </w:r>
      <w:proofErr w:type="spellEnd"/>
      <w:r w:rsidRPr="009E3412">
        <w:rPr>
          <w:rFonts w:ascii="Times New Roman" w:eastAsia="Times New Roman" w:hAnsi="Times New Roman" w:cs="Times New Roman"/>
        </w:rPr>
        <w:t xml:space="preserve"> UPLC system and </w:t>
      </w:r>
      <w:proofErr w:type="spellStart"/>
      <w:r w:rsidRPr="009E3412">
        <w:rPr>
          <w:rFonts w:ascii="Times New Roman" w:eastAsia="Times New Roman" w:hAnsi="Times New Roman" w:cs="Times New Roman"/>
        </w:rPr>
        <w:t>Xevo</w:t>
      </w:r>
      <w:proofErr w:type="spellEnd"/>
      <w:r w:rsidRPr="009E3412">
        <w:rPr>
          <w:rFonts w:ascii="Times New Roman" w:eastAsia="Times New Roman" w:hAnsi="Times New Roman" w:cs="Times New Roman"/>
        </w:rPr>
        <w:t xml:space="preserve"> TQ-S Cronos mass spectrometer with </w:t>
      </w:r>
      <w:proofErr w:type="spellStart"/>
      <w:r w:rsidRPr="009E3412">
        <w:rPr>
          <w:rFonts w:ascii="Times New Roman" w:eastAsia="Times New Roman" w:hAnsi="Times New Roman" w:cs="Times New Roman"/>
        </w:rPr>
        <w:t>MassLynx</w:t>
      </w:r>
      <w:proofErr w:type="spellEnd"/>
      <w:r w:rsidRPr="009E3412">
        <w:rPr>
          <w:rFonts w:ascii="Times New Roman" w:eastAsia="Times New Roman" w:hAnsi="Times New Roman" w:cs="Times New Roman"/>
        </w:rPr>
        <w:t xml:space="preserve"> 4.1 software. See supplementary methods for full details.</w:t>
      </w:r>
    </w:p>
    <w:p w14:paraId="7E0E91D1" w14:textId="77777777" w:rsidR="00BE31DC" w:rsidRPr="009E3412" w:rsidRDefault="00BE31DC" w:rsidP="00BE31DC">
      <w:pPr>
        <w:pStyle w:val="NoSpacing"/>
      </w:pPr>
    </w:p>
    <w:p w14:paraId="0046AC8C" w14:textId="7B844668" w:rsidR="00150AD6" w:rsidRPr="009E3412" w:rsidRDefault="00033AD5">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2.</w:t>
      </w:r>
      <w:r w:rsidR="00837255" w:rsidRPr="009E3412">
        <w:rPr>
          <w:rFonts w:ascii="Times New Roman" w:eastAsia="Times New Roman" w:hAnsi="Times New Roman" w:cs="Times New Roman"/>
        </w:rPr>
        <w:t>4</w:t>
      </w:r>
      <w:r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 xml:space="preserve">Statistical Analyses </w:t>
      </w:r>
    </w:p>
    <w:p w14:paraId="32561881" w14:textId="681375D1" w:rsidR="00150AD6" w:rsidRPr="009E3412" w:rsidRDefault="005E7A1D">
      <w:pPr>
        <w:spacing w:before="240" w:line="360" w:lineRule="auto"/>
        <w:jc w:val="both"/>
        <w:rPr>
          <w:rFonts w:ascii="Times New Roman" w:eastAsia="Times New Roman" w:hAnsi="Times New Roman" w:cs="Times New Roman"/>
        </w:rPr>
      </w:pPr>
      <w:r w:rsidRPr="009E3412">
        <w:rPr>
          <w:rFonts w:ascii="Times New Roman" w:hAnsi="Times New Roman" w:cs="Times New Roman"/>
          <w:bdr w:val="none" w:sz="0" w:space="0" w:color="auto" w:frame="1"/>
          <w:shd w:val="clear" w:color="auto" w:fill="FFFFFF"/>
        </w:rPr>
        <w:t>Orthogonal Partial Least Squares–Discriminant Analysis (OPLS-DA)</w:t>
      </w:r>
      <w:r w:rsidR="0078590C" w:rsidRPr="009E3412">
        <w:rPr>
          <w:rFonts w:ascii="Times New Roman" w:eastAsia="Times New Roman" w:hAnsi="Times New Roman" w:cs="Times New Roman"/>
        </w:rPr>
        <w:t xml:space="preserve"> was performed </w:t>
      </w:r>
      <w:r w:rsidR="00996A0B" w:rsidRPr="009E3412">
        <w:rPr>
          <w:rFonts w:ascii="Times New Roman" w:eastAsia="Times New Roman" w:hAnsi="Times New Roman" w:cs="Times New Roman"/>
        </w:rPr>
        <w:t xml:space="preserve">using </w:t>
      </w:r>
      <w:proofErr w:type="spellStart"/>
      <w:r w:rsidR="00996A0B" w:rsidRPr="009E3412">
        <w:rPr>
          <w:rFonts w:ascii="Times New Roman" w:eastAsia="Times New Roman" w:hAnsi="Times New Roman" w:cs="Times New Roman"/>
        </w:rPr>
        <w:t>Metaboanalyst</w:t>
      </w:r>
      <w:proofErr w:type="spellEnd"/>
      <w:r w:rsidR="00996A0B" w:rsidRPr="009E3412">
        <w:rPr>
          <w:rFonts w:ascii="Times New Roman" w:eastAsia="Times New Roman" w:hAnsi="Times New Roman" w:cs="Times New Roman"/>
        </w:rPr>
        <w:t xml:space="preserve"> (v5.0),</w:t>
      </w:r>
      <w:r w:rsidR="0078590C" w:rsidRPr="009E3412">
        <w:rPr>
          <w:rFonts w:ascii="Times New Roman" w:eastAsia="Times New Roman" w:hAnsi="Times New Roman" w:cs="Times New Roman"/>
        </w:rPr>
        <w:t xml:space="preserve"> a web-based multivariate analysis tool </w:t>
      </w:r>
      <w:r w:rsidR="0078590C"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{"citationID":"jktinQk6","properties":{"formattedCitation":"[47]","plainCitation":"[47]","noteIndex":0},"citationItems":[{"id":729,"uris":["http://zotero.org/users/9893877/items/MJACYNYH"],"itemData":{"id":729,"type":"article-journal","abstract":"Liquid chromatography coupled with high-resolution mass spectrometry (LC–HRMS) has become a workhorse in global metabolomics studies with growing applications across biomedical and environmental sciences. However, outstanding bioinformatics challenges in terms of data processing, statistical analysis and functional interpretation remain critical barriers to the wider adoption of this technology. To help the user community overcome these barriers, we have made major updates to the well-established MetaboAnalyst platform (www.metaboanalyst.ca). This protocol extends the previous 2011 Nature Protocol by providing stepwise instructions on how to use MetaboAnalyst 5.0 to: optimize parameters for LC–HRMS spectra processing; obtain functional insights from peak list data; integrate metabolomics data with transcriptomics data or combine multiple metabolomics datasets; conduct exploratory statistical analysis with complex metadata. Parameter optimization may take ~2 h to complete depending on the server load, and the remaining three stages may be executed in ~60 min.","container-title":"Nature Protocols","DOI":"10.1038/s41596-022-00710-w","ISSN":"1750-2799","issue":"8","journalAbbreviation":"Nat Protoc","language":"en","license":"2022 Springer Nature Limited","note":"number: 8\npublisher: Nature Publishing Group","page":"1735-1761","source":"www.nature.com","title":"Using MetaboAnalyst 5.0 for LC–HRMS spectra processing, multi-omics integration and covariate adjustment of global metabolomics data","volume":"17","author":[{"family":"Pang","given":"Zhiqiang"},{"family":"Zhou","given":"Guangyan"},{"family":"Ewald","given":"Jessica"},{"family":"Chang","given":"Le"},{"family":"Hacariz","given":"Orcun"},{"family":"Basu","given":"Niladri"},{"family":"Xia","given":"Jianguo"}],"issued":{"date-parts":[["2022",8]]}}}],"schema":"https://github.com/citation-style-language/schema/raw/master/csl-citation.json"} </w:instrText>
      </w:r>
      <w:r w:rsidR="0078590C" w:rsidRPr="009E3412">
        <w:rPr>
          <w:rFonts w:ascii="Times New Roman" w:eastAsia="Times New Roman" w:hAnsi="Times New Roman" w:cs="Times New Roman"/>
        </w:rPr>
        <w:fldChar w:fldCharType="separate"/>
      </w:r>
      <w:r w:rsidR="00CC6090" w:rsidRPr="009E3412">
        <w:rPr>
          <w:rFonts w:ascii="Times New Roman" w:hAnsi="Times New Roman" w:cs="Times New Roman"/>
        </w:rPr>
        <w:t>[47]</w:t>
      </w:r>
      <w:r w:rsidR="0078590C" w:rsidRPr="009E3412">
        <w:rPr>
          <w:rFonts w:ascii="Times New Roman" w:eastAsia="Times New Roman" w:hAnsi="Times New Roman" w:cs="Times New Roman"/>
        </w:rPr>
        <w:fldChar w:fldCharType="end"/>
      </w:r>
      <w:r w:rsidR="0078590C"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 xml:space="preserve">Significant associations </w:t>
      </w:r>
      <w:r w:rsidR="00BC0A96" w:rsidRPr="009E3412">
        <w:rPr>
          <w:rFonts w:ascii="Times New Roman" w:eastAsia="Times New Roman" w:hAnsi="Times New Roman" w:cs="Times New Roman"/>
        </w:rPr>
        <w:t xml:space="preserve">of metabolites </w:t>
      </w:r>
      <w:r w:rsidR="00AE66B3" w:rsidRPr="009E3412">
        <w:rPr>
          <w:rFonts w:ascii="Times New Roman" w:eastAsia="Times New Roman" w:hAnsi="Times New Roman" w:cs="Times New Roman"/>
        </w:rPr>
        <w:t xml:space="preserve">with cognitive status </w:t>
      </w:r>
      <w:r w:rsidR="0082522C" w:rsidRPr="009E3412">
        <w:rPr>
          <w:rFonts w:ascii="Times New Roman" w:eastAsia="Times New Roman" w:hAnsi="Times New Roman" w:cs="Times New Roman"/>
        </w:rPr>
        <w:t xml:space="preserve">were </w:t>
      </w:r>
      <w:r w:rsidR="00BC0A96" w:rsidRPr="009E3412">
        <w:rPr>
          <w:rFonts w:ascii="Times New Roman" w:eastAsia="Times New Roman" w:hAnsi="Times New Roman" w:cs="Times New Roman"/>
        </w:rPr>
        <w:t>identified</w:t>
      </w:r>
      <w:r w:rsidR="0082522C" w:rsidRPr="009E3412">
        <w:rPr>
          <w:rFonts w:ascii="Times New Roman" w:eastAsia="Times New Roman" w:hAnsi="Times New Roman" w:cs="Times New Roman"/>
        </w:rPr>
        <w:t xml:space="preserve"> using multiple linear regression </w:t>
      </w:r>
      <w:r w:rsidR="00BC4F9F" w:rsidRPr="009E3412">
        <w:rPr>
          <w:rFonts w:ascii="Times New Roman" w:eastAsia="Times New Roman" w:hAnsi="Times New Roman" w:cs="Times New Roman"/>
        </w:rPr>
        <w:t>analysis</w:t>
      </w:r>
      <w:r w:rsidR="0082522C" w:rsidRPr="009E3412">
        <w:rPr>
          <w:rFonts w:ascii="Times New Roman" w:eastAsia="Times New Roman" w:hAnsi="Times New Roman" w:cs="Times New Roman"/>
        </w:rPr>
        <w:t xml:space="preserve">. </w:t>
      </w:r>
      <w:r w:rsidR="001F7C6F" w:rsidRPr="009E3412">
        <w:rPr>
          <w:rFonts w:ascii="Times New Roman" w:eastAsia="Times New Roman" w:hAnsi="Times New Roman" w:cs="Times New Roman"/>
        </w:rPr>
        <w:t xml:space="preserve">Separate regression models were conducted for each metabolite as the outcome variable to </w:t>
      </w:r>
      <w:r w:rsidR="00996A0B" w:rsidRPr="009E3412">
        <w:rPr>
          <w:rFonts w:ascii="Times New Roman" w:eastAsia="Times New Roman" w:hAnsi="Times New Roman" w:cs="Times New Roman"/>
        </w:rPr>
        <w:t xml:space="preserve">assess potential </w:t>
      </w:r>
      <w:r w:rsidR="001F7C6F" w:rsidRPr="009E3412">
        <w:rPr>
          <w:rFonts w:ascii="Times New Roman" w:eastAsia="Times New Roman" w:hAnsi="Times New Roman" w:cs="Times New Roman"/>
        </w:rPr>
        <w:t xml:space="preserve">associations with early </w:t>
      </w:r>
      <w:r w:rsidR="009C4F63" w:rsidRPr="009E3412">
        <w:rPr>
          <w:rFonts w:ascii="Times New Roman" w:hAnsi="Times New Roman" w:cs="Times New Roman"/>
          <w:bdr w:val="none" w:sz="0" w:space="0" w:color="auto" w:frame="1"/>
          <w:shd w:val="clear" w:color="auto" w:fill="FFFFFF"/>
        </w:rPr>
        <w:t>cognitive decline</w:t>
      </w:r>
      <w:r w:rsidR="001F7C6F" w:rsidRPr="009E3412">
        <w:rPr>
          <w:rFonts w:ascii="Times New Roman" w:eastAsia="Times New Roman" w:hAnsi="Times New Roman" w:cs="Times New Roman"/>
        </w:rPr>
        <w:t xml:space="preserve">. </w:t>
      </w:r>
      <w:r w:rsidR="00885D20" w:rsidRPr="009E3412">
        <w:rPr>
          <w:rFonts w:ascii="Times New Roman" w:eastAsia="Times New Roman" w:hAnsi="Times New Roman" w:cs="Times New Roman"/>
        </w:rPr>
        <w:t>C</w:t>
      </w:r>
      <w:r w:rsidR="0082522C" w:rsidRPr="009E3412">
        <w:rPr>
          <w:rFonts w:ascii="Times New Roman" w:eastAsia="Times New Roman" w:hAnsi="Times New Roman" w:cs="Times New Roman"/>
        </w:rPr>
        <w:t xml:space="preserve">ovariates known to </w:t>
      </w:r>
      <w:r w:rsidR="00FE7DF6" w:rsidRPr="009E3412">
        <w:rPr>
          <w:rFonts w:ascii="Times New Roman" w:eastAsia="Times New Roman" w:hAnsi="Times New Roman" w:cs="Times New Roman"/>
        </w:rPr>
        <w:t>affect</w:t>
      </w:r>
      <w:r w:rsidR="0082522C" w:rsidRPr="009E3412">
        <w:rPr>
          <w:rFonts w:ascii="Times New Roman" w:eastAsia="Times New Roman" w:hAnsi="Times New Roman" w:cs="Times New Roman"/>
        </w:rPr>
        <w:t xml:space="preserve"> </w:t>
      </w:r>
      <w:r w:rsidR="001E17AA" w:rsidRPr="009E3412">
        <w:rPr>
          <w:rFonts w:ascii="Times New Roman" w:eastAsia="Times New Roman" w:hAnsi="Times New Roman" w:cs="Times New Roman"/>
        </w:rPr>
        <w:t xml:space="preserve">metabolome or </w:t>
      </w:r>
      <w:r w:rsidR="0082522C" w:rsidRPr="009E3412">
        <w:rPr>
          <w:rFonts w:ascii="Times New Roman" w:eastAsia="Times New Roman" w:hAnsi="Times New Roman" w:cs="Times New Roman"/>
        </w:rPr>
        <w:t>microbiome composition</w:t>
      </w:r>
      <w:r w:rsidR="00F93FF7" w:rsidRPr="009E3412">
        <w:rPr>
          <w:rFonts w:ascii="Times New Roman" w:eastAsia="Times New Roman" w:hAnsi="Times New Roman" w:cs="Times New Roman"/>
        </w:rPr>
        <w:t>,</w:t>
      </w:r>
      <w:r w:rsidR="00FE7DF6"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includ</w:t>
      </w:r>
      <w:r w:rsidR="00885D20" w:rsidRPr="009E3412">
        <w:rPr>
          <w:rFonts w:ascii="Times New Roman" w:eastAsia="Times New Roman" w:hAnsi="Times New Roman" w:cs="Times New Roman"/>
        </w:rPr>
        <w:t>ing</w:t>
      </w:r>
      <w:r w:rsidR="0082522C" w:rsidRPr="009E3412">
        <w:rPr>
          <w:rFonts w:ascii="Times New Roman" w:eastAsia="Times New Roman" w:hAnsi="Times New Roman" w:cs="Times New Roman"/>
        </w:rPr>
        <w:t xml:space="preserve"> age, BMI</w:t>
      </w:r>
      <w:r w:rsidR="001E17AA" w:rsidRPr="009E3412">
        <w:rPr>
          <w:rFonts w:ascii="Times New Roman" w:eastAsia="Times New Roman" w:hAnsi="Times New Roman" w:cs="Times New Roman"/>
        </w:rPr>
        <w:t>, diet and markers of kidney function (creatinine) and liver function (AST/ALT ratio)</w:t>
      </w:r>
      <w:r w:rsidR="00AA11DC" w:rsidRPr="009E3412">
        <w:rPr>
          <w:rFonts w:ascii="Times New Roman" w:eastAsia="Times New Roman" w:hAnsi="Times New Roman" w:cs="Times New Roman"/>
        </w:rPr>
        <w:t xml:space="preserve">, were </w:t>
      </w:r>
      <w:r w:rsidR="00F25E5E" w:rsidRPr="009E3412">
        <w:rPr>
          <w:rFonts w:ascii="Times New Roman" w:eastAsia="Times New Roman" w:hAnsi="Times New Roman" w:cs="Times New Roman"/>
        </w:rPr>
        <w:t>included in</w:t>
      </w:r>
      <w:r w:rsidR="00E2135C" w:rsidRPr="009E3412">
        <w:rPr>
          <w:rFonts w:ascii="Times New Roman" w:eastAsia="Times New Roman" w:hAnsi="Times New Roman" w:cs="Times New Roman"/>
        </w:rPr>
        <w:t xml:space="preserve"> the model</w:t>
      </w:r>
      <w:r w:rsidR="001E17AA" w:rsidRPr="009E3412">
        <w:rPr>
          <w:rFonts w:ascii="Times New Roman" w:eastAsia="Times New Roman" w:hAnsi="Times New Roman" w:cs="Times New Roman"/>
        </w:rPr>
        <w:t xml:space="preserve"> </w:t>
      </w:r>
      <w:r w:rsidR="001E17AA"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iNCf1Dr3","properties":{"formattedCitation":"[48\\uc0\\u8211{}52]","plainCitation":"[48–52]","noteIndex":0},"citationItems":[{"id":1202,"uris":["http://zotero.org/users/9893877/items/3PI3FMK2"],"itemData":{"id":1202,"type":"article-journal","abstract":"Background:\nThe markers of renal function test assess the normal functioning of kidneys. These markers may be radioactive and non radioactive. They indicate the glomerular filtration rate, concentrating and diluting capacity of kidneys (tubular function). If there is an increase or decrease in the valves of these markers it indicates dysfunction of kidney.\n\nAim:\nThe aim of this review is to compare and analyze the present and newer markers of renal function tests which help in diagnosis of clinical disorders.\n\nMaterial &amp; Methods:\nAn extensive literature survey was done aiming to compare and compile renal function tests makers required in diagnosis of diseases.\n\nResults:\nCreatinine, urea, uric acid and electrolytes are makers for routine analysis whereas several studies have confirmed and consolidated the usefulness of markers such as cystatin C and β-Trace Protein.\n\nConclusion:\nWe conclude that further investigation is necessary to define these biomarkers in terms of usefulness in assessing renal function.","container-title":"North American Journal of Medical Sciences","ISSN":"2250-1541","issue":"4","journalAbbreviation":"N Am J Med Sci","note":"PMID: 22624135\nPMCID: PMC3354405","page":"170-173","source":"PubMed Central","title":"Markers of renal function tests","volume":"2","author":[{"family":"Gowda","given":"Shivaraj"},{"family":"Desai","given":"Prakash B."},{"family":"Kulkarni","given":"Shruthi S."},{"family":"Hull","given":"Vinayak V."},{"family":"Math","given":"Avinash A. K."},{"family":"Vernekar","given":"Sonal N."}],"issued":{"date-parts":[["2010",4]]}}},{"id":1205,"uris":["http://zotero.org/users/9893877/items/IR4TP2JZ"],"itemData":{"id":1205,"type":"article-journal","abstract":"The ratio of the serum aspartate to alanine amino-transferase levels (AST/ALT) is often used as a clue to the etiology of the underlying liver disease. This ratio is usually greater than 2.0 in alcoholic liver disease and less than 1.0 in patients with chronic hepatitis and chronic cholestatic syndromes. We analyzed the AST/ALT ratio in 177 patients with various forms of nonalcoholic chronic liver disease who underwent medical evaluation and percutaneous liver biopsy. In the majority of cases of chronic viral hepatitis, the AST/ALT ratio was less than 1.0. However, there was a statistically significant correlation between the AST/ALT ratio and the presence of cirrhosis. Among 100 patients with chronic type B hepatitis, the mean AST/ALT ratio was 0.59 in those without cirrhosis and 1.02 in those with cirrhosis. Furthermore, the AST/ALT ratio often rose to greater than 1.0 when cirrhosis first became manifest. Thus, the finding of an AST/ALT ratio of greater than 1.0 in a patient with nonalcoholic liver disease should suggest the presence of cirrhosis. In addition, the use of the AST/ALT ratio as a means of separating alcoholic and nonalcoholic liver disease must be tempered with the knowledge that this ratio may be less helpful in the presence of cirrhosis.","container-title":"Gastroenterology","DOI":"10.1016/s0016-5085(88)80022-2","ISSN":"0016-5085","issue":"3","journalAbbreviation":"Gastroenterology","language":"eng","note":"PMID: 3135226","page":"734-739","source":"PubMed","title":"Ratio of serum aspartate to alanine aminotransferase in chronic hepatitis. Relationship to cirrhosis","volume":"95","author":[{"family":"Williams","given":"A. L."},{"family":"Hoofnagle","given":"J. H."}],"issued":{"date-parts":[["1988",9]]}}},{"id":1176,"uris":["http://zotero.org/users/9893877/items/QDIA9DHL","http://zotero.org/users/9893877/items/7GCY9YKS"],"itemData":{"id":1176,"type":"article-journal","abstract":"The ratio of serum aspartate aminotransferase to alanine aminotransferase (AST/ALT ratio) has been proposed as a noninvasive method of assessing liver fibrosis and cirrhosis. Our aims were to confirm the usefulness of the AST/ALT ratio in diagnosing cirrhosis noninvasively as well as to verify the existence of a relationship between the ratio and liver functional impairment. In all, 348 patients (177 with chronic hepatitis, 171 with cirrhosis) were retrospectively evaluated and the AST/ALT ratio was related to monoethyl glycine xylidide (MEGX) formation. Moreover, in a subgroup of 54 patients we analyzed the relationships among the AST/ALT ratio and indocyanine green clearance and half-life. The AST/ALT ratio was able to separate patients with mild fibrosis from those with severe fibrosis and cirrhosis. The AST/ALT ratio, MEGX, prothrombin activity, and platelet count were selected by multivariate analysis as variables associated with cirrhosis. The AST/ALT ratio showed significant correlations both with MEGX formation and with indocyanine green clearance and half-life. The alterations of indocyanine green kinetics, which depend upon liver blood flow and uptake, were likely due to progressive fibrosis. These findings might partially explain the increase in the AST/ALT ratio as disease progresses.","container-title":"Digestive Diseases and Sciences","DOI":"10.1023/a:1026609231094","ISSN":"0163-2116","issue":"6","journalAbbreviation":"Dig Dis Sci","language":"eng","note":"PMID: 10389705","page":"1249-1253","source":"PubMed","title":"Progressive liver functional impairment is associated with an increase in AST/ALT ratio","volume":"44","author":[{"family":"Giannini","given":"E."},{"family":"Botta","given":"F."},{"family":"Fasoli","given":"A."},{"family":"Ceppa","given":"P."},{"family":"Risso","given":"D."},{"family":"Lantieri","given":"P. B."},{"family":"Celle","given":"G."},{"family":"Testa","given":"R."}],"issued":{"date-parts":[["1999",6]]}}},{"id":1210,"uris":["http://zotero.org/users/9893877/items/7G46Y9X2"],"itemData":{"id":1210,"type":"article-journal","abstract":"Background\nObesity in the older adults is a health concern that increases the risk of several life-threatening diseases. Previous research has been revealed that alterations in the gut microbiota composition is related to obesity. So, understanding the gut microbiota changes in older adults' obesity may help to provide promising strategies for their health management.\nObjectives\nHere we conducted a systematic review that investigate the alteration of gut microbiota composition in association with obesity and its indices in the older adults.\nDesign\nSystematic review.\nSetting\nA comprehensive systematic search was performed through PubMed, Web of Science, Scopus and Embase databases for all relative studies up to 2023 with the main search concepts as Microbiota, Obesity and Elderly. The data about gut microbiota in association with obesity indices had been extracted.\nParticipants\nOlder adults (≥60 years).\nIntervention\nNone.\nMeasurements\nNone.\nResults\nWithin 10741 recordes, 11 studies met the inclusion criteria and were included in this systematic review. Most of them indicated the gut microbiota alterations in obese compared with non-obese older adults. However, the gut microbiome composition in obese older adults is affected by other underlying diseases like diabetes and metabolic syndrome. The most important taxa that had abundance alteration in association with obesity in older adults were Christensenellaceae, Porphyromonadaceae and Rikenellaceae, Akkermansia, Blautia, Prevotella, Ruminococcus, Bacteroides and Faecalibacterium.\nConclusion\nThe gut microbiota composition is associated with obesity in older adults. Considering the other factors affecting the composition of gut microbiota, such as age, underlying diseases and lifestyle, a more accurate conclusion about this matter requires more future studies.","container-title":"The Journal of nutrition, health and aging","DOI":"10.1007/s12603-023-1988-8","ISSN":"1279-7707","issue":"10","journalAbbreviation":"The Journal of nutrition, health and aging","page":"817-823","source":"ScienceDirect","title":"Alteration in Gut Microbiota Composition of Older Adults Is Associated with Obesity and Its Indices: A Systematic Review","title-short":"Alteration in Gut Microbiota Composition of Older Adults Is Associated with Obesity and Its Indices","volume":"27","author":[{"family":"Tavassol","given":"Z. Hoseini"},{"family":"Ejtahed","given":"H. -S."},{"family":"Atlasi","given":"R."},{"family":"Saghafian","given":"F."},{"family":"Khalagi","given":"K."},{"family":"Hasani-Ranjbar","given":"Shirin"},{"family":"Siadat","given":"S. D."},{"family":"Nabipour","given":"I."},{"family":"Ostovar","given":"A."},{"family":"Larijani","given":"B."}],"issued":{"date-parts":[["2023",9,23]]}}},{"id":1207,"uris":["http://zotero.org/users/9893877/items/BSZTARP8"],"itemData":{"id":1207,"type":"article-journal","abstract":"The human gut is inhabited by trillions of microorganisms composing a dynamic ecosystem implicated in health and disease. The composition of the gut microbiota is unique to each individual and tends to remain relatively stable throughout life, yet daily transient fluctuations are observed. Diet is a key modifiable factor influencing the composition of the gut microbiota, indicating the potential for therapeutic dietary strategies to manipulate microbial diversity, composition, and stability. While diet can induce a shift in the gut microbiota, these changes appear to be temporary. Whether prolonged dietary changes can induce permanent alterations in the gut microbiota is unknown, mainly due to a lack of long-term human dietary interventions, or long-term follow-ups of short-term dietary interventions. It is possible that habitual diets have a greater influence on the gut microbiota than acute dietary strategies. This review presents the current knowledge around the response of the gut microbiota to short-term and long-term dietary interventions and identifies major factors that contribute to microbiota response to diet. Overall, further research on long-term diets that include health and microbiome measures is required before clinical recommendations can be made for dietary modulation of the gut microbiota for health.","container-title":"Nutrients","DOI":"10.3390/nu11122862","ISSN":"2072-6643","issue":"12","journalAbbreviation":"Nutrients","note":"PMID: 31766592\nPMCID: PMC6950569","page":"2862","source":"PubMed Central","title":"Effect of Diet on the Gut Microbiota: Rethinking Intervention Duration","title-short":"Effect of Diet on the Gut Microbiota","volume":"11","author":[{"family":"Leeming","given":"Emily R"},{"family":"Johnson","given":"Abigail J"},{"family":"Spector","given":"Tim D"},{"family":"Le Roy","given":"Caroline I"}],"issued":{"date-parts":[["2019",11,22]]}}}],"schema":"https://github.com/citation-style-language/schema/raw/master/csl-citation.json"} </w:instrText>
      </w:r>
      <w:r w:rsidR="001E17AA" w:rsidRPr="009E3412">
        <w:rPr>
          <w:rFonts w:ascii="Times New Roman" w:eastAsia="Times New Roman" w:hAnsi="Times New Roman" w:cs="Times New Roman"/>
        </w:rPr>
        <w:fldChar w:fldCharType="separate"/>
      </w:r>
      <w:r w:rsidR="00CC6090" w:rsidRPr="009E3412">
        <w:rPr>
          <w:rFonts w:ascii="Times New Roman" w:hAnsi="Times New Roman" w:cs="Times New Roman"/>
        </w:rPr>
        <w:t>[48–52]</w:t>
      </w:r>
      <w:r w:rsidR="001E17AA" w:rsidRPr="009E3412">
        <w:rPr>
          <w:rFonts w:ascii="Times New Roman" w:eastAsia="Times New Roman" w:hAnsi="Times New Roman" w:cs="Times New Roman"/>
        </w:rPr>
        <w:fldChar w:fldCharType="end"/>
      </w:r>
      <w:r w:rsidR="0082522C" w:rsidRPr="009E3412">
        <w:rPr>
          <w:rFonts w:ascii="Times New Roman" w:eastAsia="Times New Roman" w:hAnsi="Times New Roman" w:cs="Times New Roman"/>
        </w:rPr>
        <w:t>.</w:t>
      </w:r>
      <w:r w:rsidR="00FE7DF6" w:rsidRPr="009E3412">
        <w:rPr>
          <w:rFonts w:ascii="Times New Roman" w:eastAsia="Times New Roman" w:hAnsi="Times New Roman" w:cs="Times New Roman"/>
        </w:rPr>
        <w:t xml:space="preserve"> </w:t>
      </w:r>
      <w:r w:rsidR="00AC5D97" w:rsidRPr="009E3412">
        <w:rPr>
          <w:rFonts w:ascii="Times New Roman" w:eastAsia="Times New Roman" w:hAnsi="Times New Roman" w:cs="Times New Roman"/>
        </w:rPr>
        <w:t>The model was also adjusted for albumin due to its role in the binding and transporting of key metabolites, including bile acids, cresol</w:t>
      </w:r>
      <w:r w:rsidR="00996A0B" w:rsidRPr="009E3412">
        <w:rPr>
          <w:rFonts w:ascii="Times New Roman" w:eastAsia="Times New Roman" w:hAnsi="Times New Roman" w:cs="Times New Roman"/>
        </w:rPr>
        <w:t>s</w:t>
      </w:r>
      <w:r w:rsidR="00AC5D97" w:rsidRPr="009E3412">
        <w:rPr>
          <w:rFonts w:ascii="Times New Roman" w:eastAsia="Times New Roman" w:hAnsi="Times New Roman" w:cs="Times New Roman"/>
        </w:rPr>
        <w:t xml:space="preserve"> and indoxyl </w:t>
      </w:r>
      <w:proofErr w:type="spellStart"/>
      <w:r w:rsidR="00AC5D97" w:rsidRPr="009E3412">
        <w:rPr>
          <w:rFonts w:ascii="Times New Roman" w:eastAsia="Times New Roman" w:hAnsi="Times New Roman" w:cs="Times New Roman"/>
        </w:rPr>
        <w:t>sulfate</w:t>
      </w:r>
      <w:proofErr w:type="spellEnd"/>
      <w:r w:rsidR="00AC5D97" w:rsidRPr="009E3412">
        <w:rPr>
          <w:rFonts w:ascii="Times New Roman" w:eastAsia="Times New Roman" w:hAnsi="Times New Roman" w:cs="Times New Roman"/>
        </w:rPr>
        <w:t xml:space="preserve">, potentially influencing their circulating levels </w:t>
      </w:r>
      <w:r w:rsidR="00AC5D97"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{"citationID":"woQwLNJa","properties":{"formattedCitation":"[53\\uc0\\u8211{}55]","plainCitation":"[53–55]","noteIndex":0},"citationItems":[{"id":2447,"uris":["http://zotero.org/users/9893877/items/S8ULK3U6"],"itemData":{"id":2447,"type":"article-journal","abstract":"The interaction of human serum albumin with twelve bile acids (ba) has been studied by equilibrium dialysis technique using 3H- and 14C-labeled bile acids. The physiological bile acids studied were: cholic, chenodeoxycholic, deoxycholic, lithocholic, ursodeoxycholic, and 7-ketolithocholic acids, all in the free and conjugated (with glycine and taurine) forms. For each bile acid studied, the interaction was characterized by two classes of binding sites, the first consisting of 2--4 sites and the second of 8--30. K1 values (liter/mol) for the different bile acids were: cholic acid, 0.3 x 10(4); chenodeoxycholic acid, 5.5 x 10(4); deoxycholic acid, 4.0 x 10(4); ursodeoxycholic acid, 3.8 x 10(4); 7-ketolithocholic acid, 1.9 x 10(4); lithocholic acid, 20 x 10(4). The affinity constant of a bile acid for albumin decreases with an increase in the number of hydroxy groups and also with the replacement of 7-hydroxy by 7-keto groups. The affinity constant is similar for glycine and taurine conjugated bile acids, but is slightly higher for unconjugated than conjugated forms.","container-title":"Journal of Lipid Research","DOI":"10.1016/S0022-2275(20)38147-5","ISSN":"0022-2275","issue":"3","journalAbbreviation":"Journal of Lipid Research","page":"490-495","source":"ScienceDirect","title":"Quantitative aspects of the interaction of bile acids with human serum albumin.","volume":"23","author":[{"family":"Roda","given":"A"},{"family":"Cappelleri","given":"G"},{"family":"Aldini","given":"R"},{"family":"Roda","given":"E"},{"family":"Barbara","given":"L"}],"issued":{"date-parts":[["1982",3,1]]}}},{"id":2442,"uris":["http://zotero.org/users/9893877/items/IDGAA4AR"],"itemData":{"id":2442,"type":"article-journal","abstract":"Indoxyl sulfate (IxS), a highly albumin-bound uremic solute, accumulates in chronic kidney disease (CKD) due to reduced renal clearance. This study was designed to specifically investigate the role of human serum albumin (HSA) in IxS renal secretion via organic anion transporter 1 (OAT1) in a microfluidic system and subsequently apply quantitative translation of in vitro data to predict extent of change in IxS renal clearance in CKD stage IV relative to healthy. Conditionally immortalized human proximal tubule epithelial cells overexpressing OAT1 were incubated with IxS (5-200 μM) in the HSA-free medium or in the presence of either HSA or CKD-modified HSA. IxS uptake in the presence of HSA resulted in more than 20-fold decrease in OAT1 affinity (Km,u) and 37-fold greater in vitro unbound intrinsic clearance (CLint,u) versus albumin-free condition. In the presence of CKD-modified albumin, Km,u increased four-fold and IxS CLint,u decreased almost seven-fold relative to HSA. Fold-change in parameters exceeded differences in IxS binding between albumin conditions, indicating additional mechanism and facilitating role of albumin in IxS OAT1-mediated uptake. Quantitative translation of IxS in vitro OAT1-mediated CLint,u predicted a 60% decrease in IxS renal elimination as a result of CKD, in agreement with the observed data (80%). The findings of the current study emphasize the role of albumin in IxS transport via OAT1 and explored the impact of modifications in albumin on renal excretion via active secretion in CKD. For the first time, this study performed quantitative translation of transporter kinetic data generated in a novel microfluidic in vitro system to a clinically relevant setting. Knowledge gaps and future directions in quantitative translation of renal drug disposition from microphysiological systems are discussed.","container-title":"Molecular Pharmaceutics","DOI":"10.1021/acs.molpharmaceut.9b00681","ISSN":"1543-8392","issue":"11","journalAbbreviation":"Mol Pharm","language":"eng","note":"PMID: 31525064","page":"4551-4562","source":"PubMed","title":"Quantitative Translation of Microfluidic Transporter in Vitro Data to in Vivo Reveals Impaired Albumin-Facilitated Indoxyl Sulfate Secretion in Chronic Kidney Disease","volume":"16","author":[{"family":"Made","given":"Thomas K.","non-dropping-particle":"van der"},{"family":"Fedecostante","given":"Michele"},{"family":"Scotcher","given":"Daniel"},{"family":"Rostami-Hodjegan","given":"Amin"},{"family":"Sastre Toraño","given":"Javier"},{"family":"Middel","given":"Igor"},{"family":"Koster","given":"Andries S."},{"family":"Gerritsen","given":"Karin G."},{"family":"Jankowski","given":"Vera"},{"family":"Jankowski","given":"Joachim"},{"family":"Hoenderop","given":"Joost G. J."},{"family":"Masereeuw","given":"Rosalinde"},{"family":"Galetin","given":"Aleksandra"}],"issued":{"date-parts":[["2019",11,4]]}}},{"id":2445,"uris":["http://zotero.org/users/9893877/items/M6JU3DTU"],"itemData":{"id":2445,"type":"article-journal","abstract":"Based on in vitro data, protein-bound uremic retention solutes have increasingly been recognized to play a pathophysiological role in the uremic syndrome. p-Cresol, a representative of this group of molecules, has been shown to be implicated in uremic immunodeficiency and endothelial dysfunction, potentially linking its serum levels to mortality. Thus far, however, no clinical information on this issue is available. To determine the relationship between p-cresol and all-cause mortality, 175 prevalent hemodialysis (HD) patients were enrolled in a prospective study. At baseline, serum levels of the water-soluble solutes urea, creatinine, and phosphate, the middle molecule β2-microglobulin, total and free concentrations of the protein-bound solute p-cresol, and several risk factors for mortality were evaluated. During a median follow-up of 34 months, 60 patients died. Baseline comorbidity (Davies score) (hazard ratio (HR), 1.49; 95% confidence interval (95% CI), 1.19–1.86), impaired nutritional status (HR, 4.22; 95% CI, 2.15–8.29), time since initiation of dialysis (HR, 0.98; 95% CI, 0.97–1.00), and higher free concentrations of the protein-bound solute p-cresol (HR, 2.28; 95% CI, 1.12–4.64) were independently associated with mortality (multivariate Cox proportional hazards analysis). Our data suggest that free serum levels of p-cresol, a representative of the protein-bound uremic retention solutes, are associated with mortality in HD patients. These findings may encourage nephrologists to widen their field of interest beyond the scope of small water-soluble uremic solutes and middle molecules.","container-title":"Kidney International","DOI":"10.1038/sj.ki.5000115","ISSN":"0085-2538","issue":"6","journalAbbreviation":"Kidney International","page":"1081-1087","source":"ScienceDirect","title":"Free serum concentrations of the protein-bound retention solute &lt;i&gt;p&lt;/i&gt;-cresol predict mortality in hemodialysis patients","volume":"69","author":[{"family":"Bammens","given":"B."},{"family":"Evenepoel","given":"P."},{"family":"Keuleers","given":"H."},{"family":"Verbeke","given":"K."},{"family":"Vanrenterghem","given":"Y."}],"issued":{"date-parts":[["2006",3,2]]}}}],"schema":"https://github.com/citation-style-language/schema/raw/master/csl-citation.json"} </w:instrText>
      </w:r>
      <w:r w:rsidR="00AC5D97" w:rsidRPr="009E3412">
        <w:rPr>
          <w:rFonts w:ascii="Times New Roman" w:eastAsia="Times New Roman" w:hAnsi="Times New Roman" w:cs="Times New Roman"/>
        </w:rPr>
        <w:fldChar w:fldCharType="separate"/>
      </w:r>
      <w:r w:rsidR="00CC6090" w:rsidRPr="009E3412">
        <w:rPr>
          <w:rFonts w:ascii="Times New Roman" w:hAnsi="Times New Roman" w:cs="Times New Roman"/>
        </w:rPr>
        <w:t>[53–55]</w:t>
      </w:r>
      <w:r w:rsidR="00AC5D97" w:rsidRPr="009E3412">
        <w:rPr>
          <w:rFonts w:ascii="Times New Roman" w:eastAsia="Times New Roman" w:hAnsi="Times New Roman" w:cs="Times New Roman"/>
        </w:rPr>
        <w:fldChar w:fldCharType="end"/>
      </w:r>
      <w:r w:rsidR="00AC5D97"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 xml:space="preserve">Diet was assessed using a validated, semi-quantitative </w:t>
      </w:r>
      <w:r w:rsidR="005B0D4E" w:rsidRPr="009E3412">
        <w:rPr>
          <w:rFonts w:ascii="Times New Roman" w:eastAsia="Times New Roman" w:hAnsi="Times New Roman" w:cs="Times New Roman"/>
        </w:rPr>
        <w:t>Scottish Collaborative Group (</w:t>
      </w:r>
      <w:r w:rsidR="0082522C" w:rsidRPr="009E3412">
        <w:rPr>
          <w:rFonts w:ascii="Times New Roman" w:eastAsia="Times New Roman" w:hAnsi="Times New Roman" w:cs="Times New Roman"/>
        </w:rPr>
        <w:t>SCG</w:t>
      </w:r>
      <w:r w:rsidR="005B0D4E" w:rsidRPr="009E3412">
        <w:rPr>
          <w:rFonts w:ascii="Times New Roman" w:eastAsia="Times New Roman" w:hAnsi="Times New Roman" w:cs="Times New Roman"/>
        </w:rPr>
        <w:t>)</w:t>
      </w:r>
      <w:r w:rsidR="0082522C" w:rsidRPr="009E3412">
        <w:rPr>
          <w:rFonts w:ascii="Times New Roman" w:eastAsia="Times New Roman" w:hAnsi="Times New Roman" w:cs="Times New Roman"/>
        </w:rPr>
        <w:t xml:space="preserve"> food frequency questionnaire (version 6.6)</w:t>
      </w:r>
      <w:r w:rsidR="00FE7DF6" w:rsidRPr="009E3412">
        <w:rPr>
          <w:rFonts w:ascii="Times New Roman" w:eastAsia="Times New Roman" w:hAnsi="Times New Roman" w:cs="Times New Roman"/>
        </w:rPr>
        <w:t xml:space="preserve"> </w:t>
      </w:r>
      <w:r w:rsidR="00FE7DF6"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{"citationID":"6qifKoTg","properties":{"formattedCitation":"[43]","plainCitation":"[43]","noteIndex":0},"citationItems":[{"id":256,"uris":["http://zotero.org/users/9893877/items/4UCYJCZ5"],"itemData":{"id":256,"type":"article-journal","abstract":"ObjectiveTo assess the relative validity of the latest version of the Scottish Collaborative Group (SCG) FFQ (version 6.6) in adults living in Scotland.DesignA cross-sectional validation study. Participants completed the self-administered, 169-item SCG FFQ followed by a 7 d, non-weighed food diary. Energy and energy-adjusted macronutrients and micronutrients were examined for relative validity through Spearman’s correlation, the percentage of classification into thirds of intake, Cohen’s weighted kappa (κw) and Bland–Altman analysis.SettingGeneral population living in Scotland.SubjectsNinety-six adults aged 18–65 years.ResultsSpearman’s correlation coefficients ranged from 0·21 (retinol) to 0·71 (Mg). A median of 52 % of adults were correctly classified into thirds of intake (range: 42 % (PUFA, MUFA and Fe) to 64 % (percentage energy from carbohydrates)) and 8 % were grossly misclassified into opposite thirds of intake (range: 3 % (carbohydrates, percentage energy from carbohydrates) to 19 % (thiamin)). Values of κw ranged between 0·20 (PUFA, β-carotene) to 0·55 (percentage energy from carbohydrates). In the Bland–Altman analysis, the smallest limits of agreement, when expressed as a percentage of the mean intake from the FFQ and food diary, were seen for the main macronutrients carbohydrates, fat and protein.ConclusionsAs in the previous validation study more than 10 years ago, the FFQ gave higher estimates of energy and most nutrients than the food diary, but after adjustment for energy intake the FFQ could be used in place of non-weighed food diaries for most macronutrients and many micronutrients in large-scale epidemiological studies.","container-title":"Public Health Nutrition","DOI":"10.1017/S1368980016002421","ISSN":"1368-9800, 1475-2727","issue":"3","language":"en","note":"publisher: Cambridge University Press","page":"449-455","source":"Cambridge University Press","title":"Assessing the relative validity of the Scottish Collaborative Group FFQ for measuring dietary intake in adults","volume":"20","author":[{"family":"Hollis","given":"Jenna L."},{"family":"Craig","given":"Leone CA"},{"family":"Whybrow","given":"Stephen"},{"family":"Clark","given":"Heather"},{"family":"Kyle","given":"Janet AM"},{"family":"McNeill","given":"Geraldine"}],"issued":{"date-parts":[["2017",2]]}}}],"schema":"https://github.com/citation-style-language/schema/raw/master/csl-citation.json"} </w:instrText>
      </w:r>
      <w:r w:rsidR="00FE7DF6" w:rsidRPr="009E3412">
        <w:rPr>
          <w:rFonts w:ascii="Times New Roman" w:eastAsia="Times New Roman" w:hAnsi="Times New Roman" w:cs="Times New Roman"/>
        </w:rPr>
        <w:fldChar w:fldCharType="separate"/>
      </w:r>
      <w:r w:rsidR="00CC6090" w:rsidRPr="009E3412">
        <w:rPr>
          <w:rFonts w:ascii="Times New Roman" w:hAnsi="Times New Roman" w:cs="Times New Roman"/>
        </w:rPr>
        <w:t>[43]</w:t>
      </w:r>
      <w:r w:rsidR="00FE7DF6" w:rsidRPr="009E3412">
        <w:rPr>
          <w:rFonts w:ascii="Times New Roman" w:eastAsia="Times New Roman" w:hAnsi="Times New Roman" w:cs="Times New Roman"/>
        </w:rPr>
        <w:fldChar w:fldCharType="end"/>
      </w:r>
      <w:r w:rsidR="00FE7DF6" w:rsidRPr="009E3412">
        <w:rPr>
          <w:rFonts w:ascii="Times New Roman" w:eastAsia="Times New Roman" w:hAnsi="Times New Roman" w:cs="Times New Roman"/>
        </w:rPr>
        <w:t>.</w:t>
      </w:r>
      <w:r w:rsidR="0082522C" w:rsidRPr="009E3412">
        <w:rPr>
          <w:rFonts w:ascii="Times New Roman" w:eastAsia="Times New Roman" w:hAnsi="Times New Roman" w:cs="Times New Roman"/>
        </w:rPr>
        <w:t xml:space="preserve"> </w:t>
      </w:r>
      <w:r w:rsidR="00463C98" w:rsidRPr="009E3412">
        <w:rPr>
          <w:rFonts w:ascii="Times New Roman" w:eastAsia="Times New Roman" w:hAnsi="Times New Roman" w:cs="Times New Roman"/>
        </w:rPr>
        <w:t>Participants’</w:t>
      </w:r>
      <w:r w:rsidR="0082522C" w:rsidRPr="009E3412">
        <w:rPr>
          <w:rFonts w:ascii="Times New Roman" w:eastAsia="Times New Roman" w:hAnsi="Times New Roman" w:cs="Times New Roman"/>
        </w:rPr>
        <w:t xml:space="preserve"> </w:t>
      </w:r>
      <w:r w:rsidR="004829D8" w:rsidRPr="009E3412">
        <w:rPr>
          <w:rFonts w:ascii="Times New Roman" w:eastAsia="Times New Roman" w:hAnsi="Times New Roman" w:cs="Times New Roman"/>
        </w:rPr>
        <w:t xml:space="preserve">dietary components were </w:t>
      </w:r>
      <w:r w:rsidR="00F25E5E" w:rsidRPr="009E3412">
        <w:rPr>
          <w:rFonts w:ascii="Times New Roman" w:eastAsia="Times New Roman" w:hAnsi="Times New Roman" w:cs="Times New Roman"/>
        </w:rPr>
        <w:t>grouped</w:t>
      </w:r>
      <w:r w:rsidR="000B5B73" w:rsidRPr="009E3412">
        <w:rPr>
          <w:rFonts w:ascii="Times New Roman" w:eastAsia="Times New Roman" w:hAnsi="Times New Roman" w:cs="Times New Roman"/>
        </w:rPr>
        <w:t xml:space="preserve"> </w:t>
      </w:r>
      <w:r w:rsidR="005B0D4E" w:rsidRPr="009E3412">
        <w:rPr>
          <w:rFonts w:ascii="Times New Roman" w:eastAsia="Times New Roman" w:hAnsi="Times New Roman" w:cs="Times New Roman"/>
        </w:rPr>
        <w:t>(</w:t>
      </w:r>
      <w:r w:rsidR="00F25E5E" w:rsidRPr="009E3412">
        <w:rPr>
          <w:rFonts w:ascii="Times New Roman" w:eastAsia="Times New Roman" w:hAnsi="Times New Roman" w:cs="Times New Roman"/>
        </w:rPr>
        <w:t>k</w:t>
      </w:r>
      <w:r w:rsidR="004829D8" w:rsidRPr="009E3412">
        <w:rPr>
          <w:rFonts w:ascii="Times New Roman" w:eastAsia="Times New Roman" w:hAnsi="Times New Roman" w:cs="Times New Roman"/>
        </w:rPr>
        <w:t xml:space="preserve">cal, proteins, fats, carbohydrates, water, </w:t>
      </w:r>
      <w:r w:rsidR="000B5B73" w:rsidRPr="009E3412">
        <w:rPr>
          <w:rFonts w:ascii="Times New Roman" w:eastAsia="Times New Roman" w:hAnsi="Times New Roman" w:cs="Times New Roman"/>
        </w:rPr>
        <w:t xml:space="preserve">alcohol, </w:t>
      </w:r>
      <w:r w:rsidR="004829D8" w:rsidRPr="009E3412">
        <w:rPr>
          <w:rFonts w:ascii="Times New Roman" w:eastAsia="Times New Roman" w:hAnsi="Times New Roman" w:cs="Times New Roman"/>
        </w:rPr>
        <w:t xml:space="preserve">vitamins and minerals) </w:t>
      </w:r>
      <w:r w:rsidR="00671F74" w:rsidRPr="009E3412">
        <w:rPr>
          <w:rFonts w:ascii="Times New Roman" w:eastAsia="Times New Roman" w:hAnsi="Times New Roman" w:cs="Times New Roman"/>
        </w:rPr>
        <w:t xml:space="preserve">and </w:t>
      </w:r>
      <w:r w:rsidR="0082522C" w:rsidRPr="009E3412">
        <w:rPr>
          <w:rFonts w:ascii="Times New Roman" w:eastAsia="Times New Roman" w:hAnsi="Times New Roman" w:cs="Times New Roman"/>
        </w:rPr>
        <w:t>analysed using hierarchical clustering</w:t>
      </w:r>
      <w:r w:rsidR="004D7046" w:rsidRPr="009E3412">
        <w:rPr>
          <w:rFonts w:ascii="Times New Roman" w:eastAsia="Times New Roman" w:hAnsi="Times New Roman" w:cs="Times New Roman"/>
        </w:rPr>
        <w:t xml:space="preserve"> via</w:t>
      </w:r>
      <w:r w:rsidR="0082522C" w:rsidRPr="009E3412">
        <w:rPr>
          <w:rFonts w:ascii="Times New Roman" w:eastAsia="Times New Roman" w:hAnsi="Times New Roman" w:cs="Times New Roman"/>
        </w:rPr>
        <w:t xml:space="preserve"> Ward</w:t>
      </w:r>
      <w:r w:rsidR="004D7046" w:rsidRPr="009E3412">
        <w:rPr>
          <w:rFonts w:ascii="Times New Roman" w:eastAsia="Times New Roman" w:hAnsi="Times New Roman" w:cs="Times New Roman"/>
        </w:rPr>
        <w:t>’s linkage</w:t>
      </w:r>
      <w:r w:rsidR="0082522C" w:rsidRPr="009E3412">
        <w:rPr>
          <w:rFonts w:ascii="Times New Roman" w:eastAsia="Times New Roman" w:hAnsi="Times New Roman" w:cs="Times New Roman"/>
        </w:rPr>
        <w:t xml:space="preserve"> method to </w:t>
      </w:r>
      <w:r w:rsidR="00FE7DF6" w:rsidRPr="009E3412">
        <w:rPr>
          <w:rFonts w:ascii="Times New Roman" w:eastAsia="Times New Roman" w:hAnsi="Times New Roman" w:cs="Times New Roman"/>
        </w:rPr>
        <w:t>assemble</w:t>
      </w:r>
      <w:r w:rsidR="0082522C" w:rsidRPr="009E3412">
        <w:rPr>
          <w:rFonts w:ascii="Times New Roman" w:eastAsia="Times New Roman" w:hAnsi="Times New Roman" w:cs="Times New Roman"/>
        </w:rPr>
        <w:t xml:space="preserve"> individuals with similar dietary patterns (</w:t>
      </w:r>
      <w:r w:rsidR="000A03BD" w:rsidRPr="009E3412">
        <w:rPr>
          <w:rFonts w:ascii="Times New Roman" w:eastAsia="Times New Roman" w:hAnsi="Times New Roman" w:cs="Times New Roman"/>
        </w:rPr>
        <w:t>S</w:t>
      </w:r>
      <w:r w:rsidR="0082522C" w:rsidRPr="009E3412">
        <w:rPr>
          <w:rFonts w:ascii="Times New Roman" w:eastAsia="Times New Roman" w:hAnsi="Times New Roman" w:cs="Times New Roman"/>
        </w:rPr>
        <w:t xml:space="preserve">upplementary </w:t>
      </w:r>
      <w:r w:rsidR="00D40802" w:rsidRPr="009E3412">
        <w:rPr>
          <w:rFonts w:ascii="Times New Roman" w:eastAsia="Times New Roman" w:hAnsi="Times New Roman" w:cs="Times New Roman"/>
        </w:rPr>
        <w:t xml:space="preserve">Figure </w:t>
      </w:r>
      <w:r w:rsidR="00BA5673" w:rsidRPr="009E3412">
        <w:rPr>
          <w:rFonts w:ascii="Times New Roman" w:eastAsia="Times New Roman" w:hAnsi="Times New Roman" w:cs="Times New Roman"/>
        </w:rPr>
        <w:t>S</w:t>
      </w:r>
      <w:r w:rsidR="000D6B6E" w:rsidRPr="009E3412">
        <w:rPr>
          <w:rFonts w:ascii="Times New Roman" w:eastAsia="Times New Roman" w:hAnsi="Times New Roman" w:cs="Times New Roman"/>
        </w:rPr>
        <w:t>1</w:t>
      </w:r>
      <w:r w:rsidR="0082522C" w:rsidRPr="009E3412">
        <w:rPr>
          <w:rFonts w:ascii="Times New Roman" w:eastAsia="Times New Roman" w:hAnsi="Times New Roman" w:cs="Times New Roman"/>
        </w:rPr>
        <w:t xml:space="preserve">). </w:t>
      </w:r>
      <w:r w:rsidR="00963850" w:rsidRPr="009E3412">
        <w:rPr>
          <w:rFonts w:ascii="Times New Roman" w:eastAsia="Times New Roman" w:hAnsi="Times New Roman" w:cs="Times New Roman"/>
        </w:rPr>
        <w:t xml:space="preserve">Ward's linkage method with Euclidean distance was used as it minimises within-cluster variance, producing compact, interpretable clusters that capture cohesive dietary behaviours. </w:t>
      </w:r>
      <w:r w:rsidR="00866949" w:rsidRPr="009E3412">
        <w:rPr>
          <w:rFonts w:ascii="Times New Roman" w:eastAsia="Times New Roman" w:hAnsi="Times New Roman" w:cs="Times New Roman"/>
        </w:rPr>
        <w:t>This offered an advantage over methods such as PCA, which produce continuous components less suited for defining discrete dietary groups, and k-means, which is more sensitive to initial cluster centres.</w:t>
      </w:r>
      <w:r w:rsidR="002031AA"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 xml:space="preserve">This </w:t>
      </w:r>
      <w:r w:rsidR="00FE7DF6" w:rsidRPr="009E3412">
        <w:rPr>
          <w:rFonts w:ascii="Times New Roman" w:eastAsia="Times New Roman" w:hAnsi="Times New Roman" w:cs="Times New Roman"/>
        </w:rPr>
        <w:t>clustered</w:t>
      </w:r>
      <w:r w:rsidR="0082522C" w:rsidRPr="009E3412">
        <w:rPr>
          <w:rFonts w:ascii="Times New Roman" w:eastAsia="Times New Roman" w:hAnsi="Times New Roman" w:cs="Times New Roman"/>
        </w:rPr>
        <w:t xml:space="preserve"> participants into low, moderate and high intake </w:t>
      </w:r>
      <w:r w:rsidR="004829D8" w:rsidRPr="009E3412">
        <w:rPr>
          <w:rFonts w:ascii="Times New Roman" w:eastAsia="Times New Roman" w:hAnsi="Times New Roman" w:cs="Times New Roman"/>
        </w:rPr>
        <w:t>of dietary components</w:t>
      </w:r>
      <w:r w:rsidR="0082522C" w:rsidRPr="009E3412">
        <w:rPr>
          <w:rFonts w:ascii="Times New Roman" w:eastAsia="Times New Roman" w:hAnsi="Times New Roman" w:cs="Times New Roman"/>
        </w:rPr>
        <w:t xml:space="preserve"> and was added to the model as a categorical variable</w:t>
      </w:r>
      <w:r w:rsidR="00CF7F5B" w:rsidRPr="009E3412">
        <w:rPr>
          <w:rFonts w:ascii="Times New Roman" w:eastAsia="Times New Roman" w:hAnsi="Times New Roman" w:cs="Times New Roman"/>
        </w:rPr>
        <w:t>, with participants with a moderate intake used as a reference group</w:t>
      </w:r>
      <w:r w:rsidR="0082522C" w:rsidRPr="009E3412">
        <w:rPr>
          <w:rFonts w:ascii="Times New Roman" w:eastAsia="Times New Roman" w:hAnsi="Times New Roman" w:cs="Times New Roman"/>
        </w:rPr>
        <w:t xml:space="preserve">. </w:t>
      </w:r>
      <w:r w:rsidR="00855184" w:rsidRPr="009E3412">
        <w:rPr>
          <w:rFonts w:ascii="Times New Roman" w:eastAsia="Times New Roman" w:hAnsi="Times New Roman" w:cs="Times New Roman"/>
        </w:rPr>
        <w:t>Age</w:t>
      </w:r>
      <w:r w:rsidR="00D823FD" w:rsidRPr="009E3412">
        <w:rPr>
          <w:rFonts w:ascii="Times New Roman" w:eastAsia="Times New Roman" w:hAnsi="Times New Roman" w:cs="Times New Roman"/>
        </w:rPr>
        <w:t xml:space="preserve">, </w:t>
      </w:r>
      <w:r w:rsidR="00855184" w:rsidRPr="009E3412">
        <w:rPr>
          <w:rFonts w:ascii="Times New Roman" w:eastAsia="Times New Roman" w:hAnsi="Times New Roman" w:cs="Times New Roman"/>
        </w:rPr>
        <w:t>BMI</w:t>
      </w:r>
      <w:r w:rsidR="00D823FD" w:rsidRPr="009E3412">
        <w:rPr>
          <w:rFonts w:ascii="Times New Roman" w:eastAsia="Times New Roman" w:hAnsi="Times New Roman" w:cs="Times New Roman"/>
        </w:rPr>
        <w:t>, creatinine</w:t>
      </w:r>
      <w:r w:rsidR="00C92F0B" w:rsidRPr="009E3412">
        <w:rPr>
          <w:rFonts w:ascii="Times New Roman" w:eastAsia="Times New Roman" w:hAnsi="Times New Roman" w:cs="Times New Roman"/>
        </w:rPr>
        <w:t>,</w:t>
      </w:r>
      <w:r w:rsidR="00D823FD" w:rsidRPr="009E3412">
        <w:rPr>
          <w:rFonts w:ascii="Times New Roman" w:eastAsia="Times New Roman" w:hAnsi="Times New Roman" w:cs="Times New Roman"/>
        </w:rPr>
        <w:t xml:space="preserve"> </w:t>
      </w:r>
      <w:r w:rsidR="002B1F07" w:rsidRPr="009E3412">
        <w:rPr>
          <w:rFonts w:ascii="Times New Roman" w:eastAsia="Times New Roman" w:hAnsi="Times New Roman" w:cs="Times New Roman"/>
        </w:rPr>
        <w:t xml:space="preserve">albumin </w:t>
      </w:r>
      <w:r w:rsidR="00D823FD" w:rsidRPr="009E3412">
        <w:rPr>
          <w:rFonts w:ascii="Times New Roman" w:eastAsia="Times New Roman" w:hAnsi="Times New Roman" w:cs="Times New Roman"/>
        </w:rPr>
        <w:t>and AST/ALT ratio</w:t>
      </w:r>
      <w:r w:rsidR="00855184" w:rsidRPr="009E3412">
        <w:rPr>
          <w:rFonts w:ascii="Times New Roman" w:eastAsia="Times New Roman" w:hAnsi="Times New Roman" w:cs="Times New Roman"/>
        </w:rPr>
        <w:t xml:space="preserve"> were added to the model as continuous variables</w:t>
      </w:r>
      <w:r w:rsidR="0082522C" w:rsidRPr="009E3412">
        <w:rPr>
          <w:rFonts w:ascii="Times New Roman" w:eastAsia="Times New Roman" w:hAnsi="Times New Roman" w:cs="Times New Roman"/>
        </w:rPr>
        <w:t>. Finally,</w:t>
      </w:r>
      <w:r w:rsidR="002B1F07" w:rsidRPr="009E3412">
        <w:rPr>
          <w:rFonts w:ascii="Times New Roman" w:eastAsia="Times New Roman" w:hAnsi="Times New Roman" w:cs="Times New Roman"/>
        </w:rPr>
        <w:t xml:space="preserve"> sex and</w:t>
      </w:r>
      <w:r w:rsidR="0082522C" w:rsidRPr="009E3412">
        <w:rPr>
          <w:rFonts w:ascii="Times New Roman" w:eastAsia="Times New Roman" w:hAnsi="Times New Roman" w:cs="Times New Roman"/>
        </w:rPr>
        <w:t xml:space="preserve"> cognitive status (i.e., control, SCI and MCI) </w:t>
      </w:r>
      <w:r w:rsidR="002B1F07" w:rsidRPr="009E3412">
        <w:rPr>
          <w:rFonts w:ascii="Times New Roman" w:eastAsia="Times New Roman" w:hAnsi="Times New Roman" w:cs="Times New Roman"/>
        </w:rPr>
        <w:t>were</w:t>
      </w:r>
      <w:r w:rsidR="0082522C" w:rsidRPr="009E3412">
        <w:rPr>
          <w:rFonts w:ascii="Times New Roman" w:eastAsia="Times New Roman" w:hAnsi="Times New Roman" w:cs="Times New Roman"/>
        </w:rPr>
        <w:t xml:space="preserve"> added to the model as categorical variable</w:t>
      </w:r>
      <w:r w:rsidR="002B1F07" w:rsidRPr="009E3412">
        <w:rPr>
          <w:rFonts w:ascii="Times New Roman" w:eastAsia="Times New Roman" w:hAnsi="Times New Roman" w:cs="Times New Roman"/>
        </w:rPr>
        <w:t>s</w:t>
      </w:r>
      <w:r w:rsidR="0082522C" w:rsidRPr="009E3412">
        <w:rPr>
          <w:rFonts w:ascii="Times New Roman" w:eastAsia="Times New Roman" w:hAnsi="Times New Roman" w:cs="Times New Roman"/>
        </w:rPr>
        <w:t xml:space="preserve">. </w:t>
      </w:r>
      <w:r w:rsidR="00001125" w:rsidRPr="009E3412">
        <w:rPr>
          <w:rFonts w:ascii="Times New Roman" w:eastAsia="Times New Roman" w:hAnsi="Times New Roman" w:cs="Times New Roman"/>
        </w:rPr>
        <w:t xml:space="preserve">To minimise the influence of </w:t>
      </w:r>
      <w:r w:rsidR="00D334DD" w:rsidRPr="009E3412">
        <w:rPr>
          <w:rFonts w:ascii="Times New Roman" w:eastAsia="Times New Roman" w:hAnsi="Times New Roman" w:cs="Times New Roman"/>
        </w:rPr>
        <w:t>outliers</w:t>
      </w:r>
      <w:r w:rsidR="00001125" w:rsidRPr="009E3412">
        <w:rPr>
          <w:rFonts w:ascii="Times New Roman" w:eastAsia="Times New Roman" w:hAnsi="Times New Roman" w:cs="Times New Roman"/>
        </w:rPr>
        <w:t>, data points with values beyond ±2 standard deviations from the mean were excluded</w:t>
      </w:r>
      <w:r w:rsidR="0095561A" w:rsidRPr="009E3412">
        <w:rPr>
          <w:rFonts w:ascii="Times New Roman" w:eastAsia="Times New Roman" w:hAnsi="Times New Roman" w:cs="Times New Roman"/>
        </w:rPr>
        <w:t xml:space="preserve">, in line with </w:t>
      </w:r>
      <w:r w:rsidR="004B2CB3" w:rsidRPr="009E3412">
        <w:rPr>
          <w:rFonts w:ascii="Times New Roman" w:eastAsia="Times New Roman" w:hAnsi="Times New Roman" w:cs="Times New Roman"/>
        </w:rPr>
        <w:t>previous</w:t>
      </w:r>
      <w:r w:rsidR="00E84982" w:rsidRPr="009E3412">
        <w:rPr>
          <w:rFonts w:ascii="Times New Roman" w:eastAsia="Times New Roman" w:hAnsi="Times New Roman" w:cs="Times New Roman"/>
        </w:rPr>
        <w:t xml:space="preserve"> </w:t>
      </w:r>
      <w:r w:rsidR="004B2CB3" w:rsidRPr="009E3412">
        <w:rPr>
          <w:rFonts w:ascii="Times New Roman" w:eastAsia="Times New Roman" w:hAnsi="Times New Roman" w:cs="Times New Roman"/>
        </w:rPr>
        <w:t>blood metabolic</w:t>
      </w:r>
      <w:r w:rsidR="00E84982" w:rsidRPr="009E3412">
        <w:rPr>
          <w:rFonts w:ascii="Times New Roman" w:eastAsia="Times New Roman" w:hAnsi="Times New Roman" w:cs="Times New Roman"/>
        </w:rPr>
        <w:t xml:space="preserve"> studies </w:t>
      </w:r>
      <w:r w:rsidR="00E84982"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{"citationID":"HUhX2iez","properties":{"formattedCitation":"[56]","plainCitation":"[56]","noteIndex":0},"citationItems":[{"id":2550,"uris":["http://zotero.org/users/9893877/items/JGWNJRIJ"],"itemData":{"id":2550,"type":"article-journal","abstract":"Cavernous angiomas (CAs) affect 0.5% of the population, predisposing to serious neurologic sequelae from brain bleeding. A leaky gut epithelium associated with a permissive gut microbiome, was identified in patients who develop CAs, favoring lipid polysaccharide producing bacterial species. Micro-ribonucleic acids along with plasma levels of proteins reflecting angiogenesis and inflammation were also previously correlated with CA and CA with symptomatic hemorrhage.","container-title":"Communications Medicine","DOI":"10.1038/s43856-023-00265-1","ISSN":"2730-664X","issue":"1","journalAbbreviation":"Commun Med","language":"en","license":"2023 The Author(s)","note":"publisher: Nature Publishing Group","page":"1-15","source":"www.nature.com","title":"Plasma metabolites with mechanistic and clinical links to the neurovascular disease cavernous angioma","volume":"3","author":[{"family":"Srinath","given":"Abhinav"},{"family":"Xie","given":"Bingqing"},{"family":"Li","given":"Ying"},{"family":"Sone","given":"Je Yeong"},{"family":"Romanos","given":"Sharbel"},{"family":"Chen","given":"Chang"},{"family":"Sharma","given":"Anukriti"},{"family":"Polster","given":"Sean"},{"family":"Dorrestein","given":"Pieter C."},{"family":"Weldon","given":"Kelly C."},{"family":"DeBiasse","given":"Dorothy"},{"family":"Moore","given":"Thomas"},{"family":"Lightle","given":"Rhonda"},{"family":"Koskimäki","given":"Janne"},{"family":"Zhang","given":"Dongdong"},{"family":"Stadnik","given":"Agnieszka"},{"family":"Piedad","given":"Kristina"},{"family":"Hagan","given":"Matthew"},{"family":"Shkoukani","given":"Abdallah"},{"family":"Carrión-Penagos","given":"Julián"},{"family":"Bi","given":"Dehua"},{"family":"Shen","given":"Le"},{"family":"Shenkar","given":"Robert"},{"family":"Ji","given":"Yuan"},{"family":"Sidebottom","given":"Ashley"},{"family":"Pamer","given":"Eric"},{"family":"Gilbert","given":"Jack A."},{"family":"Kahn","given":"Mark L."},{"family":"D’Souza","given":"Mark"},{"family":"Sulakhe","given":"Dinanath"},{"family":"Awad","given":"Issam A."},{"family":"Girard","given":"Romuald"}],"issued":{"date-parts":[["2023",3,3]]}}}],"schema":"https://github.com/citation-style-language/schema/raw/master/csl-citation.json"} </w:instrText>
      </w:r>
      <w:r w:rsidR="00E84982" w:rsidRPr="009E3412">
        <w:rPr>
          <w:rFonts w:ascii="Times New Roman" w:eastAsia="Times New Roman" w:hAnsi="Times New Roman" w:cs="Times New Roman"/>
        </w:rPr>
        <w:fldChar w:fldCharType="separate"/>
      </w:r>
      <w:r w:rsidR="00CC6090" w:rsidRPr="009E3412">
        <w:rPr>
          <w:rFonts w:ascii="Times New Roman" w:hAnsi="Times New Roman" w:cs="Times New Roman"/>
        </w:rPr>
        <w:t>[56]</w:t>
      </w:r>
      <w:r w:rsidR="00E84982" w:rsidRPr="009E3412">
        <w:rPr>
          <w:rFonts w:ascii="Times New Roman" w:eastAsia="Times New Roman" w:hAnsi="Times New Roman" w:cs="Times New Roman"/>
        </w:rPr>
        <w:fldChar w:fldCharType="end"/>
      </w:r>
      <w:r w:rsidR="00001125" w:rsidRPr="009E3412">
        <w:rPr>
          <w:rFonts w:ascii="Times New Roman" w:eastAsia="Times New Roman" w:hAnsi="Times New Roman" w:cs="Times New Roman"/>
        </w:rPr>
        <w:t xml:space="preserve">. </w:t>
      </w:r>
      <w:r w:rsidR="00A65A8A" w:rsidRPr="009E3412">
        <w:rPr>
          <w:rFonts w:ascii="Times New Roman" w:eastAsia="Times New Roman" w:hAnsi="Times New Roman" w:cs="Times New Roman"/>
        </w:rPr>
        <w:t>O</w:t>
      </w:r>
      <w:r w:rsidR="00001125" w:rsidRPr="009E3412">
        <w:rPr>
          <w:rFonts w:ascii="Times New Roman" w:eastAsia="Times New Roman" w:hAnsi="Times New Roman" w:cs="Times New Roman"/>
        </w:rPr>
        <w:t xml:space="preserve">utlier exclusion methods based on standard deviations </w:t>
      </w:r>
      <w:r w:rsidR="000521E3" w:rsidRPr="009E3412">
        <w:rPr>
          <w:rFonts w:ascii="Times New Roman" w:eastAsia="Times New Roman" w:hAnsi="Times New Roman" w:cs="Times New Roman"/>
        </w:rPr>
        <w:t>minimise</w:t>
      </w:r>
      <w:r w:rsidR="00001125" w:rsidRPr="009E3412">
        <w:rPr>
          <w:rFonts w:ascii="Times New Roman" w:eastAsia="Times New Roman" w:hAnsi="Times New Roman" w:cs="Times New Roman"/>
        </w:rPr>
        <w:t xml:space="preserve"> biases and maintain low Type I error rates compared to alternative methods</w:t>
      </w:r>
      <w:r w:rsidR="001A654E" w:rsidRPr="009E3412">
        <w:rPr>
          <w:rFonts w:ascii="Times New Roman" w:eastAsia="Times New Roman" w:hAnsi="Times New Roman" w:cs="Times New Roman"/>
        </w:rPr>
        <w:t xml:space="preserve"> </w:t>
      </w:r>
      <w:r w:rsidR="001A654E"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{"citationID":"HG38lLbU","properties":{"formattedCitation":"[57]","plainCitation":"[57]","noteIndex":0},"citationItems":[{"id":2558,"uris":["http://zotero.org/users/9893877/items/3GIBKYVZ"],"itemData":{"id":2558,"type":"article-journal","abstract":"In response time (RT) research, RT outliers are typically excluded from statistical analysis to improve the signal-to-noise ratio. Nevertheless, there exist several methods for outlier exclusion. This poses the question, how these methods differ with respect to recovering the uncontaminated RT distribution. In the present simulation study, two RT distributions with a given population difference were simulated in each iteration. RTs were replaced by outliers following two different approaches. The first approach generated outliers at the tails of the distribution, the second one inserted outliers overlapping with the genuine RT distribution. We applied ten different outlier exclusion methods and tested, how many pairs of distributions significantly differed. Outlier exclusion methods were compared in terms of bias. Bias was defined as the deviation of the proportion of significant differences after outlier exclusion from the proportion of significant differences in the uncontaminated samples (before introducing outliers). Our results showed large differences in bias between the exclusion methods. Some methods showed a high rate of Type-I errors and should therefore clearly not be used. Overall, our results showed that applying an exclusion method based on z-scores / standard deviations introduced only small biases, while the absence of outlier exclusion showed the largest absolute bias.","container-title":"Frontiers in Psychology","DOI":"10.3389/fpsyg.2021.675558","ISSN":"1664-1078","journalAbbreviation":"Front. Psychol.","language":"English","note":"publisher: Frontiers","source":"Frontiers","title":"Comparison of Different Response Time Outlier Exclusion Methods: A Simulation Study","title-short":"Comparison of Different Response Time Outlier Exclusion Methods","URL":"https://www.frontiersin.org/journals/psychology/articles/10.3389/fpsyg.2021.675558/full","volume":"12","author":[{"family":"Berger","given":"Alexander"},{"family":"Kiefer","given":"Markus"}],"accessed":{"date-parts":[["2025",6,18]]},"issued":{"date-parts":[["2021",6,14]]}}}],"schema":"https://github.com/citation-style-language/schema/raw/master/csl-citation.json"} </w:instrText>
      </w:r>
      <w:r w:rsidR="001A654E" w:rsidRPr="009E3412">
        <w:rPr>
          <w:rFonts w:ascii="Times New Roman" w:eastAsia="Times New Roman" w:hAnsi="Times New Roman" w:cs="Times New Roman"/>
        </w:rPr>
        <w:fldChar w:fldCharType="separate"/>
      </w:r>
      <w:r w:rsidR="00CC6090" w:rsidRPr="009E3412">
        <w:rPr>
          <w:rFonts w:ascii="Times New Roman" w:hAnsi="Times New Roman" w:cs="Times New Roman"/>
        </w:rPr>
        <w:t>[57]</w:t>
      </w:r>
      <w:r w:rsidR="001A654E" w:rsidRPr="009E3412">
        <w:rPr>
          <w:rFonts w:ascii="Times New Roman" w:eastAsia="Times New Roman" w:hAnsi="Times New Roman" w:cs="Times New Roman"/>
        </w:rPr>
        <w:fldChar w:fldCharType="end"/>
      </w:r>
      <w:r w:rsidR="00001125" w:rsidRPr="009E3412">
        <w:rPr>
          <w:rFonts w:ascii="Times New Roman" w:eastAsia="Times New Roman" w:hAnsi="Times New Roman" w:cs="Times New Roman"/>
        </w:rPr>
        <w:t xml:space="preserve">. </w:t>
      </w:r>
      <w:r w:rsidR="00AE66B3" w:rsidRPr="009E3412">
        <w:rPr>
          <w:rFonts w:ascii="Times New Roman" w:eastAsia="Times New Roman" w:hAnsi="Times New Roman" w:cs="Times New Roman"/>
        </w:rPr>
        <w:t>The assumption</w:t>
      </w:r>
      <w:r w:rsidR="00CF4EE0" w:rsidRPr="009E3412">
        <w:rPr>
          <w:rFonts w:ascii="Times New Roman" w:eastAsia="Times New Roman" w:hAnsi="Times New Roman" w:cs="Times New Roman"/>
        </w:rPr>
        <w:t>s</w:t>
      </w:r>
      <w:r w:rsidR="00AE66B3" w:rsidRPr="009E3412">
        <w:rPr>
          <w:rFonts w:ascii="Times New Roman" w:eastAsia="Times New Roman" w:hAnsi="Times New Roman" w:cs="Times New Roman"/>
        </w:rPr>
        <w:t xml:space="preserve"> for multiple linear regression analysis including the existence of a linear relationship among the outcome and predictor variable, normality</w:t>
      </w:r>
      <w:r w:rsidR="00D823FD" w:rsidRPr="009E3412">
        <w:rPr>
          <w:rFonts w:ascii="Times New Roman" w:eastAsia="Times New Roman" w:hAnsi="Times New Roman" w:cs="Times New Roman"/>
        </w:rPr>
        <w:t xml:space="preserve"> </w:t>
      </w:r>
      <w:r w:rsidR="00AE66B3" w:rsidRPr="009E3412">
        <w:rPr>
          <w:rFonts w:ascii="Times New Roman" w:eastAsia="Times New Roman" w:hAnsi="Times New Roman" w:cs="Times New Roman"/>
        </w:rPr>
        <w:t xml:space="preserve">and homoscedasticity were </w:t>
      </w:r>
      <w:r w:rsidR="00C13695" w:rsidRPr="009E3412">
        <w:rPr>
          <w:rFonts w:ascii="Times New Roman" w:eastAsia="Times New Roman" w:hAnsi="Times New Roman" w:cs="Times New Roman"/>
        </w:rPr>
        <w:t>assessed</w:t>
      </w:r>
      <w:r w:rsidR="00F55116" w:rsidRPr="009E3412">
        <w:rPr>
          <w:rFonts w:ascii="Times New Roman" w:eastAsia="Times New Roman" w:hAnsi="Times New Roman" w:cs="Times New Roman"/>
        </w:rPr>
        <w:t xml:space="preserve"> </w:t>
      </w:r>
      <w:r w:rsidR="00C13695" w:rsidRPr="009E3412">
        <w:rPr>
          <w:rFonts w:ascii="Times New Roman" w:eastAsia="Times New Roman" w:hAnsi="Times New Roman" w:cs="Times New Roman"/>
        </w:rPr>
        <w:t>(Supplementary Figure S2).</w:t>
      </w:r>
      <w:r w:rsidR="00AE66B3"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 xml:space="preserve">The model tested for significant associations between metabolite and cognitive status, adjusting for the </w:t>
      </w:r>
      <w:r w:rsidR="004D7046" w:rsidRPr="009E3412">
        <w:rPr>
          <w:rFonts w:ascii="Times New Roman" w:eastAsia="Times New Roman" w:hAnsi="Times New Roman" w:cs="Times New Roman"/>
        </w:rPr>
        <w:t>included</w:t>
      </w:r>
      <w:r w:rsidR="002E00F0"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covariates. All multiple linear regression analyses were performed in R (v3.6.3; R Foundation: A Language and Environment for Statistical Computing).</w:t>
      </w:r>
    </w:p>
    <w:p w14:paraId="3770E4CE" w14:textId="38F277E0" w:rsidR="00150AD6" w:rsidRPr="009E3412" w:rsidRDefault="00033AD5">
      <w:pPr>
        <w:spacing w:before="240" w:line="360" w:lineRule="auto"/>
        <w:jc w:val="both"/>
        <w:rPr>
          <w:rFonts w:ascii="Times New Roman" w:eastAsia="Times New Roman" w:hAnsi="Times New Roman" w:cs="Times New Roman"/>
        </w:rPr>
      </w:pPr>
      <w:r w:rsidRPr="009E3412">
        <w:rPr>
          <w:rFonts w:ascii="Times New Roman" w:eastAsia="Times New Roman" w:hAnsi="Times New Roman" w:cs="Times New Roman"/>
        </w:rPr>
        <w:lastRenderedPageBreak/>
        <w:t>2.</w:t>
      </w:r>
      <w:r w:rsidR="00837255" w:rsidRPr="009E3412">
        <w:rPr>
          <w:rFonts w:ascii="Times New Roman" w:eastAsia="Times New Roman" w:hAnsi="Times New Roman" w:cs="Times New Roman"/>
        </w:rPr>
        <w:t>5</w:t>
      </w:r>
      <w:r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Machine Learning</w:t>
      </w:r>
    </w:p>
    <w:p w14:paraId="69F57219" w14:textId="7002A5E7" w:rsidR="00224F0F" w:rsidRPr="009E3412" w:rsidRDefault="00706762" w:rsidP="00190CC1">
      <w:pPr>
        <w:spacing w:before="240" w:line="360" w:lineRule="auto"/>
        <w:jc w:val="both"/>
        <w:rPr>
          <w:rFonts w:ascii="Times New Roman" w:eastAsia="Times New Roman" w:hAnsi="Times New Roman" w:cs="Times New Roman"/>
        </w:rPr>
      </w:pPr>
      <w:bookmarkStart w:id="1" w:name="_Hlk148720278"/>
      <w:r w:rsidRPr="009E3412">
        <w:rPr>
          <w:rFonts w:ascii="Times New Roman" w:eastAsia="Times New Roman" w:hAnsi="Times New Roman" w:cs="Times New Roman"/>
        </w:rPr>
        <w:t xml:space="preserve">A Random Forest (RF) machine learning algorithm was implemented to assess whether metabolites could be predictive of </w:t>
      </w:r>
      <w:r w:rsidR="00E64EA7" w:rsidRPr="009E3412">
        <w:rPr>
          <w:rFonts w:ascii="Times New Roman" w:hAnsi="Times New Roman" w:cs="Times New Roman"/>
          <w:bdr w:val="none" w:sz="0" w:space="0" w:color="auto" w:frame="1"/>
          <w:shd w:val="clear" w:color="auto" w:fill="FFFFFF"/>
        </w:rPr>
        <w:t>early</w:t>
      </w:r>
      <w:r w:rsidRPr="009E3412">
        <w:rPr>
          <w:rFonts w:ascii="Times New Roman" w:hAnsi="Times New Roman" w:cs="Times New Roman"/>
          <w:bdr w:val="none" w:sz="0" w:space="0" w:color="auto" w:frame="1"/>
          <w:shd w:val="clear" w:color="auto" w:fill="FFFFFF"/>
        </w:rPr>
        <w:t xml:space="preserve"> </w:t>
      </w:r>
      <w:r w:rsidR="00217027" w:rsidRPr="009E3412">
        <w:rPr>
          <w:rFonts w:ascii="Times New Roman" w:hAnsi="Times New Roman" w:cs="Times New Roman"/>
          <w:bdr w:val="none" w:sz="0" w:space="0" w:color="auto" w:frame="1"/>
          <w:shd w:val="clear" w:color="auto" w:fill="FFFFFF"/>
        </w:rPr>
        <w:t>cognitive decline</w:t>
      </w:r>
      <w:r w:rsidR="00E76EF9" w:rsidRPr="009E3412">
        <w:rPr>
          <w:rFonts w:ascii="Times New Roman" w:eastAsia="Times New Roman" w:hAnsi="Times New Roman" w:cs="Times New Roman"/>
        </w:rPr>
        <w:t>.</w:t>
      </w:r>
      <w:r w:rsidR="00600E91" w:rsidRPr="009E3412">
        <w:rPr>
          <w:rFonts w:ascii="Times New Roman" w:eastAsia="Times New Roman" w:hAnsi="Times New Roman" w:cs="Times New Roman"/>
        </w:rPr>
        <w:t xml:space="preserve"> </w:t>
      </w:r>
      <w:r w:rsidR="00190CC1" w:rsidRPr="009E3412">
        <w:rPr>
          <w:rFonts w:ascii="Times New Roman" w:eastAsia="Times New Roman" w:hAnsi="Times New Roman" w:cs="Times New Roman"/>
        </w:rPr>
        <w:t xml:space="preserve">All machine learning models were built in Python (Python Software Foundation. Python Language Reference, version 3.8). </w:t>
      </w:r>
      <w:r w:rsidR="0059616A" w:rsidRPr="009E3412">
        <w:rPr>
          <w:rFonts w:ascii="Times New Roman" w:eastAsia="Times New Roman" w:hAnsi="Times New Roman" w:cs="Times New Roman"/>
        </w:rPr>
        <w:t xml:space="preserve">Hyperparameters were optimised </w:t>
      </w:r>
      <w:r w:rsidR="008E0D33" w:rsidRPr="009E3412">
        <w:rPr>
          <w:rFonts w:ascii="Times New Roman" w:eastAsia="Times New Roman" w:hAnsi="Times New Roman" w:cs="Times New Roman"/>
        </w:rPr>
        <w:t xml:space="preserve">using the </w:t>
      </w:r>
      <w:proofErr w:type="spellStart"/>
      <w:r w:rsidR="008E0D33" w:rsidRPr="009E3412">
        <w:rPr>
          <w:rFonts w:ascii="Times New Roman" w:eastAsia="Times New Roman" w:hAnsi="Times New Roman" w:cs="Times New Roman"/>
        </w:rPr>
        <w:t>GridSearchCV</w:t>
      </w:r>
      <w:proofErr w:type="spellEnd"/>
      <w:r w:rsidR="008E0D33" w:rsidRPr="009E3412">
        <w:rPr>
          <w:rFonts w:ascii="Times New Roman" w:eastAsia="Times New Roman" w:hAnsi="Times New Roman" w:cs="Times New Roman"/>
        </w:rPr>
        <w:t xml:space="preserve"> package in scikit-learn</w:t>
      </w:r>
      <w:r w:rsidR="00CF6BCE" w:rsidRPr="009E3412">
        <w:rPr>
          <w:rFonts w:ascii="Times New Roman" w:eastAsia="Times New Roman" w:hAnsi="Times New Roman" w:cs="Times New Roman"/>
        </w:rPr>
        <w:t xml:space="preserve"> </w:t>
      </w:r>
      <w:r w:rsidR="0059616A" w:rsidRPr="009E3412">
        <w:rPr>
          <w:rFonts w:ascii="Times New Roman" w:eastAsia="Times New Roman" w:hAnsi="Times New Roman" w:cs="Times New Roman"/>
        </w:rPr>
        <w:t>via a 5-fold stratified cross-validation</w:t>
      </w:r>
      <w:r w:rsidR="005B0D4E" w:rsidRPr="009E3412">
        <w:rPr>
          <w:rFonts w:ascii="Times New Roman" w:eastAsia="Times New Roman" w:hAnsi="Times New Roman" w:cs="Times New Roman"/>
        </w:rPr>
        <w:t xml:space="preserve">. The number of variables considered per split corresponds to the square root of the total number of attributes in the data </w:t>
      </w:r>
      <w:r w:rsidR="005B0D4E"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C7u8FTgK","properties":{"formattedCitation":"[58]","plainCitation":"[58]","noteIndex":0},"citationItems":[{"id":1025,"uris":["http://zotero.org/users/9893877/items/V72RAB2C"],"itemData":{"id":1025,"type":"article-journal","container-title":"Forest","journalAbbreviation":"Forest","source":"ResearchGate","title":"Classification and Regression by RandomForest","volume":"23","author":[{"family":"Liaw","given":"Andy"},{"family":"Wiener","given":"Matthew"}],"issued":{"date-parts":[["2001",11,30]]}}}],"schema":"https://github.com/citation-style-language/schema/raw/master/csl-citation.json"} </w:instrText>
      </w:r>
      <w:r w:rsidR="005B0D4E" w:rsidRPr="009E3412">
        <w:rPr>
          <w:rFonts w:ascii="Times New Roman" w:eastAsia="Times New Roman" w:hAnsi="Times New Roman" w:cs="Times New Roman"/>
        </w:rPr>
        <w:fldChar w:fldCharType="separate"/>
      </w:r>
      <w:r w:rsidR="00CC6090" w:rsidRPr="009E3412">
        <w:rPr>
          <w:rFonts w:ascii="Times New Roman" w:hAnsi="Times New Roman" w:cs="Times New Roman"/>
        </w:rPr>
        <w:t>[58]</w:t>
      </w:r>
      <w:r w:rsidR="005B0D4E" w:rsidRPr="009E3412">
        <w:rPr>
          <w:rFonts w:ascii="Times New Roman" w:eastAsia="Times New Roman" w:hAnsi="Times New Roman" w:cs="Times New Roman"/>
        </w:rPr>
        <w:fldChar w:fldCharType="end"/>
      </w:r>
      <w:r w:rsidR="005B0D4E" w:rsidRPr="009E3412">
        <w:rPr>
          <w:rFonts w:ascii="Times New Roman" w:eastAsia="Times New Roman" w:hAnsi="Times New Roman" w:cs="Times New Roman"/>
        </w:rPr>
        <w:t xml:space="preserve"> (as 3</w:t>
      </w:r>
      <w:r w:rsidR="00784D98" w:rsidRPr="009E3412">
        <w:rPr>
          <w:rFonts w:ascii="Times New Roman" w:eastAsia="Times New Roman" w:hAnsi="Times New Roman" w:cs="Times New Roman"/>
        </w:rPr>
        <w:t>3</w:t>
      </w:r>
      <w:r w:rsidR="005B0D4E" w:rsidRPr="009E3412">
        <w:rPr>
          <w:rFonts w:ascii="Times New Roman" w:eastAsia="Times New Roman" w:hAnsi="Times New Roman" w:cs="Times New Roman"/>
        </w:rPr>
        <w:t xml:space="preserve"> variables were considered, this resulted in ~6 random variables per split). To create a composite panel to predict </w:t>
      </w:r>
      <w:r w:rsidR="00F01C18" w:rsidRPr="009E3412">
        <w:rPr>
          <w:rFonts w:ascii="Times New Roman" w:eastAsia="Times New Roman" w:hAnsi="Times New Roman" w:cs="Times New Roman"/>
        </w:rPr>
        <w:t>early cognitive decline</w:t>
      </w:r>
      <w:r w:rsidR="005B0D4E" w:rsidRPr="009E3412">
        <w:rPr>
          <w:rFonts w:ascii="Times New Roman" w:eastAsia="Times New Roman" w:hAnsi="Times New Roman" w:cs="Times New Roman"/>
        </w:rPr>
        <w:t xml:space="preserve">, metabolites were ranked according to the mean decrease Gini. This highlights the loss in model performance when permuting the predictor values, and can provide more robust results than mean decrease accuracy </w:t>
      </w:r>
      <w:r w:rsidR="005B0D4E"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{"citationID":"IoKY2WIl","properties":{"formattedCitation":"[59]","plainCitation":"[59]","noteIndex":0},"citationItems":[{"id":1030,"uris":["http://zotero.org/users/9893877/items/UD672UNH"],"itemData":{"id":1030,"type":"article-journal","abstract":"The goal of this article (letter to the editor) is to emphasize the value of exploring ranking stability when using the importance measures, mean decrease accuracy (MDA) and mean decrease Gini (MDG), provided by Random Forest. We illustrate with a real and a simulated example that ranks based on the MDA are unstable to small perturbations of the dataset and ranks based on the MDG provide more robust results.","container-title":"Briefings in Bioinformatics","DOI":"10.1093/bib/bbq011","ISSN":"1477-4054","issue":"1","journalAbbreviation":"Brief Bioinform","language":"eng","note":"PMID: 20360022","page":"86-89","source":"PubMed","title":"Letter to the editor: Stability of Random Forest importance measures","title-short":"Letter to the editor","volume":"12","author":[{"family":"Calle","given":"M. Luz"},{"family":"Urrea","given":"Víctor"}],"issued":{"date-parts":[["2011",1]]}}}],"schema":"https://github.com/citation-style-language/schema/raw/master/csl-citation.json"} </w:instrText>
      </w:r>
      <w:r w:rsidR="005B0D4E" w:rsidRPr="009E3412">
        <w:rPr>
          <w:rFonts w:ascii="Times New Roman" w:eastAsia="Times New Roman" w:hAnsi="Times New Roman" w:cs="Times New Roman"/>
        </w:rPr>
        <w:fldChar w:fldCharType="separate"/>
      </w:r>
      <w:r w:rsidR="00CC6090" w:rsidRPr="009E3412">
        <w:rPr>
          <w:rFonts w:ascii="Times New Roman" w:hAnsi="Times New Roman" w:cs="Times New Roman"/>
        </w:rPr>
        <w:t>[59]</w:t>
      </w:r>
      <w:r w:rsidR="005B0D4E" w:rsidRPr="009E3412">
        <w:rPr>
          <w:rFonts w:ascii="Times New Roman" w:eastAsia="Times New Roman" w:hAnsi="Times New Roman" w:cs="Times New Roman"/>
        </w:rPr>
        <w:fldChar w:fldCharType="end"/>
      </w:r>
      <w:r w:rsidR="005B0D4E" w:rsidRPr="009E3412">
        <w:rPr>
          <w:rFonts w:ascii="Times New Roman" w:eastAsia="Times New Roman" w:hAnsi="Times New Roman" w:cs="Times New Roman"/>
        </w:rPr>
        <w:t xml:space="preserve">. The metabolites with the highest mean decrease Gini score producing the highest AUC values were retained in the model. </w:t>
      </w:r>
      <w:r w:rsidR="001B50AF" w:rsidRPr="009E3412">
        <w:rPr>
          <w:rFonts w:ascii="Times New Roman" w:eastAsia="Times New Roman" w:hAnsi="Times New Roman" w:cs="Times New Roman"/>
        </w:rPr>
        <w:t>To compare our model,</w:t>
      </w:r>
      <w:r w:rsidR="00DA610D" w:rsidRPr="009E3412">
        <w:rPr>
          <w:rFonts w:ascii="Times New Roman" w:eastAsia="Times New Roman" w:hAnsi="Times New Roman" w:cs="Times New Roman"/>
        </w:rPr>
        <w:t xml:space="preserve"> Na</w:t>
      </w:r>
      <w:r w:rsidR="00534896" w:rsidRPr="009E3412">
        <w:rPr>
          <w:rFonts w:ascii="Times New Roman" w:eastAsia="Times New Roman" w:hAnsi="Times New Roman" w:cs="Times New Roman"/>
        </w:rPr>
        <w:t>i</w:t>
      </w:r>
      <w:r w:rsidR="00DA610D" w:rsidRPr="009E3412">
        <w:rPr>
          <w:rFonts w:ascii="Times New Roman" w:eastAsia="Times New Roman" w:hAnsi="Times New Roman" w:cs="Times New Roman"/>
        </w:rPr>
        <w:t xml:space="preserve">ve Bayes </w:t>
      </w:r>
      <w:r w:rsidR="00A005D0" w:rsidRPr="009E3412">
        <w:rPr>
          <w:rFonts w:ascii="Times New Roman" w:eastAsia="Times New Roman" w:hAnsi="Times New Roman" w:cs="Times New Roman"/>
        </w:rPr>
        <w:t>and Ada</w:t>
      </w:r>
      <w:r w:rsidR="00DA610D" w:rsidRPr="009E3412">
        <w:rPr>
          <w:rFonts w:ascii="Times New Roman" w:eastAsia="Times New Roman" w:hAnsi="Times New Roman" w:cs="Times New Roman"/>
        </w:rPr>
        <w:t>B</w:t>
      </w:r>
      <w:r w:rsidR="00A005D0" w:rsidRPr="009E3412">
        <w:rPr>
          <w:rFonts w:ascii="Times New Roman" w:eastAsia="Times New Roman" w:hAnsi="Times New Roman" w:cs="Times New Roman"/>
        </w:rPr>
        <w:t xml:space="preserve">oost </w:t>
      </w:r>
      <w:r w:rsidR="00DA610D" w:rsidRPr="009E3412">
        <w:rPr>
          <w:rFonts w:ascii="Times New Roman" w:eastAsia="Times New Roman" w:hAnsi="Times New Roman" w:cs="Times New Roman"/>
        </w:rPr>
        <w:t>machine learning models</w:t>
      </w:r>
      <w:r w:rsidR="00A005D0" w:rsidRPr="009E3412">
        <w:rPr>
          <w:rFonts w:ascii="Times New Roman" w:eastAsia="Times New Roman" w:hAnsi="Times New Roman" w:cs="Times New Roman"/>
        </w:rPr>
        <w:t xml:space="preserve"> were also constructed</w:t>
      </w:r>
      <w:r w:rsidR="00D07DA0" w:rsidRPr="009E3412">
        <w:rPr>
          <w:rFonts w:ascii="Times New Roman" w:eastAsia="Times New Roman" w:hAnsi="Times New Roman" w:cs="Times New Roman"/>
        </w:rPr>
        <w:t xml:space="preserve"> </w:t>
      </w:r>
      <w:r w:rsidR="00D07DA0"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{"citationID":"BcLbdiVv","properties":{"formattedCitation":"[60,61]","plainCitation":"[60,61]","noteIndex":0},"citationItems":[{"id":1151,"uris":["http://zotero.org/users/9893877/items/HQ2WNG8Z"],"itemData":{"id":1151,"type":"article-journal","abstract":"In order to clarify the role of AdaBoost algorithm for feature selection, classifier learning and its relation with SVM, this paper provided a brief introduction to the AdaBoost which is used for producing a strong classifier out of weak learners firstly. The original adaptive boosting algorithm and its application in face detection and facial expression recognition are reviewed. In pattern classification domain, support vector machine has been widely used and shows promising performance. However, it is expensive in terms of time-consuming. A sort of cascaded support vector machines architecture is capable of improving the classification accuracy based on AdaBoost boosting algorithm, namely, AdaboostSVM. It applied boosting algorithm to feature selection and classifier learning for support vector machine classification and it has achieved approved performance through some researcher's pioneering work.","collection-title":"International Conference on Solid State Devices and Materials Science, April 1-2, 2012, Macao","container-title":"Physics Procedia","DOI":"10.1016/j.phpro.2012.03.160","ISSN":"1875-3892","journalAbbreviation":"Physics Procedia","page":"800-807","source":"ScienceDirect","title":"AdaBoost for Feature Selection, Classification and Its Relation with SVM, A Review","volume":"25","author":[{"family":"Wang","given":"Ruihu"}],"issued":{"date-parts":[["2012",1,1]]}}},{"id":1153,"uris":["http://zotero.org/users/9893877/items/RZMHWWL3"],"itemData":{"id":1153,"type":"article-journal","abstract":"The naive Bayes classifier greatly simplify learn-ing by assuming that features are independent given class. Although independence is generally a poor assumption, in practice naive Bayes often competes well with more sophisticated classifiers. Our broad goal is to understand the data character-istics which affect the performance of naive Bayes. Our approach uses Monte Carlo simulations that al-low a systematic study of classification accuracy for several classes of randomly generated prob-lems. We analyze the impact of the distribution entropy on the classification error, showing that low-entropy feature distributions yield good per-formance of naive Bayes. We also demonstrate that naive Bayes works well for certain nearly-functional feature dependencies, thus reaching its best performance in two opposite cases: completely independent features (as expected) and function-ally dependent features (which is surprising). An-other surprising result is that the accuracy of naive Bayes is not directly correlated with the degree of feature dependencies measured as the class-conditional mutual information between the fea-tures. Instead, a better predictor of naive Bayes ac-curacy is the amount of information about the class that is lost because of the independence assump-tion.","container-title":"IJCAI 2001 Work Empir Methods Artif Intell","journalAbbreviation":"IJCAI 2001 Work Empir Methods Artif Intell","source":"ResearchGate","title":"An Empirical Study of the Naïve Bayes Classifier","volume":"3","author":[{"family":"Rish","given":"Irina"}],"issued":{"date-parts":[["2001",1,1]]}}}],"schema":"https://github.com/citation-style-language/schema/raw/master/csl-citation.json"} </w:instrText>
      </w:r>
      <w:r w:rsidR="00D07DA0" w:rsidRPr="009E3412">
        <w:rPr>
          <w:rFonts w:ascii="Times New Roman" w:eastAsia="Times New Roman" w:hAnsi="Times New Roman" w:cs="Times New Roman"/>
        </w:rPr>
        <w:fldChar w:fldCharType="separate"/>
      </w:r>
      <w:r w:rsidR="00CC6090" w:rsidRPr="009E3412">
        <w:rPr>
          <w:rFonts w:ascii="Times New Roman" w:hAnsi="Times New Roman" w:cs="Times New Roman"/>
        </w:rPr>
        <w:t>[60,61]</w:t>
      </w:r>
      <w:r w:rsidR="00D07DA0" w:rsidRPr="009E3412">
        <w:rPr>
          <w:rFonts w:ascii="Times New Roman" w:eastAsia="Times New Roman" w:hAnsi="Times New Roman" w:cs="Times New Roman"/>
        </w:rPr>
        <w:fldChar w:fldCharType="end"/>
      </w:r>
      <w:r w:rsidR="009802F2" w:rsidRPr="009E3412">
        <w:rPr>
          <w:rFonts w:ascii="Times New Roman" w:eastAsia="Times New Roman" w:hAnsi="Times New Roman" w:cs="Times New Roman"/>
        </w:rPr>
        <w:t xml:space="preserve">. </w:t>
      </w:r>
      <w:r w:rsidR="0081105B" w:rsidRPr="009E3412">
        <w:rPr>
          <w:rFonts w:ascii="Times New Roman" w:eastAsia="Times New Roman" w:hAnsi="Times New Roman" w:cs="Times New Roman"/>
        </w:rPr>
        <w:t>AdaBoost</w:t>
      </w:r>
      <w:r w:rsidR="007B61CB" w:rsidRPr="009E3412">
        <w:rPr>
          <w:rFonts w:ascii="Times New Roman" w:eastAsia="Times New Roman" w:hAnsi="Times New Roman" w:cs="Times New Roman"/>
        </w:rPr>
        <w:t xml:space="preserve"> </w:t>
      </w:r>
      <w:r w:rsidR="007447E3" w:rsidRPr="009E3412">
        <w:rPr>
          <w:rFonts w:ascii="Times New Roman" w:eastAsia="Times New Roman" w:hAnsi="Times New Roman" w:cs="Times New Roman"/>
        </w:rPr>
        <w:t xml:space="preserve">predictions </w:t>
      </w:r>
      <w:r w:rsidR="004B23EB" w:rsidRPr="009E3412">
        <w:rPr>
          <w:rFonts w:ascii="Times New Roman" w:eastAsia="Times New Roman" w:hAnsi="Times New Roman" w:cs="Times New Roman"/>
        </w:rPr>
        <w:t>were</w:t>
      </w:r>
      <w:r w:rsidR="00E74E3A" w:rsidRPr="009E3412">
        <w:rPr>
          <w:rFonts w:ascii="Times New Roman" w:eastAsia="Times New Roman" w:hAnsi="Times New Roman" w:cs="Times New Roman"/>
        </w:rPr>
        <w:t xml:space="preserve"> made </w:t>
      </w:r>
      <w:r w:rsidR="00DF41AC" w:rsidRPr="009E3412">
        <w:rPr>
          <w:rFonts w:ascii="Times New Roman" w:eastAsia="Times New Roman" w:hAnsi="Times New Roman" w:cs="Times New Roman"/>
        </w:rPr>
        <w:t>by using a weighted average</w:t>
      </w:r>
      <w:r w:rsidR="00C151B3" w:rsidRPr="009E3412">
        <w:rPr>
          <w:rFonts w:ascii="Times New Roman" w:eastAsia="Times New Roman" w:hAnsi="Times New Roman" w:cs="Times New Roman"/>
        </w:rPr>
        <w:t xml:space="preserve"> of weak </w:t>
      </w:r>
      <w:r w:rsidR="00342797" w:rsidRPr="009E3412">
        <w:rPr>
          <w:rFonts w:ascii="Times New Roman" w:eastAsia="Times New Roman" w:hAnsi="Times New Roman" w:cs="Times New Roman"/>
        </w:rPr>
        <w:t>classifiers</w:t>
      </w:r>
      <w:r w:rsidR="00C151B3" w:rsidRPr="009E3412">
        <w:rPr>
          <w:rFonts w:ascii="Times New Roman" w:eastAsia="Times New Roman" w:hAnsi="Times New Roman" w:cs="Times New Roman"/>
        </w:rPr>
        <w:t>.</w:t>
      </w:r>
      <w:r w:rsidR="00342797" w:rsidRPr="009E3412">
        <w:rPr>
          <w:rFonts w:ascii="Times New Roman" w:eastAsia="Times New Roman" w:hAnsi="Times New Roman" w:cs="Times New Roman"/>
        </w:rPr>
        <w:t xml:space="preserve"> Our model contained 50 estimators</w:t>
      </w:r>
      <w:r w:rsidR="00594751" w:rsidRPr="009E3412">
        <w:rPr>
          <w:rFonts w:ascii="Times New Roman" w:eastAsia="Times New Roman" w:hAnsi="Times New Roman" w:cs="Times New Roman"/>
        </w:rPr>
        <w:t xml:space="preserve">, </w:t>
      </w:r>
      <w:r w:rsidR="00342797" w:rsidRPr="009E3412">
        <w:rPr>
          <w:rFonts w:ascii="Times New Roman" w:eastAsia="Times New Roman" w:hAnsi="Times New Roman" w:cs="Times New Roman"/>
        </w:rPr>
        <w:t>a learning rate of 1.00</w:t>
      </w:r>
      <w:r w:rsidR="00594751" w:rsidRPr="009E3412">
        <w:rPr>
          <w:rFonts w:ascii="Times New Roman" w:eastAsia="Times New Roman" w:hAnsi="Times New Roman" w:cs="Times New Roman"/>
        </w:rPr>
        <w:t xml:space="preserve"> and</w:t>
      </w:r>
      <w:r w:rsidR="00DF41AC" w:rsidRPr="009E3412">
        <w:rPr>
          <w:rFonts w:ascii="Times New Roman" w:eastAsia="Times New Roman" w:hAnsi="Times New Roman" w:cs="Times New Roman"/>
        </w:rPr>
        <w:t xml:space="preserve"> </w:t>
      </w:r>
      <w:r w:rsidR="00C01CA3" w:rsidRPr="009E3412">
        <w:rPr>
          <w:rFonts w:ascii="Times New Roman" w:eastAsia="Times New Roman" w:hAnsi="Times New Roman" w:cs="Times New Roman"/>
        </w:rPr>
        <w:t xml:space="preserve">a </w:t>
      </w:r>
      <w:r w:rsidR="00594751" w:rsidRPr="009E3412">
        <w:rPr>
          <w:rFonts w:ascii="Times New Roman" w:eastAsia="Times New Roman" w:hAnsi="Times New Roman" w:cs="Times New Roman"/>
        </w:rPr>
        <w:t xml:space="preserve">SAMME </w:t>
      </w:r>
      <w:r w:rsidR="00682770" w:rsidRPr="009E3412">
        <w:rPr>
          <w:rFonts w:ascii="Times New Roman" w:eastAsia="Times New Roman" w:hAnsi="Times New Roman" w:cs="Times New Roman"/>
        </w:rPr>
        <w:t>classification</w:t>
      </w:r>
      <w:r w:rsidR="00594751" w:rsidRPr="009E3412">
        <w:rPr>
          <w:rFonts w:ascii="Times New Roman" w:eastAsia="Times New Roman" w:hAnsi="Times New Roman" w:cs="Times New Roman"/>
        </w:rPr>
        <w:t xml:space="preserve"> </w:t>
      </w:r>
      <w:r w:rsidR="00682770" w:rsidRPr="009E3412">
        <w:rPr>
          <w:rFonts w:ascii="Times New Roman" w:eastAsia="Times New Roman" w:hAnsi="Times New Roman" w:cs="Times New Roman"/>
        </w:rPr>
        <w:t xml:space="preserve">algorithm which </w:t>
      </w:r>
      <w:r w:rsidR="00594751" w:rsidRPr="009E3412">
        <w:rPr>
          <w:rFonts w:ascii="Times New Roman" w:eastAsia="Times New Roman" w:hAnsi="Times New Roman" w:cs="Times New Roman"/>
        </w:rPr>
        <w:t>update</w:t>
      </w:r>
      <w:r w:rsidR="00BA0E14" w:rsidRPr="009E3412">
        <w:rPr>
          <w:rFonts w:ascii="Times New Roman" w:eastAsia="Times New Roman" w:hAnsi="Times New Roman" w:cs="Times New Roman"/>
        </w:rPr>
        <w:t>d the</w:t>
      </w:r>
      <w:r w:rsidR="00594751" w:rsidRPr="009E3412">
        <w:rPr>
          <w:rFonts w:ascii="Times New Roman" w:eastAsia="Times New Roman" w:hAnsi="Times New Roman" w:cs="Times New Roman"/>
        </w:rPr>
        <w:t xml:space="preserve"> base estimator’s weights with classification results</w:t>
      </w:r>
      <w:r w:rsidR="00682770" w:rsidRPr="009E3412">
        <w:rPr>
          <w:rFonts w:ascii="Times New Roman" w:eastAsia="Times New Roman" w:hAnsi="Times New Roman" w:cs="Times New Roman"/>
        </w:rPr>
        <w:t xml:space="preserve">. </w:t>
      </w:r>
      <w:r w:rsidR="001A273D" w:rsidRPr="009E3412">
        <w:rPr>
          <w:rFonts w:ascii="Times New Roman" w:eastAsia="Times New Roman" w:hAnsi="Times New Roman" w:cs="Times New Roman"/>
        </w:rPr>
        <w:t>T</w:t>
      </w:r>
      <w:r w:rsidR="00C01CA3" w:rsidRPr="009E3412">
        <w:t xml:space="preserve">he </w:t>
      </w:r>
      <w:r w:rsidR="00C947EA" w:rsidRPr="009E3412">
        <w:rPr>
          <w:rFonts w:ascii="Times New Roman" w:eastAsia="Times New Roman" w:hAnsi="Times New Roman" w:cs="Times New Roman"/>
        </w:rPr>
        <w:t>Naive Bayes method</w:t>
      </w:r>
      <w:r w:rsidR="009B75BB" w:rsidRPr="009E3412">
        <w:rPr>
          <w:rFonts w:ascii="Times New Roman" w:eastAsia="Times New Roman" w:hAnsi="Times New Roman" w:cs="Times New Roman"/>
        </w:rPr>
        <w:t xml:space="preserve"> was applied </w:t>
      </w:r>
      <w:r w:rsidR="00C947EA" w:rsidRPr="009E3412">
        <w:rPr>
          <w:rFonts w:ascii="Times New Roman" w:eastAsia="Times New Roman" w:hAnsi="Times New Roman" w:cs="Times New Roman"/>
        </w:rPr>
        <w:t xml:space="preserve">based on applying Bayes’ theorem with the “naive” assumption of conditional independence between every pair of features given the value of the </w:t>
      </w:r>
      <w:r w:rsidR="009B75BB" w:rsidRPr="009E3412">
        <w:rPr>
          <w:rFonts w:ascii="Times New Roman" w:eastAsia="Times New Roman" w:hAnsi="Times New Roman" w:cs="Times New Roman"/>
        </w:rPr>
        <w:t xml:space="preserve">target </w:t>
      </w:r>
      <w:r w:rsidR="00C947EA" w:rsidRPr="009E3412">
        <w:rPr>
          <w:rFonts w:ascii="Times New Roman" w:eastAsia="Times New Roman" w:hAnsi="Times New Roman" w:cs="Times New Roman"/>
        </w:rPr>
        <w:t>variable.</w:t>
      </w:r>
      <w:r w:rsidR="000B7DEA" w:rsidRPr="009E3412">
        <w:rPr>
          <w:rFonts w:ascii="Times New Roman" w:eastAsia="Times New Roman" w:hAnsi="Times New Roman" w:cs="Times New Roman"/>
        </w:rPr>
        <w:t xml:space="preserve"> </w:t>
      </w:r>
      <w:r w:rsidR="00C17C5E" w:rsidRPr="009E3412">
        <w:rPr>
          <w:rFonts w:ascii="Times New Roman" w:eastAsia="Times New Roman" w:hAnsi="Times New Roman" w:cs="Times New Roman"/>
        </w:rPr>
        <w:t xml:space="preserve">The model used 5-fold cross-validation to provide a robust estimate of predictive performance. </w:t>
      </w:r>
      <w:r w:rsidR="00815A8F" w:rsidRPr="009E3412">
        <w:rPr>
          <w:rFonts w:ascii="Times New Roman" w:eastAsia="Times New Roman" w:hAnsi="Times New Roman" w:cs="Times New Roman"/>
        </w:rPr>
        <w:t xml:space="preserve">Models were evaluated using the macro-average area under the receiver operating characteristic curve (AUC), which measures overall performance across all classes by plotting the false positive rate against the true positive rate. </w:t>
      </w:r>
      <w:r w:rsidR="007C34BD" w:rsidRPr="009E3412">
        <w:rPr>
          <w:rFonts w:ascii="Times New Roman" w:eastAsia="Times New Roman" w:hAnsi="Times New Roman" w:cs="Times New Roman"/>
        </w:rPr>
        <w:t>P</w:t>
      </w:r>
      <w:r w:rsidR="00815A8F" w:rsidRPr="009E3412">
        <w:rPr>
          <w:rFonts w:ascii="Times New Roman" w:eastAsia="Times New Roman" w:hAnsi="Times New Roman" w:cs="Times New Roman"/>
        </w:rPr>
        <w:t xml:space="preserve">airwise comparisons were </w:t>
      </w:r>
      <w:r w:rsidR="007C34BD" w:rsidRPr="009E3412">
        <w:rPr>
          <w:rFonts w:ascii="Times New Roman" w:eastAsia="Times New Roman" w:hAnsi="Times New Roman" w:cs="Times New Roman"/>
        </w:rPr>
        <w:t xml:space="preserve">also </w:t>
      </w:r>
      <w:r w:rsidR="00815A8F" w:rsidRPr="009E3412">
        <w:rPr>
          <w:rFonts w:ascii="Times New Roman" w:eastAsia="Times New Roman" w:hAnsi="Times New Roman" w:cs="Times New Roman"/>
        </w:rPr>
        <w:t>conducted to assess the model's ability to distinguish between groups.</w:t>
      </w:r>
      <w:r w:rsidR="004D7324" w:rsidRPr="009E3412">
        <w:rPr>
          <w:rFonts w:ascii="Times New Roman" w:eastAsia="Times New Roman" w:hAnsi="Times New Roman" w:cs="Times New Roman"/>
        </w:rPr>
        <w:t xml:space="preserve"> </w:t>
      </w:r>
      <w:r w:rsidR="006A2B2C" w:rsidRPr="009E3412">
        <w:rPr>
          <w:rFonts w:ascii="Times New Roman" w:eastAsia="Times New Roman" w:hAnsi="Times New Roman" w:cs="Times New Roman"/>
        </w:rPr>
        <w:t>T</w:t>
      </w:r>
      <w:r w:rsidR="00182255" w:rsidRPr="009E3412">
        <w:rPr>
          <w:rFonts w:ascii="Times New Roman" w:eastAsia="Times New Roman" w:hAnsi="Times New Roman" w:cs="Times New Roman"/>
        </w:rPr>
        <w:t xml:space="preserve">he same RF-based approach was </w:t>
      </w:r>
      <w:r w:rsidR="006A2B2C" w:rsidRPr="009E3412">
        <w:rPr>
          <w:rFonts w:ascii="Times New Roman" w:eastAsia="Times New Roman" w:hAnsi="Times New Roman" w:cs="Times New Roman"/>
        </w:rPr>
        <w:t xml:space="preserve">subsequently </w:t>
      </w:r>
      <w:r w:rsidR="00182255" w:rsidRPr="009E3412">
        <w:rPr>
          <w:rFonts w:ascii="Times New Roman" w:eastAsia="Times New Roman" w:hAnsi="Times New Roman" w:cs="Times New Roman"/>
        </w:rPr>
        <w:t>applied to microbiome genera to investigate their potential</w:t>
      </w:r>
      <w:r w:rsidR="006A2B2C" w:rsidRPr="009E3412">
        <w:rPr>
          <w:rFonts w:ascii="Times New Roman" w:eastAsia="Times New Roman" w:hAnsi="Times New Roman" w:cs="Times New Roman"/>
        </w:rPr>
        <w:t xml:space="preserve"> to distinguish between groups</w:t>
      </w:r>
      <w:r w:rsidR="00182255" w:rsidRPr="009E3412">
        <w:rPr>
          <w:rFonts w:ascii="Times New Roman" w:eastAsia="Times New Roman" w:hAnsi="Times New Roman" w:cs="Times New Roman"/>
        </w:rPr>
        <w:t xml:space="preserve">, following the same feature selection and evaluation process. </w:t>
      </w:r>
      <w:bookmarkEnd w:id="1"/>
    </w:p>
    <w:p w14:paraId="160FDDFA" w14:textId="77777777" w:rsidR="008E63A0" w:rsidRPr="009E3412" w:rsidRDefault="008E63A0" w:rsidP="00190CC1">
      <w:pPr>
        <w:spacing w:before="240" w:line="360" w:lineRule="auto"/>
        <w:jc w:val="both"/>
        <w:rPr>
          <w:rFonts w:ascii="Times New Roman" w:eastAsia="Times New Roman" w:hAnsi="Times New Roman" w:cs="Times New Roman"/>
        </w:rPr>
      </w:pPr>
    </w:p>
    <w:p w14:paraId="15518B32" w14:textId="77777777" w:rsidR="00150AD6" w:rsidRPr="009E3412" w:rsidRDefault="0082522C">
      <w:pPr>
        <w:pBdr>
          <w:top w:val="nil"/>
          <w:left w:val="nil"/>
          <w:bottom w:val="nil"/>
          <w:right w:val="nil"/>
          <w:between w:val="nil"/>
        </w:pBd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t>3. Results</w:t>
      </w:r>
    </w:p>
    <w:p w14:paraId="7455A732" w14:textId="307507AF" w:rsidR="00150AD6" w:rsidRPr="009E3412" w:rsidRDefault="001E4B2A">
      <w:pPr>
        <w:pBdr>
          <w:top w:val="nil"/>
          <w:left w:val="nil"/>
          <w:bottom w:val="nil"/>
          <w:right w:val="nil"/>
          <w:between w:val="nil"/>
        </w:pBd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3.1 </w:t>
      </w:r>
      <w:r w:rsidR="0082522C" w:rsidRPr="009E3412">
        <w:rPr>
          <w:rFonts w:ascii="Times New Roman" w:eastAsia="Times New Roman" w:hAnsi="Times New Roman" w:cs="Times New Roman"/>
        </w:rPr>
        <w:t>Study population characteristics</w:t>
      </w:r>
    </w:p>
    <w:p w14:paraId="0197EE87" w14:textId="0B6EDC3B" w:rsidR="00167EB5" w:rsidRPr="009E3412" w:rsidRDefault="0082522C" w:rsidP="00AF68DE">
      <w:pPr>
        <w:pBdr>
          <w:top w:val="nil"/>
          <w:left w:val="nil"/>
          <w:bottom w:val="nil"/>
          <w:right w:val="nil"/>
          <w:between w:val="nil"/>
        </w:pBdr>
        <w:spacing w:before="240"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A total of 150 individuals were included </w:t>
      </w:r>
      <w:r w:rsidR="00D80B8A" w:rsidRPr="009E3412">
        <w:rPr>
          <w:rFonts w:ascii="Times New Roman" w:eastAsia="Times New Roman" w:hAnsi="Times New Roman" w:cs="Times New Roman"/>
        </w:rPr>
        <w:t xml:space="preserve">in the study </w:t>
      </w:r>
      <w:r w:rsidRPr="009E3412">
        <w:rPr>
          <w:rFonts w:ascii="Times New Roman" w:eastAsia="Times New Roman" w:hAnsi="Times New Roman" w:cs="Times New Roman"/>
        </w:rPr>
        <w:t xml:space="preserve">of which 50 (33.3%) were </w:t>
      </w:r>
      <w:r w:rsidR="003876B7" w:rsidRPr="009E3412">
        <w:rPr>
          <w:rFonts w:ascii="Times New Roman" w:eastAsia="Times New Roman" w:hAnsi="Times New Roman" w:cs="Times New Roman"/>
        </w:rPr>
        <w:t>cognitive</w:t>
      </w:r>
      <w:r w:rsidR="00AA11DC" w:rsidRPr="009E3412">
        <w:rPr>
          <w:rFonts w:ascii="Times New Roman" w:eastAsia="Times New Roman" w:hAnsi="Times New Roman" w:cs="Times New Roman"/>
        </w:rPr>
        <w:t>ly</w:t>
      </w:r>
      <w:r w:rsidR="003876B7" w:rsidRPr="009E3412">
        <w:rPr>
          <w:rFonts w:ascii="Times New Roman" w:eastAsia="Times New Roman" w:hAnsi="Times New Roman" w:cs="Times New Roman"/>
        </w:rPr>
        <w:t xml:space="preserve"> </w:t>
      </w:r>
      <w:r w:rsidR="00AA11DC" w:rsidRPr="009E3412">
        <w:rPr>
          <w:rFonts w:ascii="Times New Roman" w:eastAsia="Times New Roman" w:hAnsi="Times New Roman" w:cs="Times New Roman"/>
        </w:rPr>
        <w:t>healthy</w:t>
      </w:r>
      <w:r w:rsidR="003876B7" w:rsidRPr="009E3412">
        <w:rPr>
          <w:rFonts w:ascii="Times New Roman" w:eastAsia="Times New Roman" w:hAnsi="Times New Roman" w:cs="Times New Roman"/>
        </w:rPr>
        <w:t>, 50 (33.3%)</w:t>
      </w:r>
      <w:r w:rsidR="00885D20" w:rsidRPr="009E3412">
        <w:rPr>
          <w:rFonts w:ascii="Times New Roman" w:eastAsia="Times New Roman" w:hAnsi="Times New Roman" w:cs="Times New Roman"/>
        </w:rPr>
        <w:t xml:space="preserve"> </w:t>
      </w:r>
      <w:r w:rsidR="00CF4EE0" w:rsidRPr="009E3412">
        <w:rPr>
          <w:rFonts w:ascii="Times New Roman" w:eastAsia="Times New Roman" w:hAnsi="Times New Roman" w:cs="Times New Roman"/>
        </w:rPr>
        <w:t xml:space="preserve">presented </w:t>
      </w:r>
      <w:r w:rsidR="002762A0" w:rsidRPr="009E3412">
        <w:rPr>
          <w:rFonts w:ascii="Times New Roman" w:eastAsia="Times New Roman" w:hAnsi="Times New Roman" w:cs="Times New Roman"/>
        </w:rPr>
        <w:t xml:space="preserve">with SCI and </w:t>
      </w:r>
      <w:r w:rsidRPr="009E3412">
        <w:rPr>
          <w:rFonts w:ascii="Times New Roman" w:eastAsia="Times New Roman" w:hAnsi="Times New Roman" w:cs="Times New Roman"/>
        </w:rPr>
        <w:t xml:space="preserve">50 (33.3%) </w:t>
      </w:r>
      <w:r w:rsidR="002762A0" w:rsidRPr="009E3412">
        <w:rPr>
          <w:rFonts w:ascii="Times New Roman" w:eastAsia="Times New Roman" w:hAnsi="Times New Roman" w:cs="Times New Roman"/>
        </w:rPr>
        <w:t xml:space="preserve">with MCI. </w:t>
      </w:r>
      <w:r w:rsidRPr="009E3412">
        <w:rPr>
          <w:rFonts w:ascii="Times New Roman" w:eastAsia="Times New Roman" w:hAnsi="Times New Roman" w:cs="Times New Roman"/>
        </w:rPr>
        <w:t>The mean</w:t>
      </w:r>
      <w:r w:rsidR="00AA11DC" w:rsidRPr="009E3412">
        <w:rPr>
          <w:rFonts w:ascii="Times New Roman" w:eastAsia="Times New Roman" w:hAnsi="Times New Roman" w:cs="Times New Roman"/>
        </w:rPr>
        <w:t xml:space="preserve"> ± SD </w:t>
      </w:r>
      <w:r w:rsidRPr="009E3412">
        <w:rPr>
          <w:rFonts w:ascii="Times New Roman" w:eastAsia="Times New Roman" w:hAnsi="Times New Roman" w:cs="Times New Roman"/>
        </w:rPr>
        <w:t>age</w:t>
      </w:r>
      <w:r w:rsidR="00AA11DC" w:rsidRPr="009E3412">
        <w:rPr>
          <w:rFonts w:ascii="Times New Roman" w:eastAsia="Times New Roman" w:hAnsi="Times New Roman" w:cs="Times New Roman"/>
        </w:rPr>
        <w:t xml:space="preserve"> </w:t>
      </w:r>
      <w:r w:rsidRPr="009E3412">
        <w:rPr>
          <w:rFonts w:ascii="Times New Roman" w:eastAsia="Times New Roman" w:hAnsi="Times New Roman" w:cs="Times New Roman"/>
        </w:rPr>
        <w:t>of all participants w</w:t>
      </w:r>
      <w:r w:rsidR="00510790" w:rsidRPr="009E3412">
        <w:rPr>
          <w:rFonts w:ascii="Times New Roman" w:eastAsia="Times New Roman" w:hAnsi="Times New Roman" w:cs="Times New Roman"/>
        </w:rPr>
        <w:t>as</w:t>
      </w:r>
      <w:r w:rsidRPr="009E3412">
        <w:rPr>
          <w:rFonts w:ascii="Times New Roman" w:eastAsia="Times New Roman" w:hAnsi="Times New Roman" w:cs="Times New Roman"/>
        </w:rPr>
        <w:t xml:space="preserve"> 65.5 </w:t>
      </w:r>
      <w:r w:rsidR="00575B8C" w:rsidRPr="009E3412">
        <w:rPr>
          <w:rFonts w:ascii="Times New Roman" w:eastAsia="Times New Roman" w:hAnsi="Times New Roman" w:cs="Times New Roman"/>
        </w:rPr>
        <w:t xml:space="preserve">± 5.7 </w:t>
      </w:r>
      <w:r w:rsidRPr="009E3412">
        <w:rPr>
          <w:rFonts w:ascii="Times New Roman" w:eastAsia="Times New Roman" w:hAnsi="Times New Roman" w:cs="Times New Roman"/>
        </w:rPr>
        <w:t xml:space="preserve">years, </w:t>
      </w:r>
      <w:r w:rsidR="000B5B73" w:rsidRPr="009E3412">
        <w:rPr>
          <w:rFonts w:ascii="Times New Roman" w:eastAsia="Times New Roman" w:hAnsi="Times New Roman" w:cs="Times New Roman"/>
        </w:rPr>
        <w:t xml:space="preserve">with </w:t>
      </w:r>
      <w:r w:rsidR="003D46F7" w:rsidRPr="009E3412">
        <w:rPr>
          <w:rFonts w:ascii="Times New Roman" w:eastAsia="Times New Roman" w:hAnsi="Times New Roman" w:cs="Times New Roman"/>
        </w:rPr>
        <w:t xml:space="preserve">a </w:t>
      </w:r>
      <w:r w:rsidRPr="009E3412">
        <w:rPr>
          <w:rFonts w:ascii="Times New Roman" w:eastAsia="Times New Roman" w:hAnsi="Times New Roman" w:cs="Times New Roman"/>
        </w:rPr>
        <w:t xml:space="preserve">mean </w:t>
      </w:r>
      <w:r w:rsidR="00885D20" w:rsidRPr="009E3412">
        <w:rPr>
          <w:rFonts w:ascii="Times New Roman" w:eastAsia="Times New Roman" w:hAnsi="Times New Roman" w:cs="Times New Roman"/>
        </w:rPr>
        <w:t xml:space="preserve">level of </w:t>
      </w:r>
      <w:r w:rsidRPr="009E3412">
        <w:rPr>
          <w:rFonts w:ascii="Times New Roman" w:eastAsia="Times New Roman" w:hAnsi="Times New Roman" w:cs="Times New Roman"/>
        </w:rPr>
        <w:t xml:space="preserve">education </w:t>
      </w:r>
      <w:r w:rsidR="003D46F7" w:rsidRPr="009E3412">
        <w:rPr>
          <w:rFonts w:ascii="Times New Roman" w:eastAsia="Times New Roman" w:hAnsi="Times New Roman" w:cs="Times New Roman"/>
        </w:rPr>
        <w:t xml:space="preserve">of </w:t>
      </w:r>
      <w:r w:rsidRPr="009E3412">
        <w:rPr>
          <w:rFonts w:ascii="Times New Roman" w:eastAsia="Times New Roman" w:hAnsi="Times New Roman" w:cs="Times New Roman"/>
        </w:rPr>
        <w:t xml:space="preserve">14.6 </w:t>
      </w:r>
      <w:r w:rsidR="00575B8C" w:rsidRPr="009E3412">
        <w:rPr>
          <w:rFonts w:ascii="Times New Roman" w:eastAsia="Times New Roman" w:hAnsi="Times New Roman" w:cs="Times New Roman"/>
        </w:rPr>
        <w:t>±</w:t>
      </w:r>
      <w:r w:rsidR="00001CC2" w:rsidRPr="009E3412">
        <w:rPr>
          <w:rFonts w:ascii="Times New Roman" w:eastAsia="Times New Roman" w:hAnsi="Times New Roman" w:cs="Times New Roman"/>
        </w:rPr>
        <w:t xml:space="preserve"> </w:t>
      </w:r>
      <w:r w:rsidR="00575B8C" w:rsidRPr="009E3412">
        <w:rPr>
          <w:rFonts w:ascii="Times New Roman" w:eastAsia="Times New Roman" w:hAnsi="Times New Roman" w:cs="Times New Roman"/>
        </w:rPr>
        <w:t xml:space="preserve">3.5 </w:t>
      </w:r>
      <w:r w:rsidRPr="009E3412">
        <w:rPr>
          <w:rFonts w:ascii="Times New Roman" w:eastAsia="Times New Roman" w:hAnsi="Times New Roman" w:cs="Times New Roman"/>
        </w:rPr>
        <w:t>years</w:t>
      </w:r>
      <w:r w:rsidR="00855184" w:rsidRPr="009E3412">
        <w:rPr>
          <w:rFonts w:ascii="Times New Roman" w:eastAsia="Times New Roman" w:hAnsi="Times New Roman" w:cs="Times New Roman"/>
        </w:rPr>
        <w:t xml:space="preserve"> and</w:t>
      </w:r>
      <w:r w:rsidR="003D46F7" w:rsidRPr="009E3412">
        <w:rPr>
          <w:rFonts w:ascii="Times New Roman" w:eastAsia="Times New Roman" w:hAnsi="Times New Roman" w:cs="Times New Roman"/>
        </w:rPr>
        <w:t xml:space="preserve"> </w:t>
      </w:r>
      <w:r w:rsidRPr="009E3412">
        <w:rPr>
          <w:rFonts w:ascii="Times New Roman" w:eastAsia="Times New Roman" w:hAnsi="Times New Roman" w:cs="Times New Roman"/>
        </w:rPr>
        <w:t>54% female</w:t>
      </w:r>
      <w:r w:rsidR="00885D20" w:rsidRPr="009E3412">
        <w:rPr>
          <w:rFonts w:ascii="Times New Roman" w:eastAsia="Times New Roman" w:hAnsi="Times New Roman" w:cs="Times New Roman"/>
        </w:rPr>
        <w:t xml:space="preserve"> (Table 1)</w:t>
      </w:r>
      <w:r w:rsidRPr="009E3412">
        <w:rPr>
          <w:rFonts w:ascii="Times New Roman" w:eastAsia="Times New Roman" w:hAnsi="Times New Roman" w:cs="Times New Roman"/>
        </w:rPr>
        <w:t xml:space="preserve">. </w:t>
      </w:r>
      <w:r w:rsidR="00A06DD7" w:rsidRPr="009E3412">
        <w:rPr>
          <w:rFonts w:ascii="Times New Roman" w:eastAsia="Times New Roman" w:hAnsi="Times New Roman" w:cs="Times New Roman"/>
        </w:rPr>
        <w:t xml:space="preserve">Cognitive groups </w:t>
      </w:r>
      <w:r w:rsidRPr="009E3412">
        <w:rPr>
          <w:rFonts w:ascii="Times New Roman" w:eastAsia="Times New Roman" w:hAnsi="Times New Roman" w:cs="Times New Roman"/>
        </w:rPr>
        <w:t>were matched for age, BMI and sex (p</w:t>
      </w:r>
      <w:r w:rsidR="00885D20" w:rsidRPr="009E3412">
        <w:rPr>
          <w:rFonts w:ascii="Times New Roman" w:eastAsia="Times New Roman" w:hAnsi="Times New Roman" w:cs="Times New Roman"/>
        </w:rPr>
        <w:t>=</w:t>
      </w:r>
      <w:r w:rsidR="005B0D4E"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0.99). </w:t>
      </w:r>
      <w:r w:rsidR="00133663" w:rsidRPr="009E3412">
        <w:rPr>
          <w:rFonts w:ascii="Times New Roman" w:eastAsia="Times New Roman" w:hAnsi="Times New Roman" w:cs="Times New Roman"/>
        </w:rPr>
        <w:t>P</w:t>
      </w:r>
      <w:r w:rsidR="00547E38" w:rsidRPr="009E3412">
        <w:rPr>
          <w:rFonts w:ascii="Times New Roman" w:eastAsia="Times New Roman" w:hAnsi="Times New Roman" w:cs="Times New Roman"/>
        </w:rPr>
        <w:t xml:space="preserve">articipants in both the COMBAT and CANN study undertook </w:t>
      </w:r>
      <w:r w:rsidR="00D8317B" w:rsidRPr="009E3412">
        <w:rPr>
          <w:rFonts w:ascii="Times New Roman" w:eastAsia="Times New Roman" w:hAnsi="Times New Roman" w:cs="Times New Roman"/>
        </w:rPr>
        <w:t>several</w:t>
      </w:r>
      <w:r w:rsidR="00547E38" w:rsidRPr="009E3412">
        <w:rPr>
          <w:rFonts w:ascii="Times New Roman" w:eastAsia="Times New Roman" w:hAnsi="Times New Roman" w:cs="Times New Roman"/>
        </w:rPr>
        <w:t xml:space="preserve"> cognitive assessments at their baseline visit</w:t>
      </w:r>
      <w:r w:rsidR="00916473" w:rsidRPr="009E3412">
        <w:rPr>
          <w:rFonts w:ascii="Times New Roman" w:eastAsia="Times New Roman" w:hAnsi="Times New Roman" w:cs="Times New Roman"/>
        </w:rPr>
        <w:t xml:space="preserve"> </w:t>
      </w:r>
      <w:r w:rsidR="00916473" w:rsidRPr="009E3412">
        <w:rPr>
          <w:rFonts w:ascii="Times New Roman" w:eastAsia="Times New Roman" w:hAnsi="Times New Roman" w:cs="Times New Roman"/>
        </w:rPr>
        <w:fldChar w:fldCharType="begin"/>
      </w:r>
      <w:r w:rsidR="007A55BE" w:rsidRPr="009E3412">
        <w:rPr>
          <w:rFonts w:ascii="Times New Roman" w:eastAsia="Times New Roman" w:hAnsi="Times New Roman" w:cs="Times New Roman"/>
        </w:rPr>
        <w:instrText xml:space="preserve"> ADDIN ZOTERO_ITEM CSL_CITATION {"citationID":"ban4sZkI","properties":{"formattedCitation":"[29,30]","plainCitation":"[29,30]","noteIndex":0},"citationItems":[{"id":242,"uris":["http://zotero.org/users/9893877/items/QC77P9EE"],"itemData":{"id":242,"type":"article-journal","abstract":"BackgroundAgeing is highly associated with cognitive decline and modifiable risk factors such as diet are believed to protect against this process. Specific dietary components and in particular, (poly)phenol-rich fruits such as berries have been increasingly recognised for their protection against age-related neurodegeneration. However, the impact of cranberries on cognitive function and neural functioning in older adults remains unclear.DesignA 12-week parallel randomised placebo-controlled trial of freeze-dried cranberry powder was conducted in 60 older adults aged between 50 and 80 years. Cognitive assessment, including memory and executive function, neuroimaging and blood sample collection were conducted before and after the intervention to assess the impact of daily cranberry consumption on cognition, brain function and biomarkers of neuronal signalling.ResultsCranberry supplementation for 12 weeks was associated with improvements in visual episodic memory in aged participants when compared to placebo. Mechanisms of action may include increased regional perfusion in the right entorhinal cortex, the accumbens area and the caudate in the cranberry group. Significant decrease in low-density lipoprotein (LDL) cholesterol during the course of the intervention was also observed. No significant differences were, however, detected for BDNF levels between groups.ConclusionsThe results of this study indicate that daily cranberry supplementation (equivalent to 1 small cup of cranberries) over a 12-week period improves episodic memory performance and neural functioning, providing a basis for future investigations to determine efficacy in the context of neurological disease. This trial was registered at clinicaltrials.gov as NCT03679533 and at ISRCTN as ISRCTN76069316.","container-title":"Frontiers in Nutrition","ISSN":"2296-861X","source":"Frontiers","title":"Chronic Consumption of Cranberries (Vaccinium macrocarpon) for 12 Weeks Improves Episodic Memory and Regional Brain Perfusion in Healthy Older Adults: A Randomised, Placebo-Controlled, Parallel-Groups Feasibility Study","title-short":"Chronic Consumption of Cranberries (Vaccinium macrocarpon) for 12 Weeks Improves Episodic Memory and Regional Brain Perfusion in Healthy Older Adults","URL":"https://www.frontiersin.org/articles/10.3389/fnut.2022.849902","volume":"9","author":[{"family":"Flanagan","given":"Emma"},{"family":"Cameron","given":"Donnie"},{"family":"Sobhan","given":"Rashed"},{"family":"Wong","given":"Chloe"},{"family":"Pontifex","given":"Matthew G."},{"family":"Tosi","given":"Nicole"},{"family":"Mena","given":"Pedro"},{"family":"Del Rio","given":"Daniele"},{"family":"Sami","given":"Saber"},{"family":"Narbad","given":"Arjan"},{"family":"Müller","given":"Michael"},{"family":"Hornberger","given":"Michael"},{"family":"Vauzour","given":"David"}],"accessed":{"date-parts":[["2022",9,12]]},"issued":{"date-parts":[["2022"]]}}},{"id":244,"uris":["http://zotero.org/users/9893877/items/PR4ZR4UH"],"itemData":{"id":244,"type":"article-journal","abstract":"Introduction\nThe Cognitive Ageing, Nutrition and Neurogenesis trial hypothesizes that a combined intervention with long-chain n-3 polyunsaturated fatty acids (n-3) and cocoa flavan-3-ols (FLAV) will mitigate the cognitive decline anticipated to naturally occur over 1 year in older adults.\n\nMethods\nIn a double-blinded, placebo-controlled parallel design, 259 individuals with mild cognitive impairment or subjective memory impairment were randomized to a control or n-3 FLAV group (1.5 g docosahexaenoic acid + eicosapentaenoic acid and 500 mg n-3 FLAV daily) for 12 months. Cognition was measured at 0, 3, and 12 months. The primary end-point is hippocampus-sensitive cognitive function (e.g., number of false-positives on the Picture Recognition Task of the Cognitive Drug Research test battery). Secondary outcomes include additional cognitive measures, brain atrophy and blood flow (assessed by magnetic resonance imaging), vascular function, circulating biomarkers of cardiovascular and cognitive health, gut microflora, red blood cell fatty acid status, and urine flavan-3-ol metabolites.\n\nResults\nScreening began in 2015, with all baseline visits completed in March 2017. The intervention was finished in March 2018.\n\nDiscussion\nCognitive Ageing, Nutrition and Neurogenesis aims to identify an effective diet-based intervention to prevent or delay cognitive impairment in cognitively at-risk individuals, which could ultimately contribute to a reduced population burden of dementia.\n\nClinicaltrials.gov\nNCT02525198.","container-title":"Alzheimer's &amp; Dementia : Translational Research &amp; Clinical Interventions","DOI":"10.1016/j.trci.2018.08.001","ISSN":"2352-8737","journalAbbreviation":"Alzheimers Dement (N Y)","note":"PMID: 30426067\nPMCID: PMC6222033","page":"591-601","source":"PubMed Central","title":"The Cognitive Ageing, Nutrition and Neurogenesis (CANN) trial: Design and progress","title-short":"The Cognitive Ageing, Nutrition and Neurogenesis (CANN) trial","volume":"4","author":[{"family":"Irvine","given":"Michael A."},{"family":"Scholey","given":"Andrew"},{"family":"King","given":"Rebecca"},{"family":"Gillings","given":"Rachel"},{"family":"Vauzour","given":"David"},{"family":"Demichele","given":"Stephen J."},{"family":"Das","given":"Tapas"},{"family":"Wesnes","given":"Keith A."},{"family":"Sutton","given":"Brad P."},{"family":"Cassidy","given":"Aedin"},{"family":"Pipingas","given":"Andrew"},{"family":"Potter","given":"John F."},{"family":"Johnson","given":"Glyn"},{"family":"White","given":"David"},{"family":"Larsen","given":"Ryan"},{"family":"Cohen","given":"Neal J."},{"family":"Minihane","given":"Anne-Marie"}],"issued":{"date-parts":[["2018",9,5]]}}}],"schema":"https://github.com/citation-style-language/schema/raw/master/csl-citation.json"} </w:instrText>
      </w:r>
      <w:r w:rsidR="00916473" w:rsidRPr="009E3412">
        <w:rPr>
          <w:rFonts w:ascii="Times New Roman" w:eastAsia="Times New Roman" w:hAnsi="Times New Roman" w:cs="Times New Roman"/>
        </w:rPr>
        <w:fldChar w:fldCharType="separate"/>
      </w:r>
      <w:r w:rsidR="007A55BE" w:rsidRPr="009E3412">
        <w:rPr>
          <w:rFonts w:ascii="Times New Roman" w:hAnsi="Times New Roman" w:cs="Times New Roman"/>
        </w:rPr>
        <w:t>[29,30]</w:t>
      </w:r>
      <w:r w:rsidR="00916473" w:rsidRPr="009E3412">
        <w:rPr>
          <w:rFonts w:ascii="Times New Roman" w:eastAsia="Times New Roman" w:hAnsi="Times New Roman" w:cs="Times New Roman"/>
        </w:rPr>
        <w:fldChar w:fldCharType="end"/>
      </w:r>
      <w:r w:rsidR="00547E38" w:rsidRPr="009E3412">
        <w:rPr>
          <w:rFonts w:ascii="Times New Roman" w:eastAsia="Times New Roman" w:hAnsi="Times New Roman" w:cs="Times New Roman"/>
        </w:rPr>
        <w:t>.</w:t>
      </w:r>
      <w:r w:rsidR="00761F3F" w:rsidRPr="009E3412">
        <w:rPr>
          <w:rFonts w:ascii="Times New Roman" w:eastAsia="Times New Roman" w:hAnsi="Times New Roman" w:cs="Times New Roman"/>
        </w:rPr>
        <w:t xml:space="preserve"> </w:t>
      </w:r>
      <w:r w:rsidR="005978A8" w:rsidRPr="009E3412">
        <w:rPr>
          <w:rFonts w:ascii="Times New Roman" w:eastAsia="Times New Roman" w:hAnsi="Times New Roman" w:cs="Times New Roman"/>
        </w:rPr>
        <w:t>Si</w:t>
      </w:r>
      <w:r w:rsidR="005A376F" w:rsidRPr="009E3412">
        <w:rPr>
          <w:rFonts w:ascii="Times New Roman" w:eastAsia="Times New Roman" w:hAnsi="Times New Roman" w:cs="Times New Roman"/>
        </w:rPr>
        <w:t xml:space="preserve">gnificant differences </w:t>
      </w:r>
      <w:r w:rsidR="007E7123" w:rsidRPr="009E3412">
        <w:rPr>
          <w:rFonts w:ascii="Times New Roman" w:eastAsia="Times New Roman" w:hAnsi="Times New Roman" w:cs="Times New Roman"/>
        </w:rPr>
        <w:t xml:space="preserve">were found </w:t>
      </w:r>
      <w:r w:rsidR="005A376F" w:rsidRPr="009E3412">
        <w:rPr>
          <w:rFonts w:ascii="Times New Roman" w:eastAsia="Times New Roman" w:hAnsi="Times New Roman" w:cs="Times New Roman"/>
        </w:rPr>
        <w:t>in t</w:t>
      </w:r>
      <w:r w:rsidR="009A5066" w:rsidRPr="009E3412">
        <w:rPr>
          <w:rFonts w:ascii="Times New Roman" w:eastAsia="Times New Roman" w:hAnsi="Times New Roman" w:cs="Times New Roman"/>
        </w:rPr>
        <w:t xml:space="preserve">he </w:t>
      </w:r>
      <w:r w:rsidR="000B5B73" w:rsidRPr="009E3412">
        <w:rPr>
          <w:rFonts w:ascii="Times New Roman" w:eastAsia="Times New Roman" w:hAnsi="Times New Roman" w:cs="Times New Roman"/>
        </w:rPr>
        <w:t>T</w:t>
      </w:r>
      <w:r w:rsidR="009A5066" w:rsidRPr="009E3412">
        <w:rPr>
          <w:rFonts w:ascii="Times New Roman" w:eastAsia="Times New Roman" w:hAnsi="Times New Roman" w:cs="Times New Roman"/>
        </w:rPr>
        <w:t xml:space="preserve">rail </w:t>
      </w:r>
      <w:r w:rsidR="000B5B73" w:rsidRPr="009E3412">
        <w:rPr>
          <w:rFonts w:ascii="Times New Roman" w:eastAsia="Times New Roman" w:hAnsi="Times New Roman" w:cs="Times New Roman"/>
        </w:rPr>
        <w:t>M</w:t>
      </w:r>
      <w:r w:rsidR="009A5066" w:rsidRPr="009E3412">
        <w:rPr>
          <w:rFonts w:ascii="Times New Roman" w:eastAsia="Times New Roman" w:hAnsi="Times New Roman" w:cs="Times New Roman"/>
        </w:rPr>
        <w:t xml:space="preserve">aking </w:t>
      </w:r>
      <w:r w:rsidR="000B5B73" w:rsidRPr="009E3412">
        <w:rPr>
          <w:rFonts w:ascii="Times New Roman" w:eastAsia="Times New Roman" w:hAnsi="Times New Roman" w:cs="Times New Roman"/>
        </w:rPr>
        <w:t>T</w:t>
      </w:r>
      <w:r w:rsidR="009A5066" w:rsidRPr="009E3412">
        <w:rPr>
          <w:rFonts w:ascii="Times New Roman" w:eastAsia="Times New Roman" w:hAnsi="Times New Roman" w:cs="Times New Roman"/>
        </w:rPr>
        <w:t xml:space="preserve">est </w:t>
      </w:r>
      <w:proofErr w:type="gramStart"/>
      <w:r w:rsidR="009A5066" w:rsidRPr="009E3412">
        <w:rPr>
          <w:rFonts w:ascii="Times New Roman" w:eastAsia="Times New Roman" w:hAnsi="Times New Roman" w:cs="Times New Roman"/>
        </w:rPr>
        <w:t>B</w:t>
      </w:r>
      <w:r w:rsidR="00726334" w:rsidRPr="009E3412">
        <w:rPr>
          <w:rFonts w:ascii="Times New Roman" w:eastAsia="Times New Roman" w:hAnsi="Times New Roman" w:cs="Times New Roman"/>
        </w:rPr>
        <w:t>,</w:t>
      </w:r>
      <w:proofErr w:type="gramEnd"/>
      <w:r w:rsidR="009A5066" w:rsidRPr="009E3412">
        <w:rPr>
          <w:rFonts w:ascii="Times New Roman" w:eastAsia="Times New Roman" w:hAnsi="Times New Roman" w:cs="Times New Roman"/>
        </w:rPr>
        <w:t xml:space="preserve"> digit span backward </w:t>
      </w:r>
      <w:r w:rsidR="004B5D03" w:rsidRPr="009E3412">
        <w:rPr>
          <w:rFonts w:ascii="Times New Roman" w:eastAsia="Times New Roman" w:hAnsi="Times New Roman" w:cs="Times New Roman"/>
        </w:rPr>
        <w:t xml:space="preserve">test </w:t>
      </w:r>
      <w:r w:rsidR="009A5066" w:rsidRPr="009E3412">
        <w:rPr>
          <w:rFonts w:ascii="Times New Roman" w:eastAsia="Times New Roman" w:hAnsi="Times New Roman" w:cs="Times New Roman"/>
        </w:rPr>
        <w:t xml:space="preserve">and </w:t>
      </w:r>
      <w:r w:rsidR="00726334" w:rsidRPr="009E3412">
        <w:rPr>
          <w:rFonts w:ascii="Times New Roman" w:eastAsia="Times New Roman" w:hAnsi="Times New Roman" w:cs="Times New Roman"/>
        </w:rPr>
        <w:t xml:space="preserve">digit span </w:t>
      </w:r>
      <w:r w:rsidR="009A5066" w:rsidRPr="009E3412">
        <w:rPr>
          <w:rFonts w:ascii="Times New Roman" w:eastAsia="Times New Roman" w:hAnsi="Times New Roman" w:cs="Times New Roman"/>
        </w:rPr>
        <w:t xml:space="preserve">total score </w:t>
      </w:r>
      <w:r w:rsidR="003B40AB" w:rsidRPr="009E3412">
        <w:rPr>
          <w:rFonts w:ascii="Times New Roman" w:eastAsia="Times New Roman" w:hAnsi="Times New Roman" w:cs="Times New Roman"/>
        </w:rPr>
        <w:t xml:space="preserve">between </w:t>
      </w:r>
      <w:r w:rsidR="0010349C" w:rsidRPr="009E3412">
        <w:rPr>
          <w:rFonts w:ascii="Times New Roman" w:eastAsia="Times New Roman" w:hAnsi="Times New Roman" w:cs="Times New Roman"/>
        </w:rPr>
        <w:t>groups</w:t>
      </w:r>
      <w:r w:rsidR="003B40AB" w:rsidRPr="009E3412">
        <w:rPr>
          <w:rFonts w:ascii="Times New Roman" w:eastAsia="Times New Roman" w:hAnsi="Times New Roman" w:cs="Times New Roman"/>
        </w:rPr>
        <w:t xml:space="preserve"> (p&lt;0.05)</w:t>
      </w:r>
      <w:r w:rsidR="0010349C"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There was a </w:t>
      </w:r>
      <w:r w:rsidR="007F3A4A" w:rsidRPr="009E3412">
        <w:rPr>
          <w:rFonts w:ascii="Times New Roman" w:eastAsia="Times New Roman" w:hAnsi="Times New Roman" w:cs="Times New Roman"/>
        </w:rPr>
        <w:t xml:space="preserve">marginal </w:t>
      </w:r>
      <w:r w:rsidRPr="009E3412">
        <w:rPr>
          <w:rFonts w:ascii="Times New Roman" w:eastAsia="Times New Roman" w:hAnsi="Times New Roman" w:cs="Times New Roman"/>
        </w:rPr>
        <w:t xml:space="preserve">difference between </w:t>
      </w:r>
      <w:r w:rsidR="00D114FE" w:rsidRPr="009E3412">
        <w:rPr>
          <w:rFonts w:ascii="Times New Roman" w:eastAsia="Times New Roman" w:hAnsi="Times New Roman" w:cs="Times New Roman"/>
        </w:rPr>
        <w:t>the</w:t>
      </w:r>
      <w:r w:rsidRPr="009E3412">
        <w:rPr>
          <w:rFonts w:ascii="Times New Roman" w:eastAsia="Times New Roman" w:hAnsi="Times New Roman" w:cs="Times New Roman"/>
        </w:rPr>
        <w:t xml:space="preserve"> three groups </w:t>
      </w:r>
      <w:r w:rsidR="00885D20" w:rsidRPr="009E3412">
        <w:rPr>
          <w:rFonts w:ascii="Times New Roman" w:eastAsia="Times New Roman" w:hAnsi="Times New Roman" w:cs="Times New Roman"/>
        </w:rPr>
        <w:t>i</w:t>
      </w:r>
      <w:r w:rsidRPr="009E3412">
        <w:rPr>
          <w:rFonts w:ascii="Times New Roman" w:eastAsia="Times New Roman" w:hAnsi="Times New Roman" w:cs="Times New Roman"/>
        </w:rPr>
        <w:t xml:space="preserve">n the </w:t>
      </w:r>
      <w:r w:rsidR="000B5B73" w:rsidRPr="009E3412">
        <w:rPr>
          <w:rFonts w:ascii="Times New Roman" w:eastAsia="Times New Roman" w:hAnsi="Times New Roman" w:cs="Times New Roman"/>
        </w:rPr>
        <w:t>T</w:t>
      </w:r>
      <w:r w:rsidRPr="009E3412">
        <w:rPr>
          <w:rFonts w:ascii="Times New Roman" w:eastAsia="Times New Roman" w:hAnsi="Times New Roman" w:cs="Times New Roman"/>
        </w:rPr>
        <w:t xml:space="preserve">rail </w:t>
      </w:r>
      <w:r w:rsidR="000B5B73" w:rsidRPr="009E3412">
        <w:rPr>
          <w:rFonts w:ascii="Times New Roman" w:eastAsia="Times New Roman" w:hAnsi="Times New Roman" w:cs="Times New Roman"/>
        </w:rPr>
        <w:t>M</w:t>
      </w:r>
      <w:r w:rsidRPr="009E3412">
        <w:rPr>
          <w:rFonts w:ascii="Times New Roman" w:eastAsia="Times New Roman" w:hAnsi="Times New Roman" w:cs="Times New Roman"/>
        </w:rPr>
        <w:t xml:space="preserve">aking </w:t>
      </w:r>
      <w:r w:rsidR="000B5B73" w:rsidRPr="009E3412">
        <w:rPr>
          <w:rFonts w:ascii="Times New Roman" w:eastAsia="Times New Roman" w:hAnsi="Times New Roman" w:cs="Times New Roman"/>
        </w:rPr>
        <w:t>T</w:t>
      </w:r>
      <w:r w:rsidRPr="009E3412">
        <w:rPr>
          <w:rFonts w:ascii="Times New Roman" w:eastAsia="Times New Roman" w:hAnsi="Times New Roman" w:cs="Times New Roman"/>
        </w:rPr>
        <w:t xml:space="preserve">est A </w:t>
      </w:r>
      <w:r w:rsidRPr="009E3412">
        <w:rPr>
          <w:rFonts w:ascii="Times New Roman" w:eastAsia="Times New Roman" w:hAnsi="Times New Roman" w:cs="Times New Roman"/>
        </w:rPr>
        <w:lastRenderedPageBreak/>
        <w:t>(p=</w:t>
      </w:r>
      <w:r w:rsidR="00D94EDB" w:rsidRPr="009E3412">
        <w:rPr>
          <w:rFonts w:ascii="Times New Roman" w:eastAsia="Times New Roman" w:hAnsi="Times New Roman" w:cs="Times New Roman"/>
        </w:rPr>
        <w:t xml:space="preserve"> </w:t>
      </w:r>
      <w:r w:rsidRPr="009E3412">
        <w:rPr>
          <w:rFonts w:ascii="Times New Roman" w:eastAsia="Times New Roman" w:hAnsi="Times New Roman" w:cs="Times New Roman"/>
        </w:rPr>
        <w:t>0.09)</w:t>
      </w:r>
      <w:r w:rsidR="00792D32" w:rsidRPr="009E3412">
        <w:rPr>
          <w:rFonts w:ascii="Times New Roman" w:eastAsia="Times New Roman" w:hAnsi="Times New Roman" w:cs="Times New Roman"/>
        </w:rPr>
        <w:t xml:space="preserve"> and no significant difference </w:t>
      </w:r>
      <w:r w:rsidR="00885D20" w:rsidRPr="009E3412">
        <w:rPr>
          <w:rFonts w:ascii="Times New Roman" w:eastAsia="Times New Roman" w:hAnsi="Times New Roman" w:cs="Times New Roman"/>
        </w:rPr>
        <w:t>occurred i</w:t>
      </w:r>
      <w:r w:rsidR="00792D32" w:rsidRPr="009E3412">
        <w:rPr>
          <w:rFonts w:ascii="Times New Roman" w:eastAsia="Times New Roman" w:hAnsi="Times New Roman" w:cs="Times New Roman"/>
        </w:rPr>
        <w:t>n the digit span forwards test</w:t>
      </w:r>
      <w:r w:rsidR="00DF2D38" w:rsidRPr="009E3412">
        <w:rPr>
          <w:rFonts w:ascii="Times New Roman" w:eastAsia="Times New Roman" w:hAnsi="Times New Roman" w:cs="Times New Roman"/>
        </w:rPr>
        <w:t xml:space="preserve"> (p=</w:t>
      </w:r>
      <w:r w:rsidR="00D94EDB" w:rsidRPr="009E3412">
        <w:rPr>
          <w:rFonts w:ascii="Times New Roman" w:eastAsia="Times New Roman" w:hAnsi="Times New Roman" w:cs="Times New Roman"/>
        </w:rPr>
        <w:t xml:space="preserve"> </w:t>
      </w:r>
      <w:r w:rsidR="00DF2D38" w:rsidRPr="009E3412">
        <w:rPr>
          <w:rFonts w:ascii="Times New Roman" w:eastAsia="Times New Roman" w:hAnsi="Times New Roman" w:cs="Times New Roman"/>
        </w:rPr>
        <w:t>0.21)</w:t>
      </w:r>
      <w:r w:rsidRPr="009E3412">
        <w:rPr>
          <w:rFonts w:ascii="Times New Roman" w:eastAsia="Times New Roman" w:hAnsi="Times New Roman" w:cs="Times New Roman"/>
        </w:rPr>
        <w:t xml:space="preserve">. </w:t>
      </w:r>
      <w:r w:rsidR="003D46F7" w:rsidRPr="009E3412">
        <w:rPr>
          <w:rFonts w:ascii="Times New Roman" w:eastAsia="Times New Roman" w:hAnsi="Times New Roman" w:cs="Times New Roman"/>
        </w:rPr>
        <w:t xml:space="preserve">The prevalence of the </w:t>
      </w:r>
      <w:r w:rsidR="003D46F7" w:rsidRPr="009E3412">
        <w:rPr>
          <w:rFonts w:ascii="Times New Roman" w:eastAsia="Times New Roman" w:hAnsi="Times New Roman" w:cs="Times New Roman"/>
          <w:i/>
          <w:iCs/>
        </w:rPr>
        <w:t xml:space="preserve">APOɛ4 </w:t>
      </w:r>
      <w:r w:rsidR="003D46F7" w:rsidRPr="009E3412">
        <w:rPr>
          <w:rFonts w:ascii="Times New Roman" w:eastAsia="Times New Roman" w:hAnsi="Times New Roman" w:cs="Times New Roman"/>
        </w:rPr>
        <w:t>was lower in</w:t>
      </w:r>
      <w:r w:rsidR="003D46F7" w:rsidRPr="009E3412">
        <w:rPr>
          <w:rFonts w:ascii="Times New Roman" w:eastAsia="Times New Roman" w:hAnsi="Times New Roman" w:cs="Times New Roman"/>
          <w:i/>
          <w:iCs/>
        </w:rPr>
        <w:t xml:space="preserve"> </w:t>
      </w:r>
      <w:r w:rsidR="003D46F7" w:rsidRPr="009E3412">
        <w:rPr>
          <w:rFonts w:ascii="Times New Roman" w:eastAsia="Times New Roman" w:hAnsi="Times New Roman" w:cs="Times New Roman"/>
        </w:rPr>
        <w:t>c</w:t>
      </w:r>
      <w:r w:rsidRPr="009E3412">
        <w:rPr>
          <w:rFonts w:ascii="Times New Roman" w:eastAsia="Times New Roman" w:hAnsi="Times New Roman" w:cs="Times New Roman"/>
        </w:rPr>
        <w:t>ontrols (18%) compared to SCI (26%) and MCI (38%)</w:t>
      </w:r>
      <w:r w:rsidR="00133663" w:rsidRPr="009E3412">
        <w:rPr>
          <w:rFonts w:ascii="Times New Roman" w:eastAsia="Times New Roman" w:hAnsi="Times New Roman" w:cs="Times New Roman"/>
        </w:rPr>
        <w:t xml:space="preserve"> participants</w:t>
      </w:r>
      <w:r w:rsidRPr="009E3412">
        <w:rPr>
          <w:rFonts w:ascii="Times New Roman" w:eastAsia="Times New Roman" w:hAnsi="Times New Roman" w:cs="Times New Roman"/>
        </w:rPr>
        <w:t>.</w:t>
      </w:r>
    </w:p>
    <w:p w14:paraId="68FE31DC" w14:textId="66FEAB6C" w:rsidR="00D752A0" w:rsidRPr="009E3412" w:rsidRDefault="003D46F7" w:rsidP="00AF68DE">
      <w:pPr>
        <w:pBdr>
          <w:top w:val="nil"/>
          <w:left w:val="nil"/>
          <w:bottom w:val="nil"/>
          <w:right w:val="nil"/>
          <w:between w:val="nil"/>
        </w:pBdr>
        <w:spacing w:before="240" w:line="360" w:lineRule="auto"/>
        <w:jc w:val="both"/>
        <w:rPr>
          <w:rFonts w:ascii="Times New Roman" w:eastAsia="Times New Roman" w:hAnsi="Times New Roman" w:cs="Times New Roman"/>
        </w:rPr>
      </w:pPr>
      <w:r w:rsidRPr="009E3412">
        <w:rPr>
          <w:rFonts w:ascii="Times New Roman" w:eastAsia="Times New Roman" w:hAnsi="Times New Roman" w:cs="Times New Roman"/>
        </w:rPr>
        <w:t>A</w:t>
      </w:r>
      <w:r w:rsidR="00D752A0" w:rsidRPr="009E3412">
        <w:rPr>
          <w:rFonts w:ascii="Times New Roman" w:eastAsia="Times New Roman" w:hAnsi="Times New Roman" w:cs="Times New Roman"/>
        </w:rPr>
        <w:t xml:space="preserve">lbumin, bilirubin and fasting glucose </w:t>
      </w:r>
      <w:r w:rsidR="00D23CC8" w:rsidRPr="009E3412">
        <w:rPr>
          <w:rFonts w:ascii="Times New Roman" w:eastAsia="Times New Roman" w:hAnsi="Times New Roman" w:cs="Times New Roman"/>
        </w:rPr>
        <w:t xml:space="preserve">(p&lt;0.01) </w:t>
      </w:r>
      <w:r w:rsidRPr="009E3412">
        <w:rPr>
          <w:rFonts w:ascii="Times New Roman" w:eastAsia="Times New Roman" w:hAnsi="Times New Roman" w:cs="Times New Roman"/>
        </w:rPr>
        <w:t>differed according to cognitive status</w:t>
      </w:r>
      <w:r w:rsidR="00D752A0" w:rsidRPr="009E3412">
        <w:rPr>
          <w:rFonts w:ascii="Times New Roman" w:eastAsia="Times New Roman" w:hAnsi="Times New Roman" w:cs="Times New Roman"/>
        </w:rPr>
        <w:t>.</w:t>
      </w:r>
      <w:r w:rsidR="00D23CC8" w:rsidRPr="009E3412">
        <w:rPr>
          <w:rFonts w:ascii="Times New Roman" w:eastAsia="Times New Roman" w:hAnsi="Times New Roman" w:cs="Times New Roman"/>
        </w:rPr>
        <w:t xml:space="preserve"> Interestingly, both albumin and bilirubin were highest in controls and lowest in SCI </w:t>
      </w:r>
      <w:r w:rsidR="00133663" w:rsidRPr="009E3412">
        <w:rPr>
          <w:rFonts w:ascii="Times New Roman" w:eastAsia="Times New Roman" w:hAnsi="Times New Roman" w:cs="Times New Roman"/>
        </w:rPr>
        <w:t>participants</w:t>
      </w:r>
      <w:r w:rsidR="00D23CC8" w:rsidRPr="009E3412">
        <w:rPr>
          <w:rFonts w:ascii="Times New Roman" w:eastAsia="Times New Roman" w:hAnsi="Times New Roman" w:cs="Times New Roman"/>
        </w:rPr>
        <w:t xml:space="preserve">. </w:t>
      </w:r>
      <w:r w:rsidR="00825144" w:rsidRPr="009E3412">
        <w:rPr>
          <w:rFonts w:ascii="Times New Roman" w:eastAsia="Times New Roman" w:hAnsi="Times New Roman" w:cs="Times New Roman"/>
        </w:rPr>
        <w:t xml:space="preserve">Although participants </w:t>
      </w:r>
      <w:r w:rsidR="004D7046" w:rsidRPr="009E3412">
        <w:rPr>
          <w:rFonts w:ascii="Times New Roman" w:eastAsia="Times New Roman" w:hAnsi="Times New Roman" w:cs="Times New Roman"/>
        </w:rPr>
        <w:t xml:space="preserve">diagnosed </w:t>
      </w:r>
      <w:r w:rsidR="00825144" w:rsidRPr="009E3412">
        <w:rPr>
          <w:rFonts w:ascii="Times New Roman" w:eastAsia="Times New Roman" w:hAnsi="Times New Roman" w:cs="Times New Roman"/>
        </w:rPr>
        <w:t>with diabetes mellitus were excluded</w:t>
      </w:r>
      <w:r w:rsidR="00D23CC8" w:rsidRPr="009E3412">
        <w:rPr>
          <w:rFonts w:ascii="Times New Roman" w:eastAsia="Times New Roman" w:hAnsi="Times New Roman" w:cs="Times New Roman"/>
        </w:rPr>
        <w:t xml:space="preserve">, fasting glucose increased over </w:t>
      </w:r>
      <w:r w:rsidR="005D5754" w:rsidRPr="009E3412">
        <w:rPr>
          <w:rFonts w:ascii="Times New Roman" w:eastAsia="Times New Roman" w:hAnsi="Times New Roman" w:cs="Times New Roman"/>
        </w:rPr>
        <w:t>control to SCI to MCI</w:t>
      </w:r>
      <w:r w:rsidR="00D23CC8" w:rsidRPr="009E3412">
        <w:rPr>
          <w:rFonts w:ascii="Times New Roman" w:eastAsia="Times New Roman" w:hAnsi="Times New Roman" w:cs="Times New Roman"/>
        </w:rPr>
        <w:t xml:space="preserve">, with </w:t>
      </w:r>
      <w:r w:rsidR="000B5B73" w:rsidRPr="009E3412">
        <w:rPr>
          <w:rFonts w:ascii="Times New Roman" w:eastAsia="Times New Roman" w:hAnsi="Times New Roman" w:cs="Times New Roman"/>
        </w:rPr>
        <w:t xml:space="preserve">the </w:t>
      </w:r>
      <w:r w:rsidR="00D23CC8" w:rsidRPr="009E3412">
        <w:rPr>
          <w:rFonts w:ascii="Times New Roman" w:eastAsia="Times New Roman" w:hAnsi="Times New Roman" w:cs="Times New Roman"/>
        </w:rPr>
        <w:t xml:space="preserve">lowest concentrations in control individuals and </w:t>
      </w:r>
      <w:r w:rsidR="000B5B73" w:rsidRPr="009E3412">
        <w:rPr>
          <w:rFonts w:ascii="Times New Roman" w:eastAsia="Times New Roman" w:hAnsi="Times New Roman" w:cs="Times New Roman"/>
        </w:rPr>
        <w:t xml:space="preserve">the </w:t>
      </w:r>
      <w:r w:rsidR="00D23CC8" w:rsidRPr="009E3412">
        <w:rPr>
          <w:rFonts w:ascii="Times New Roman" w:eastAsia="Times New Roman" w:hAnsi="Times New Roman" w:cs="Times New Roman"/>
        </w:rPr>
        <w:t>highest in MCI</w:t>
      </w:r>
      <w:r w:rsidR="00CC06DA" w:rsidRPr="009E3412">
        <w:rPr>
          <w:rFonts w:ascii="Times New Roman" w:eastAsia="Times New Roman" w:hAnsi="Times New Roman" w:cs="Times New Roman"/>
        </w:rPr>
        <w:t xml:space="preserve"> (Table 1)</w:t>
      </w:r>
      <w:r w:rsidR="00D23CC8" w:rsidRPr="009E3412">
        <w:rPr>
          <w:rFonts w:ascii="Times New Roman" w:eastAsia="Times New Roman" w:hAnsi="Times New Roman" w:cs="Times New Roman"/>
        </w:rPr>
        <w:t>.</w:t>
      </w:r>
    </w:p>
    <w:p w14:paraId="0EB7BFB0" w14:textId="77777777" w:rsidR="00706937" w:rsidRPr="009E3412" w:rsidRDefault="00706937" w:rsidP="00706937">
      <w:pPr>
        <w:pStyle w:val="NoSpacing"/>
      </w:pPr>
    </w:p>
    <w:p w14:paraId="685BA0DB" w14:textId="4EFE3621" w:rsidR="00B22A5C" w:rsidRPr="009E3412" w:rsidRDefault="00B22A5C" w:rsidP="00AF68DE">
      <w:pPr>
        <w:pBdr>
          <w:top w:val="nil"/>
          <w:left w:val="nil"/>
          <w:bottom w:val="nil"/>
          <w:right w:val="nil"/>
          <w:between w:val="nil"/>
        </w:pBdr>
        <w:spacing w:before="240"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3.2 </w:t>
      </w:r>
      <w:r w:rsidR="004843A8" w:rsidRPr="009E3412">
        <w:rPr>
          <w:rFonts w:ascii="Times New Roman" w:eastAsia="Times New Roman" w:hAnsi="Times New Roman" w:cs="Times New Roman"/>
        </w:rPr>
        <w:t>Gut microbiome</w:t>
      </w:r>
      <w:r w:rsidR="00326B8C" w:rsidRPr="009E3412">
        <w:rPr>
          <w:rFonts w:ascii="Times New Roman" w:eastAsia="Times New Roman" w:hAnsi="Times New Roman" w:cs="Times New Roman"/>
        </w:rPr>
        <w:t xml:space="preserve"> and metabolome</w:t>
      </w:r>
      <w:r w:rsidR="004843A8" w:rsidRPr="009E3412">
        <w:rPr>
          <w:rFonts w:ascii="Times New Roman" w:eastAsia="Times New Roman" w:hAnsi="Times New Roman" w:cs="Times New Roman"/>
        </w:rPr>
        <w:t xml:space="preserve"> </w:t>
      </w:r>
      <w:proofErr w:type="gramStart"/>
      <w:r w:rsidR="004843A8" w:rsidRPr="009E3412">
        <w:rPr>
          <w:rFonts w:ascii="Times New Roman" w:eastAsia="Times New Roman" w:hAnsi="Times New Roman" w:cs="Times New Roman"/>
        </w:rPr>
        <w:t>shift</w:t>
      </w:r>
      <w:r w:rsidR="00326B8C" w:rsidRPr="009E3412">
        <w:rPr>
          <w:rFonts w:ascii="Times New Roman" w:eastAsia="Times New Roman" w:hAnsi="Times New Roman" w:cs="Times New Roman"/>
        </w:rPr>
        <w:t>s</w:t>
      </w:r>
      <w:proofErr w:type="gramEnd"/>
      <w:r w:rsidR="004843A8" w:rsidRPr="009E3412">
        <w:rPr>
          <w:rFonts w:ascii="Times New Roman" w:eastAsia="Times New Roman" w:hAnsi="Times New Roman" w:cs="Times New Roman"/>
        </w:rPr>
        <w:t xml:space="preserve"> in </w:t>
      </w:r>
      <w:r w:rsidR="00F01C18" w:rsidRPr="009E3412">
        <w:rPr>
          <w:rFonts w:ascii="Times New Roman" w:eastAsia="Times New Roman" w:hAnsi="Times New Roman" w:cs="Times New Roman"/>
        </w:rPr>
        <w:t>early cognitive decline</w:t>
      </w:r>
    </w:p>
    <w:p w14:paraId="4161FD81" w14:textId="0DD249EF" w:rsidR="003B65DA" w:rsidRPr="009E3412" w:rsidRDefault="002C4305" w:rsidP="002C4305">
      <w:pPr>
        <w:pBdr>
          <w:top w:val="nil"/>
          <w:left w:val="nil"/>
          <w:bottom w:val="nil"/>
          <w:right w:val="nil"/>
          <w:between w:val="nil"/>
        </w:pBdr>
        <w:spacing w:before="240" w:line="360" w:lineRule="auto"/>
        <w:jc w:val="both"/>
        <w:rPr>
          <w:rFonts w:ascii="Times New Roman" w:eastAsia="Times New Roman" w:hAnsi="Times New Roman" w:cs="Times New Roman"/>
        </w:rPr>
      </w:pPr>
      <w:r w:rsidRPr="009E3412">
        <w:rPr>
          <w:rFonts w:ascii="Times New Roman" w:eastAsia="Times New Roman" w:hAnsi="Times New Roman" w:cs="Times New Roman"/>
        </w:rPr>
        <w:t>Alpha diversity was measured using the Chao1 (p= 0.21) and Shannon H (p= 0.70) indices with no significant difference amongst groups (Figure 1A-B). Conversely, beta diversity, as measured by Bray-</w:t>
      </w:r>
      <w:proofErr w:type="gramStart"/>
      <w:r w:rsidRPr="009E3412">
        <w:rPr>
          <w:rFonts w:ascii="Times New Roman" w:eastAsia="Times New Roman" w:hAnsi="Times New Roman" w:cs="Times New Roman"/>
        </w:rPr>
        <w:t>Curtis</w:t>
      </w:r>
      <w:proofErr w:type="gramEnd"/>
      <w:r w:rsidRPr="009E3412">
        <w:rPr>
          <w:rFonts w:ascii="Times New Roman" w:eastAsia="Times New Roman" w:hAnsi="Times New Roman" w:cs="Times New Roman"/>
        </w:rPr>
        <w:t xml:space="preserve"> dissimilarity, was significantly different (PERMANOVA F-value= 1.35, p= 0.02) (Figure 1C). Pairwise analysis suggested the shift was primarily driven by the differences between the control and SCI groups (FDR q= 0.03), rather than between SCI and MCI (FDR q= 0.38) or MCI and control (FDR q= 0.15) (Figure 1D). There was no significant difference in the gut microbiome at the phylum level (Figure 1E; Supplementary Table S</w:t>
      </w:r>
      <w:r w:rsidR="00501CC6" w:rsidRPr="009E3412">
        <w:rPr>
          <w:rFonts w:ascii="Times New Roman" w:eastAsia="Times New Roman" w:hAnsi="Times New Roman" w:cs="Times New Roman"/>
        </w:rPr>
        <w:t>1</w:t>
      </w:r>
      <w:r w:rsidRPr="009E3412">
        <w:rPr>
          <w:rFonts w:ascii="Times New Roman" w:eastAsia="Times New Roman" w:hAnsi="Times New Roman" w:cs="Times New Roman"/>
        </w:rPr>
        <w:t xml:space="preserve"> for full abundance counts). However, 10 genera were modulated between groups </w:t>
      </w:r>
      <w:r w:rsidR="000964E9" w:rsidRPr="009E3412">
        <w:rPr>
          <w:rFonts w:ascii="Times New Roman" w:eastAsia="Times New Roman" w:hAnsi="Times New Roman" w:cs="Times New Roman"/>
        </w:rPr>
        <w:t xml:space="preserve">(p&lt;0.05) </w:t>
      </w:r>
      <w:r w:rsidRPr="009E3412">
        <w:rPr>
          <w:rFonts w:ascii="Times New Roman" w:eastAsia="Times New Roman" w:hAnsi="Times New Roman" w:cs="Times New Roman"/>
        </w:rPr>
        <w:t>(Figure 1F-O; Supplementary Table S</w:t>
      </w:r>
      <w:r w:rsidR="00501CC6" w:rsidRPr="009E3412">
        <w:rPr>
          <w:rFonts w:ascii="Times New Roman" w:eastAsia="Times New Roman" w:hAnsi="Times New Roman" w:cs="Times New Roman"/>
        </w:rPr>
        <w:t>2</w:t>
      </w:r>
      <w:r w:rsidRPr="009E3412">
        <w:rPr>
          <w:rFonts w:ascii="Times New Roman" w:eastAsia="Times New Roman" w:hAnsi="Times New Roman" w:cs="Times New Roman"/>
        </w:rPr>
        <w:t xml:space="preserve">). </w:t>
      </w:r>
    </w:p>
    <w:p w14:paraId="331F0EC4" w14:textId="20D25ED2" w:rsidR="002C4305" w:rsidRPr="009E3412" w:rsidRDefault="00074D8D" w:rsidP="002C4305">
      <w:pPr>
        <w:pBdr>
          <w:top w:val="nil"/>
          <w:left w:val="nil"/>
          <w:bottom w:val="nil"/>
          <w:right w:val="nil"/>
          <w:between w:val="nil"/>
        </w:pBdr>
        <w:spacing w:before="240" w:line="360" w:lineRule="auto"/>
        <w:jc w:val="both"/>
        <w:rPr>
          <w:rFonts w:ascii="Times New Roman" w:eastAsia="Times New Roman" w:hAnsi="Times New Roman" w:cs="Times New Roman"/>
        </w:rPr>
      </w:pPr>
      <w:r w:rsidRPr="009E3412">
        <w:rPr>
          <w:rFonts w:ascii="Times New Roman" w:hAnsi="Times New Roman" w:cs="Times New Roman"/>
          <w:bdr w:val="none" w:sz="0" w:space="0" w:color="auto" w:frame="1"/>
          <w:shd w:val="clear" w:color="auto" w:fill="FFFFFF"/>
        </w:rPr>
        <w:t>The metabolomic profiles of the control, SCI and MCI participants were analysed using pairwise Orthogonal Partial Least Squares-Discriminant Analysis (OPLS-DA) (Figure 2A). OPLS-DA models comparing Control versus SCI and Control versus MCI demonstrated modest separation</w:t>
      </w:r>
      <w:r w:rsidR="00990A44" w:rsidRPr="009E3412">
        <w:rPr>
          <w:rFonts w:ascii="Times New Roman" w:hAnsi="Times New Roman" w:cs="Times New Roman"/>
          <w:bdr w:val="none" w:sz="0" w:space="0" w:color="auto" w:frame="1"/>
          <w:shd w:val="clear" w:color="auto" w:fill="FFFFFF"/>
        </w:rPr>
        <w:t xml:space="preserve">, </w:t>
      </w:r>
      <w:r w:rsidR="00D2774F" w:rsidRPr="009E3412">
        <w:rPr>
          <w:rFonts w:ascii="Times New Roman" w:hAnsi="Times New Roman" w:cs="Times New Roman"/>
          <w:bdr w:val="none" w:sz="0" w:space="0" w:color="auto" w:frame="1"/>
          <w:shd w:val="clear" w:color="auto" w:fill="FFFFFF"/>
        </w:rPr>
        <w:t>whereas</w:t>
      </w:r>
      <w:r w:rsidRPr="009E3412">
        <w:rPr>
          <w:rFonts w:ascii="Times New Roman" w:hAnsi="Times New Roman" w:cs="Times New Roman"/>
          <w:bdr w:val="none" w:sz="0" w:space="0" w:color="auto" w:frame="1"/>
          <w:shd w:val="clear" w:color="auto" w:fill="FFFFFF"/>
        </w:rPr>
        <w:t xml:space="preserve"> the OPLS-DA model comparing SCI and MCI </w:t>
      </w:r>
      <w:r w:rsidR="00990A44" w:rsidRPr="009E3412">
        <w:rPr>
          <w:rFonts w:ascii="Times New Roman" w:hAnsi="Times New Roman" w:cs="Times New Roman"/>
          <w:bdr w:val="none" w:sz="0" w:space="0" w:color="auto" w:frame="1"/>
          <w:shd w:val="clear" w:color="auto" w:fill="FFFFFF"/>
        </w:rPr>
        <w:t>displays</w:t>
      </w:r>
      <w:r w:rsidRPr="009E3412">
        <w:rPr>
          <w:rFonts w:ascii="Times New Roman" w:hAnsi="Times New Roman" w:cs="Times New Roman"/>
          <w:bdr w:val="none" w:sz="0" w:space="0" w:color="auto" w:frame="1"/>
          <w:shd w:val="clear" w:color="auto" w:fill="FFFFFF"/>
        </w:rPr>
        <w:t xml:space="preserve"> minimal discrimination.</w:t>
      </w:r>
      <w:r w:rsidRPr="009E3412">
        <w:rPr>
          <w:rFonts w:ascii="Times New Roman" w:eastAsia="Times New Roman" w:hAnsi="Times New Roman" w:cs="Times New Roman"/>
        </w:rPr>
        <w:t xml:space="preserve"> </w:t>
      </w:r>
      <w:r w:rsidR="002C4305" w:rsidRPr="009E3412">
        <w:rPr>
          <w:rFonts w:ascii="Times New Roman" w:eastAsia="Times New Roman" w:hAnsi="Times New Roman" w:cs="Times New Roman"/>
        </w:rPr>
        <w:t xml:space="preserve">The extent of separation </w:t>
      </w:r>
      <w:r w:rsidRPr="009E3412">
        <w:rPr>
          <w:rFonts w:ascii="Times New Roman" w:eastAsia="Times New Roman" w:hAnsi="Times New Roman" w:cs="Times New Roman"/>
        </w:rPr>
        <w:t xml:space="preserve">between groups </w:t>
      </w:r>
      <w:r w:rsidR="002C4305" w:rsidRPr="009E3412">
        <w:rPr>
          <w:rFonts w:ascii="Times New Roman" w:eastAsia="Times New Roman" w:hAnsi="Times New Roman" w:cs="Times New Roman"/>
        </w:rPr>
        <w:t>can be seen through the heatmap displaying shifts in metabolite concentrations between groups and clustering SCI and MCI together (Figure 2</w:t>
      </w:r>
      <w:r w:rsidRPr="009E3412">
        <w:rPr>
          <w:rFonts w:ascii="Times New Roman" w:eastAsia="Times New Roman" w:hAnsi="Times New Roman" w:cs="Times New Roman"/>
        </w:rPr>
        <w:t>B</w:t>
      </w:r>
      <w:r w:rsidR="002C4305" w:rsidRPr="009E3412">
        <w:rPr>
          <w:rFonts w:ascii="Times New Roman" w:eastAsia="Times New Roman" w:hAnsi="Times New Roman" w:cs="Times New Roman"/>
        </w:rPr>
        <w:t xml:space="preserve">). </w:t>
      </w:r>
      <w:r w:rsidR="00501CC6" w:rsidRPr="009E3412">
        <w:rPr>
          <w:rFonts w:ascii="Times New Roman" w:eastAsia="Times New Roman" w:hAnsi="Times New Roman" w:cs="Times New Roman"/>
        </w:rPr>
        <w:t>For full metabolite concentrations see Supplementary Table S3.</w:t>
      </w:r>
      <w:r w:rsidR="003B3E79" w:rsidRPr="009E3412">
        <w:rPr>
          <w:rFonts w:ascii="Times New Roman" w:eastAsia="Times New Roman" w:hAnsi="Times New Roman" w:cs="Times New Roman"/>
        </w:rPr>
        <w:t xml:space="preserve"> Notably, changes observed in bile acid profiles were not attributable to differences in glycine or taurine conjugation (Supplementary Figure S</w:t>
      </w:r>
      <w:r w:rsidR="00947B86" w:rsidRPr="009E3412">
        <w:rPr>
          <w:rFonts w:ascii="Times New Roman" w:eastAsia="Times New Roman" w:hAnsi="Times New Roman" w:cs="Times New Roman"/>
        </w:rPr>
        <w:t>3</w:t>
      </w:r>
      <w:r w:rsidR="003B3E79" w:rsidRPr="009E3412">
        <w:rPr>
          <w:rFonts w:ascii="Times New Roman" w:eastAsia="Times New Roman" w:hAnsi="Times New Roman" w:cs="Times New Roman"/>
        </w:rPr>
        <w:t>).</w:t>
      </w:r>
    </w:p>
    <w:p w14:paraId="4671C707" w14:textId="77777777" w:rsidR="000A55EA" w:rsidRPr="009E3412" w:rsidRDefault="000A55EA" w:rsidP="002C4305">
      <w:pPr>
        <w:pBdr>
          <w:top w:val="nil"/>
          <w:left w:val="nil"/>
          <w:bottom w:val="nil"/>
          <w:right w:val="nil"/>
          <w:between w:val="nil"/>
        </w:pBdr>
        <w:spacing w:before="240" w:line="360" w:lineRule="auto"/>
        <w:jc w:val="both"/>
        <w:rPr>
          <w:rFonts w:ascii="Times New Roman" w:eastAsia="Times New Roman" w:hAnsi="Times New Roman" w:cs="Times New Roman"/>
        </w:rPr>
      </w:pPr>
    </w:p>
    <w:p w14:paraId="58647AE3" w14:textId="6EFE3DF6" w:rsidR="002C4305" w:rsidRPr="009E3412" w:rsidRDefault="002C4305" w:rsidP="002C4305">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3.3 </w:t>
      </w:r>
      <w:r w:rsidR="00AD1BD9" w:rsidRPr="009E3412">
        <w:rPr>
          <w:rFonts w:ascii="Times New Roman" w:eastAsia="Times New Roman" w:hAnsi="Times New Roman" w:cs="Times New Roman"/>
        </w:rPr>
        <w:t xml:space="preserve">Serum Dietary and Microbial-Derived Metabolites Assessed by Targeted Metabolomics Reveal Significant Associations with Gut Microbiome Alterations in </w:t>
      </w:r>
      <w:r w:rsidR="00F01C18" w:rsidRPr="009E3412">
        <w:rPr>
          <w:rFonts w:ascii="Times New Roman" w:eastAsia="Times New Roman" w:hAnsi="Times New Roman" w:cs="Times New Roman"/>
        </w:rPr>
        <w:t>early cognitive decline</w:t>
      </w:r>
    </w:p>
    <w:p w14:paraId="21CB4DAE" w14:textId="249A61BE" w:rsidR="002C4305" w:rsidRPr="009E3412" w:rsidRDefault="002C4305" w:rsidP="002C4305">
      <w:pPr>
        <w:pBdr>
          <w:top w:val="nil"/>
          <w:left w:val="nil"/>
          <w:bottom w:val="nil"/>
          <w:right w:val="nil"/>
          <w:between w:val="nil"/>
        </w:pBdr>
        <w:spacing w:before="240"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Having identified a shift in both the microbiome and metabolome profiles, a Spearman </w:t>
      </w:r>
      <w:r w:rsidR="007245C5" w:rsidRPr="009E3412">
        <w:rPr>
          <w:rFonts w:ascii="Times New Roman" w:eastAsia="Times New Roman" w:hAnsi="Times New Roman" w:cs="Times New Roman"/>
        </w:rPr>
        <w:t xml:space="preserve">rank </w:t>
      </w:r>
      <w:r w:rsidRPr="009E3412">
        <w:rPr>
          <w:rFonts w:ascii="Times New Roman" w:eastAsia="Times New Roman" w:hAnsi="Times New Roman" w:cs="Times New Roman"/>
        </w:rPr>
        <w:t xml:space="preserve">correlation examined possible </w:t>
      </w:r>
      <w:r w:rsidR="007245C5" w:rsidRPr="009E3412">
        <w:rPr>
          <w:rFonts w:ascii="Times New Roman" w:eastAsia="Times New Roman" w:hAnsi="Times New Roman" w:cs="Times New Roman"/>
        </w:rPr>
        <w:t>associations</w:t>
      </w:r>
      <w:r w:rsidRPr="009E3412">
        <w:rPr>
          <w:rFonts w:ascii="Times New Roman" w:eastAsia="Times New Roman" w:hAnsi="Times New Roman" w:cs="Times New Roman"/>
        </w:rPr>
        <w:t xml:space="preserve"> between the two datasets</w:t>
      </w:r>
      <w:r w:rsidR="007245C5" w:rsidRPr="009E3412">
        <w:rPr>
          <w:rFonts w:ascii="Times New Roman" w:eastAsia="Times New Roman" w:hAnsi="Times New Roman" w:cs="Times New Roman"/>
        </w:rPr>
        <w:t xml:space="preserve"> (Figure 3)</w:t>
      </w:r>
      <w:r w:rsidRPr="009E3412">
        <w:rPr>
          <w:rFonts w:ascii="Times New Roman" w:eastAsia="Times New Roman" w:hAnsi="Times New Roman" w:cs="Times New Roman"/>
        </w:rPr>
        <w:t xml:space="preserve">. </w:t>
      </w:r>
      <w:r w:rsidR="007245C5" w:rsidRPr="009E3412">
        <w:rPr>
          <w:rFonts w:ascii="Times New Roman" w:eastAsia="Times New Roman" w:hAnsi="Times New Roman" w:cs="Times New Roman"/>
        </w:rPr>
        <w:t>This demonstrated a significant correlation between the 33 metabolites and 69 microbiota genera. For full correlation details, including R values, p-values, and FDR-adjusted p-values, see Supplementary Table S</w:t>
      </w:r>
      <w:r w:rsidR="00501CC6" w:rsidRPr="009E3412">
        <w:rPr>
          <w:rFonts w:ascii="Times New Roman" w:eastAsia="Times New Roman" w:hAnsi="Times New Roman" w:cs="Times New Roman"/>
        </w:rPr>
        <w:t>4</w:t>
      </w:r>
      <w:r w:rsidR="007245C5" w:rsidRPr="009E3412">
        <w:rPr>
          <w:rFonts w:ascii="Times New Roman" w:eastAsia="Times New Roman" w:hAnsi="Times New Roman" w:cs="Times New Roman"/>
        </w:rPr>
        <w:t>.</w:t>
      </w:r>
      <w:r w:rsidRPr="009E3412">
        <w:rPr>
          <w:rFonts w:ascii="Times New Roman" w:eastAsia="Times New Roman" w:hAnsi="Times New Roman" w:cs="Times New Roman"/>
        </w:rPr>
        <w:t xml:space="preserve"> The similarity between microbiome and metabolomic profiles was confirmed by conducting a Procrustes analysis to evaluate </w:t>
      </w:r>
      <w:r w:rsidRPr="009E3412">
        <w:rPr>
          <w:rFonts w:ascii="Times New Roman" w:eastAsia="Times New Roman" w:hAnsi="Times New Roman" w:cs="Times New Roman"/>
        </w:rPr>
        <w:lastRenderedPageBreak/>
        <w:t>the congruence of the two datasets. The analysis revealed significant similarity between the metabolome and microbiome results in control and SCI (R= 0.21, p= 0.03), SCI and MCI (R= 0.27, p= 0.002) and MCI and control (R= 0.26, p= 0.002) groups (</w:t>
      </w:r>
      <w:r w:rsidR="00F51070" w:rsidRPr="009E3412">
        <w:rPr>
          <w:rFonts w:ascii="Times New Roman" w:eastAsia="Times New Roman" w:hAnsi="Times New Roman" w:cs="Times New Roman"/>
        </w:rPr>
        <w:t>Supplementary</w:t>
      </w:r>
      <w:r w:rsidR="00E91A47" w:rsidRPr="009E3412">
        <w:rPr>
          <w:rFonts w:ascii="Times New Roman" w:eastAsia="Times New Roman" w:hAnsi="Times New Roman" w:cs="Times New Roman"/>
        </w:rPr>
        <w:t xml:space="preserve"> Figure </w:t>
      </w:r>
      <w:r w:rsidR="00F51070" w:rsidRPr="009E3412">
        <w:rPr>
          <w:rFonts w:ascii="Times New Roman" w:eastAsia="Times New Roman" w:hAnsi="Times New Roman" w:cs="Times New Roman"/>
        </w:rPr>
        <w:t>S</w:t>
      </w:r>
      <w:r w:rsidR="00947B86" w:rsidRPr="009E3412">
        <w:rPr>
          <w:rFonts w:ascii="Times New Roman" w:eastAsia="Times New Roman" w:hAnsi="Times New Roman" w:cs="Times New Roman"/>
        </w:rPr>
        <w:t>4</w:t>
      </w:r>
      <w:r w:rsidRPr="009E3412">
        <w:rPr>
          <w:rFonts w:ascii="Times New Roman" w:eastAsia="Times New Roman" w:hAnsi="Times New Roman" w:cs="Times New Roman"/>
        </w:rPr>
        <w:t xml:space="preserve">). </w:t>
      </w:r>
    </w:p>
    <w:p w14:paraId="5DB211B5" w14:textId="77777777" w:rsidR="00272CE4" w:rsidRPr="009E3412" w:rsidRDefault="00272CE4" w:rsidP="008A002A">
      <w:pPr>
        <w:pStyle w:val="NoSpacing"/>
      </w:pPr>
    </w:p>
    <w:p w14:paraId="2839336B" w14:textId="622713F6" w:rsidR="00150AD6" w:rsidRPr="009E3412" w:rsidRDefault="0082522C">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3.</w:t>
      </w:r>
      <w:r w:rsidR="002C4305" w:rsidRPr="009E3412">
        <w:rPr>
          <w:rFonts w:ascii="Times New Roman" w:eastAsia="Times New Roman" w:hAnsi="Times New Roman" w:cs="Times New Roman"/>
        </w:rPr>
        <w:t>4</w:t>
      </w:r>
      <w:r w:rsidRPr="009E3412">
        <w:rPr>
          <w:rFonts w:ascii="Times New Roman" w:eastAsia="Times New Roman" w:hAnsi="Times New Roman" w:cs="Times New Roman"/>
        </w:rPr>
        <w:t xml:space="preserve"> Serum metabolites significantly associated with early cognitive decline in </w:t>
      </w:r>
      <w:r w:rsidR="008D29FC" w:rsidRPr="009E3412">
        <w:rPr>
          <w:rFonts w:ascii="Times New Roman" w:eastAsia="Times New Roman" w:hAnsi="Times New Roman" w:cs="Times New Roman"/>
        </w:rPr>
        <w:t xml:space="preserve">an </w:t>
      </w:r>
      <w:r w:rsidRPr="009E3412">
        <w:rPr>
          <w:rFonts w:ascii="Times New Roman" w:eastAsia="Times New Roman" w:hAnsi="Times New Roman" w:cs="Times New Roman"/>
        </w:rPr>
        <w:t>adjusted multivariable model</w:t>
      </w:r>
    </w:p>
    <w:p w14:paraId="7A478B85" w14:textId="05545AC2" w:rsidR="008A002A" w:rsidRPr="009E3412" w:rsidRDefault="00FB6BA5" w:rsidP="00501CC6">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M</w:t>
      </w:r>
      <w:r w:rsidR="0082522C" w:rsidRPr="009E3412">
        <w:rPr>
          <w:rFonts w:ascii="Times New Roman" w:eastAsia="Times New Roman" w:hAnsi="Times New Roman" w:cs="Times New Roman"/>
        </w:rPr>
        <w:t xml:space="preserve">ultiple linear regression </w:t>
      </w:r>
      <w:r w:rsidRPr="009E3412">
        <w:rPr>
          <w:rFonts w:ascii="Times New Roman" w:eastAsia="Times New Roman" w:hAnsi="Times New Roman" w:cs="Times New Roman"/>
        </w:rPr>
        <w:t>analysis</w:t>
      </w:r>
      <w:r w:rsidR="0082522C" w:rsidRPr="009E3412">
        <w:rPr>
          <w:rFonts w:ascii="Times New Roman" w:eastAsia="Times New Roman" w:hAnsi="Times New Roman" w:cs="Times New Roman"/>
        </w:rPr>
        <w:t xml:space="preserve"> adjusted for</w:t>
      </w:r>
      <w:r w:rsidR="00825144" w:rsidRPr="009E3412">
        <w:rPr>
          <w:rFonts w:ascii="Times New Roman" w:eastAsia="Times New Roman" w:hAnsi="Times New Roman" w:cs="Times New Roman"/>
        </w:rPr>
        <w:t xml:space="preserve"> liver function (</w:t>
      </w:r>
      <w:r w:rsidR="00260D55" w:rsidRPr="009E3412">
        <w:rPr>
          <w:rFonts w:ascii="Times New Roman" w:eastAsia="Times New Roman" w:hAnsi="Times New Roman" w:cs="Times New Roman"/>
          <w:kern w:val="24"/>
        </w:rPr>
        <w:t>AST/ALT ratio</w:t>
      </w:r>
      <w:r w:rsidR="00825144" w:rsidRPr="009E3412">
        <w:rPr>
          <w:rFonts w:ascii="Times New Roman" w:eastAsia="Times New Roman" w:hAnsi="Times New Roman" w:cs="Times New Roman"/>
        </w:rPr>
        <w:t>), kidney function (</w:t>
      </w:r>
      <w:r w:rsidR="00260D55" w:rsidRPr="009E3412">
        <w:rPr>
          <w:rFonts w:ascii="Times New Roman" w:eastAsia="Times New Roman" w:hAnsi="Times New Roman" w:cs="Times New Roman"/>
        </w:rPr>
        <w:t>creatinine</w:t>
      </w:r>
      <w:r w:rsidR="00825144" w:rsidRPr="009E3412">
        <w:rPr>
          <w:rFonts w:ascii="Times New Roman" w:eastAsia="Times New Roman" w:hAnsi="Times New Roman" w:cs="Times New Roman"/>
          <w:kern w:val="24"/>
        </w:rPr>
        <w:t>)</w:t>
      </w:r>
      <w:r w:rsidR="00825144"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age, BMI and background diet</w:t>
      </w:r>
      <w:r w:rsidR="00592ADA" w:rsidRPr="009E3412">
        <w:rPr>
          <w:rFonts w:ascii="Times New Roman" w:eastAsia="Times New Roman" w:hAnsi="Times New Roman" w:cs="Times New Roman"/>
        </w:rPr>
        <w:t xml:space="preserve"> </w:t>
      </w:r>
      <w:r w:rsidR="00014348" w:rsidRPr="009E3412">
        <w:rPr>
          <w:rFonts w:ascii="Times New Roman" w:eastAsia="Times New Roman" w:hAnsi="Times New Roman" w:cs="Times New Roman"/>
        </w:rPr>
        <w:t>identified five</w:t>
      </w:r>
      <w:r w:rsidR="0082522C" w:rsidRPr="009E3412">
        <w:rPr>
          <w:rFonts w:ascii="Times New Roman" w:eastAsia="Times New Roman" w:hAnsi="Times New Roman" w:cs="Times New Roman"/>
        </w:rPr>
        <w:t xml:space="preserve"> </w:t>
      </w:r>
      <w:r w:rsidR="00491B16" w:rsidRPr="009E3412">
        <w:rPr>
          <w:rFonts w:ascii="Times New Roman" w:eastAsia="Times New Roman" w:hAnsi="Times New Roman" w:cs="Times New Roman"/>
        </w:rPr>
        <w:t xml:space="preserve">metabolites </w:t>
      </w:r>
      <w:r w:rsidR="00014348" w:rsidRPr="009E3412">
        <w:rPr>
          <w:rFonts w:ascii="Times New Roman" w:eastAsia="Times New Roman" w:hAnsi="Times New Roman" w:cs="Times New Roman"/>
        </w:rPr>
        <w:t xml:space="preserve">significantly </w:t>
      </w:r>
      <w:r w:rsidR="005B0D4E" w:rsidRPr="009E3412">
        <w:rPr>
          <w:rFonts w:ascii="Times New Roman" w:eastAsia="Times New Roman" w:hAnsi="Times New Roman" w:cs="Times New Roman"/>
        </w:rPr>
        <w:t>associated with</w:t>
      </w:r>
      <w:r w:rsidR="0082522C" w:rsidRPr="009E3412">
        <w:rPr>
          <w:rFonts w:ascii="Times New Roman" w:eastAsia="Times New Roman" w:hAnsi="Times New Roman" w:cs="Times New Roman"/>
        </w:rPr>
        <w:t xml:space="preserve"> early cognitive decline</w:t>
      </w:r>
      <w:r w:rsidR="0039730B" w:rsidRPr="009E3412">
        <w:rPr>
          <w:rFonts w:ascii="Times New Roman" w:eastAsia="Times New Roman" w:hAnsi="Times New Roman" w:cs="Times New Roman"/>
        </w:rPr>
        <w:t>, including</w:t>
      </w:r>
      <w:r w:rsidR="0082522C" w:rsidRPr="009E3412">
        <w:rPr>
          <w:rFonts w:ascii="Times New Roman" w:eastAsia="Times New Roman" w:hAnsi="Times New Roman" w:cs="Times New Roman"/>
        </w:rPr>
        <w:t xml:space="preserve"> </w:t>
      </w:r>
      <w:r w:rsidR="0039730B" w:rsidRPr="009E3412">
        <w:rPr>
          <w:rFonts w:ascii="Times New Roman" w:eastAsia="Times New Roman" w:hAnsi="Times New Roman" w:cs="Times New Roman"/>
        </w:rPr>
        <w:t>choline, 5-hydroxyindole acetic acid, indole-3</w:t>
      </w:r>
      <w:r w:rsidR="005407B6" w:rsidRPr="009E3412">
        <w:rPr>
          <w:rFonts w:ascii="Times New Roman" w:eastAsia="Times New Roman" w:hAnsi="Times New Roman" w:cs="Times New Roman"/>
        </w:rPr>
        <w:t xml:space="preserve">- </w:t>
      </w:r>
      <w:r w:rsidR="0039730B" w:rsidRPr="009E3412">
        <w:rPr>
          <w:rFonts w:ascii="Times New Roman" w:eastAsia="Times New Roman" w:hAnsi="Times New Roman" w:cs="Times New Roman"/>
        </w:rPr>
        <w:t>propionic acid</w:t>
      </w:r>
      <w:r w:rsidR="005407B6" w:rsidRPr="009E3412">
        <w:rPr>
          <w:rFonts w:ascii="Times New Roman" w:eastAsia="Times New Roman" w:hAnsi="Times New Roman" w:cs="Times New Roman"/>
        </w:rPr>
        <w:t xml:space="preserve"> (IPA)</w:t>
      </w:r>
      <w:r w:rsidR="00B40FAE" w:rsidRPr="009E3412">
        <w:rPr>
          <w:rFonts w:ascii="Times New Roman" w:eastAsia="Times New Roman" w:hAnsi="Times New Roman" w:cs="Times New Roman"/>
        </w:rPr>
        <w:t xml:space="preserve">, indoxyl </w:t>
      </w:r>
      <w:proofErr w:type="spellStart"/>
      <w:r w:rsidR="00B40FAE" w:rsidRPr="009E3412">
        <w:rPr>
          <w:rFonts w:ascii="Times New Roman" w:eastAsia="Times New Roman" w:hAnsi="Times New Roman" w:cs="Times New Roman"/>
        </w:rPr>
        <w:t>sulfate</w:t>
      </w:r>
      <w:proofErr w:type="spellEnd"/>
      <w:r w:rsidR="00B40FAE" w:rsidRPr="009E3412">
        <w:rPr>
          <w:rFonts w:ascii="Times New Roman" w:eastAsia="Times New Roman" w:hAnsi="Times New Roman" w:cs="Times New Roman"/>
        </w:rPr>
        <w:t xml:space="preserve"> and kynurenic acid</w:t>
      </w:r>
      <w:r w:rsidR="0039730B" w:rsidRPr="009E3412">
        <w:rPr>
          <w:rFonts w:ascii="Times New Roman" w:eastAsia="Times New Roman" w:hAnsi="Times New Roman" w:cs="Times New Roman"/>
        </w:rPr>
        <w:t xml:space="preserve"> </w:t>
      </w:r>
      <w:r w:rsidR="0082522C" w:rsidRPr="009E3412">
        <w:rPr>
          <w:rFonts w:ascii="Times New Roman" w:eastAsia="Times New Roman" w:hAnsi="Times New Roman" w:cs="Times New Roman"/>
        </w:rPr>
        <w:t xml:space="preserve">(Table </w:t>
      </w:r>
      <w:r w:rsidR="00847DC0" w:rsidRPr="009E3412">
        <w:rPr>
          <w:rFonts w:ascii="Times New Roman" w:eastAsia="Times New Roman" w:hAnsi="Times New Roman" w:cs="Times New Roman"/>
        </w:rPr>
        <w:t>2</w:t>
      </w:r>
      <w:r w:rsidR="0082522C" w:rsidRPr="009E3412">
        <w:rPr>
          <w:rFonts w:ascii="Times New Roman" w:eastAsia="Times New Roman" w:hAnsi="Times New Roman" w:cs="Times New Roman"/>
        </w:rPr>
        <w:t xml:space="preserve">). </w:t>
      </w:r>
      <w:r w:rsidR="005B0D4E" w:rsidRPr="009E3412">
        <w:rPr>
          <w:rFonts w:ascii="Times New Roman" w:eastAsia="Times New Roman" w:hAnsi="Times New Roman" w:cs="Times New Roman"/>
        </w:rPr>
        <w:t xml:space="preserve">Indoxyl </w:t>
      </w:r>
      <w:proofErr w:type="spellStart"/>
      <w:r w:rsidR="005B0D4E" w:rsidRPr="009E3412">
        <w:rPr>
          <w:rFonts w:ascii="Times New Roman" w:eastAsia="Times New Roman" w:hAnsi="Times New Roman" w:cs="Times New Roman"/>
        </w:rPr>
        <w:t>sulfate</w:t>
      </w:r>
      <w:proofErr w:type="spellEnd"/>
      <w:r w:rsidR="005B0D4E" w:rsidRPr="009E3412">
        <w:rPr>
          <w:rFonts w:ascii="Times New Roman" w:eastAsia="Times New Roman" w:hAnsi="Times New Roman" w:cs="Times New Roman"/>
        </w:rPr>
        <w:t>, choline and 5-hydroxyindole acetic acid were associated with both SCI and MCI (p&lt;0.05). K</w:t>
      </w:r>
      <w:r w:rsidR="00C17D89" w:rsidRPr="009E3412">
        <w:rPr>
          <w:rFonts w:ascii="Times New Roman" w:eastAsia="Times New Roman" w:hAnsi="Times New Roman" w:cs="Times New Roman"/>
        </w:rPr>
        <w:t>ynurenic acid was significantly associated with SCI (</w:t>
      </w:r>
      <w:r w:rsidR="001D42EE" w:rsidRPr="009E3412">
        <w:rPr>
          <w:rFonts w:ascii="Times New Roman" w:hAnsi="Times New Roman" w:cs="Times New Roman"/>
        </w:rPr>
        <w:t>β= 0.0</w:t>
      </w:r>
      <w:r w:rsidR="0013096E" w:rsidRPr="009E3412">
        <w:rPr>
          <w:rFonts w:ascii="Times New Roman" w:hAnsi="Times New Roman" w:cs="Times New Roman"/>
        </w:rPr>
        <w:t>07</w:t>
      </w:r>
      <w:r w:rsidR="001D42EE" w:rsidRPr="009E3412">
        <w:rPr>
          <w:rFonts w:ascii="Times New Roman" w:hAnsi="Times New Roman" w:cs="Times New Roman"/>
        </w:rPr>
        <w:t>, 95% CI</w:t>
      </w:r>
      <w:r w:rsidR="004D7046" w:rsidRPr="009E3412">
        <w:rPr>
          <w:rFonts w:ascii="Times New Roman" w:hAnsi="Times New Roman" w:cs="Times New Roman"/>
        </w:rPr>
        <w:t>:</w:t>
      </w:r>
      <w:r w:rsidR="001D42EE" w:rsidRPr="009E3412">
        <w:rPr>
          <w:rFonts w:ascii="Times New Roman" w:hAnsi="Times New Roman" w:cs="Times New Roman"/>
        </w:rPr>
        <w:t xml:space="preserve"> </w:t>
      </w:r>
      <w:r w:rsidR="0013096E" w:rsidRPr="009E3412">
        <w:rPr>
          <w:rFonts w:ascii="Times New Roman" w:hAnsi="Times New Roman" w:cs="Times New Roman"/>
        </w:rPr>
        <w:t>-0.006</w:t>
      </w:r>
      <w:r w:rsidR="001D42EE" w:rsidRPr="009E3412">
        <w:rPr>
          <w:rFonts w:ascii="Times New Roman" w:hAnsi="Times New Roman" w:cs="Times New Roman"/>
        </w:rPr>
        <w:t>, 0.0</w:t>
      </w:r>
      <w:r w:rsidR="0013096E" w:rsidRPr="009E3412">
        <w:rPr>
          <w:rFonts w:ascii="Times New Roman" w:hAnsi="Times New Roman" w:cs="Times New Roman"/>
        </w:rPr>
        <w:t>09</w:t>
      </w:r>
      <w:r w:rsidR="001D42EE" w:rsidRPr="009E3412">
        <w:rPr>
          <w:rFonts w:ascii="Times New Roman" w:hAnsi="Times New Roman" w:cs="Times New Roman"/>
        </w:rPr>
        <w:t xml:space="preserve">, </w:t>
      </w:r>
      <w:r w:rsidR="00C17D89" w:rsidRPr="009E3412">
        <w:rPr>
          <w:rFonts w:ascii="Times New Roman" w:eastAsia="Times New Roman" w:hAnsi="Times New Roman" w:cs="Times New Roman"/>
        </w:rPr>
        <w:t>p=</w:t>
      </w:r>
      <w:r w:rsidR="00D94EDB" w:rsidRPr="009E3412">
        <w:rPr>
          <w:rFonts w:ascii="Times New Roman" w:eastAsia="Times New Roman" w:hAnsi="Times New Roman" w:cs="Times New Roman"/>
        </w:rPr>
        <w:t xml:space="preserve"> </w:t>
      </w:r>
      <w:r w:rsidR="00C17D89" w:rsidRPr="009E3412">
        <w:rPr>
          <w:rFonts w:ascii="Times New Roman" w:eastAsia="Times New Roman" w:hAnsi="Times New Roman" w:cs="Times New Roman"/>
        </w:rPr>
        <w:t>0.0</w:t>
      </w:r>
      <w:r w:rsidR="0013096E" w:rsidRPr="009E3412">
        <w:rPr>
          <w:rFonts w:ascii="Times New Roman" w:eastAsia="Times New Roman" w:hAnsi="Times New Roman" w:cs="Times New Roman"/>
        </w:rPr>
        <w:t>15</w:t>
      </w:r>
      <w:r w:rsidR="00C17D89" w:rsidRPr="009E3412">
        <w:rPr>
          <w:rFonts w:ascii="Times New Roman" w:eastAsia="Times New Roman" w:hAnsi="Times New Roman" w:cs="Times New Roman"/>
        </w:rPr>
        <w:t>) but not MCI (</w:t>
      </w:r>
      <w:r w:rsidR="001D42EE" w:rsidRPr="009E3412">
        <w:rPr>
          <w:rFonts w:ascii="Times New Roman" w:hAnsi="Times New Roman" w:cs="Times New Roman"/>
        </w:rPr>
        <w:t>β= 0.</w:t>
      </w:r>
      <w:r w:rsidR="0013096E" w:rsidRPr="009E3412">
        <w:rPr>
          <w:rFonts w:ascii="Times New Roman" w:hAnsi="Times New Roman" w:cs="Times New Roman"/>
        </w:rPr>
        <w:t>340</w:t>
      </w:r>
      <w:r w:rsidR="001D42EE" w:rsidRPr="009E3412">
        <w:rPr>
          <w:rFonts w:ascii="Times New Roman" w:hAnsi="Times New Roman" w:cs="Times New Roman"/>
        </w:rPr>
        <w:t>, 95% CI</w:t>
      </w:r>
      <w:r w:rsidR="004D7046" w:rsidRPr="009E3412">
        <w:rPr>
          <w:rFonts w:ascii="Times New Roman" w:hAnsi="Times New Roman" w:cs="Times New Roman"/>
        </w:rPr>
        <w:t>:</w:t>
      </w:r>
      <w:r w:rsidR="001D42EE" w:rsidRPr="009E3412">
        <w:rPr>
          <w:rFonts w:ascii="Times New Roman" w:hAnsi="Times New Roman" w:cs="Times New Roman"/>
        </w:rPr>
        <w:t xml:space="preserve"> -0.00</w:t>
      </w:r>
      <w:r w:rsidR="008D29FC" w:rsidRPr="009E3412">
        <w:rPr>
          <w:rFonts w:ascii="Times New Roman" w:hAnsi="Times New Roman" w:cs="Times New Roman"/>
        </w:rPr>
        <w:t>6</w:t>
      </w:r>
      <w:r w:rsidR="001D42EE" w:rsidRPr="009E3412">
        <w:rPr>
          <w:rFonts w:ascii="Times New Roman" w:hAnsi="Times New Roman" w:cs="Times New Roman"/>
        </w:rPr>
        <w:t>, 0.00</w:t>
      </w:r>
      <w:r w:rsidR="0013096E" w:rsidRPr="009E3412">
        <w:rPr>
          <w:rFonts w:ascii="Times New Roman" w:hAnsi="Times New Roman" w:cs="Times New Roman"/>
        </w:rPr>
        <w:t>9</w:t>
      </w:r>
      <w:r w:rsidR="001D42EE" w:rsidRPr="009E3412">
        <w:rPr>
          <w:rFonts w:ascii="Times New Roman" w:hAnsi="Times New Roman" w:cs="Times New Roman"/>
        </w:rPr>
        <w:t xml:space="preserve">, </w:t>
      </w:r>
      <w:r w:rsidR="00C3367B" w:rsidRPr="009E3412">
        <w:rPr>
          <w:rFonts w:ascii="Times New Roman" w:eastAsia="Times New Roman" w:hAnsi="Times New Roman" w:cs="Times New Roman"/>
        </w:rPr>
        <w:t>p=</w:t>
      </w:r>
      <w:r w:rsidR="00D94EDB" w:rsidRPr="009E3412">
        <w:rPr>
          <w:rFonts w:ascii="Times New Roman" w:eastAsia="Times New Roman" w:hAnsi="Times New Roman" w:cs="Times New Roman"/>
        </w:rPr>
        <w:t xml:space="preserve"> </w:t>
      </w:r>
      <w:r w:rsidR="00C17D89" w:rsidRPr="009E3412">
        <w:rPr>
          <w:rFonts w:ascii="Times New Roman" w:eastAsia="Times New Roman" w:hAnsi="Times New Roman" w:cs="Times New Roman"/>
        </w:rPr>
        <w:t>0.</w:t>
      </w:r>
      <w:r w:rsidR="0013096E" w:rsidRPr="009E3412">
        <w:rPr>
          <w:rFonts w:ascii="Times New Roman" w:eastAsia="Times New Roman" w:hAnsi="Times New Roman" w:cs="Times New Roman"/>
        </w:rPr>
        <w:t>735</w:t>
      </w:r>
      <w:r w:rsidR="00C17D89" w:rsidRPr="009E3412">
        <w:rPr>
          <w:rFonts w:ascii="Times New Roman" w:eastAsia="Times New Roman" w:hAnsi="Times New Roman" w:cs="Times New Roman"/>
        </w:rPr>
        <w:t>).</w:t>
      </w:r>
      <w:r w:rsidR="001B2DD0" w:rsidRPr="009E3412">
        <w:rPr>
          <w:rFonts w:ascii="Times New Roman" w:eastAsia="Times New Roman" w:hAnsi="Times New Roman" w:cs="Times New Roman"/>
        </w:rPr>
        <w:t xml:space="preserve"> On the other hand, </w:t>
      </w:r>
      <w:r w:rsidR="005407B6" w:rsidRPr="009E3412">
        <w:rPr>
          <w:rFonts w:ascii="Times New Roman" w:eastAsia="Times New Roman" w:hAnsi="Times New Roman" w:cs="Times New Roman"/>
        </w:rPr>
        <w:t>IPA</w:t>
      </w:r>
      <w:r w:rsidR="001B2DD0" w:rsidRPr="009E3412">
        <w:rPr>
          <w:rFonts w:ascii="Times New Roman" w:eastAsia="Times New Roman" w:hAnsi="Times New Roman" w:cs="Times New Roman"/>
        </w:rPr>
        <w:t xml:space="preserve"> was significantly associated with MCI (</w:t>
      </w:r>
      <w:r w:rsidR="001D42EE" w:rsidRPr="009E3412">
        <w:rPr>
          <w:rFonts w:ascii="Times New Roman" w:hAnsi="Times New Roman" w:cs="Times New Roman"/>
        </w:rPr>
        <w:t>β= -0.</w:t>
      </w:r>
      <w:r w:rsidR="0013096E" w:rsidRPr="009E3412">
        <w:rPr>
          <w:rFonts w:ascii="Times New Roman" w:hAnsi="Times New Roman" w:cs="Times New Roman"/>
        </w:rPr>
        <w:t>685</w:t>
      </w:r>
      <w:r w:rsidR="001D42EE" w:rsidRPr="009E3412">
        <w:rPr>
          <w:rFonts w:ascii="Times New Roman" w:hAnsi="Times New Roman" w:cs="Times New Roman"/>
        </w:rPr>
        <w:t>, 95% CI</w:t>
      </w:r>
      <w:r w:rsidR="004D7046" w:rsidRPr="009E3412">
        <w:rPr>
          <w:rFonts w:ascii="Times New Roman" w:hAnsi="Times New Roman" w:cs="Times New Roman"/>
        </w:rPr>
        <w:t>:</w:t>
      </w:r>
      <w:r w:rsidR="001D42EE" w:rsidRPr="009E3412">
        <w:rPr>
          <w:rFonts w:ascii="Times New Roman" w:hAnsi="Times New Roman" w:cs="Times New Roman"/>
        </w:rPr>
        <w:t xml:space="preserve"> -</w:t>
      </w:r>
      <w:r w:rsidR="0013096E" w:rsidRPr="009E3412">
        <w:rPr>
          <w:rFonts w:ascii="Times New Roman" w:hAnsi="Times New Roman" w:cs="Times New Roman"/>
        </w:rPr>
        <w:t>1.121</w:t>
      </w:r>
      <w:r w:rsidR="001D42EE" w:rsidRPr="009E3412">
        <w:rPr>
          <w:rFonts w:ascii="Times New Roman" w:hAnsi="Times New Roman" w:cs="Times New Roman"/>
        </w:rPr>
        <w:t>, -0.</w:t>
      </w:r>
      <w:r w:rsidR="008D29FC" w:rsidRPr="009E3412">
        <w:rPr>
          <w:rFonts w:ascii="Times New Roman" w:hAnsi="Times New Roman" w:cs="Times New Roman"/>
        </w:rPr>
        <w:t>2</w:t>
      </w:r>
      <w:r w:rsidR="0013096E" w:rsidRPr="009E3412">
        <w:rPr>
          <w:rFonts w:ascii="Times New Roman" w:hAnsi="Times New Roman" w:cs="Times New Roman"/>
        </w:rPr>
        <w:t>50</w:t>
      </w:r>
      <w:r w:rsidR="001D42EE" w:rsidRPr="009E3412">
        <w:rPr>
          <w:rFonts w:ascii="Times New Roman" w:hAnsi="Times New Roman" w:cs="Times New Roman"/>
        </w:rPr>
        <w:t xml:space="preserve">, </w:t>
      </w:r>
      <w:r w:rsidR="00C3367B" w:rsidRPr="009E3412">
        <w:rPr>
          <w:rFonts w:ascii="Times New Roman" w:eastAsia="Times New Roman" w:hAnsi="Times New Roman" w:cs="Times New Roman"/>
        </w:rPr>
        <w:t>p=</w:t>
      </w:r>
      <w:r w:rsidR="00D94EDB" w:rsidRPr="009E3412">
        <w:rPr>
          <w:rFonts w:ascii="Times New Roman" w:eastAsia="Times New Roman" w:hAnsi="Times New Roman" w:cs="Times New Roman"/>
        </w:rPr>
        <w:t xml:space="preserve"> </w:t>
      </w:r>
      <w:r w:rsidR="001B2DD0" w:rsidRPr="009E3412">
        <w:rPr>
          <w:rFonts w:ascii="Times New Roman" w:eastAsia="Times New Roman" w:hAnsi="Times New Roman" w:cs="Times New Roman"/>
        </w:rPr>
        <w:t>0.002)</w:t>
      </w:r>
      <w:r w:rsidR="009F7A5F" w:rsidRPr="009E3412">
        <w:rPr>
          <w:rFonts w:ascii="Times New Roman" w:eastAsia="Times New Roman" w:hAnsi="Times New Roman" w:cs="Times New Roman"/>
        </w:rPr>
        <w:t>, but not SCI (</w:t>
      </w:r>
      <w:r w:rsidR="001D42EE" w:rsidRPr="009E3412">
        <w:rPr>
          <w:rFonts w:ascii="Times New Roman" w:hAnsi="Times New Roman" w:cs="Times New Roman"/>
        </w:rPr>
        <w:t>β= -0.</w:t>
      </w:r>
      <w:r w:rsidR="0013096E" w:rsidRPr="009E3412">
        <w:rPr>
          <w:rFonts w:ascii="Times New Roman" w:hAnsi="Times New Roman" w:cs="Times New Roman"/>
        </w:rPr>
        <w:t>339</w:t>
      </w:r>
      <w:r w:rsidR="001D42EE" w:rsidRPr="009E3412">
        <w:rPr>
          <w:rFonts w:ascii="Times New Roman" w:hAnsi="Times New Roman" w:cs="Times New Roman"/>
        </w:rPr>
        <w:t>, 95% CI</w:t>
      </w:r>
      <w:r w:rsidR="004D7046" w:rsidRPr="009E3412">
        <w:rPr>
          <w:rFonts w:ascii="Times New Roman" w:hAnsi="Times New Roman" w:cs="Times New Roman"/>
        </w:rPr>
        <w:t>:</w:t>
      </w:r>
      <w:r w:rsidR="001D42EE" w:rsidRPr="009E3412">
        <w:rPr>
          <w:rFonts w:ascii="Times New Roman" w:hAnsi="Times New Roman" w:cs="Times New Roman"/>
        </w:rPr>
        <w:t xml:space="preserve"> -0.</w:t>
      </w:r>
      <w:r w:rsidR="0013096E" w:rsidRPr="009E3412">
        <w:rPr>
          <w:rFonts w:ascii="Times New Roman" w:hAnsi="Times New Roman" w:cs="Times New Roman"/>
        </w:rPr>
        <w:t>810</w:t>
      </w:r>
      <w:r w:rsidR="001D42EE" w:rsidRPr="009E3412">
        <w:rPr>
          <w:rFonts w:ascii="Times New Roman" w:hAnsi="Times New Roman" w:cs="Times New Roman"/>
        </w:rPr>
        <w:t>, 0.</w:t>
      </w:r>
      <w:r w:rsidR="008D29FC" w:rsidRPr="009E3412">
        <w:rPr>
          <w:rFonts w:ascii="Times New Roman" w:hAnsi="Times New Roman" w:cs="Times New Roman"/>
        </w:rPr>
        <w:t>1</w:t>
      </w:r>
      <w:r w:rsidR="0013096E" w:rsidRPr="009E3412">
        <w:rPr>
          <w:rFonts w:ascii="Times New Roman" w:hAnsi="Times New Roman" w:cs="Times New Roman"/>
        </w:rPr>
        <w:t>32</w:t>
      </w:r>
      <w:r w:rsidR="001D42EE" w:rsidRPr="009E3412">
        <w:rPr>
          <w:rFonts w:ascii="Times New Roman" w:hAnsi="Times New Roman" w:cs="Times New Roman"/>
        </w:rPr>
        <w:t xml:space="preserve">, </w:t>
      </w:r>
      <w:r w:rsidR="00C3367B" w:rsidRPr="009E3412">
        <w:rPr>
          <w:rFonts w:ascii="Times New Roman" w:eastAsia="Times New Roman" w:hAnsi="Times New Roman" w:cs="Times New Roman"/>
        </w:rPr>
        <w:t>p=</w:t>
      </w:r>
      <w:r w:rsidR="00D94EDB" w:rsidRPr="009E3412">
        <w:rPr>
          <w:rFonts w:ascii="Times New Roman" w:eastAsia="Times New Roman" w:hAnsi="Times New Roman" w:cs="Times New Roman"/>
        </w:rPr>
        <w:t xml:space="preserve"> </w:t>
      </w:r>
      <w:r w:rsidR="009F7A5F" w:rsidRPr="009E3412">
        <w:rPr>
          <w:rFonts w:ascii="Times New Roman" w:eastAsia="Times New Roman" w:hAnsi="Times New Roman" w:cs="Times New Roman"/>
        </w:rPr>
        <w:t>0.</w:t>
      </w:r>
      <w:r w:rsidR="0013096E" w:rsidRPr="009E3412">
        <w:rPr>
          <w:rFonts w:ascii="Times New Roman" w:eastAsia="Times New Roman" w:hAnsi="Times New Roman" w:cs="Times New Roman"/>
        </w:rPr>
        <w:t>157</w:t>
      </w:r>
      <w:r w:rsidR="009F7A5F" w:rsidRPr="009E3412">
        <w:rPr>
          <w:rFonts w:ascii="Times New Roman" w:eastAsia="Times New Roman" w:hAnsi="Times New Roman" w:cs="Times New Roman"/>
        </w:rPr>
        <w:t>).</w:t>
      </w:r>
      <w:r w:rsidR="00EC082F" w:rsidRPr="009E3412">
        <w:rPr>
          <w:rFonts w:ascii="Times New Roman" w:eastAsia="Times New Roman" w:hAnsi="Times New Roman" w:cs="Times New Roman"/>
        </w:rPr>
        <w:t xml:space="preserve"> </w:t>
      </w:r>
      <w:r w:rsidR="00495211" w:rsidRPr="009E3412">
        <w:rPr>
          <w:rFonts w:ascii="Times New Roman" w:eastAsia="Times New Roman" w:hAnsi="Times New Roman" w:cs="Times New Roman"/>
        </w:rPr>
        <w:t xml:space="preserve">Although IPA levels were </w:t>
      </w:r>
      <w:r w:rsidR="00FA5A0F" w:rsidRPr="009E3412">
        <w:rPr>
          <w:rFonts w:ascii="Times New Roman" w:eastAsia="Times New Roman" w:hAnsi="Times New Roman" w:cs="Times New Roman"/>
        </w:rPr>
        <w:t>lower</w:t>
      </w:r>
      <w:r w:rsidR="00495211" w:rsidRPr="009E3412">
        <w:rPr>
          <w:rFonts w:ascii="Times New Roman" w:eastAsia="Times New Roman" w:hAnsi="Times New Roman" w:cs="Times New Roman"/>
        </w:rPr>
        <w:t xml:space="preserve"> in both SCI and MCI compared to controls, </w:t>
      </w:r>
      <w:r w:rsidR="00FA5A0F" w:rsidRPr="009E3412">
        <w:rPr>
          <w:rFonts w:ascii="Times New Roman" w:eastAsia="Times New Roman" w:hAnsi="Times New Roman" w:cs="Times New Roman"/>
        </w:rPr>
        <w:t xml:space="preserve">only </w:t>
      </w:r>
      <w:r w:rsidR="00495211" w:rsidRPr="009E3412">
        <w:rPr>
          <w:rFonts w:ascii="Times New Roman" w:eastAsia="Times New Roman" w:hAnsi="Times New Roman" w:cs="Times New Roman"/>
        </w:rPr>
        <w:t xml:space="preserve">MCI </w:t>
      </w:r>
      <w:r w:rsidR="00FA5A0F" w:rsidRPr="009E3412">
        <w:rPr>
          <w:rFonts w:ascii="Times New Roman" w:eastAsia="Times New Roman" w:hAnsi="Times New Roman" w:cs="Times New Roman"/>
        </w:rPr>
        <w:t xml:space="preserve">versus controls </w:t>
      </w:r>
      <w:r w:rsidR="00495211" w:rsidRPr="009E3412">
        <w:rPr>
          <w:rFonts w:ascii="Times New Roman" w:eastAsia="Times New Roman" w:hAnsi="Times New Roman" w:cs="Times New Roman"/>
        </w:rPr>
        <w:t>remained significant after adjusting for covariates, while kynurenic acid was higher in both groups but significantly associated only with SCI in the adjusted model</w:t>
      </w:r>
      <w:r w:rsidR="00FA5A0F" w:rsidRPr="009E3412">
        <w:rPr>
          <w:rFonts w:ascii="Times New Roman" w:eastAsia="Times New Roman" w:hAnsi="Times New Roman" w:cs="Times New Roman"/>
        </w:rPr>
        <w:t xml:space="preserve">, suggesting that these changes emerge at different stages of </w:t>
      </w:r>
      <w:r w:rsidR="00F01C18" w:rsidRPr="009E3412">
        <w:rPr>
          <w:rFonts w:ascii="Times New Roman" w:hAnsi="Times New Roman" w:cs="Times New Roman"/>
          <w:bdr w:val="none" w:sz="0" w:space="0" w:color="auto" w:frame="1"/>
          <w:shd w:val="clear" w:color="auto" w:fill="FFFFFF"/>
        </w:rPr>
        <w:t>early</w:t>
      </w:r>
      <w:r w:rsidR="00FA5A0F" w:rsidRPr="009E3412">
        <w:rPr>
          <w:rFonts w:ascii="Times New Roman" w:hAnsi="Times New Roman" w:cs="Times New Roman"/>
          <w:bdr w:val="none" w:sz="0" w:space="0" w:color="auto" w:frame="1"/>
          <w:shd w:val="clear" w:color="auto" w:fill="FFFFFF"/>
        </w:rPr>
        <w:t xml:space="preserve"> cognitive</w:t>
      </w:r>
      <w:r w:rsidR="00FA5A0F" w:rsidRPr="009E3412">
        <w:rPr>
          <w:rFonts w:ascii="Times New Roman" w:eastAsia="Times New Roman" w:hAnsi="Times New Roman" w:cs="Times New Roman"/>
        </w:rPr>
        <w:t xml:space="preserve"> </w:t>
      </w:r>
      <w:r w:rsidR="00FA5A0F" w:rsidRPr="009E3412">
        <w:rPr>
          <w:rFonts w:ascii="Times New Roman" w:hAnsi="Times New Roman" w:cs="Times New Roman"/>
          <w:bdr w:val="none" w:sz="0" w:space="0" w:color="auto" w:frame="1"/>
          <w:shd w:val="clear" w:color="auto" w:fill="FFFFFF"/>
        </w:rPr>
        <w:t>decline.</w:t>
      </w:r>
      <w:r w:rsidR="00FA5A0F" w:rsidRPr="009E3412">
        <w:rPr>
          <w:rFonts w:ascii="Times New Roman" w:eastAsia="Times New Roman" w:hAnsi="Times New Roman" w:cs="Times New Roman"/>
        </w:rPr>
        <w:t xml:space="preserve"> </w:t>
      </w:r>
      <w:r w:rsidR="005B0D4E" w:rsidRPr="009E3412">
        <w:rPr>
          <w:rFonts w:ascii="Times New Roman" w:eastAsia="Times New Roman" w:hAnsi="Times New Roman" w:cs="Times New Roman"/>
        </w:rPr>
        <w:t>Neuroprotective metabolites, including choline, 5-hydroxyindole acetic acid and indole propionic acid</w:t>
      </w:r>
      <w:r w:rsidR="001F4792" w:rsidRPr="009E3412">
        <w:rPr>
          <w:rFonts w:ascii="Times New Roman" w:eastAsia="Times New Roman" w:hAnsi="Times New Roman" w:cs="Times New Roman"/>
        </w:rPr>
        <w:t xml:space="preserve"> </w:t>
      </w:r>
      <w:r w:rsidR="001F4792"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I1OjRQZv","properties":{"formattedCitation":"[62\\uc0\\u8211{}64]","plainCitation":"[62–64]","noteIndex":0},"citationItems":[{"id":1162,"uris":["http://zotero.org/users/9893877/items/ZI2UE399"],"itemData":{"id":1162,"type":"article-journal","abstract":"Tryptophan-derived indole compounds have been widely investigated as antioxidants and as free-radical scavengers. Indole-3-propionic acid (IPA), one of these compounds, is a deamination product of tryptophan. In the present study, we used Mongolian gerbils to investigate IPA's neuroprotective effects against ischemic damage and its antioxidative effects in the hippocampal CA1 region (CA1) after 5 min of transient forebrain ischemia. The repeated oral administration of IPA (10 mg/kg) for 15 days before ischemic surgery protected neurons from ischemic damage. In this group, the percentage of cresyl violet-positive neurons in the CA1 was 56.8% compared with that in the sham group. In the vehicle-treated group, glial fibrillary acidic protein (GFAP)-, S-100-, and vimentin-immunoreactive astrocytes and ionized calcium-binding adapter molecule 1 (Iba-1)- and isolectin B4 (IB4)-immunoreactive microglia were activated 4 days after ischemia/reperfusion, whereas in the IPA-treated ischemic group, GFAP, S-100, Iba-1, and IB4, but not vimentin, immunoreactivity was distinctly lower than that in the vehicle-treated ischemic groups. The administration of IPA significantly decreased the level of 4-hydroxy-2-nonenal, a marker of lipid peroxidation, in ischemic hippocampal homogenates compared with that in the vehicle-treated ischemic groups at various times after ischemia/reperfusion. In addition, immunostaining for 8-hydroxy-2'-deoxyguanosine showed DNA damage in pyramidal neurons in the ischemic CA1 was significantly lower in the IPA-treated ischemic groups than in the vehicle-treated ischemic groups. These results suggest that IPA protects neurons from ischemia-induced neuronal damage by reducing DNA damage and lipid peroxidation.","container-title":"Journal of Neuroscience Research","DOI":"10.1002/jnr.22030","ISSN":"1097-4547","issue":"9","journalAbbreviation":"J Neurosci Res","language":"eng","note":"PMID: 19235887","page":"2126-2137","source":"PubMed","title":"Indole-3-propionic acid attenuates neuronal damage and oxidative stress in the ischemic hippocampus","volume":"87","author":[{"family":"Hwang","given":"In Koo"},{"family":"Yoo","given":"Ki-Yeon"},{"family":"Li","given":"Hua"},{"family":"Park","given":"Ok Kyu"},{"family":"Lee","given":"Choong Hyun"},{"family":"Choi","given":"Jung Hoon"},{"family":"Jeong","given":"Young-Gil"},{"family":"Lee","given":"Yun Lyul"},{"family":"Kim","given":"Young-Myeong"},{"family":"Kwon","given":"Young-Guen"},{"family":"Won","given":"Moo-Ho"}],"issued":{"date-parts":[["2009",7]]}}},{"id":1156,"uris":["http://zotero.org/users/9893877/items/P5A2JU74"],"itemData":{"id":1156,"type":"article-journal","abstract":"Choline is an essential nutrient for humans. It is a precursor of membrane phospholipids (e.g., phosphatidylcholine (PC)), the neurotransmitter acetylcholine, and via betaine, the methyl group donor S-adenosylmethionine. High choline intake during gestation and early postnatal development in rat and mouse models improves cognitive function in adulthood, prevents age-related memory decline, and protects the brain from the neuropathological changes associated with Alzheimer’s disease (AD), and neurological damage associated with epilepsy, fetal alcohol syndrome, and inherited conditions such as Down and Rett syndromes. These effects of choline are correlated with modifications in histone and DNA methylation in brain, and with alterations in the expression of genes that encode proteins important for learning and memory processing, suggesting a possible epigenomic mechanism of action. Dietary choline intake in the adult may also influence cognitive function via an effect on PC containing eicosapentaenoic and docosahexaenoic acids; polyunsaturated species of PC whose levels are reduced in brains from AD patients, and is associated with higher memory performance, and resistance to cognitive decline.","container-title":"Nutrients","DOI":"10.3390/nu9080815","ISSN":"2072-6643","issue":"8","journalAbbreviation":"Nutrients","note":"PMID: 28788094\nPMCID: PMC5579609","page":"815","source":"PubMed Central","title":"Neuroprotective Actions of Dietary Choline","volume":"9","author":[{"family":"Blusztajn","given":"Jan Krzysztof"},{"family":"Slack","given":"Barbara E."},{"family":"Mellott","given":"Tiffany J."}],"issued":{"date-parts":[["2017",7,28]]}}},{"id":297,"uris":["http://zotero.org/users/9893877/items/F5UEKY54"],"itemData":{"id":297,"type":"article-journal","abstract":"Serotoninergic activation which decreases brain Aβ peptides is considered beneficial in mouse models for Alzheimer’s disease (AD), but the mechanisms involved remain unclear. Because growing evidence suggested that the stimulation of proteases digesting Aβ, especially the endopeptidase neprilysin (NEP) may be effective for AD therapy/prevention, we explored the involvement of serotonin precursors and derivatives in NEP regulation. We found that 5-hydroxyindolacetic acid (5-HIAA), the final metabolite of serotonin, considered until now as a dead-end and inactive product of serotonin catabolism, significantly reduces brain Aβ in the transgenic APPSWE mouse model for AD-related Aβ pathology and in the phosphoramidon-induced cerebral NEP inhibition mouse model. 5-HIAA treatment improves memory performance in APPSWE mice. Furthermore, 5-HIAA and its precursors increase NEP level in vivo and in neuroblastoma cells. Inhibition of ERK 1/2 cascade by 5-HIAA or SCH772984 enhanced NEP levels, suggesting MAP-kinase pathway involvement in 5-HIAA-induced regulation of NEP expression. Our results provide the first demonstration that 5-HIAA is an active serotonin metabolite that increases brain Aβ degradation/clearance and improves symptoms in the APPSWE mouse model for AD.","container-title":"Acta Neuropathologica Communications","DOI":"10.1186/s40478-018-0640-z","ISSN":"2051-5960","issue":"1","journalAbbreviation":"Acta Neuropathologica Communications","page":"136","source":"BioMed Central","title":"5-HIAA induces neprilysin to ameliorate pathophysiology and symptoms in a mouse model for Alzheimer’s disease","volume":"6","author":[{"family":"Klein","given":"Christian"},{"family":"Roussel","given":"Guy"},{"family":"Brun","given":"Susana"},{"family":"Rusu","given":"Cristina"},{"family":"Patte-Mensah","given":"Christine"},{"family":"Maitre","given":"Michel"},{"family":"Mensah-Nyagan","given":"Ayikoe-Guy"}],"issued":{"date-parts":[["2018",12,11]]}}}],"schema":"https://github.com/citation-style-language/schema/raw/master/csl-citation.json"} </w:instrText>
      </w:r>
      <w:r w:rsidR="001F4792" w:rsidRPr="009E3412">
        <w:rPr>
          <w:rFonts w:ascii="Times New Roman" w:eastAsia="Times New Roman" w:hAnsi="Times New Roman" w:cs="Times New Roman"/>
        </w:rPr>
        <w:fldChar w:fldCharType="separate"/>
      </w:r>
      <w:r w:rsidR="00CC6090" w:rsidRPr="009E3412">
        <w:rPr>
          <w:rFonts w:ascii="Times New Roman" w:hAnsi="Times New Roman" w:cs="Times New Roman"/>
        </w:rPr>
        <w:t>[62–64]</w:t>
      </w:r>
      <w:r w:rsidR="001F4792" w:rsidRPr="009E3412">
        <w:rPr>
          <w:rFonts w:ascii="Times New Roman" w:eastAsia="Times New Roman" w:hAnsi="Times New Roman" w:cs="Times New Roman"/>
        </w:rPr>
        <w:fldChar w:fldCharType="end"/>
      </w:r>
      <w:r w:rsidR="005B0D4E" w:rsidRPr="009E3412">
        <w:rPr>
          <w:rFonts w:ascii="Times New Roman" w:eastAsia="Times New Roman" w:hAnsi="Times New Roman" w:cs="Times New Roman"/>
        </w:rPr>
        <w:t xml:space="preserve">, exhibited lower concentrations in SCI and MCI participants in comparison to controls, while metabolites linked to cytotoxicity, including indoxyl </w:t>
      </w:r>
      <w:proofErr w:type="spellStart"/>
      <w:r w:rsidR="005B0D4E" w:rsidRPr="009E3412">
        <w:rPr>
          <w:rFonts w:ascii="Times New Roman" w:eastAsia="Times New Roman" w:hAnsi="Times New Roman" w:cs="Times New Roman"/>
        </w:rPr>
        <w:t>sulfate</w:t>
      </w:r>
      <w:proofErr w:type="spellEnd"/>
      <w:r w:rsidR="004D7046" w:rsidRPr="009E3412">
        <w:rPr>
          <w:rFonts w:ascii="Times New Roman" w:eastAsia="Times New Roman" w:hAnsi="Times New Roman" w:cs="Times New Roman"/>
        </w:rPr>
        <w:t>,</w:t>
      </w:r>
      <w:r w:rsidR="005B0D4E" w:rsidRPr="009E3412">
        <w:rPr>
          <w:rFonts w:ascii="Times New Roman" w:eastAsia="Times New Roman" w:hAnsi="Times New Roman" w:cs="Times New Roman"/>
        </w:rPr>
        <w:t xml:space="preserve"> showed increasing levels</w:t>
      </w:r>
      <w:r w:rsidR="001F4792" w:rsidRPr="009E3412">
        <w:rPr>
          <w:rFonts w:ascii="Times New Roman" w:eastAsia="Times New Roman" w:hAnsi="Times New Roman" w:cs="Times New Roman"/>
        </w:rPr>
        <w:t xml:space="preserve"> </w:t>
      </w:r>
      <w:r w:rsidR="001F4792"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{"citationID":"8R4cJRAY","properties":{"formattedCitation":"[65]","plainCitation":"[65]","noteIndex":0},"citationItems":[{"id":1164,"uris":["http://zotero.org/users/9893877/items/5KQQXWA7"],"itemData":{"id":1164,"type":"article-journal","abstract":"Indoxyl sulfate is an extensively studied uremic solute. It is a small molecule that is more than 90% bound to plasma proteins. Indoxyl sulfate is derived from the breakdown of tryptophan by colon microbes. The kidneys achieve high clearances of indoxyl sulfate by tubular secretion, a function not replicated by hemodialysis. Clearance by hemodialysis is limited by protein binding since only the free, unbound solute can diffuse across the membrane. Since the dialytic clearance is much lower than the kidney clearance, indoxyl sulfate accumulates to relatively high plasma levels in hemodialysis patients. Indoxyl sulfate has been most frequently implicated as a contributor to renal disease progression and vascular disease. Studies have suggested that indoxyl sulfate also has adverse effects on bones and the central nervous system. The majority of studies have assessed toxicity in cultured cells and animal models. The toxicity in humans has not yet been proven, as most data have been from association studies. Such toxicity data, albeit inconclusive, have prompted efforts to lower the plasma levels of indoxyl sulfate through dialytic and non-dialytic means. The largest randomized trial showed no benefit in renal disease progression with AST-120. No trials have yet tested cardiovascular or mortality benefit. Without such trials, the toxicity of indoxyl sulfate cannot be firmly established.","container-title":"Toxins","DOI":"10.3390/toxins8120358","ISSN":"2072-6651","issue":"12","language":"en","license":"http://creativecommons.org/licenses/by/3.0/","note":"number: 12\npublisher: Multidisciplinary Digital Publishing Institute","page":"358","source":"www.mdpi.com","title":"Indoxyl Sulfate—Review of Toxicity and Therapeutic Strategies","volume":"8","author":[{"family":"Leong","given":"Sheldon C."},{"family":"Sirich","given":"Tammy L."}],"issued":{"date-parts":[["2016",12]]}}}],"schema":"https://github.com/citation-style-language/schema/raw/master/csl-citation.json"} </w:instrText>
      </w:r>
      <w:r w:rsidR="001F4792" w:rsidRPr="009E3412">
        <w:rPr>
          <w:rFonts w:ascii="Times New Roman" w:eastAsia="Times New Roman" w:hAnsi="Times New Roman" w:cs="Times New Roman"/>
        </w:rPr>
        <w:fldChar w:fldCharType="separate"/>
      </w:r>
      <w:r w:rsidR="00CC6090" w:rsidRPr="009E3412">
        <w:rPr>
          <w:rFonts w:ascii="Times New Roman" w:hAnsi="Times New Roman" w:cs="Times New Roman"/>
        </w:rPr>
        <w:t>[65]</w:t>
      </w:r>
      <w:r w:rsidR="001F4792" w:rsidRPr="009E3412">
        <w:rPr>
          <w:rFonts w:ascii="Times New Roman" w:eastAsia="Times New Roman" w:hAnsi="Times New Roman" w:cs="Times New Roman"/>
        </w:rPr>
        <w:fldChar w:fldCharType="end"/>
      </w:r>
      <w:r w:rsidR="005B0D4E" w:rsidRPr="009E3412">
        <w:rPr>
          <w:rFonts w:ascii="Times New Roman" w:eastAsia="Times New Roman" w:hAnsi="Times New Roman" w:cs="Times New Roman"/>
        </w:rPr>
        <w:t>. Kynurenic acid</w:t>
      </w:r>
      <w:r w:rsidR="00760A15" w:rsidRPr="009E3412">
        <w:rPr>
          <w:rFonts w:ascii="Times New Roman" w:eastAsia="Times New Roman" w:hAnsi="Times New Roman" w:cs="Times New Roman"/>
        </w:rPr>
        <w:t xml:space="preserve"> </w:t>
      </w:r>
      <w:r w:rsidR="005B0D4E" w:rsidRPr="009E3412">
        <w:rPr>
          <w:rFonts w:ascii="Times New Roman" w:eastAsia="Times New Roman" w:hAnsi="Times New Roman" w:cs="Times New Roman"/>
        </w:rPr>
        <w:t xml:space="preserve">was higher in SCI and MCI in comparison to controls.  </w:t>
      </w:r>
    </w:p>
    <w:p w14:paraId="2B61D8AB" w14:textId="77777777" w:rsidR="005564CC" w:rsidRPr="009E3412" w:rsidRDefault="005564CC" w:rsidP="00501CC6">
      <w:pPr>
        <w:spacing w:line="360" w:lineRule="auto"/>
        <w:jc w:val="both"/>
      </w:pPr>
    </w:p>
    <w:p w14:paraId="17B18019" w14:textId="319B4487" w:rsidR="00150AD6" w:rsidRPr="009E3412" w:rsidRDefault="0082522C">
      <w:pPr>
        <w:spacing w:line="360" w:lineRule="auto"/>
        <w:jc w:val="both"/>
        <w:rPr>
          <w:rFonts w:ascii="Times New Roman" w:hAnsi="Times New Roman" w:cs="Times New Roman"/>
          <w:bdr w:val="none" w:sz="0" w:space="0" w:color="auto" w:frame="1"/>
          <w:shd w:val="clear" w:color="auto" w:fill="FFFFFF"/>
        </w:rPr>
      </w:pPr>
      <w:r w:rsidRPr="009E3412">
        <w:rPr>
          <w:rFonts w:ascii="Times New Roman" w:eastAsia="Times New Roman" w:hAnsi="Times New Roman" w:cs="Times New Roman"/>
        </w:rPr>
        <w:t>3</w:t>
      </w:r>
      <w:r w:rsidR="001E4B2A" w:rsidRPr="009E3412">
        <w:rPr>
          <w:rFonts w:ascii="Times New Roman" w:eastAsia="Times New Roman" w:hAnsi="Times New Roman" w:cs="Times New Roman"/>
        </w:rPr>
        <w:t>.</w:t>
      </w:r>
      <w:r w:rsidR="002C4305" w:rsidRPr="009E3412">
        <w:rPr>
          <w:rFonts w:ascii="Times New Roman" w:eastAsia="Times New Roman" w:hAnsi="Times New Roman" w:cs="Times New Roman"/>
        </w:rPr>
        <w:t>5</w:t>
      </w:r>
      <w:r w:rsidRPr="009E3412">
        <w:rPr>
          <w:rFonts w:ascii="Times New Roman" w:eastAsia="Times New Roman" w:hAnsi="Times New Roman" w:cs="Times New Roman"/>
        </w:rPr>
        <w:t xml:space="preserve"> </w:t>
      </w:r>
      <w:r w:rsidR="000C1451" w:rsidRPr="009E3412">
        <w:rPr>
          <w:rFonts w:ascii="Times New Roman" w:eastAsia="Times New Roman" w:hAnsi="Times New Roman" w:cs="Times New Roman"/>
        </w:rPr>
        <w:t xml:space="preserve">Machine learning models to </w:t>
      </w:r>
      <w:r w:rsidR="0047444A" w:rsidRPr="009E3412">
        <w:rPr>
          <w:rFonts w:ascii="Times New Roman" w:eastAsia="Times New Roman" w:hAnsi="Times New Roman" w:cs="Times New Roman"/>
        </w:rPr>
        <w:t xml:space="preserve">identify </w:t>
      </w:r>
      <w:r w:rsidR="00B51A47" w:rsidRPr="009E3412">
        <w:rPr>
          <w:rFonts w:ascii="Times New Roman" w:eastAsia="Times New Roman" w:hAnsi="Times New Roman" w:cs="Times New Roman"/>
        </w:rPr>
        <w:t xml:space="preserve">metabolic </w:t>
      </w:r>
      <w:r w:rsidR="00B84FF0" w:rsidRPr="009E3412">
        <w:rPr>
          <w:rFonts w:ascii="Times New Roman" w:eastAsia="Times New Roman" w:hAnsi="Times New Roman" w:cs="Times New Roman"/>
        </w:rPr>
        <w:t xml:space="preserve">risk factors </w:t>
      </w:r>
      <w:r w:rsidR="00212AF7" w:rsidRPr="009E3412">
        <w:rPr>
          <w:rFonts w:ascii="Times New Roman" w:eastAsia="Times New Roman" w:hAnsi="Times New Roman" w:cs="Times New Roman"/>
        </w:rPr>
        <w:t>distinguishing between stages</w:t>
      </w:r>
      <w:r w:rsidR="00B84FF0" w:rsidRPr="009E3412">
        <w:rPr>
          <w:rFonts w:ascii="Times New Roman" w:eastAsia="Times New Roman" w:hAnsi="Times New Roman" w:cs="Times New Roman"/>
        </w:rPr>
        <w:t xml:space="preserve"> of</w:t>
      </w:r>
      <w:r w:rsidR="0040222B" w:rsidRPr="009E3412">
        <w:rPr>
          <w:rFonts w:ascii="Times New Roman" w:eastAsia="Times New Roman" w:hAnsi="Times New Roman" w:cs="Times New Roman"/>
        </w:rPr>
        <w:t xml:space="preserve"> </w:t>
      </w:r>
      <w:r w:rsidR="00D112A8" w:rsidRPr="009E3412">
        <w:rPr>
          <w:rFonts w:ascii="Times New Roman" w:hAnsi="Times New Roman" w:cs="Times New Roman"/>
          <w:bdr w:val="none" w:sz="0" w:space="0" w:color="auto" w:frame="1"/>
          <w:shd w:val="clear" w:color="auto" w:fill="FFFFFF"/>
        </w:rPr>
        <w:t>early cognitive decline</w:t>
      </w:r>
    </w:p>
    <w:p w14:paraId="7418884A" w14:textId="58CAEC3D" w:rsidR="005336D3" w:rsidRPr="009E3412" w:rsidRDefault="00BB428F" w:rsidP="00815A8F">
      <w:pPr>
        <w:spacing w:line="360" w:lineRule="auto"/>
        <w:jc w:val="both"/>
        <w:rPr>
          <w:rFonts w:ascii="Times New Roman" w:hAnsi="Times New Roman" w:cs="Times New Roman"/>
        </w:rPr>
      </w:pPr>
      <w:bookmarkStart w:id="2" w:name="_Hlk148720105"/>
      <w:r w:rsidRPr="009E3412">
        <w:rPr>
          <w:rFonts w:ascii="Times New Roman" w:hAnsi="Times New Roman" w:cs="Times New Roman"/>
        </w:rPr>
        <w:t>All 3</w:t>
      </w:r>
      <w:r w:rsidR="00784D98" w:rsidRPr="009E3412">
        <w:rPr>
          <w:rFonts w:ascii="Times New Roman" w:hAnsi="Times New Roman" w:cs="Times New Roman"/>
        </w:rPr>
        <w:t xml:space="preserve">3 </w:t>
      </w:r>
      <w:r w:rsidRPr="009E3412">
        <w:rPr>
          <w:rFonts w:ascii="Times New Roman" w:hAnsi="Times New Roman" w:cs="Times New Roman"/>
        </w:rPr>
        <w:t>s</w:t>
      </w:r>
      <w:r w:rsidR="0040222B" w:rsidRPr="009E3412">
        <w:rPr>
          <w:rFonts w:ascii="Times New Roman" w:hAnsi="Times New Roman" w:cs="Times New Roman"/>
        </w:rPr>
        <w:t>erum metabolite</w:t>
      </w:r>
      <w:r w:rsidR="00B84FF0" w:rsidRPr="009E3412">
        <w:rPr>
          <w:rFonts w:ascii="Times New Roman" w:hAnsi="Times New Roman" w:cs="Times New Roman"/>
        </w:rPr>
        <w:t>s</w:t>
      </w:r>
      <w:r w:rsidR="0040222B" w:rsidRPr="009E3412">
        <w:rPr>
          <w:rFonts w:ascii="Times New Roman" w:hAnsi="Times New Roman" w:cs="Times New Roman"/>
        </w:rPr>
        <w:t xml:space="preserve"> were </w:t>
      </w:r>
      <w:r w:rsidRPr="009E3412">
        <w:rPr>
          <w:rFonts w:ascii="Times New Roman" w:hAnsi="Times New Roman" w:cs="Times New Roman"/>
        </w:rPr>
        <w:t xml:space="preserve">initially </w:t>
      </w:r>
      <w:r w:rsidR="008C2689" w:rsidRPr="009E3412">
        <w:rPr>
          <w:rFonts w:ascii="Times New Roman" w:hAnsi="Times New Roman" w:cs="Times New Roman"/>
        </w:rPr>
        <w:t xml:space="preserve">evaluated </w:t>
      </w:r>
      <w:r w:rsidR="00CE10EE" w:rsidRPr="009E3412">
        <w:rPr>
          <w:rFonts w:ascii="Times New Roman" w:hAnsi="Times New Roman" w:cs="Times New Roman"/>
        </w:rPr>
        <w:t xml:space="preserve">as possible </w:t>
      </w:r>
      <w:r w:rsidRPr="009E3412">
        <w:rPr>
          <w:rFonts w:ascii="Times New Roman" w:hAnsi="Times New Roman" w:cs="Times New Roman"/>
        </w:rPr>
        <w:t>predictors of</w:t>
      </w:r>
      <w:r w:rsidR="00CD3FCD" w:rsidRPr="009E3412">
        <w:rPr>
          <w:rFonts w:ascii="Times New Roman" w:hAnsi="Times New Roman" w:cs="Times New Roman"/>
        </w:rPr>
        <w:t xml:space="preserve"> </w:t>
      </w:r>
      <w:r w:rsidR="00D112A8" w:rsidRPr="009E3412">
        <w:rPr>
          <w:rFonts w:ascii="Times New Roman" w:hAnsi="Times New Roman" w:cs="Times New Roman"/>
          <w:bdr w:val="none" w:sz="0" w:space="0" w:color="auto" w:frame="1"/>
          <w:shd w:val="clear" w:color="auto" w:fill="FFFFFF"/>
        </w:rPr>
        <w:t>early cognitive decline</w:t>
      </w:r>
      <w:r w:rsidR="00CD3FCD" w:rsidRPr="009E3412">
        <w:rPr>
          <w:rFonts w:ascii="Times New Roman" w:hAnsi="Times New Roman" w:cs="Times New Roman"/>
        </w:rPr>
        <w:t>.</w:t>
      </w:r>
      <w:r w:rsidR="00A95744" w:rsidRPr="009E3412">
        <w:rPr>
          <w:rFonts w:ascii="Times New Roman" w:hAnsi="Times New Roman" w:cs="Times New Roman"/>
        </w:rPr>
        <w:t xml:space="preserve"> </w:t>
      </w:r>
      <w:r w:rsidR="00096930" w:rsidRPr="009E3412">
        <w:rPr>
          <w:rFonts w:ascii="Times New Roman" w:hAnsi="Times New Roman" w:cs="Times New Roman"/>
        </w:rPr>
        <w:t xml:space="preserve">RF </w:t>
      </w:r>
      <w:r w:rsidR="00F25E5E" w:rsidRPr="009E3412">
        <w:rPr>
          <w:rFonts w:ascii="Times New Roman" w:hAnsi="Times New Roman" w:cs="Times New Roman"/>
        </w:rPr>
        <w:t>achieved</w:t>
      </w:r>
      <w:r w:rsidR="00096930" w:rsidRPr="009E3412">
        <w:rPr>
          <w:rFonts w:ascii="Times New Roman" w:hAnsi="Times New Roman" w:cs="Times New Roman"/>
        </w:rPr>
        <w:t xml:space="preserve"> the highest </w:t>
      </w:r>
      <w:r w:rsidR="007874A5" w:rsidRPr="009E3412">
        <w:rPr>
          <w:rFonts w:ascii="Times New Roman" w:hAnsi="Times New Roman" w:cs="Times New Roman"/>
        </w:rPr>
        <w:t xml:space="preserve">macro average </w:t>
      </w:r>
      <w:r w:rsidR="0019478A" w:rsidRPr="009E3412">
        <w:rPr>
          <w:rFonts w:ascii="Times New Roman" w:hAnsi="Times New Roman" w:cs="Times New Roman"/>
        </w:rPr>
        <w:t xml:space="preserve">multiclass </w:t>
      </w:r>
      <w:r w:rsidR="005B4C55" w:rsidRPr="009E3412">
        <w:rPr>
          <w:rFonts w:ascii="Times New Roman" w:hAnsi="Times New Roman" w:cs="Times New Roman"/>
        </w:rPr>
        <w:t>classification AUC</w:t>
      </w:r>
      <w:r w:rsidR="00F25E5E" w:rsidRPr="009E3412">
        <w:rPr>
          <w:rFonts w:ascii="Times New Roman" w:hAnsi="Times New Roman" w:cs="Times New Roman"/>
        </w:rPr>
        <w:t xml:space="preserve"> of</w:t>
      </w:r>
      <w:r w:rsidR="00096930" w:rsidRPr="009E3412">
        <w:rPr>
          <w:rFonts w:ascii="Times New Roman" w:hAnsi="Times New Roman" w:cs="Times New Roman"/>
        </w:rPr>
        <w:t xml:space="preserve"> </w:t>
      </w:r>
      <w:r w:rsidR="00F25E5E" w:rsidRPr="009E3412">
        <w:rPr>
          <w:rFonts w:ascii="Times New Roman" w:hAnsi="Times New Roman" w:cs="Times New Roman"/>
        </w:rPr>
        <w:t>0.65, with AdaBoost and Naïve Bayes attaining 0.58 and 0.63</w:t>
      </w:r>
      <w:r w:rsidR="000072CA" w:rsidRPr="009E3412">
        <w:rPr>
          <w:rFonts w:ascii="Times New Roman" w:hAnsi="Times New Roman" w:cs="Times New Roman"/>
        </w:rPr>
        <w:t>,</w:t>
      </w:r>
      <w:r w:rsidR="00F25E5E" w:rsidRPr="009E3412">
        <w:rPr>
          <w:rFonts w:ascii="Times New Roman" w:hAnsi="Times New Roman" w:cs="Times New Roman"/>
        </w:rPr>
        <w:t xml:space="preserve"> respectively</w:t>
      </w:r>
      <w:r w:rsidR="009F6776" w:rsidRPr="009E3412">
        <w:rPr>
          <w:rFonts w:ascii="Times New Roman" w:hAnsi="Times New Roman" w:cs="Times New Roman"/>
        </w:rPr>
        <w:t xml:space="preserve"> (</w:t>
      </w:r>
      <w:r w:rsidR="009F6776" w:rsidRPr="009E3412">
        <w:rPr>
          <w:rFonts w:ascii="Times New Roman" w:eastAsia="Times New Roman" w:hAnsi="Times New Roman" w:cs="Times New Roman"/>
        </w:rPr>
        <w:t>Supplementary Table S</w:t>
      </w:r>
      <w:r w:rsidR="009F3787" w:rsidRPr="009E3412">
        <w:rPr>
          <w:rFonts w:ascii="Times New Roman" w:eastAsia="Times New Roman" w:hAnsi="Times New Roman" w:cs="Times New Roman"/>
        </w:rPr>
        <w:t>5</w:t>
      </w:r>
      <w:r w:rsidR="009F6776" w:rsidRPr="009E3412">
        <w:rPr>
          <w:rFonts w:ascii="Times New Roman" w:hAnsi="Times New Roman" w:cs="Times New Roman"/>
        </w:rPr>
        <w:t>)</w:t>
      </w:r>
      <w:r w:rsidR="00321E85" w:rsidRPr="009E3412">
        <w:rPr>
          <w:rFonts w:ascii="Times New Roman" w:hAnsi="Times New Roman" w:cs="Times New Roman"/>
        </w:rPr>
        <w:t>.</w:t>
      </w:r>
      <w:r w:rsidR="0007638B" w:rsidRPr="009E3412">
        <w:rPr>
          <w:rFonts w:ascii="Times New Roman" w:hAnsi="Times New Roman" w:cs="Times New Roman"/>
        </w:rPr>
        <w:t xml:space="preserve"> </w:t>
      </w:r>
      <w:r w:rsidR="0038411B" w:rsidRPr="009E3412">
        <w:rPr>
          <w:rFonts w:ascii="Times New Roman" w:hAnsi="Times New Roman" w:cs="Times New Roman"/>
        </w:rPr>
        <w:t>U</w:t>
      </w:r>
      <w:r w:rsidR="00C75384" w:rsidRPr="009E3412">
        <w:rPr>
          <w:rFonts w:ascii="Times New Roman" w:hAnsi="Times New Roman" w:cs="Times New Roman"/>
        </w:rPr>
        <w:t>sing the mean decrease Gini</w:t>
      </w:r>
      <w:r w:rsidR="001B0FC9" w:rsidRPr="009E3412">
        <w:rPr>
          <w:rFonts w:ascii="Times New Roman" w:hAnsi="Times New Roman" w:cs="Times New Roman"/>
        </w:rPr>
        <w:t xml:space="preserve">, </w:t>
      </w:r>
      <w:r w:rsidR="00020997" w:rsidRPr="009E3412">
        <w:rPr>
          <w:rFonts w:ascii="Times New Roman" w:hAnsi="Times New Roman" w:cs="Times New Roman"/>
        </w:rPr>
        <w:t xml:space="preserve">the importance of each </w:t>
      </w:r>
      <w:r w:rsidR="006C011E" w:rsidRPr="009E3412">
        <w:rPr>
          <w:rFonts w:ascii="Times New Roman" w:hAnsi="Times New Roman" w:cs="Times New Roman"/>
        </w:rPr>
        <w:t>metabolite</w:t>
      </w:r>
      <w:r w:rsidR="00020997" w:rsidRPr="009E3412">
        <w:rPr>
          <w:rFonts w:ascii="Times New Roman" w:hAnsi="Times New Roman" w:cs="Times New Roman"/>
        </w:rPr>
        <w:t xml:space="preserve"> </w:t>
      </w:r>
      <w:r w:rsidR="005B0D4E" w:rsidRPr="009E3412">
        <w:rPr>
          <w:rFonts w:ascii="Times New Roman" w:hAnsi="Times New Roman" w:cs="Times New Roman"/>
        </w:rPr>
        <w:t>was assessed</w:t>
      </w:r>
      <w:r w:rsidR="000447DE" w:rsidRPr="009E3412">
        <w:rPr>
          <w:rFonts w:ascii="Times New Roman" w:hAnsi="Times New Roman" w:cs="Times New Roman"/>
        </w:rPr>
        <w:t xml:space="preserve"> (</w:t>
      </w:r>
      <w:r w:rsidR="000447DE" w:rsidRPr="009E3412">
        <w:rPr>
          <w:rFonts w:ascii="Times New Roman" w:eastAsia="Times New Roman" w:hAnsi="Times New Roman" w:cs="Times New Roman"/>
        </w:rPr>
        <w:t>Supplementary Figure S5)</w:t>
      </w:r>
      <w:r w:rsidR="001B0FC9" w:rsidRPr="009E3412">
        <w:rPr>
          <w:rFonts w:ascii="Times New Roman" w:hAnsi="Times New Roman" w:cs="Times New Roman"/>
        </w:rPr>
        <w:t xml:space="preserve">. </w:t>
      </w:r>
      <w:r w:rsidR="0038411B" w:rsidRPr="009E3412">
        <w:rPr>
          <w:rFonts w:ascii="Times New Roman" w:hAnsi="Times New Roman" w:cs="Times New Roman"/>
        </w:rPr>
        <w:t>S</w:t>
      </w:r>
      <w:r w:rsidR="00601629" w:rsidRPr="009E3412">
        <w:rPr>
          <w:rFonts w:ascii="Times New Roman" w:hAnsi="Times New Roman" w:cs="Times New Roman"/>
        </w:rPr>
        <w:t>ix</w:t>
      </w:r>
      <w:r w:rsidR="00CB0C04" w:rsidRPr="009E3412">
        <w:rPr>
          <w:rFonts w:ascii="Times New Roman" w:hAnsi="Times New Roman" w:cs="Times New Roman"/>
        </w:rPr>
        <w:t xml:space="preserve"> metabolites </w:t>
      </w:r>
      <w:r w:rsidR="001B0FC9" w:rsidRPr="009E3412">
        <w:rPr>
          <w:rFonts w:ascii="Times New Roman" w:hAnsi="Times New Roman" w:cs="Times New Roman"/>
        </w:rPr>
        <w:t>(5</w:t>
      </w:r>
      <w:r w:rsidR="006259FB" w:rsidRPr="009E3412">
        <w:rPr>
          <w:rFonts w:ascii="Times New Roman" w:hAnsi="Times New Roman" w:cs="Times New Roman"/>
        </w:rPr>
        <w:t>-hydroxyindole acetic acid</w:t>
      </w:r>
      <w:r w:rsidR="001B0FC9" w:rsidRPr="009E3412">
        <w:rPr>
          <w:rFonts w:ascii="Times New Roman" w:hAnsi="Times New Roman" w:cs="Times New Roman"/>
        </w:rPr>
        <w:t xml:space="preserve">, </w:t>
      </w:r>
      <w:r w:rsidR="006259FB" w:rsidRPr="009E3412">
        <w:rPr>
          <w:rFonts w:ascii="Times New Roman" w:hAnsi="Times New Roman" w:cs="Times New Roman"/>
        </w:rPr>
        <w:t>indole-3-propionic acid</w:t>
      </w:r>
      <w:r w:rsidR="00EB1C16" w:rsidRPr="009E3412">
        <w:rPr>
          <w:rFonts w:ascii="Times New Roman" w:hAnsi="Times New Roman" w:cs="Times New Roman"/>
        </w:rPr>
        <w:t>,</w:t>
      </w:r>
      <w:r w:rsidR="001B0FC9" w:rsidRPr="009E3412">
        <w:rPr>
          <w:rFonts w:ascii="Times New Roman" w:hAnsi="Times New Roman" w:cs="Times New Roman"/>
        </w:rPr>
        <w:t xml:space="preserve"> choline, </w:t>
      </w:r>
      <w:r w:rsidR="0052022F" w:rsidRPr="009E3412">
        <w:rPr>
          <w:rFonts w:ascii="Times New Roman" w:hAnsi="Times New Roman" w:cs="Times New Roman"/>
        </w:rPr>
        <w:t xml:space="preserve">indoxyl </w:t>
      </w:r>
      <w:proofErr w:type="spellStart"/>
      <w:r w:rsidR="0052022F" w:rsidRPr="009E3412">
        <w:rPr>
          <w:rFonts w:ascii="Times New Roman" w:hAnsi="Times New Roman" w:cs="Times New Roman"/>
        </w:rPr>
        <w:t>sulfate</w:t>
      </w:r>
      <w:proofErr w:type="spellEnd"/>
      <w:r w:rsidR="0052022F" w:rsidRPr="009E3412">
        <w:rPr>
          <w:rFonts w:ascii="Times New Roman" w:hAnsi="Times New Roman" w:cs="Times New Roman"/>
        </w:rPr>
        <w:t xml:space="preserve">, kynurenic acid and kynurenine) </w:t>
      </w:r>
      <w:r w:rsidR="0038411B" w:rsidRPr="009E3412">
        <w:rPr>
          <w:rFonts w:ascii="Times New Roman" w:hAnsi="Times New Roman" w:cs="Times New Roman"/>
        </w:rPr>
        <w:t>produced the highest</w:t>
      </w:r>
      <w:r w:rsidR="00CB0C04" w:rsidRPr="009E3412">
        <w:rPr>
          <w:rFonts w:ascii="Times New Roman" w:hAnsi="Times New Roman" w:cs="Times New Roman"/>
        </w:rPr>
        <w:t xml:space="preserve"> </w:t>
      </w:r>
      <w:r w:rsidR="007C2DD4" w:rsidRPr="009E3412">
        <w:rPr>
          <w:rFonts w:ascii="Times New Roman" w:hAnsi="Times New Roman" w:cs="Times New Roman"/>
        </w:rPr>
        <w:t xml:space="preserve">multiclass classification </w:t>
      </w:r>
      <w:r w:rsidR="00CB0C04" w:rsidRPr="009E3412">
        <w:rPr>
          <w:rFonts w:ascii="Times New Roman" w:hAnsi="Times New Roman" w:cs="Times New Roman"/>
        </w:rPr>
        <w:t>AU</w:t>
      </w:r>
      <w:r w:rsidR="0001595B" w:rsidRPr="009E3412">
        <w:rPr>
          <w:rFonts w:ascii="Times New Roman" w:hAnsi="Times New Roman" w:cs="Times New Roman"/>
        </w:rPr>
        <w:t>C</w:t>
      </w:r>
      <w:r w:rsidR="005B0D4E" w:rsidRPr="009E3412">
        <w:rPr>
          <w:rFonts w:ascii="Times New Roman" w:hAnsi="Times New Roman" w:cs="Times New Roman"/>
        </w:rPr>
        <w:t xml:space="preserve"> </w:t>
      </w:r>
      <w:r w:rsidR="00636F0F" w:rsidRPr="009E3412">
        <w:rPr>
          <w:rFonts w:ascii="Times New Roman" w:hAnsi="Times New Roman" w:cs="Times New Roman"/>
        </w:rPr>
        <w:t>of 0.7</w:t>
      </w:r>
      <w:r w:rsidR="00AA2D81" w:rsidRPr="009E3412">
        <w:rPr>
          <w:rFonts w:ascii="Times New Roman" w:hAnsi="Times New Roman" w:cs="Times New Roman"/>
        </w:rPr>
        <w:t>9</w:t>
      </w:r>
      <w:r w:rsidR="00815A8F" w:rsidRPr="009E3412">
        <w:rPr>
          <w:rFonts w:ascii="Times New Roman" w:hAnsi="Times New Roman" w:cs="Times New Roman"/>
        </w:rPr>
        <w:t xml:space="preserve"> </w:t>
      </w:r>
      <w:r w:rsidR="005B0D4E" w:rsidRPr="009E3412">
        <w:rPr>
          <w:rFonts w:ascii="Times New Roman" w:hAnsi="Times New Roman" w:cs="Times New Roman"/>
        </w:rPr>
        <w:t xml:space="preserve">using </w:t>
      </w:r>
      <w:r w:rsidR="001A2888" w:rsidRPr="009E3412">
        <w:rPr>
          <w:rFonts w:ascii="Times New Roman" w:hAnsi="Times New Roman" w:cs="Times New Roman"/>
        </w:rPr>
        <w:t xml:space="preserve">the </w:t>
      </w:r>
      <w:r w:rsidR="0065127D" w:rsidRPr="009E3412">
        <w:rPr>
          <w:rFonts w:ascii="Times New Roman" w:hAnsi="Times New Roman" w:cs="Times New Roman"/>
        </w:rPr>
        <w:t>R</w:t>
      </w:r>
      <w:r w:rsidR="00CF5A1F" w:rsidRPr="009E3412">
        <w:rPr>
          <w:rFonts w:ascii="Times New Roman" w:hAnsi="Times New Roman" w:cs="Times New Roman"/>
        </w:rPr>
        <w:t>F</w:t>
      </w:r>
      <w:r w:rsidR="001A2888" w:rsidRPr="009E3412">
        <w:rPr>
          <w:rFonts w:ascii="Times New Roman" w:hAnsi="Times New Roman" w:cs="Times New Roman"/>
        </w:rPr>
        <w:t xml:space="preserve"> classification algorithm</w:t>
      </w:r>
      <w:r w:rsidR="00636F0F" w:rsidRPr="009E3412">
        <w:rPr>
          <w:rFonts w:ascii="Times New Roman" w:hAnsi="Times New Roman" w:cs="Times New Roman"/>
        </w:rPr>
        <w:t xml:space="preserve"> (Figure 4).</w:t>
      </w:r>
      <w:r w:rsidR="005B0D4E" w:rsidRPr="009E3412">
        <w:rPr>
          <w:rFonts w:ascii="Times New Roman" w:hAnsi="Times New Roman" w:cs="Times New Roman"/>
        </w:rPr>
        <w:t xml:space="preserve"> In comparison, </w:t>
      </w:r>
      <w:r w:rsidR="00942D89" w:rsidRPr="009E3412">
        <w:rPr>
          <w:rFonts w:ascii="Times New Roman" w:hAnsi="Times New Roman" w:cs="Times New Roman"/>
        </w:rPr>
        <w:t xml:space="preserve">Naive Bayes </w:t>
      </w:r>
      <w:r w:rsidR="005B0D4E" w:rsidRPr="009E3412">
        <w:rPr>
          <w:rFonts w:ascii="Times New Roman" w:hAnsi="Times New Roman" w:cs="Times New Roman"/>
        </w:rPr>
        <w:t>achieved an AUC of</w:t>
      </w:r>
      <w:r w:rsidR="00942D89" w:rsidRPr="009E3412">
        <w:rPr>
          <w:rFonts w:ascii="Times New Roman" w:hAnsi="Times New Roman" w:cs="Times New Roman"/>
        </w:rPr>
        <w:t xml:space="preserve"> </w:t>
      </w:r>
      <w:r w:rsidR="00F25E5E" w:rsidRPr="009E3412">
        <w:rPr>
          <w:rFonts w:ascii="Times New Roman" w:hAnsi="Times New Roman" w:cs="Times New Roman"/>
        </w:rPr>
        <w:t>0.72</w:t>
      </w:r>
      <w:r w:rsidR="00942D89" w:rsidRPr="009E3412">
        <w:rPr>
          <w:rFonts w:ascii="Times New Roman" w:hAnsi="Times New Roman" w:cs="Times New Roman"/>
        </w:rPr>
        <w:t xml:space="preserve"> and AdaBoost </w:t>
      </w:r>
      <w:r w:rsidR="005B0D4E" w:rsidRPr="009E3412">
        <w:rPr>
          <w:rFonts w:ascii="Times New Roman" w:hAnsi="Times New Roman" w:cs="Times New Roman"/>
        </w:rPr>
        <w:t>attained</w:t>
      </w:r>
      <w:r w:rsidR="00942D89" w:rsidRPr="009E3412">
        <w:rPr>
          <w:rFonts w:ascii="Times New Roman" w:hAnsi="Times New Roman" w:cs="Times New Roman"/>
        </w:rPr>
        <w:t xml:space="preserve"> </w:t>
      </w:r>
      <w:r w:rsidR="00F25E5E" w:rsidRPr="009E3412">
        <w:rPr>
          <w:rFonts w:ascii="Times New Roman" w:hAnsi="Times New Roman" w:cs="Times New Roman"/>
        </w:rPr>
        <w:t>0.68</w:t>
      </w:r>
      <w:r w:rsidR="00942D89" w:rsidRPr="009E3412">
        <w:rPr>
          <w:rFonts w:ascii="Times New Roman" w:hAnsi="Times New Roman" w:cs="Times New Roman"/>
        </w:rPr>
        <w:t>.</w:t>
      </w:r>
      <w:r w:rsidR="00815A8F" w:rsidRPr="009E3412">
        <w:rPr>
          <w:rFonts w:ascii="Times New Roman" w:hAnsi="Times New Roman" w:cs="Times New Roman"/>
        </w:rPr>
        <w:t xml:space="preserve"> </w:t>
      </w:r>
      <w:r w:rsidR="00305DAA" w:rsidRPr="009E3412">
        <w:rPr>
          <w:rFonts w:ascii="Times New Roman" w:hAnsi="Times New Roman" w:cs="Times New Roman"/>
        </w:rPr>
        <w:t>Pairwise comparisons showed that the RF model achieved an AUC of 0.7</w:t>
      </w:r>
      <w:r w:rsidR="00807C15" w:rsidRPr="009E3412">
        <w:rPr>
          <w:rFonts w:ascii="Times New Roman" w:hAnsi="Times New Roman" w:cs="Times New Roman"/>
        </w:rPr>
        <w:t>5</w:t>
      </w:r>
      <w:r w:rsidR="00305DAA" w:rsidRPr="009E3412">
        <w:rPr>
          <w:rFonts w:ascii="Times New Roman" w:hAnsi="Times New Roman" w:cs="Times New Roman"/>
        </w:rPr>
        <w:t xml:space="preserve"> for control vs. SCI</w:t>
      </w:r>
      <w:r w:rsidR="00DC4E27" w:rsidRPr="009E3412">
        <w:rPr>
          <w:rFonts w:ascii="Times New Roman" w:hAnsi="Times New Roman" w:cs="Times New Roman"/>
        </w:rPr>
        <w:t>, 0.</w:t>
      </w:r>
      <w:r w:rsidR="00AA6275" w:rsidRPr="009E3412">
        <w:rPr>
          <w:rFonts w:ascii="Times New Roman" w:hAnsi="Times New Roman" w:cs="Times New Roman"/>
        </w:rPr>
        <w:t>6</w:t>
      </w:r>
      <w:r w:rsidR="000072CA" w:rsidRPr="009E3412">
        <w:rPr>
          <w:rFonts w:ascii="Times New Roman" w:hAnsi="Times New Roman" w:cs="Times New Roman"/>
        </w:rPr>
        <w:t>4</w:t>
      </w:r>
      <w:r w:rsidR="00AA6275" w:rsidRPr="009E3412">
        <w:rPr>
          <w:rFonts w:ascii="Times New Roman" w:hAnsi="Times New Roman" w:cs="Times New Roman"/>
        </w:rPr>
        <w:t xml:space="preserve"> </w:t>
      </w:r>
      <w:r w:rsidR="00DC4E27" w:rsidRPr="009E3412">
        <w:rPr>
          <w:rFonts w:ascii="Times New Roman" w:hAnsi="Times New Roman" w:cs="Times New Roman"/>
        </w:rPr>
        <w:t>for</w:t>
      </w:r>
      <w:r w:rsidR="00305DAA" w:rsidRPr="009E3412">
        <w:rPr>
          <w:rFonts w:ascii="Times New Roman" w:hAnsi="Times New Roman" w:cs="Times New Roman"/>
        </w:rPr>
        <w:t xml:space="preserve"> SCI vs. MCI, and 0.</w:t>
      </w:r>
      <w:r w:rsidR="00AA6275" w:rsidRPr="009E3412">
        <w:rPr>
          <w:rFonts w:ascii="Times New Roman" w:hAnsi="Times New Roman" w:cs="Times New Roman"/>
        </w:rPr>
        <w:t>79</w:t>
      </w:r>
      <w:r w:rsidR="00305DAA" w:rsidRPr="009E3412">
        <w:rPr>
          <w:rFonts w:ascii="Times New Roman" w:hAnsi="Times New Roman" w:cs="Times New Roman"/>
        </w:rPr>
        <w:t xml:space="preserve"> for MCI vs. control, suggesting classification performance was strongest for distinguishing control from MCI. </w:t>
      </w:r>
      <w:r w:rsidR="002C423F" w:rsidRPr="009E3412">
        <w:rPr>
          <w:rFonts w:ascii="Times New Roman" w:hAnsi="Times New Roman" w:cs="Times New Roman"/>
        </w:rPr>
        <w:t xml:space="preserve">Additional metrics, i.e., recall, precision, and F1 score can be </w:t>
      </w:r>
      <w:r w:rsidR="002C423F" w:rsidRPr="009E3412">
        <w:rPr>
          <w:rFonts w:ascii="Times New Roman" w:hAnsi="Times New Roman" w:cs="Times New Roman"/>
        </w:rPr>
        <w:lastRenderedPageBreak/>
        <w:t xml:space="preserve">found in Supplementary Table S6. </w:t>
      </w:r>
      <w:r w:rsidR="003850D3" w:rsidRPr="009E3412">
        <w:rPr>
          <w:rFonts w:ascii="Times New Roman" w:hAnsi="Times New Roman" w:cs="Times New Roman"/>
        </w:rPr>
        <w:t>Due to these findings</w:t>
      </w:r>
      <w:r w:rsidR="00A86F55" w:rsidRPr="009E3412">
        <w:rPr>
          <w:rFonts w:ascii="Times New Roman" w:hAnsi="Times New Roman" w:cs="Times New Roman"/>
        </w:rPr>
        <w:t xml:space="preserve">, we investigated whether model performance would be improved by predicting only healthy ageing and MCI. Using the six serum metabolites from controls and MCI participants, the RF model showed improved predictive performance (AUC= 0.84). AdaBoost and Naive Bayes also demonstrated increased performance, attaining </w:t>
      </w:r>
      <w:r w:rsidR="003850D3" w:rsidRPr="009E3412">
        <w:rPr>
          <w:rFonts w:ascii="Times New Roman" w:hAnsi="Times New Roman" w:cs="Times New Roman"/>
        </w:rPr>
        <w:t>AUCs</w:t>
      </w:r>
      <w:r w:rsidR="00A86F55" w:rsidRPr="009E3412">
        <w:rPr>
          <w:rFonts w:ascii="Times New Roman" w:hAnsi="Times New Roman" w:cs="Times New Roman"/>
        </w:rPr>
        <w:t xml:space="preserve"> of 0.87 and 0.90</w:t>
      </w:r>
      <w:r w:rsidR="003850D3" w:rsidRPr="009E3412">
        <w:rPr>
          <w:rFonts w:ascii="Times New Roman" w:hAnsi="Times New Roman" w:cs="Times New Roman"/>
        </w:rPr>
        <w:t>,</w:t>
      </w:r>
      <w:r w:rsidR="00A86F55" w:rsidRPr="009E3412">
        <w:rPr>
          <w:rFonts w:ascii="Times New Roman" w:hAnsi="Times New Roman" w:cs="Times New Roman"/>
        </w:rPr>
        <w:t xml:space="preserve"> respectively</w:t>
      </w:r>
      <w:r w:rsidR="007E780C" w:rsidRPr="009E3412">
        <w:rPr>
          <w:rFonts w:ascii="Times New Roman" w:hAnsi="Times New Roman" w:cs="Times New Roman"/>
        </w:rPr>
        <w:t xml:space="preserve"> (Supplementary Table S5)</w:t>
      </w:r>
      <w:r w:rsidR="00A86F55" w:rsidRPr="009E3412">
        <w:rPr>
          <w:rFonts w:ascii="Times New Roman" w:hAnsi="Times New Roman" w:cs="Times New Roman"/>
        </w:rPr>
        <w:t xml:space="preserve">. </w:t>
      </w:r>
    </w:p>
    <w:p w14:paraId="728D7DEB" w14:textId="17B10371" w:rsidR="00212AF7" w:rsidRPr="009E3412" w:rsidRDefault="00F23265" w:rsidP="00815A8F">
      <w:pPr>
        <w:spacing w:line="360" w:lineRule="auto"/>
        <w:jc w:val="both"/>
        <w:rPr>
          <w:rFonts w:ascii="Times New Roman" w:hAnsi="Times New Roman" w:cs="Times New Roman"/>
        </w:rPr>
      </w:pPr>
      <w:r w:rsidRPr="009E3412">
        <w:rPr>
          <w:rFonts w:ascii="Times New Roman" w:hAnsi="Times New Roman" w:cs="Times New Roman"/>
        </w:rPr>
        <w:t>A</w:t>
      </w:r>
      <w:r w:rsidR="00E571D0" w:rsidRPr="009E3412">
        <w:rPr>
          <w:rFonts w:ascii="Times New Roman" w:hAnsi="Times New Roman" w:cs="Times New Roman"/>
        </w:rPr>
        <w:t xml:space="preserve"> separate RF model was constructed to evaluate </w:t>
      </w:r>
      <w:r w:rsidR="008A3E8C" w:rsidRPr="009E3412">
        <w:rPr>
          <w:rFonts w:ascii="Times New Roman" w:hAnsi="Times New Roman" w:cs="Times New Roman"/>
        </w:rPr>
        <w:t>the ability of</w:t>
      </w:r>
      <w:r w:rsidR="00E571D0" w:rsidRPr="009E3412">
        <w:rPr>
          <w:rFonts w:ascii="Times New Roman" w:hAnsi="Times New Roman" w:cs="Times New Roman"/>
        </w:rPr>
        <w:t xml:space="preserve"> microbiome genera </w:t>
      </w:r>
      <w:r w:rsidR="008A3E8C" w:rsidRPr="009E3412">
        <w:rPr>
          <w:rFonts w:ascii="Times New Roman" w:hAnsi="Times New Roman" w:cs="Times New Roman"/>
        </w:rPr>
        <w:t>to</w:t>
      </w:r>
      <w:r w:rsidR="00E571D0" w:rsidRPr="009E3412">
        <w:rPr>
          <w:rFonts w:ascii="Times New Roman" w:hAnsi="Times New Roman" w:cs="Times New Roman"/>
        </w:rPr>
        <w:t xml:space="preserve"> </w:t>
      </w:r>
      <w:r w:rsidR="00804E35" w:rsidRPr="009E3412">
        <w:rPr>
          <w:rFonts w:ascii="Times New Roman" w:hAnsi="Times New Roman" w:cs="Times New Roman"/>
        </w:rPr>
        <w:t>distinguish</w:t>
      </w:r>
      <w:r w:rsidR="00E571D0" w:rsidRPr="009E3412">
        <w:rPr>
          <w:rFonts w:ascii="Times New Roman" w:hAnsi="Times New Roman" w:cs="Times New Roman"/>
        </w:rPr>
        <w:t xml:space="preserve"> </w:t>
      </w:r>
      <w:r w:rsidR="007E5843" w:rsidRPr="009E3412">
        <w:rPr>
          <w:rFonts w:ascii="Times New Roman" w:hAnsi="Times New Roman" w:cs="Times New Roman"/>
        </w:rPr>
        <w:t xml:space="preserve">stages of </w:t>
      </w:r>
      <w:r w:rsidR="007E5843" w:rsidRPr="009E3412">
        <w:rPr>
          <w:rFonts w:ascii="Times New Roman" w:hAnsi="Times New Roman" w:cs="Times New Roman"/>
          <w:bdr w:val="none" w:sz="0" w:space="0" w:color="auto" w:frame="1"/>
          <w:shd w:val="clear" w:color="auto" w:fill="FFFFFF"/>
        </w:rPr>
        <w:t>early cognitive decline</w:t>
      </w:r>
      <w:r w:rsidR="00E571D0" w:rsidRPr="009E3412">
        <w:rPr>
          <w:rFonts w:ascii="Times New Roman" w:hAnsi="Times New Roman" w:cs="Times New Roman"/>
        </w:rPr>
        <w:t xml:space="preserve">. </w:t>
      </w:r>
      <w:proofErr w:type="gramStart"/>
      <w:r w:rsidR="00E571D0" w:rsidRPr="009E3412">
        <w:rPr>
          <w:rFonts w:ascii="Times New Roman" w:hAnsi="Times New Roman" w:cs="Times New Roman"/>
        </w:rPr>
        <w:t>Similar to</w:t>
      </w:r>
      <w:proofErr w:type="gramEnd"/>
      <w:r w:rsidR="00E571D0" w:rsidRPr="009E3412">
        <w:rPr>
          <w:rFonts w:ascii="Times New Roman" w:hAnsi="Times New Roman" w:cs="Times New Roman"/>
        </w:rPr>
        <w:t xml:space="preserve"> the metabolite analysis, all genera were initially assessed. The importance of each genus was evaluated using the mean decrease Gini, identifying the top eleven genera, </w:t>
      </w:r>
      <w:r w:rsidR="00E571D0" w:rsidRPr="009E3412">
        <w:rPr>
          <w:rFonts w:ascii="Times New Roman" w:hAnsi="Times New Roman" w:cs="Times New Roman"/>
          <w:i/>
          <w:iCs/>
        </w:rPr>
        <w:t xml:space="preserve">Clostridium sensu stricto, </w:t>
      </w:r>
      <w:proofErr w:type="spellStart"/>
      <w:r w:rsidR="00E571D0" w:rsidRPr="009E3412">
        <w:rPr>
          <w:rFonts w:ascii="Times New Roman" w:hAnsi="Times New Roman" w:cs="Times New Roman"/>
          <w:i/>
          <w:iCs/>
        </w:rPr>
        <w:t>Romboutsia</w:t>
      </w:r>
      <w:proofErr w:type="spellEnd"/>
      <w:r w:rsidR="00E571D0" w:rsidRPr="009E3412">
        <w:rPr>
          <w:rFonts w:ascii="Times New Roman" w:hAnsi="Times New Roman" w:cs="Times New Roman"/>
          <w:i/>
          <w:iCs/>
        </w:rPr>
        <w:t xml:space="preserve">, </w:t>
      </w:r>
      <w:proofErr w:type="spellStart"/>
      <w:r w:rsidR="00E571D0" w:rsidRPr="009E3412">
        <w:rPr>
          <w:rFonts w:ascii="Times New Roman" w:hAnsi="Times New Roman" w:cs="Times New Roman"/>
          <w:i/>
          <w:iCs/>
        </w:rPr>
        <w:t>Christensenellaceae</w:t>
      </w:r>
      <w:proofErr w:type="spellEnd"/>
      <w:r w:rsidR="00E571D0" w:rsidRPr="009E3412">
        <w:rPr>
          <w:rFonts w:ascii="Times New Roman" w:hAnsi="Times New Roman" w:cs="Times New Roman"/>
          <w:i/>
          <w:iCs/>
        </w:rPr>
        <w:t xml:space="preserve"> R 7 group, </w:t>
      </w:r>
      <w:proofErr w:type="spellStart"/>
      <w:r w:rsidR="00E571D0" w:rsidRPr="009E3412">
        <w:rPr>
          <w:rFonts w:ascii="Times New Roman" w:hAnsi="Times New Roman" w:cs="Times New Roman"/>
          <w:i/>
          <w:iCs/>
        </w:rPr>
        <w:t>Ruminococcus</w:t>
      </w:r>
      <w:proofErr w:type="spellEnd"/>
      <w:r w:rsidR="00E571D0" w:rsidRPr="009E3412">
        <w:rPr>
          <w:rFonts w:ascii="Times New Roman" w:hAnsi="Times New Roman" w:cs="Times New Roman"/>
          <w:i/>
          <w:iCs/>
        </w:rPr>
        <w:t xml:space="preserve"> torques group, </w:t>
      </w:r>
      <w:proofErr w:type="spellStart"/>
      <w:r w:rsidR="00E571D0" w:rsidRPr="009E3412">
        <w:rPr>
          <w:rFonts w:ascii="Times New Roman" w:hAnsi="Times New Roman" w:cs="Times New Roman"/>
          <w:i/>
          <w:iCs/>
        </w:rPr>
        <w:t>Oscillibacter</w:t>
      </w:r>
      <w:proofErr w:type="spellEnd"/>
      <w:r w:rsidR="00E571D0" w:rsidRPr="009E3412">
        <w:rPr>
          <w:rFonts w:ascii="Times New Roman" w:hAnsi="Times New Roman" w:cs="Times New Roman"/>
          <w:i/>
          <w:iCs/>
        </w:rPr>
        <w:t xml:space="preserve">, Eubacterium </w:t>
      </w:r>
      <w:proofErr w:type="spellStart"/>
      <w:r w:rsidR="00E571D0" w:rsidRPr="009E3412">
        <w:rPr>
          <w:rFonts w:ascii="Times New Roman" w:hAnsi="Times New Roman" w:cs="Times New Roman"/>
          <w:i/>
          <w:iCs/>
        </w:rPr>
        <w:t>eligens</w:t>
      </w:r>
      <w:proofErr w:type="spellEnd"/>
      <w:r w:rsidR="00E571D0" w:rsidRPr="009E3412">
        <w:rPr>
          <w:rFonts w:ascii="Times New Roman" w:hAnsi="Times New Roman" w:cs="Times New Roman"/>
          <w:i/>
          <w:iCs/>
        </w:rPr>
        <w:t xml:space="preserve"> group, </w:t>
      </w:r>
      <w:proofErr w:type="spellStart"/>
      <w:r w:rsidR="00E571D0" w:rsidRPr="009E3412">
        <w:rPr>
          <w:rFonts w:ascii="Times New Roman" w:hAnsi="Times New Roman" w:cs="Times New Roman"/>
          <w:i/>
          <w:iCs/>
        </w:rPr>
        <w:t>Lachnoclostridium</w:t>
      </w:r>
      <w:proofErr w:type="spellEnd"/>
      <w:r w:rsidR="00E571D0" w:rsidRPr="009E3412">
        <w:rPr>
          <w:rFonts w:ascii="Times New Roman" w:hAnsi="Times New Roman" w:cs="Times New Roman"/>
          <w:i/>
          <w:iCs/>
        </w:rPr>
        <w:t xml:space="preserve">, </w:t>
      </w:r>
      <w:proofErr w:type="spellStart"/>
      <w:r w:rsidR="00E571D0" w:rsidRPr="009E3412">
        <w:rPr>
          <w:rFonts w:ascii="Times New Roman" w:hAnsi="Times New Roman" w:cs="Times New Roman"/>
          <w:i/>
          <w:iCs/>
        </w:rPr>
        <w:t>Anaerostipes</w:t>
      </w:r>
      <w:proofErr w:type="spellEnd"/>
      <w:r w:rsidR="00E571D0" w:rsidRPr="009E3412">
        <w:rPr>
          <w:rFonts w:ascii="Times New Roman" w:hAnsi="Times New Roman" w:cs="Times New Roman"/>
          <w:i/>
          <w:iCs/>
        </w:rPr>
        <w:t xml:space="preserve">, </w:t>
      </w:r>
      <w:proofErr w:type="spellStart"/>
      <w:r w:rsidR="00E571D0" w:rsidRPr="009E3412">
        <w:rPr>
          <w:rFonts w:ascii="Times New Roman" w:hAnsi="Times New Roman" w:cs="Times New Roman"/>
          <w:i/>
          <w:iCs/>
        </w:rPr>
        <w:t>Ruminococcus</w:t>
      </w:r>
      <w:proofErr w:type="spellEnd"/>
      <w:r w:rsidR="00E571D0" w:rsidRPr="009E3412">
        <w:rPr>
          <w:rFonts w:ascii="Times New Roman" w:hAnsi="Times New Roman" w:cs="Times New Roman"/>
          <w:i/>
          <w:iCs/>
        </w:rPr>
        <w:t xml:space="preserve">, </w:t>
      </w:r>
      <w:proofErr w:type="spellStart"/>
      <w:r w:rsidR="00E571D0" w:rsidRPr="009E3412">
        <w:rPr>
          <w:rFonts w:ascii="Times New Roman" w:hAnsi="Times New Roman" w:cs="Times New Roman"/>
          <w:i/>
          <w:iCs/>
        </w:rPr>
        <w:t>Holdemania</w:t>
      </w:r>
      <w:proofErr w:type="spellEnd"/>
      <w:r w:rsidR="00E571D0" w:rsidRPr="009E3412">
        <w:rPr>
          <w:rFonts w:ascii="Times New Roman" w:hAnsi="Times New Roman" w:cs="Times New Roman"/>
          <w:i/>
          <w:iCs/>
        </w:rPr>
        <w:t xml:space="preserve">, </w:t>
      </w:r>
      <w:proofErr w:type="spellStart"/>
      <w:r w:rsidR="00E571D0" w:rsidRPr="009E3412">
        <w:rPr>
          <w:rFonts w:ascii="Times New Roman" w:hAnsi="Times New Roman" w:cs="Times New Roman"/>
          <w:i/>
          <w:iCs/>
        </w:rPr>
        <w:t>Butyricicoccus</w:t>
      </w:r>
      <w:proofErr w:type="spellEnd"/>
      <w:r w:rsidR="00E571D0" w:rsidRPr="009E3412">
        <w:rPr>
          <w:rFonts w:ascii="Times New Roman" w:hAnsi="Times New Roman" w:cs="Times New Roman"/>
          <w:i/>
          <w:iCs/>
        </w:rPr>
        <w:t xml:space="preserve"> </w:t>
      </w:r>
      <w:r w:rsidR="00E571D0" w:rsidRPr="009E3412">
        <w:rPr>
          <w:rFonts w:ascii="Times New Roman" w:hAnsi="Times New Roman" w:cs="Times New Roman"/>
        </w:rPr>
        <w:t>and</w:t>
      </w:r>
      <w:r w:rsidR="00E571D0" w:rsidRPr="009E3412">
        <w:rPr>
          <w:rFonts w:ascii="Times New Roman" w:hAnsi="Times New Roman" w:cs="Times New Roman"/>
          <w:i/>
          <w:iCs/>
        </w:rPr>
        <w:t xml:space="preserve"> </w:t>
      </w:r>
      <w:proofErr w:type="spellStart"/>
      <w:r w:rsidR="00E571D0" w:rsidRPr="009E3412">
        <w:rPr>
          <w:rFonts w:ascii="Times New Roman" w:hAnsi="Times New Roman" w:cs="Times New Roman"/>
          <w:i/>
          <w:iCs/>
        </w:rPr>
        <w:t>Intestinibacteras</w:t>
      </w:r>
      <w:proofErr w:type="spellEnd"/>
      <w:r w:rsidR="00342E82" w:rsidRPr="009E3412">
        <w:rPr>
          <w:rFonts w:ascii="Times New Roman" w:hAnsi="Times New Roman" w:cs="Times New Roman"/>
          <w:i/>
          <w:iCs/>
        </w:rPr>
        <w:t>,</w:t>
      </w:r>
      <w:r w:rsidR="00E571D0" w:rsidRPr="009E3412">
        <w:rPr>
          <w:rFonts w:ascii="Times New Roman" w:hAnsi="Times New Roman" w:cs="Times New Roman"/>
        </w:rPr>
        <w:t xml:space="preserve"> </w:t>
      </w:r>
      <w:r w:rsidR="00F125AE" w:rsidRPr="009E3412">
        <w:rPr>
          <w:rFonts w:ascii="Times New Roman" w:hAnsi="Times New Roman" w:cs="Times New Roman"/>
        </w:rPr>
        <w:t xml:space="preserve">being </w:t>
      </w:r>
      <w:r w:rsidR="00E571D0" w:rsidRPr="009E3412">
        <w:rPr>
          <w:rFonts w:ascii="Times New Roman" w:hAnsi="Times New Roman" w:cs="Times New Roman"/>
        </w:rPr>
        <w:t>the most predictive</w:t>
      </w:r>
      <w:r w:rsidR="00B8727D" w:rsidRPr="009E3412">
        <w:rPr>
          <w:rFonts w:ascii="Times New Roman" w:hAnsi="Times New Roman" w:cs="Times New Roman"/>
        </w:rPr>
        <w:t xml:space="preserve"> (Supplementary Figure S6)</w:t>
      </w:r>
      <w:r w:rsidR="00E571D0" w:rsidRPr="009E3412">
        <w:rPr>
          <w:rFonts w:ascii="Times New Roman" w:hAnsi="Times New Roman" w:cs="Times New Roman"/>
        </w:rPr>
        <w:t xml:space="preserve">. </w:t>
      </w:r>
      <w:r w:rsidR="003540C9" w:rsidRPr="009E3412">
        <w:rPr>
          <w:rFonts w:ascii="Times New Roman" w:hAnsi="Times New Roman" w:cs="Times New Roman"/>
        </w:rPr>
        <w:t>S</w:t>
      </w:r>
      <w:r w:rsidR="00E571D0" w:rsidRPr="009E3412">
        <w:rPr>
          <w:rFonts w:ascii="Times New Roman" w:hAnsi="Times New Roman" w:cs="Times New Roman"/>
        </w:rPr>
        <w:t xml:space="preserve">elected genera produced the highest multiclass classification AUC of </w:t>
      </w:r>
      <w:r w:rsidR="00F408D3" w:rsidRPr="009E3412">
        <w:rPr>
          <w:rFonts w:ascii="Times New Roman" w:hAnsi="Times New Roman" w:cs="Times New Roman"/>
        </w:rPr>
        <w:t>0.5</w:t>
      </w:r>
      <w:r w:rsidR="00710EAA" w:rsidRPr="009E3412">
        <w:rPr>
          <w:rFonts w:ascii="Times New Roman" w:hAnsi="Times New Roman" w:cs="Times New Roman"/>
        </w:rPr>
        <w:t>9</w:t>
      </w:r>
      <w:r w:rsidR="00E571D0" w:rsidRPr="009E3412">
        <w:rPr>
          <w:rFonts w:ascii="Times New Roman" w:hAnsi="Times New Roman" w:cs="Times New Roman"/>
        </w:rPr>
        <w:t xml:space="preserve"> using the RF classification algorithm. Pairwise comparisons demonstrated that the RF model achieved AUCs of </w:t>
      </w:r>
      <w:r w:rsidR="00F408D3" w:rsidRPr="009E3412">
        <w:rPr>
          <w:rFonts w:ascii="Times New Roman" w:hAnsi="Times New Roman" w:cs="Times New Roman"/>
        </w:rPr>
        <w:t>0.</w:t>
      </w:r>
      <w:r w:rsidR="003953BB" w:rsidRPr="009E3412">
        <w:rPr>
          <w:rFonts w:ascii="Times New Roman" w:hAnsi="Times New Roman" w:cs="Times New Roman"/>
        </w:rPr>
        <w:t>66</w:t>
      </w:r>
      <w:r w:rsidR="00E571D0" w:rsidRPr="009E3412">
        <w:rPr>
          <w:rFonts w:ascii="Times New Roman" w:hAnsi="Times New Roman" w:cs="Times New Roman"/>
        </w:rPr>
        <w:t xml:space="preserve"> for control vs. SCI, </w:t>
      </w:r>
      <w:r w:rsidR="00533F5A" w:rsidRPr="009E3412">
        <w:rPr>
          <w:rFonts w:ascii="Times New Roman" w:hAnsi="Times New Roman" w:cs="Times New Roman"/>
        </w:rPr>
        <w:t>0.</w:t>
      </w:r>
      <w:r w:rsidR="003953BB" w:rsidRPr="009E3412">
        <w:rPr>
          <w:rFonts w:ascii="Times New Roman" w:hAnsi="Times New Roman" w:cs="Times New Roman"/>
        </w:rPr>
        <w:t>65</w:t>
      </w:r>
      <w:r w:rsidR="00533F5A" w:rsidRPr="009E3412">
        <w:rPr>
          <w:rFonts w:ascii="Times New Roman" w:hAnsi="Times New Roman" w:cs="Times New Roman"/>
        </w:rPr>
        <w:t xml:space="preserve"> for </w:t>
      </w:r>
      <w:r w:rsidR="00E571D0" w:rsidRPr="009E3412">
        <w:rPr>
          <w:rFonts w:ascii="Times New Roman" w:hAnsi="Times New Roman" w:cs="Times New Roman"/>
        </w:rPr>
        <w:t xml:space="preserve">SCI vs. MCI, and </w:t>
      </w:r>
      <w:r w:rsidR="00533F5A" w:rsidRPr="009E3412">
        <w:rPr>
          <w:rFonts w:ascii="Times New Roman" w:hAnsi="Times New Roman" w:cs="Times New Roman"/>
        </w:rPr>
        <w:t>0.</w:t>
      </w:r>
      <w:r w:rsidR="003953BB" w:rsidRPr="009E3412">
        <w:rPr>
          <w:rFonts w:ascii="Times New Roman" w:hAnsi="Times New Roman" w:cs="Times New Roman"/>
        </w:rPr>
        <w:t>61</w:t>
      </w:r>
      <w:r w:rsidR="00533F5A" w:rsidRPr="009E3412">
        <w:rPr>
          <w:rFonts w:ascii="Times New Roman" w:hAnsi="Times New Roman" w:cs="Times New Roman"/>
        </w:rPr>
        <w:t xml:space="preserve"> for </w:t>
      </w:r>
      <w:r w:rsidR="00E571D0" w:rsidRPr="009E3412">
        <w:rPr>
          <w:rFonts w:ascii="Times New Roman" w:hAnsi="Times New Roman" w:cs="Times New Roman"/>
        </w:rPr>
        <w:t>MCI vs. control, respectively.</w:t>
      </w:r>
      <w:r w:rsidR="005E51B8" w:rsidRPr="009E3412">
        <w:rPr>
          <w:rFonts w:ascii="Times New Roman" w:hAnsi="Times New Roman" w:cs="Times New Roman"/>
        </w:rPr>
        <w:t xml:space="preserve"> However, it did not achieve as high an AUC as the metabolome panel in classifying the three groups, </w:t>
      </w:r>
      <w:r w:rsidR="00AF2CCC" w:rsidRPr="009E3412">
        <w:rPr>
          <w:rFonts w:ascii="Times New Roman" w:hAnsi="Times New Roman" w:cs="Times New Roman"/>
        </w:rPr>
        <w:t xml:space="preserve">likely due to </w:t>
      </w:r>
      <w:r w:rsidR="005E51B8" w:rsidRPr="009E3412">
        <w:rPr>
          <w:rFonts w:ascii="Times New Roman" w:hAnsi="Times New Roman" w:cs="Times New Roman"/>
        </w:rPr>
        <w:t xml:space="preserve">circulatory metabolites </w:t>
      </w:r>
      <w:r w:rsidR="00AF2CCC" w:rsidRPr="009E3412">
        <w:rPr>
          <w:rFonts w:ascii="Times New Roman" w:hAnsi="Times New Roman" w:cs="Times New Roman"/>
        </w:rPr>
        <w:t>being</w:t>
      </w:r>
      <w:r w:rsidR="005E51B8" w:rsidRPr="009E3412">
        <w:rPr>
          <w:rFonts w:ascii="Times New Roman" w:hAnsi="Times New Roman" w:cs="Times New Roman"/>
        </w:rPr>
        <w:t xml:space="preserve"> influenced by host biosynthetic mechanisms, which regulate metabolite levels and serve as key intermediaries in the gut-brain axis</w:t>
      </w:r>
      <w:r w:rsidR="00E93853" w:rsidRPr="009E3412">
        <w:rPr>
          <w:rFonts w:ascii="Times New Roman" w:hAnsi="Times New Roman" w:cs="Times New Roman"/>
        </w:rPr>
        <w:t xml:space="preserve"> </w:t>
      </w:r>
      <w:r w:rsidR="00E93853" w:rsidRPr="009E3412">
        <w:rPr>
          <w:rFonts w:ascii="Times New Roman" w:hAnsi="Times New Roman" w:cs="Times New Roman"/>
        </w:rPr>
        <w:fldChar w:fldCharType="begin"/>
      </w:r>
      <w:r w:rsidR="00E93853" w:rsidRPr="009E3412">
        <w:rPr>
          <w:rFonts w:ascii="Times New Roman" w:hAnsi="Times New Roman" w:cs="Times New Roman"/>
        </w:rPr>
        <w:instrText xml:space="preserve"> ADDIN ZOTERO_ITEM CSL_CITATION {"citationID":"NQTd83qD","properties":{"formattedCitation":"[5]","plainCitation":"[5]","noteIndex":0},"citationItems":[{"id":110,"uris":["http://zotero.org/users/9893877/items/FEVEJEXC"],"itemData":{"id":110,"type":"article-journal","abstract":"A consequence of our progressively ageing global population is the increasing prevalence of worldwide age-related cognitive decline and dementia. In the absence of effective therapeutic interventions, identifying risk factors associated with cognitive decline becomes increasingly vital. Novel perspectives suggest that a dynamic bidirectional communication system between the gut, its microbiome, and the central nervous system, commonly referred to as the microbiota-gut-brain axis, may be a contributing factor for cognitive health and disease. However, the exact mechanisms remain undefined. Microbial-derived metabolites produced in the gut can cross the intestinal epithelial barrier, enter systemic circulation and trigger physiological responses both directly and indirectly affecting the central nervous system and its functions. Dysregulation of this system (i.e., dysbiosis) can modulate cytotoxic metabolite production, promote neuroinflammation and negatively impact cognition. In this review, we explore critical connections between microbial-derived metabolites (secondary bile acids, trimethylamine-N-oxide (TMAO), tryptophan derivatives and others) and their influence upon cognitive function and neurodegenerative disorders, with a particular interest in their less-explored role as risk factors of cognitive decline.","container-title":"Molecular Neurodegeneration","DOI":"10.1186/s13024-022-00548-6","ISSN":"1750-1326","issue":"1","journalAbbreviation":"Molecular Neurodegeneration","page":"43","source":"BioMed Central","title":"Microbial-derived metabolites as a risk factor of age-related cognitive decline and dementia","volume":"17","author":[{"family":"Connell","given":"Emily"},{"family":"Le Gall","given":"Gwenaelle"},{"family":"Pontifex","given":"Matthew G."},{"family":"Sami","given":"Saber"},{"family":"Cryan","given":"John F."},{"family":"Clarke","given":"Gerard"},{"family":"Müller","given":"Michael"},{"family":"Vauzour","given":"David"}],"issued":{"date-parts":[["2022",6,17]]}}}],"schema":"https://github.com/citation-style-language/schema/raw/master/csl-citation.json"} </w:instrText>
      </w:r>
      <w:r w:rsidR="00E93853" w:rsidRPr="009E3412">
        <w:rPr>
          <w:rFonts w:ascii="Times New Roman" w:hAnsi="Times New Roman" w:cs="Times New Roman"/>
        </w:rPr>
        <w:fldChar w:fldCharType="separate"/>
      </w:r>
      <w:r w:rsidR="00E93853" w:rsidRPr="009E3412">
        <w:rPr>
          <w:rFonts w:ascii="Times New Roman" w:hAnsi="Times New Roman" w:cs="Times New Roman"/>
        </w:rPr>
        <w:t>[5]</w:t>
      </w:r>
      <w:r w:rsidR="00E93853" w:rsidRPr="009E3412">
        <w:rPr>
          <w:rFonts w:ascii="Times New Roman" w:hAnsi="Times New Roman" w:cs="Times New Roman"/>
        </w:rPr>
        <w:fldChar w:fldCharType="end"/>
      </w:r>
      <w:r w:rsidR="005E51B8" w:rsidRPr="009E3412">
        <w:rPr>
          <w:rFonts w:ascii="Times New Roman" w:hAnsi="Times New Roman" w:cs="Times New Roman"/>
        </w:rPr>
        <w:t>.</w:t>
      </w:r>
      <w:r w:rsidR="00C1403F" w:rsidRPr="009E3412">
        <w:rPr>
          <w:rFonts w:ascii="Times New Roman" w:hAnsi="Times New Roman" w:cs="Times New Roman"/>
        </w:rPr>
        <w:t xml:space="preserve"> Additional metrics, i.e., recall, precision, and F1 score can be found in Supplementary Table S</w:t>
      </w:r>
      <w:r w:rsidR="002C423F" w:rsidRPr="009E3412">
        <w:rPr>
          <w:rFonts w:ascii="Times New Roman" w:hAnsi="Times New Roman" w:cs="Times New Roman"/>
        </w:rPr>
        <w:t>6.</w:t>
      </w:r>
    </w:p>
    <w:p w14:paraId="4C4AE138" w14:textId="77777777" w:rsidR="00BB3C45" w:rsidRPr="009E3412" w:rsidRDefault="00BB3C45" w:rsidP="00815A8F">
      <w:pPr>
        <w:pStyle w:val="NoSpacing"/>
        <w:jc w:val="both"/>
        <w:rPr>
          <w:rFonts w:ascii="Times New Roman" w:hAnsi="Times New Roman" w:cs="Times New Roman"/>
        </w:rPr>
      </w:pPr>
    </w:p>
    <w:bookmarkEnd w:id="2"/>
    <w:p w14:paraId="34302AF8" w14:textId="65C2DDD8" w:rsidR="00150AD6" w:rsidRPr="009E3412" w:rsidRDefault="006C23AA">
      <w:pP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t xml:space="preserve">4. </w:t>
      </w:r>
      <w:r w:rsidR="0082522C" w:rsidRPr="009E3412">
        <w:rPr>
          <w:rFonts w:ascii="Times New Roman" w:eastAsia="Times New Roman" w:hAnsi="Times New Roman" w:cs="Times New Roman"/>
          <w:b/>
          <w:bCs/>
        </w:rPr>
        <w:t>Discussion</w:t>
      </w:r>
    </w:p>
    <w:p w14:paraId="36ED44F6" w14:textId="5C6EF5DA" w:rsidR="00150AD6" w:rsidRPr="009E3412" w:rsidRDefault="001611C7" w:rsidP="001611C7">
      <w:pPr>
        <w:spacing w:line="360" w:lineRule="auto"/>
        <w:jc w:val="both"/>
        <w:rPr>
          <w:rFonts w:ascii="Times New Roman" w:eastAsia="Times New Roman" w:hAnsi="Times New Roman" w:cs="Times New Roman"/>
        </w:rPr>
      </w:pPr>
      <w:r w:rsidRPr="009E3412">
        <w:rPr>
          <w:rFonts w:ascii="Times New Roman" w:hAnsi="Times New Roman" w:cs="Times New Roman"/>
          <w:bdr w:val="none" w:sz="0" w:space="0" w:color="auto" w:frame="1"/>
          <w:shd w:val="clear" w:color="auto" w:fill="FFFFFF"/>
        </w:rPr>
        <w:t xml:space="preserve">Identification of robust, inexpensive, and non-invasive markers of cognitive status and its trajectory is currently an </w:t>
      </w:r>
      <w:r w:rsidR="00EB6BC9" w:rsidRPr="009E3412">
        <w:rPr>
          <w:rFonts w:ascii="Times New Roman" w:hAnsi="Times New Roman" w:cs="Times New Roman"/>
          <w:bdr w:val="none" w:sz="0" w:space="0" w:color="auto" w:frame="1"/>
          <w:shd w:val="clear" w:color="auto" w:fill="FFFFFF"/>
        </w:rPr>
        <w:t>unmet need in dementia research, particularly at stages of early cognitive decline associated with increased risk of AD.</w:t>
      </w:r>
      <w:r w:rsidRPr="009E3412">
        <w:rPr>
          <w:rFonts w:ascii="Times New Roman" w:eastAsia="Times New Roman" w:hAnsi="Times New Roman" w:cs="Times New Roman"/>
        </w:rPr>
        <w:t xml:space="preserve"> Emerging evidence suggests that circulator</w:t>
      </w:r>
      <w:r w:rsidR="00B266DE" w:rsidRPr="009E3412">
        <w:rPr>
          <w:rFonts w:ascii="Times New Roman" w:eastAsia="Times New Roman" w:hAnsi="Times New Roman" w:cs="Times New Roman"/>
        </w:rPr>
        <w:t>y</w:t>
      </w:r>
      <w:r w:rsidRPr="009E3412">
        <w:rPr>
          <w:rFonts w:ascii="Times New Roman" w:eastAsia="Times New Roman" w:hAnsi="Times New Roman" w:cs="Times New Roman"/>
        </w:rPr>
        <w:t xml:space="preserve"> metabolites produced or modulated by </w:t>
      </w:r>
      <w:r w:rsidR="00B266DE" w:rsidRPr="009E3412">
        <w:rPr>
          <w:rFonts w:ascii="Times New Roman" w:eastAsia="Times New Roman" w:hAnsi="Times New Roman" w:cs="Times New Roman"/>
        </w:rPr>
        <w:t xml:space="preserve">gut microbiota </w:t>
      </w:r>
      <w:r w:rsidRPr="009E3412">
        <w:rPr>
          <w:rFonts w:ascii="Times New Roman" w:eastAsia="Times New Roman" w:hAnsi="Times New Roman" w:cs="Times New Roman"/>
        </w:rPr>
        <w:t xml:space="preserve">can impact brain function through the microbiota-gut-brain axis. </w:t>
      </w:r>
      <w:r w:rsidR="0082522C" w:rsidRPr="009E3412">
        <w:rPr>
          <w:rFonts w:ascii="Times New Roman" w:eastAsia="Times New Roman" w:hAnsi="Times New Roman" w:cs="Times New Roman"/>
        </w:rPr>
        <w:t>Metabolic alterations contain rich systemic information on the underlying physiology</w:t>
      </w:r>
      <w:r w:rsidR="009E501E" w:rsidRPr="009E3412">
        <w:rPr>
          <w:rFonts w:ascii="Times New Roman" w:eastAsia="Times New Roman" w:hAnsi="Times New Roman" w:cs="Times New Roman"/>
        </w:rPr>
        <w:t xml:space="preserve"> that connects the periphery to the </w:t>
      </w:r>
      <w:r w:rsidR="006D103B" w:rsidRPr="009E3412">
        <w:rPr>
          <w:rFonts w:ascii="Times New Roman" w:eastAsia="Times New Roman" w:hAnsi="Times New Roman" w:cs="Times New Roman"/>
        </w:rPr>
        <w:t>CNS</w:t>
      </w:r>
      <w:r w:rsidR="006D74D9" w:rsidRPr="009E3412">
        <w:rPr>
          <w:rFonts w:ascii="Times New Roman" w:eastAsia="Times New Roman" w:hAnsi="Times New Roman" w:cs="Times New Roman"/>
        </w:rPr>
        <w:t xml:space="preserve">, </w:t>
      </w:r>
      <w:r w:rsidR="00F00626" w:rsidRPr="009E3412">
        <w:rPr>
          <w:rFonts w:ascii="Times New Roman" w:eastAsia="Times New Roman" w:hAnsi="Times New Roman" w:cs="Times New Roman"/>
        </w:rPr>
        <w:t xml:space="preserve">likely </w:t>
      </w:r>
      <w:r w:rsidR="005B5861" w:rsidRPr="009E3412">
        <w:rPr>
          <w:rFonts w:ascii="Times New Roman" w:eastAsia="Times New Roman" w:hAnsi="Times New Roman" w:cs="Times New Roman"/>
        </w:rPr>
        <w:t>affect</w:t>
      </w:r>
      <w:r w:rsidR="006D74D9" w:rsidRPr="009E3412">
        <w:rPr>
          <w:rFonts w:ascii="Times New Roman" w:eastAsia="Times New Roman" w:hAnsi="Times New Roman" w:cs="Times New Roman"/>
        </w:rPr>
        <w:t>ing numerous pathways</w:t>
      </w:r>
      <w:r w:rsidR="005B5861" w:rsidRPr="009E3412">
        <w:rPr>
          <w:rFonts w:ascii="Times New Roman" w:eastAsia="Times New Roman" w:hAnsi="Times New Roman" w:cs="Times New Roman"/>
        </w:rPr>
        <w:t xml:space="preserve"> </w:t>
      </w:r>
      <w:r w:rsidR="00A401D7" w:rsidRPr="009E3412">
        <w:rPr>
          <w:rFonts w:ascii="Times New Roman" w:eastAsia="Times New Roman" w:hAnsi="Times New Roman" w:cs="Times New Roman"/>
        </w:rPr>
        <w:t>simultaneously</w:t>
      </w:r>
      <w:r w:rsidR="0082522C" w:rsidRPr="009E3412">
        <w:rPr>
          <w:rFonts w:ascii="Times New Roman" w:eastAsia="Times New Roman" w:hAnsi="Times New Roman" w:cs="Times New Roman"/>
        </w:rPr>
        <w:t xml:space="preserve">. </w:t>
      </w:r>
      <w:r w:rsidR="009D4E0F" w:rsidRPr="009E3412">
        <w:rPr>
          <w:rFonts w:ascii="Times New Roman" w:eastAsia="Times New Roman" w:hAnsi="Times New Roman" w:cs="Times New Roman"/>
        </w:rPr>
        <w:t xml:space="preserve">Thus, the simultaneous detection of perturbed metabolites can provide a powerful detection tool. However, studies investigating composite markers </w:t>
      </w:r>
      <w:r w:rsidR="004D7046" w:rsidRPr="009E3412">
        <w:rPr>
          <w:rFonts w:ascii="Times New Roman" w:eastAsia="Times New Roman" w:hAnsi="Times New Roman" w:cs="Times New Roman"/>
        </w:rPr>
        <w:t>are</w:t>
      </w:r>
      <w:r w:rsidR="00FD4333" w:rsidRPr="009E3412">
        <w:rPr>
          <w:rFonts w:ascii="Times New Roman" w:eastAsia="Times New Roman" w:hAnsi="Times New Roman" w:cs="Times New Roman"/>
        </w:rPr>
        <w:t xml:space="preserve"> </w:t>
      </w:r>
      <w:r w:rsidR="009D4E0F" w:rsidRPr="009E3412">
        <w:rPr>
          <w:rFonts w:ascii="Times New Roman" w:eastAsia="Times New Roman" w:hAnsi="Times New Roman" w:cs="Times New Roman"/>
        </w:rPr>
        <w:t>lacking.</w:t>
      </w:r>
      <w:r w:rsidR="003A46CC" w:rsidRPr="009E3412">
        <w:rPr>
          <w:rFonts w:ascii="Times New Roman" w:eastAsia="Times New Roman" w:hAnsi="Times New Roman" w:cs="Times New Roman"/>
        </w:rPr>
        <w:t xml:space="preserve"> </w:t>
      </w:r>
    </w:p>
    <w:p w14:paraId="50C257CF" w14:textId="5920F39D" w:rsidR="00713DAB" w:rsidRPr="009E3412" w:rsidRDefault="009D4E0F" w:rsidP="000C59D2">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16s rRNA </w:t>
      </w:r>
      <w:r w:rsidR="00AA7B79" w:rsidRPr="009E3412">
        <w:rPr>
          <w:rFonts w:ascii="Times New Roman" w:eastAsia="Times New Roman" w:hAnsi="Times New Roman" w:cs="Times New Roman"/>
        </w:rPr>
        <w:t xml:space="preserve">amplicon </w:t>
      </w:r>
      <w:r w:rsidRPr="009E3412">
        <w:rPr>
          <w:rFonts w:ascii="Times New Roman" w:eastAsia="Times New Roman" w:hAnsi="Times New Roman" w:cs="Times New Roman"/>
        </w:rPr>
        <w:t>sequencing</w:t>
      </w:r>
      <w:r w:rsidR="00F842B4" w:rsidRPr="009E3412">
        <w:rPr>
          <w:rFonts w:ascii="Times New Roman" w:eastAsia="Times New Roman" w:hAnsi="Times New Roman" w:cs="Times New Roman"/>
        </w:rPr>
        <w:t xml:space="preserve"> </w:t>
      </w:r>
      <w:r w:rsidR="00FD4333" w:rsidRPr="009E3412">
        <w:rPr>
          <w:rFonts w:ascii="Times New Roman" w:eastAsia="Times New Roman" w:hAnsi="Times New Roman" w:cs="Times New Roman"/>
        </w:rPr>
        <w:t>indicate</w:t>
      </w:r>
      <w:r w:rsidR="00FB2F9B" w:rsidRPr="009E3412">
        <w:rPr>
          <w:rFonts w:ascii="Times New Roman" w:eastAsia="Times New Roman" w:hAnsi="Times New Roman" w:cs="Times New Roman"/>
        </w:rPr>
        <w:t>d</w:t>
      </w:r>
      <w:r w:rsidR="00EC082F" w:rsidRPr="009E3412">
        <w:rPr>
          <w:rFonts w:ascii="Times New Roman" w:eastAsia="Times New Roman" w:hAnsi="Times New Roman" w:cs="Times New Roman"/>
        </w:rPr>
        <w:t xml:space="preserve"> </w:t>
      </w:r>
      <w:r w:rsidR="00D840D2" w:rsidRPr="009E3412">
        <w:rPr>
          <w:rFonts w:ascii="Times New Roman" w:eastAsia="Times New Roman" w:hAnsi="Times New Roman" w:cs="Times New Roman"/>
        </w:rPr>
        <w:t xml:space="preserve">that </w:t>
      </w:r>
      <w:r w:rsidR="00EC082F" w:rsidRPr="009E3412">
        <w:rPr>
          <w:rFonts w:ascii="Times New Roman" w:eastAsia="Times New Roman" w:hAnsi="Times New Roman" w:cs="Times New Roman"/>
        </w:rPr>
        <w:t>significant shift</w:t>
      </w:r>
      <w:r w:rsidR="00FB2F9B" w:rsidRPr="009E3412">
        <w:rPr>
          <w:rFonts w:ascii="Times New Roman" w:eastAsia="Times New Roman" w:hAnsi="Times New Roman" w:cs="Times New Roman"/>
        </w:rPr>
        <w:t>s</w:t>
      </w:r>
      <w:r w:rsidR="00EC082F" w:rsidRPr="009E3412">
        <w:rPr>
          <w:rFonts w:ascii="Times New Roman" w:eastAsia="Times New Roman" w:hAnsi="Times New Roman" w:cs="Times New Roman"/>
        </w:rPr>
        <w:t xml:space="preserve"> in</w:t>
      </w:r>
      <w:r w:rsidRPr="009E3412">
        <w:rPr>
          <w:rFonts w:ascii="Times New Roman" w:eastAsia="Times New Roman" w:hAnsi="Times New Roman" w:cs="Times New Roman"/>
        </w:rPr>
        <w:t xml:space="preserve"> </w:t>
      </w:r>
      <w:r w:rsidR="000C59D2" w:rsidRPr="009E3412">
        <w:rPr>
          <w:rFonts w:ascii="Times New Roman" w:eastAsia="Times New Roman" w:hAnsi="Times New Roman" w:cs="Times New Roman"/>
        </w:rPr>
        <w:t xml:space="preserve">gut </w:t>
      </w:r>
      <w:r w:rsidRPr="009E3412">
        <w:rPr>
          <w:rFonts w:ascii="Times New Roman" w:eastAsia="Times New Roman" w:hAnsi="Times New Roman" w:cs="Times New Roman"/>
        </w:rPr>
        <w:t>microbiome</w:t>
      </w:r>
      <w:r w:rsidR="00F842B4" w:rsidRPr="009E3412">
        <w:rPr>
          <w:rFonts w:ascii="Times New Roman" w:eastAsia="Times New Roman" w:hAnsi="Times New Roman" w:cs="Times New Roman"/>
        </w:rPr>
        <w:t xml:space="preserve"> </w:t>
      </w:r>
      <w:r w:rsidR="00EC082F" w:rsidRPr="009E3412">
        <w:rPr>
          <w:rFonts w:ascii="Times New Roman" w:eastAsia="Times New Roman" w:hAnsi="Times New Roman" w:cs="Times New Roman"/>
        </w:rPr>
        <w:t xml:space="preserve">composition </w:t>
      </w:r>
      <w:r w:rsidR="005B0D4E" w:rsidRPr="009E3412">
        <w:rPr>
          <w:rFonts w:ascii="Times New Roman" w:eastAsia="Times New Roman" w:hAnsi="Times New Roman" w:cs="Times New Roman"/>
        </w:rPr>
        <w:t>occur</w:t>
      </w:r>
      <w:r w:rsidR="00705CC2" w:rsidRPr="009E3412">
        <w:rPr>
          <w:rFonts w:ascii="Times New Roman" w:eastAsia="Times New Roman" w:hAnsi="Times New Roman" w:cs="Times New Roman"/>
        </w:rPr>
        <w:t xml:space="preserve"> </w:t>
      </w:r>
      <w:r w:rsidR="00F842B4" w:rsidRPr="009E3412">
        <w:rPr>
          <w:rFonts w:ascii="Times New Roman" w:eastAsia="Times New Roman" w:hAnsi="Times New Roman" w:cs="Times New Roman"/>
        </w:rPr>
        <w:t xml:space="preserve">during </w:t>
      </w:r>
      <w:r w:rsidR="007E5843" w:rsidRPr="009E3412">
        <w:rPr>
          <w:rFonts w:ascii="Times New Roman" w:hAnsi="Times New Roman" w:cs="Times New Roman"/>
          <w:bdr w:val="none" w:sz="0" w:space="0" w:color="auto" w:frame="1"/>
          <w:shd w:val="clear" w:color="auto" w:fill="FFFFFF"/>
        </w:rPr>
        <w:t>early cognitive decline</w:t>
      </w:r>
      <w:r w:rsidR="008D292D" w:rsidRPr="009E3412">
        <w:rPr>
          <w:rFonts w:ascii="Times New Roman" w:eastAsia="Times New Roman" w:hAnsi="Times New Roman" w:cs="Times New Roman"/>
        </w:rPr>
        <w:t xml:space="preserve">, </w:t>
      </w:r>
      <w:r w:rsidR="00F43009" w:rsidRPr="009E3412">
        <w:rPr>
          <w:rFonts w:ascii="Times New Roman" w:eastAsia="Times New Roman" w:hAnsi="Times New Roman" w:cs="Times New Roman"/>
        </w:rPr>
        <w:t>commencing</w:t>
      </w:r>
      <w:r w:rsidR="008D292D" w:rsidRPr="009E3412">
        <w:rPr>
          <w:rFonts w:ascii="Times New Roman" w:eastAsia="Times New Roman" w:hAnsi="Times New Roman" w:cs="Times New Roman"/>
        </w:rPr>
        <w:t xml:space="preserve"> </w:t>
      </w:r>
      <w:r w:rsidR="00EC082F" w:rsidRPr="009E3412">
        <w:rPr>
          <w:rFonts w:ascii="Times New Roman" w:eastAsia="Times New Roman" w:hAnsi="Times New Roman" w:cs="Times New Roman"/>
        </w:rPr>
        <w:t xml:space="preserve">as early as </w:t>
      </w:r>
      <w:r w:rsidR="00F842B4" w:rsidRPr="009E3412">
        <w:rPr>
          <w:rFonts w:ascii="Times New Roman" w:eastAsia="Times New Roman" w:hAnsi="Times New Roman" w:cs="Times New Roman"/>
        </w:rPr>
        <w:t>SCI</w:t>
      </w:r>
      <w:r w:rsidR="008D292D" w:rsidRPr="009E3412">
        <w:rPr>
          <w:rFonts w:ascii="Times New Roman" w:eastAsia="Times New Roman" w:hAnsi="Times New Roman" w:cs="Times New Roman"/>
        </w:rPr>
        <w:t>, suggest</w:t>
      </w:r>
      <w:r w:rsidR="00F43009" w:rsidRPr="009E3412">
        <w:rPr>
          <w:rFonts w:ascii="Times New Roman" w:eastAsia="Times New Roman" w:hAnsi="Times New Roman" w:cs="Times New Roman"/>
        </w:rPr>
        <w:t>ing</w:t>
      </w:r>
      <w:r w:rsidR="008D292D" w:rsidRPr="009E3412">
        <w:rPr>
          <w:rFonts w:ascii="Times New Roman" w:eastAsia="Times New Roman" w:hAnsi="Times New Roman" w:cs="Times New Roman"/>
        </w:rPr>
        <w:t xml:space="preserve"> changes may </w:t>
      </w:r>
      <w:r w:rsidR="00D840D2" w:rsidRPr="009E3412">
        <w:rPr>
          <w:rFonts w:ascii="Times New Roman" w:eastAsia="Times New Roman" w:hAnsi="Times New Roman" w:cs="Times New Roman"/>
        </w:rPr>
        <w:t xml:space="preserve">already be apparent </w:t>
      </w:r>
      <w:r w:rsidR="00FB2F9B" w:rsidRPr="009E3412">
        <w:rPr>
          <w:rFonts w:ascii="Times New Roman" w:eastAsia="Times New Roman" w:hAnsi="Times New Roman" w:cs="Times New Roman"/>
        </w:rPr>
        <w:t xml:space="preserve">when </w:t>
      </w:r>
      <w:r w:rsidR="00EC082F" w:rsidRPr="009E3412">
        <w:rPr>
          <w:rFonts w:ascii="Times New Roman" w:eastAsia="Times New Roman" w:hAnsi="Times New Roman" w:cs="Times New Roman"/>
        </w:rPr>
        <w:t>memory complaints first appear</w:t>
      </w:r>
      <w:r w:rsidR="003A46CC" w:rsidRPr="009E3412">
        <w:rPr>
          <w:rFonts w:ascii="Times New Roman" w:eastAsia="Times New Roman" w:hAnsi="Times New Roman" w:cs="Times New Roman"/>
        </w:rPr>
        <w:t xml:space="preserve">, aligning with previous studies </w:t>
      </w:r>
      <w:r w:rsidR="003A46CC"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{"citationID":"XiVtXUgl","properties":{"formattedCitation":"[66,67]","plainCitation":"[66,67]","noteIndex":0},"citationItems":[{"id":1169,"uris":["http://zotero.org/users/9893877/items/Z824X3NU"],"itemData":{"id":1169,"type":"article-journal","abstract":"BACKGROUND: Subjective cognitive decline (SCD) is the earliest symptomatic manifestation of preclinical Alzheimer's disease (AD). Gut microbiota may serve as a susceptibility factor for AD. Altered gut microbiota has been reported in patients with mild cognitive impairment (MCI) and AD dementia. However, whether gut microbial compositions changed in SCD remains largely unknown.\nOBJECTIVE: To characterize the gut microbiota in SCD.\nMETHODS: In this study, a total of 105 participants including 38 normal controls (NC), 53 individuals with SCD, and 14 patients with cognitive impairment (CI) were recruited. Gut microbiota of all participants isolated from fecal samples were investigated using 16S ribosomal RNA (rRNA) Illumina Miseq sequencing technique. The gut microbial compositions were compared among the three groups, and the association between altered gut microbiota and cognitive performance was analyzed. To validate the alteration of gut microbiota in SCD, we conducted amyloid positron emission tomography (PET) in selected participants and further compared the gut microbiota among subgroups.\nRESULTS: The abundance of phylum Firmicutes, class Clostridia, order Clostridiales, family Ruminococcaceae, and genus Faecalibacterium showed a trend toward a progressive decline from NC to SCD and CI. Specifically, the abundance of the anti-inflammatory genus Faecalibacterium was significantly decreased in SCD compared with NC. In addition, altered bacterial taxa among the three groups were associated with cognitive performance. The findings were validated in SCD participants with positive amyloid evidence.\nCONCLUSION: The composition of gut microbiota is altered in individuals with SCD. This preliminary study will provide novel insights into the pathophysiological mechanism of AD.","container-title":"Journal of Alzheimer's disease: JAD","DOI":"10.3233/JAD-210259","ISSN":"1875-8908","issue":"2","journalAbbreviation":"J Alzheimers Dis","language":"eng","note":"PMID: 34024839","page":"513-526","source":"PubMed","title":"Altered Gut Microbiota in Adults with Subjective Cognitive Decline: The SILCODE Study","title-short":"Altered Gut Microbiota in Adults with Subjective Cognitive Decline","volume":"82","author":[{"family":"Sheng","given":"Can"},{"family":"Lin","given":"Li"},{"family":"Lin","given":"Hua"},{"family":"Wang","given":"Xiaoni"},{"family":"Han","given":"Ying"},{"family":"Liu","given":"Shu-Lin"}],"issued":{"date-parts":[["2021"]]}}},{"id":1171,"uris":["http://zotero.org/users/9893877/items/9UI7JNID"],"itemData":{"id":1171,"type":"article-journal","abstract":"BACKGROUND AND PURPOSE: The gut microbiome has been reported to be closely related to Alzheimer's disease (AD) progression. Here, a comprehensive meta-analysis of gut microbial characteristics in AD, mild cognitive impairment (MCI) and subjective cognitive decline (SCD) was performed to compare gut microbial alterations at each stage.\nMETHODS: A total of 10 databases (CNKI, WanFang, VIP, SinoMed, WOS, PubMed, Embase, Cochrane Library, PsycINFO and Void) were searched and 34 case-control studies were included. α and β diversity and the relative abundance of gut microbiota were analysed as outcome indices. Data analysis was performed using Review Manager (5.4.1) and R.\nRESULTS: Chao1 and Shannon index levels in AD were significantly lower compared with healthy controls (HCs), and the Chao1 index was significantly lower in MCI compared with HCs. There was a significant difference in β diversity of gut microbiomes in patients (SCD, MCI, AD) compared with HCs. The relative abundance of Firmicutes at the phylum level was significantly lower in patients with AD and MCI than HCs. However, the relative abundance of Bacteroidetes at the phylum level was significantly higher in patients with MCI than HCs. There was an increasing trend for Enterobacteriaceae and a decreasing trend for Ruminococcaceae, Lachnospiraceae and Lactobacillus during AD; Lactobacillus showed a decreasing trend early in SCD.\nCONCLUSION: Our results indicated that there were gut microbiological abnormalities in AD, even as early as the SCD stage. The dynamic, consistent changes in gut microbes with the disease process showed that they might serve as potential biomarkers for early identification and diagnosis of AD.","container-title":"European Journal of Neurology","DOI":"10.1111/ene.15961","ISSN":"1468-1331","issue":"11","journalAbbreviation":"Eur J Neurol","language":"eng","note":"PMID: 37399128","page":"3568-3580","source":"PubMed","title":"Gut microbiome characteristics in subjective cognitive decline, mild cognitive impairment and Alzheimer's disease: a systematic review and meta-analysis","title-short":"Gut microbiome characteristics in subjective cognitive decline, mild cognitive impairment and Alzheimer's disease","volume":"30","author":[{"family":"Chen","given":"Guanlin"},{"family":"Zhou","given":"Xiaoqi"},{"family":"Zhu","given":"Yikang"},{"family":"Shi","given":"Wendian"},{"family":"Kong","given":"Li"}],"issued":{"date-parts":[["2023",11]]}}}],"schema":"https://github.com/citation-style-language/schema/raw/master/csl-citation.json"} </w:instrText>
      </w:r>
      <w:r w:rsidR="003A46CC" w:rsidRPr="009E3412">
        <w:rPr>
          <w:rFonts w:ascii="Times New Roman" w:eastAsia="Times New Roman" w:hAnsi="Times New Roman" w:cs="Times New Roman"/>
        </w:rPr>
        <w:fldChar w:fldCharType="separate"/>
      </w:r>
      <w:r w:rsidR="00CC6090" w:rsidRPr="009E3412">
        <w:rPr>
          <w:rFonts w:ascii="Times New Roman" w:hAnsi="Times New Roman" w:cs="Times New Roman"/>
        </w:rPr>
        <w:t>[66,67]</w:t>
      </w:r>
      <w:r w:rsidR="003A46CC" w:rsidRPr="009E3412">
        <w:rPr>
          <w:rFonts w:ascii="Times New Roman" w:eastAsia="Times New Roman" w:hAnsi="Times New Roman" w:cs="Times New Roman"/>
        </w:rPr>
        <w:fldChar w:fldCharType="end"/>
      </w:r>
      <w:r w:rsidR="003A46CC" w:rsidRPr="009E3412">
        <w:rPr>
          <w:rFonts w:ascii="Times New Roman" w:eastAsia="Times New Roman" w:hAnsi="Times New Roman" w:cs="Times New Roman"/>
        </w:rPr>
        <w:t xml:space="preserve">. </w:t>
      </w:r>
      <w:r w:rsidR="00591521" w:rsidRPr="009E3412">
        <w:rPr>
          <w:rFonts w:ascii="Times New Roman" w:eastAsia="Times New Roman" w:hAnsi="Times New Roman" w:cs="Times New Roman"/>
        </w:rPr>
        <w:t xml:space="preserve">As </w:t>
      </w:r>
      <w:r w:rsidR="00D840D2" w:rsidRPr="009E3412">
        <w:rPr>
          <w:rFonts w:ascii="Times New Roman" w:eastAsia="Times New Roman" w:hAnsi="Times New Roman" w:cs="Times New Roman"/>
        </w:rPr>
        <w:t xml:space="preserve">cognitive </w:t>
      </w:r>
      <w:r w:rsidR="00591521" w:rsidRPr="009E3412">
        <w:rPr>
          <w:rFonts w:ascii="Times New Roman" w:eastAsia="Times New Roman" w:hAnsi="Times New Roman" w:cs="Times New Roman"/>
        </w:rPr>
        <w:t xml:space="preserve">decline progresses </w:t>
      </w:r>
      <w:r w:rsidR="00EC7016" w:rsidRPr="009E3412">
        <w:rPr>
          <w:rFonts w:ascii="Times New Roman" w:eastAsia="Times New Roman" w:hAnsi="Times New Roman" w:cs="Times New Roman"/>
        </w:rPr>
        <w:t xml:space="preserve">from </w:t>
      </w:r>
      <w:r w:rsidR="00617E60" w:rsidRPr="009E3412">
        <w:rPr>
          <w:rFonts w:ascii="Times New Roman" w:eastAsia="Times New Roman" w:hAnsi="Times New Roman" w:cs="Times New Roman"/>
        </w:rPr>
        <w:t xml:space="preserve">SCI </w:t>
      </w:r>
      <w:r w:rsidR="00EC7016" w:rsidRPr="009E3412">
        <w:rPr>
          <w:rFonts w:ascii="Times New Roman" w:eastAsia="Times New Roman" w:hAnsi="Times New Roman" w:cs="Times New Roman"/>
        </w:rPr>
        <w:t>to</w:t>
      </w:r>
      <w:r w:rsidR="00617E60" w:rsidRPr="009E3412">
        <w:rPr>
          <w:rFonts w:ascii="Times New Roman" w:eastAsia="Times New Roman" w:hAnsi="Times New Roman" w:cs="Times New Roman"/>
        </w:rPr>
        <w:t xml:space="preserve"> MCI</w:t>
      </w:r>
      <w:r w:rsidR="00591521" w:rsidRPr="009E3412">
        <w:rPr>
          <w:rFonts w:ascii="Times New Roman" w:eastAsia="Times New Roman" w:hAnsi="Times New Roman" w:cs="Times New Roman"/>
        </w:rPr>
        <w:t xml:space="preserve">, </w:t>
      </w:r>
      <w:r w:rsidR="00F25E5E" w:rsidRPr="009E3412">
        <w:rPr>
          <w:rFonts w:ascii="Times New Roman" w:eastAsia="Times New Roman" w:hAnsi="Times New Roman" w:cs="Times New Roman"/>
        </w:rPr>
        <w:t xml:space="preserve">gut </w:t>
      </w:r>
      <w:r w:rsidR="00591521" w:rsidRPr="009E3412">
        <w:rPr>
          <w:rFonts w:ascii="Times New Roman" w:eastAsia="Times New Roman" w:hAnsi="Times New Roman" w:cs="Times New Roman"/>
        </w:rPr>
        <w:t>microbiome modulation</w:t>
      </w:r>
      <w:r w:rsidR="00617E60" w:rsidRPr="009E3412">
        <w:rPr>
          <w:rFonts w:ascii="Times New Roman" w:eastAsia="Times New Roman" w:hAnsi="Times New Roman" w:cs="Times New Roman"/>
        </w:rPr>
        <w:t xml:space="preserve"> </w:t>
      </w:r>
      <w:r w:rsidR="00EC7016" w:rsidRPr="009E3412">
        <w:rPr>
          <w:rFonts w:ascii="Times New Roman" w:eastAsia="Times New Roman" w:hAnsi="Times New Roman" w:cs="Times New Roman"/>
        </w:rPr>
        <w:t>appears less significant</w:t>
      </w:r>
      <w:r w:rsidR="00EC082F" w:rsidRPr="009E3412">
        <w:rPr>
          <w:rFonts w:ascii="Times New Roman" w:eastAsia="Times New Roman" w:hAnsi="Times New Roman" w:cs="Times New Roman"/>
        </w:rPr>
        <w:t xml:space="preserve">. </w:t>
      </w:r>
      <w:r w:rsidR="006A5770" w:rsidRPr="009E3412">
        <w:rPr>
          <w:rFonts w:ascii="Times New Roman" w:eastAsia="Times New Roman" w:hAnsi="Times New Roman" w:cs="Times New Roman"/>
        </w:rPr>
        <w:t>This could indicate greater heterogeneity within the MCI group</w:t>
      </w:r>
      <w:r w:rsidR="00071580" w:rsidRPr="009E3412">
        <w:rPr>
          <w:rFonts w:ascii="Times New Roman" w:eastAsia="Times New Roman" w:hAnsi="Times New Roman" w:cs="Times New Roman"/>
        </w:rPr>
        <w:t xml:space="preserve">. </w:t>
      </w:r>
      <w:r w:rsidR="00E517DA" w:rsidRPr="009E3412">
        <w:rPr>
          <w:rFonts w:ascii="Times New Roman" w:eastAsia="Times New Roman" w:hAnsi="Times New Roman" w:cs="Times New Roman"/>
        </w:rPr>
        <w:t>Recent evidence has shown that individuals with MCI follow distinct cognitive trajectories, ranging from stable to rapidly declining, each associated with differing AD biomarker profiles</w:t>
      </w:r>
      <w:r w:rsidR="00071580" w:rsidRPr="009E3412">
        <w:rPr>
          <w:rFonts w:ascii="Times New Roman" w:eastAsia="Times New Roman" w:hAnsi="Times New Roman" w:cs="Times New Roman"/>
        </w:rPr>
        <w:t xml:space="preserve"> </w:t>
      </w:r>
      <w:r w:rsidR="00071580"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{"citationID":"QAkg2rwI","properties":{"formattedCitation":"[68]","plainCitation":"[68]","noteIndex":0},"citationItems":[{"id":2449,"uris":["http://zotero.org/users/9893877/items/X5B3LSDR"],"itemData":{"id":2449,"type":"article-journal","abstract":"Given the complex and progressive nature of mild cognitive impairment (MCI), the ability to delineate and understand the heterogeneous cognitive trajectories is crucial for developing personalized medicine and informing trial design. The primary goals of this study were to examine whether different cognitive trajectories can be identified within subjects with MCI and, if present, to characterize each trajectory in relation to changes in all major Alzheimer’s disease (AD) biomarkers over time.","container-title":"Alzheimer's Research &amp; Therapy","DOI":"10.1186/s13195-023-01205-w","ISSN":"1758-9193","issue":"1","journalAbbreviation":"Alzheimer's Research &amp; Therapy","page":"57","source":"BioMed Central","title":"Uncovering heterogeneous cognitive trajectories in mild cognitive impairment: a data-driven approach","title-short":"Uncovering heterogeneous cognitive trajectories in mild cognitive impairment","volume":"15","author":[{"family":"Wang","given":"Xiwu"},{"family":"Ye","given":"Teng"},{"family":"Zhou","given":"Wenjun"},{"family":"Zhang","given":"Jie"},{"literal":"for the Alzheimer’s Disease Neuroimaging Initiative"}],"issued":{"date-parts":[["2023",3,20]]}}}],"schema":"https://github.com/citation-style-language/schema/raw/master/csl-citation.json"} </w:instrText>
      </w:r>
      <w:r w:rsidR="00071580" w:rsidRPr="009E3412">
        <w:rPr>
          <w:rFonts w:ascii="Times New Roman" w:eastAsia="Times New Roman" w:hAnsi="Times New Roman" w:cs="Times New Roman"/>
        </w:rPr>
        <w:fldChar w:fldCharType="separate"/>
      </w:r>
      <w:r w:rsidR="00CC6090" w:rsidRPr="009E3412">
        <w:rPr>
          <w:rFonts w:ascii="Times New Roman" w:hAnsi="Times New Roman" w:cs="Times New Roman"/>
        </w:rPr>
        <w:t>[68]</w:t>
      </w:r>
      <w:r w:rsidR="00071580" w:rsidRPr="009E3412">
        <w:rPr>
          <w:rFonts w:ascii="Times New Roman" w:eastAsia="Times New Roman" w:hAnsi="Times New Roman" w:cs="Times New Roman"/>
        </w:rPr>
        <w:fldChar w:fldCharType="end"/>
      </w:r>
      <w:r w:rsidR="00E517DA" w:rsidRPr="009E3412">
        <w:rPr>
          <w:rFonts w:ascii="Times New Roman" w:eastAsia="Times New Roman" w:hAnsi="Times New Roman" w:cs="Times New Roman"/>
        </w:rPr>
        <w:t xml:space="preserve">. </w:t>
      </w:r>
      <w:r w:rsidR="00F93442" w:rsidRPr="009E3412">
        <w:rPr>
          <w:rFonts w:ascii="Times New Roman" w:eastAsia="Times New Roman" w:hAnsi="Times New Roman" w:cs="Times New Roman"/>
        </w:rPr>
        <w:t>H</w:t>
      </w:r>
      <w:r w:rsidR="00A83F88" w:rsidRPr="009E3412">
        <w:rPr>
          <w:rFonts w:ascii="Times New Roman" w:eastAsia="Times New Roman" w:hAnsi="Times New Roman" w:cs="Times New Roman"/>
        </w:rPr>
        <w:t xml:space="preserve">eterogeneity may dilute group-level signals when comparing </w:t>
      </w:r>
      <w:r w:rsidR="00A83F88" w:rsidRPr="009E3412">
        <w:rPr>
          <w:rFonts w:ascii="Times New Roman" w:eastAsia="Times New Roman" w:hAnsi="Times New Roman" w:cs="Times New Roman"/>
        </w:rPr>
        <w:lastRenderedPageBreak/>
        <w:t xml:space="preserve">MCI participants to controls, making it harder to detect consistent microbiome shifts. </w:t>
      </w:r>
      <w:r w:rsidR="002159AE" w:rsidRPr="009E3412">
        <w:rPr>
          <w:rFonts w:ascii="Times New Roman" w:eastAsia="Times New Roman" w:hAnsi="Times New Roman" w:cs="Times New Roman"/>
        </w:rPr>
        <w:t>Moreover, it</w:t>
      </w:r>
      <w:r w:rsidR="006A5770" w:rsidRPr="009E3412">
        <w:rPr>
          <w:rFonts w:ascii="Times New Roman" w:eastAsia="Times New Roman" w:hAnsi="Times New Roman" w:cs="Times New Roman"/>
        </w:rPr>
        <w:t xml:space="preserve"> aligns with previous studies reporting no significant differences in microbiome composition between MCI and control groups </w:t>
      </w:r>
      <w:r w:rsidR="006A5770"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{"citationID":"6bGMoToD","properties":{"formattedCitation":"[69,70]","plainCitation":"[69,70]","noteIndex":0},"citationItems":[{"id":2453,"uris":["http://zotero.org/users/9893877/items/GGC4NG4J"],"itemData":{"id":2453,"type":"article-journal","abstract":"Evidence linking the gut-brain axis to Alzheimer’s disease (AD) is accumulating, but the characteristics of causally important microbes are poorly understood. We perform a fecal microbiome analysis in healthy subjects and those with mild cognitive impairment (MCI) and AD. We find that Faecalibacterium prausnitzii (F. prausnitzii) correlates with cognitive scores and decreases in the MCI group compared with the healthy group. Two isolated strains from the healthy group, live Fp360 and pasteurized Fp14, improve cognitive impairment in an AD mouse model. Whole-genome comparison of isolated strains reveals specific orthologs that are found only in the effective strains and are more abundant in the healthy group compared with the MCI group. Metabolome and RNA sequencing analyses of mouse brains provides mechanistic insights into the relationship between the efficacy of pasteurized Fp14, oxidative stress, and mitochondrial function. We conclude that F. prausnitzii strains with these specific orthologs are candidates for gut microbiome-based intervention in Alzheimer's-type dementia., \n          \n            \n              F. prausnitzii decreases in subjects with MCI and correlates with cognitive test scores\n            \n            \n              Isolated F. prausnitzii strains improve Aβ-induced cognitive impairment in mice\n            \n            \n              Comparative genomics reveals specific orthologs in the effective strains\n            \n            \n              Effects of F. prausnitzii relate to oxidative stress and mitochondrial function\n            \n          \n        , Ueda et al. observe a reduction of F. prausnitzii in volunteers with MCI and show that isolated F. prausnitzii strains from healthy volunteers improve cognitive impairment in mice. Using integrated whole-genome and metagenome analyses, they identify F. prausnitzii strains with specific orthologs as candidates for gut microbiome-based intervention in AD.","container-title":"Cell Reports Medicine","DOI":"10.1016/j.xcrm.2021.100398","ISSN":"2666-3791","issue":"9","journalAbbreviation":"Cell Rep Med","note":"PMID: 34622235\nPMCID: PMC8484692","page":"100398","source":"PubMed Central","title":"Identification of Faecalibacterium prausnitzii strains for gut microbiome-based intervention in Alzheimer’s-type dementia","volume":"2","author":[{"family":"Ueda","given":"Atsushi"},{"family":"Shinkai","given":"Shoji"},{"family":"Shiroma","given":"Hirotsugu"},{"family":"Taniguchi","given":"Yu"},{"family":"Tsuchida","given":"Sayaka"},{"family":"Kariya","given":"Takahiro"},{"family":"Kawahara","given":"Tomohiro"},{"family":"Kobayashi","given":"Yodai"},{"family":"Kohda","given":"Noriyuki"},{"family":"Ushida","given":"Kazunari"},{"family":"Kitamura","given":"Akihiko"},{"family":"Yamada","given":"Takuji"}],"issued":{"date-parts":[["2021",9,14]]}}},{"id":2196,"uris":["http://zotero.org/users/9893877/items/PKG7TXJP"],"itemData":{"id":2196,"type":"article-journal","abstract":"BACKGROUND: Alzheimer's disease (AD) prevalence is increasing, but its etiology remains elusive. Gut microbes can contribute to AD pathology and may help identifying novel markers and therapies against AD. Herein, we examine how the gut microbiome differs in older adults with mild cognitive impairment compared to cognitively normal counterparts, and whether and how a modified Mediterranean-ketogenic diet (MMKD) alters the gut microbiome signature in association with cerebrospinal fluid (CSF) AD biomarkers.\nMETHODS: A randomized, double-blind, cross-over, single-center pilot study of MMKD versus American Heart Association Diet (AHAD) intervention is performed on 17 subjects (age: 64.6 ± 6.4 yr), of which 11 have mild cognitive impairment, while 6 are cognitively normal. Subjects undergo MMKD and AHAD intervention for 6-weeks separated by 6-weeks washout periods. Gut microbiome, fecal short-chain fatty acids (SCFAs), and markers of AD in CSF including amyloid β (Aβ)-40 and Aß-42, total tau, and phosphorylated tau-181 (tau-p181) are measured at before and after diet interventions.\nFINDINGS: At baseline, subjects with normal vs. impaired cognition show no notable difference in microbiome diversity but several unique microbial signatures are detected in subjects with mild cognitive impairment. Proteobacteria correlate positively with Aβ-42: Aβ-40 while fecal propionate and butyrate correlates negatively with Aβ-42 in subjects with mild cognitive impairment. Several bacteria are differently affected by the two diets with distinct patterns between cognitively normal and impaired subjects. Notably, the abundance of Enterobacteriaceae, Akkermansia, Slackia, Christensenellaceae and Erysipelotriaceae increases while that of Bifidobacterium and Lachnobacterium reduces on MMKD, while AHAD increases Mollicutes. MMKD slightly reduces fecal lactate and acetate while increasing propionate and butyrate. Conversely, AHAD increases acetate and propionate while reducing butyrate.\nINTERPRETATION: The data suggest that specific gut microbial signatures may depict the mild cognitive impairment and that the MMKD can modulate the gut microbiome and metabolites in association with improved AD biomarkers in CSF.","container-title":"EBioMedicine","DOI":"10.1016/j.ebiom.2019.08.032","ISSN":"2352-3964","journalAbbreviation":"EBioMedicine","language":"eng","note":"PMID: 31477562\nPMCID: PMC6796564","page":"529-542","source":"PubMed","title":"Modified Mediterranean-ketogenic diet modulates gut microbiome and short-chain fatty acids in association with Alzheimer's disease markers in subjects with mild cognitive impairment","volume":"47","author":[{"family":"Nagpal","given":"Ravinder"},{"family":"Neth","given":"Bryan J."},{"family":"Wang","given":"Shaohua"},{"family":"Craft","given":"Suzanne"},{"family":"Yadav","given":"Hariom"}],"issued":{"date-parts":[["2019",9]]}}}],"schema":"https://github.com/citation-style-language/schema/raw/master/csl-citation.json"} </w:instrText>
      </w:r>
      <w:r w:rsidR="006A5770" w:rsidRPr="009E3412">
        <w:rPr>
          <w:rFonts w:ascii="Times New Roman" w:eastAsia="Times New Roman" w:hAnsi="Times New Roman" w:cs="Times New Roman"/>
        </w:rPr>
        <w:fldChar w:fldCharType="separate"/>
      </w:r>
      <w:r w:rsidR="00CC6090" w:rsidRPr="009E3412">
        <w:rPr>
          <w:rFonts w:ascii="Times New Roman" w:hAnsi="Times New Roman" w:cs="Times New Roman"/>
        </w:rPr>
        <w:t>[69,70]</w:t>
      </w:r>
      <w:r w:rsidR="006A5770" w:rsidRPr="009E3412">
        <w:rPr>
          <w:rFonts w:ascii="Times New Roman" w:eastAsia="Times New Roman" w:hAnsi="Times New Roman" w:cs="Times New Roman"/>
        </w:rPr>
        <w:fldChar w:fldCharType="end"/>
      </w:r>
      <w:r w:rsidR="006A5770" w:rsidRPr="009E3412">
        <w:rPr>
          <w:rFonts w:ascii="Times New Roman" w:eastAsia="Times New Roman" w:hAnsi="Times New Roman" w:cs="Times New Roman"/>
        </w:rPr>
        <w:t xml:space="preserve">. However, these studies did not examine SCI, a less explored stage in microbiome research. </w:t>
      </w:r>
      <w:r w:rsidR="00EC1C61" w:rsidRPr="009E3412">
        <w:rPr>
          <w:rFonts w:ascii="Times New Roman" w:eastAsia="Times New Roman" w:hAnsi="Times New Roman" w:cs="Times New Roman"/>
        </w:rPr>
        <w:t xml:space="preserve">Individuals with SCI are </w:t>
      </w:r>
      <w:r w:rsidR="00446910" w:rsidRPr="009E3412">
        <w:rPr>
          <w:rFonts w:ascii="Times New Roman" w:eastAsia="Times New Roman" w:hAnsi="Times New Roman" w:cs="Times New Roman"/>
        </w:rPr>
        <w:t xml:space="preserve">likely </w:t>
      </w:r>
      <w:r w:rsidR="005D45E2" w:rsidRPr="009E3412">
        <w:rPr>
          <w:rFonts w:ascii="Times New Roman" w:eastAsia="Times New Roman" w:hAnsi="Times New Roman" w:cs="Times New Roman"/>
        </w:rPr>
        <w:t>at a higher risk of</w:t>
      </w:r>
      <w:r w:rsidR="00EC1C61" w:rsidRPr="009E3412">
        <w:rPr>
          <w:rFonts w:ascii="Times New Roman" w:eastAsia="Times New Roman" w:hAnsi="Times New Roman" w:cs="Times New Roman"/>
        </w:rPr>
        <w:t xml:space="preserve"> cognitive decline progressi</w:t>
      </w:r>
      <w:r w:rsidR="00446910" w:rsidRPr="009E3412">
        <w:rPr>
          <w:rFonts w:ascii="Times New Roman" w:eastAsia="Times New Roman" w:hAnsi="Times New Roman" w:cs="Times New Roman"/>
        </w:rPr>
        <w:t>on</w:t>
      </w:r>
      <w:r w:rsidR="005D45E2" w:rsidRPr="009E3412">
        <w:rPr>
          <w:rFonts w:ascii="Times New Roman" w:eastAsia="Times New Roman" w:hAnsi="Times New Roman" w:cs="Times New Roman"/>
        </w:rPr>
        <w:t xml:space="preserve"> compared to those who are cognitively healthy </w:t>
      </w:r>
      <w:r w:rsidR="005D45E2"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{"citationID":"gHnUD9x0","properties":{"formattedCitation":"[71]","plainCitation":"[71]","noteIndex":0},"citationItems":[{"id":1212,"uris":["http://zotero.org/users/9893877/items/MKRGTEWS"],"itemData":{"id":1212,"type":"article-journal","abstract":"Background\nSubjective cognitive impairment (SCI) in older persons without\nmanifest symptomatology is a common condition with a largely unclear\nprognosis. We hypothesized that (1) examining outcome for a sufficient\nperiod by using conversion to mild cognitive impairment (MCI) or dementia\nwould clarify SCI prognosis, and (2) with the aforementioned procedures, the\nprognosis of SCI subjects would differ significantly from that of\ndemographically matched healthy subjects, free of SCI, termed no cognitive\nimpairment (NCI) subjects.\n\nMethods\nA consecutive series of healthy subjects, aged ≥40 years,\npresenting with NCI or SCI to a brain aging and dementia research center\nduring a 14-year interval, were studied and followed up during an 18-year\nobservation window. The study population (60 NCI, 200 SCI, 60%\nfemale) had a mean age of 67.2 ± 9.1 years, was well-educated (mean,\n15.5 ± 2.7 years), and cognitively normal (Mini-Mental State\nExamination, 29.1 ± 1.2).\n\nResults\nA total of 213 subjects (81.9% of the study population) were\nfollowed up. Follow-up occurred during a mean period of 6.8 ± 3.4\nyears, and subjects had a mean of 2.9 ± 1.6 follow-up visits. Seven\nNCI (14.9%) and 90 SCI (54.2%) subjects declined\n(P &lt; .0001). Of NCI decliners, five declined to\nMCI and two to probable Alzheimer’s disease. Of SCI decliners, 71\ndeclined to MCI and 19 to dementia diagnoses. Controlling for baseline\ndemographic variables and follow-up time, Weibull proportional hazards model\nrevealed increased decline in SCI subjects (hazard ratio, 4.5; 95%\nconfidence interval, 1.9–10.3), whereas the accelerated failure time\nmodel analysis with an underlying Weibull survival function showed that SCI\nsubjects declined more rapidly, at 60% of the rate of NCI subjects\n(95% confidence interval, 0.45–0.80). Furthermore, mean time\nto decline was 3.5 years longer for NCI than for SCI subjects\n(P = .0003).\n\nConclusions\nThese results indicate that SCI in subjects with normal cognition is\na harbinger of further decline in most subjects during a 7-year mean\nfollow-up interval. Relevance for community populations should be\ninvestigated, and prevention studies in this at-risk population should be\nexplored.","container-title":"Alzheimer's &amp; dementia : the journal of the Alzheimer's Association","DOI":"10.1016/j.jalz.2009.10.002","ISSN":"1552-5260","issue":"1","journalAbbreviation":"Alzheimers Dement","note":"PMID: 20129317\nPMCID: PMC3873197","page":"10.1016/j.jalz.2009.10.002","source":"PubMed Central","title":"Outcome over seven years of healthy adults with and without subjective cognitive impairment","volume":"6","author":[{"family":"Reisberg","given":"Barry"},{"family":"Shulman","given":"Melanie B."},{"family":"Torossian","given":"Carol"},{"family":"Leng","given":"Ling"},{"family":"Zhu","given":"Wei"}],"issued":{"date-parts":[["2010",1]]}}}],"schema":"https://github.com/citation-style-language/schema/raw/master/csl-citation.json"} </w:instrText>
      </w:r>
      <w:r w:rsidR="005D45E2" w:rsidRPr="009E3412">
        <w:rPr>
          <w:rFonts w:ascii="Times New Roman" w:eastAsia="Times New Roman" w:hAnsi="Times New Roman" w:cs="Times New Roman"/>
        </w:rPr>
        <w:fldChar w:fldCharType="separate"/>
      </w:r>
      <w:r w:rsidR="00CC6090" w:rsidRPr="009E3412">
        <w:rPr>
          <w:rFonts w:ascii="Times New Roman" w:hAnsi="Times New Roman" w:cs="Times New Roman"/>
        </w:rPr>
        <w:t>[71]</w:t>
      </w:r>
      <w:r w:rsidR="005D45E2" w:rsidRPr="009E3412">
        <w:rPr>
          <w:rFonts w:ascii="Times New Roman" w:eastAsia="Times New Roman" w:hAnsi="Times New Roman" w:cs="Times New Roman"/>
        </w:rPr>
        <w:fldChar w:fldCharType="end"/>
      </w:r>
      <w:r w:rsidR="00EC1C61" w:rsidRPr="009E3412">
        <w:rPr>
          <w:rFonts w:ascii="Times New Roman" w:eastAsia="Times New Roman" w:hAnsi="Times New Roman" w:cs="Times New Roman"/>
        </w:rPr>
        <w:t>, which may lead to greater alterations in biological markers, including the gut microbiome and its metabolites</w:t>
      </w:r>
      <w:r w:rsidR="005D45E2" w:rsidRPr="009E3412">
        <w:rPr>
          <w:rFonts w:ascii="Times New Roman" w:eastAsia="Times New Roman" w:hAnsi="Times New Roman" w:cs="Times New Roman"/>
        </w:rPr>
        <w:t>.</w:t>
      </w:r>
      <w:r w:rsidR="001434C5" w:rsidRPr="009E3412">
        <w:rPr>
          <w:rFonts w:ascii="Times New Roman" w:eastAsia="Times New Roman" w:hAnsi="Times New Roman" w:cs="Times New Roman"/>
        </w:rPr>
        <w:t xml:space="preserve"> </w:t>
      </w:r>
    </w:p>
    <w:p w14:paraId="1CCB0F51" w14:textId="7B79B69C" w:rsidR="000C59D2" w:rsidRPr="009E3412" w:rsidRDefault="00713DAB" w:rsidP="000601A5">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Several genera identified as differentially abundant</w:t>
      </w:r>
      <w:r w:rsidR="00BA1C80" w:rsidRPr="009E3412">
        <w:rPr>
          <w:rFonts w:ascii="Times New Roman" w:eastAsia="Times New Roman" w:hAnsi="Times New Roman" w:cs="Times New Roman"/>
        </w:rPr>
        <w:t xml:space="preserve"> in </w:t>
      </w:r>
      <w:r w:rsidR="007E5843" w:rsidRPr="009E3412">
        <w:rPr>
          <w:rFonts w:ascii="Times New Roman" w:hAnsi="Times New Roman" w:cs="Times New Roman"/>
          <w:bdr w:val="none" w:sz="0" w:space="0" w:color="auto" w:frame="1"/>
          <w:shd w:val="clear" w:color="auto" w:fill="FFFFFF"/>
        </w:rPr>
        <w:t>early cognitive decline</w:t>
      </w:r>
      <w:r w:rsidRPr="009E3412">
        <w:rPr>
          <w:rFonts w:ascii="Times New Roman" w:eastAsia="Times New Roman" w:hAnsi="Times New Roman" w:cs="Times New Roman"/>
        </w:rPr>
        <w:t xml:space="preserve"> have previously been implicated in neurocognitive health. </w:t>
      </w:r>
      <w:r w:rsidR="00224F7E" w:rsidRPr="009E3412">
        <w:rPr>
          <w:rFonts w:ascii="Times New Roman" w:eastAsia="Times New Roman" w:hAnsi="Times New Roman" w:cs="Times New Roman"/>
        </w:rPr>
        <w:t>E</w:t>
      </w:r>
      <w:r w:rsidR="000601A5" w:rsidRPr="009E3412">
        <w:rPr>
          <w:rFonts w:ascii="Times New Roman" w:eastAsia="Times New Roman" w:hAnsi="Times New Roman" w:cs="Times New Roman"/>
        </w:rPr>
        <w:t xml:space="preserve">levated </w:t>
      </w:r>
      <w:r w:rsidR="000601A5" w:rsidRPr="009E3412">
        <w:rPr>
          <w:rFonts w:ascii="Times New Roman" w:eastAsia="Times New Roman" w:hAnsi="Times New Roman" w:cs="Times New Roman"/>
          <w:i/>
          <w:iCs/>
        </w:rPr>
        <w:t>Bacteroides</w:t>
      </w:r>
      <w:r w:rsidR="000601A5" w:rsidRPr="009E3412">
        <w:rPr>
          <w:rFonts w:ascii="Times New Roman" w:eastAsia="Times New Roman" w:hAnsi="Times New Roman" w:cs="Times New Roman"/>
        </w:rPr>
        <w:t xml:space="preserve"> has been associated with increased neuroinflammation and amyloid pathology in AD cohorts, often correlated with markers </w:t>
      </w:r>
      <w:r w:rsidR="00493671" w:rsidRPr="009E3412">
        <w:rPr>
          <w:rFonts w:ascii="Times New Roman" w:eastAsia="Times New Roman" w:hAnsi="Times New Roman" w:cs="Times New Roman"/>
        </w:rPr>
        <w:t>such as</w:t>
      </w:r>
      <w:r w:rsidR="000601A5" w:rsidRPr="009E3412">
        <w:rPr>
          <w:rFonts w:ascii="Times New Roman" w:eastAsia="Times New Roman" w:hAnsi="Times New Roman" w:cs="Times New Roman"/>
        </w:rPr>
        <w:t xml:space="preserve"> CSF YKL‑40</w:t>
      </w:r>
      <w:r w:rsidR="001343A1" w:rsidRPr="009E3412">
        <w:rPr>
          <w:rFonts w:ascii="Times New Roman" w:eastAsia="Times New Roman" w:hAnsi="Times New Roman" w:cs="Times New Roman"/>
        </w:rPr>
        <w:t xml:space="preserve"> </w:t>
      </w:r>
      <w:r w:rsidR="001343A1"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{"citationID":"YlDOxJB7","properties":{"formattedCitation":"[72]","plainCitation":"[72]","noteIndex":0},"citationItems":[{"id":2552,"uris":["http://zotero.org/users/9893877/items/7J8VYQNL"],"itemData":{"id":2552,"type":"article-journal","abstract":"Alzheimer’s disease (AD) is the most common form of dementia. However, the etiopathogenesis of this devastating disease is not fully understood. Recent studies in rodents suggest that alterations in the gut microbiome may contribute to amyloid deposition, yet the microbial communities associated with AD have not been characterized in humans. Towards this end, we characterized the bacterial taxonomic composition of fecal samples from participants with and without a diagnosis of dementia due to AD. Our analyses revealed that the gut microbiome of AD participants has decreased microbial diversity and is compositionally distinct from control age- and sex-matched individuals. We identified phylum- through genus-wide differences in bacterial abundance including decreased Firmicutes, increased Bacteroidetes, and decreased Bifidobacterium in the microbiome of AD participants. Furthermore, we observed correlations between levels of differentially abundant genera and cerebrospinal fluid (CSF) biomarkers of AD. These findings add AD to the growing list of diseases associated with gut microbial alterations, as well as suggest that gut bacterial communities may be a target for therapeutic intervention.","container-title":"Scientific Reports","DOI":"10.1038/s41598-017-13601-y","ISSN":"2045-2322","issue":"1","journalAbbreviation":"Sci Rep","language":"en","license":"2017 The Author(s)","note":"publisher: Nature Publishing Group","page":"13537","source":"www.nature.com","title":"Gut microbiome alterations in Alzheimer’s disease","volume":"7","author":[{"family":"Vogt","given":"Nicholas M."},{"family":"Kerby","given":"Robert L."},{"family":"Dill-McFarland","given":"Kimberly A."},{"family":"Harding","given":"Sandra J."},{"family":"Merluzzi","given":"Andrew P."},{"family":"Johnson","given":"Sterling C."},{"family":"Carlsson","given":"Cynthia M."},{"family":"Asthana","given":"Sanjay"},{"family":"Zetterberg","given":"Henrik"},{"family":"Blennow","given":"Kaj"},{"family":"Bendlin","given":"Barbara B."},{"family":"Rey","given":"Federico E."}],"issued":{"date-parts":[["2017",10,19]]}}}],"schema":"https://github.com/citation-style-language/schema/raw/master/csl-citation.json"} </w:instrText>
      </w:r>
      <w:r w:rsidR="001343A1" w:rsidRPr="009E3412">
        <w:rPr>
          <w:rFonts w:ascii="Times New Roman" w:eastAsia="Times New Roman" w:hAnsi="Times New Roman" w:cs="Times New Roman"/>
        </w:rPr>
        <w:fldChar w:fldCharType="separate"/>
      </w:r>
      <w:r w:rsidR="00CC6090" w:rsidRPr="009E3412">
        <w:rPr>
          <w:rFonts w:ascii="Times New Roman" w:hAnsi="Times New Roman" w:cs="Times New Roman"/>
        </w:rPr>
        <w:t>[72]</w:t>
      </w:r>
      <w:r w:rsidR="001343A1" w:rsidRPr="009E3412">
        <w:rPr>
          <w:rFonts w:ascii="Times New Roman" w:eastAsia="Times New Roman" w:hAnsi="Times New Roman" w:cs="Times New Roman"/>
        </w:rPr>
        <w:fldChar w:fldCharType="end"/>
      </w:r>
      <w:r w:rsidR="000601A5" w:rsidRPr="009E3412">
        <w:rPr>
          <w:rFonts w:ascii="Times New Roman" w:eastAsia="Times New Roman" w:hAnsi="Times New Roman" w:cs="Times New Roman"/>
        </w:rPr>
        <w:t xml:space="preserve">. </w:t>
      </w:r>
      <w:r w:rsidR="00224F7E" w:rsidRPr="009E3412">
        <w:rPr>
          <w:rFonts w:ascii="Times New Roman" w:eastAsia="Times New Roman" w:hAnsi="Times New Roman" w:cs="Times New Roman"/>
        </w:rPr>
        <w:t>Higher</w:t>
      </w:r>
      <w:r w:rsidR="000601A5" w:rsidRPr="009E3412">
        <w:rPr>
          <w:rFonts w:ascii="Times New Roman" w:eastAsia="Times New Roman" w:hAnsi="Times New Roman" w:cs="Times New Roman"/>
        </w:rPr>
        <w:t xml:space="preserve"> </w:t>
      </w:r>
      <w:proofErr w:type="spellStart"/>
      <w:r w:rsidR="000601A5" w:rsidRPr="009E3412">
        <w:rPr>
          <w:rFonts w:ascii="Times New Roman" w:eastAsia="Times New Roman" w:hAnsi="Times New Roman" w:cs="Times New Roman"/>
          <w:i/>
          <w:iCs/>
        </w:rPr>
        <w:t>Ruminococcus</w:t>
      </w:r>
      <w:proofErr w:type="spellEnd"/>
      <w:r w:rsidR="000601A5" w:rsidRPr="009E3412">
        <w:rPr>
          <w:rFonts w:ascii="Times New Roman" w:eastAsia="Times New Roman" w:hAnsi="Times New Roman" w:cs="Times New Roman"/>
          <w:i/>
          <w:iCs/>
        </w:rPr>
        <w:t xml:space="preserve"> </w:t>
      </w:r>
      <w:proofErr w:type="spellStart"/>
      <w:r w:rsidR="000601A5" w:rsidRPr="009E3412">
        <w:rPr>
          <w:rFonts w:ascii="Times New Roman" w:eastAsia="Times New Roman" w:hAnsi="Times New Roman" w:cs="Times New Roman"/>
          <w:i/>
          <w:iCs/>
        </w:rPr>
        <w:t>gnavus</w:t>
      </w:r>
      <w:proofErr w:type="spellEnd"/>
      <w:r w:rsidR="000601A5" w:rsidRPr="009E3412">
        <w:rPr>
          <w:rFonts w:ascii="Times New Roman" w:eastAsia="Times New Roman" w:hAnsi="Times New Roman" w:cs="Times New Roman"/>
        </w:rPr>
        <w:t xml:space="preserve"> levels have been implicated in inflammatory responses and were observed to correlate with cognitive decline, including in AD mouse models</w:t>
      </w:r>
      <w:r w:rsidR="00963D2C" w:rsidRPr="009E3412">
        <w:rPr>
          <w:rFonts w:ascii="Times New Roman" w:eastAsia="Times New Roman" w:hAnsi="Times New Roman" w:cs="Times New Roman"/>
        </w:rPr>
        <w:t xml:space="preserve"> </w:t>
      </w:r>
      <w:r w:rsidR="00963D2C"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{"citationID":"2Z5Ee7QS","properties":{"formattedCitation":"[73]","plainCitation":"[73]","noteIndex":0},"citationItems":[{"id":2554,"uris":["http://zotero.org/users/9893877/items/K8TNI3A6"],"itemData":{"id":2554,"type":"article-journal","abstract":"BACKGROUND: Intestinal flora dysregulation may affect the development of Alzheimer's disease (AD). However, the correlation between intestinal flora and rapid progression of mild cognitive impairment (MCI) is rarely reported. Our aim was to investigate the features of the intestinal flora in patients with rapidly progressive MCI.\nMETHOD: A total of 1013 participants were screened, in which 87 patients with MCI were followed up for two years. At the baseline time point, fecal samples of the patients were sequenced via the microbial diversity high-throughput 16 s-rDNA.\nRESULTS: After a two-year follow-up, 30 patients with MCI presented rapidly progressive cognitive impairment, whereas the 57 patients remained unprogressive. Analyses of their fecal samples showed that the abundance of 11 intestinal microflora were significantly different between the two groups at the baseline time point. Further analyses revealed that the decrease of Ruminococcaceae abundance and the increase of Megamonas abundance were significantly correlated with the progression of MCI. Also, the decreased Ruminococcaceae was independently associated with several factors such as P-tau181, and the increased Megamonas was independently associated with diabetes, low-density lipoprotein, median cell count.\nCONCLUSION: The decrease of Ruminococcaceae and the increase of Megamonas could act as predictive markers for the rapidly progressive MCI.","container-title":"Microbial Pathogenesis","DOI":"10.1016/j.micpath.2023.106272","ISSN":"1096-1208","journalAbbreviation":"Microb Pathog","language":"eng","note":"PMID: 37543169","page":"106272","source":"PubMed","title":"Dysregulation of Ruminococcaceae and Megamonas could be predictive markers for rapid progression of mild cognitive impairment","volume":"183","author":[{"family":"Yang","given":"Juan"},{"family":"Wang","given":"Lingling"},{"family":"Liu","given":"Huiqin"},{"family":"Xu","given":"Hui"},{"family":"Liu","given":"Feng"},{"family":"Song","given":"Haihan"},{"family":"Zhao","given":"Xiaohui"},{"family":"Li","given":"Hongqiang"}],"issued":{"date-parts":[["2023",10]]}}}],"schema":"https://github.com/citation-style-language/schema/raw/master/csl-citation.json"} </w:instrText>
      </w:r>
      <w:r w:rsidR="00963D2C" w:rsidRPr="009E3412">
        <w:rPr>
          <w:rFonts w:ascii="Times New Roman" w:eastAsia="Times New Roman" w:hAnsi="Times New Roman" w:cs="Times New Roman"/>
        </w:rPr>
        <w:fldChar w:fldCharType="separate"/>
      </w:r>
      <w:r w:rsidR="00CC6090" w:rsidRPr="009E3412">
        <w:rPr>
          <w:rFonts w:ascii="Times New Roman" w:hAnsi="Times New Roman" w:cs="Times New Roman"/>
        </w:rPr>
        <w:t>[73]</w:t>
      </w:r>
      <w:r w:rsidR="00963D2C" w:rsidRPr="009E3412">
        <w:rPr>
          <w:rFonts w:ascii="Times New Roman" w:eastAsia="Times New Roman" w:hAnsi="Times New Roman" w:cs="Times New Roman"/>
        </w:rPr>
        <w:fldChar w:fldCharType="end"/>
      </w:r>
      <w:r w:rsidR="00AC5B4F" w:rsidRPr="009E3412">
        <w:rPr>
          <w:rFonts w:ascii="Times New Roman" w:eastAsia="Times New Roman" w:hAnsi="Times New Roman" w:cs="Times New Roman"/>
        </w:rPr>
        <w:t xml:space="preserve">. </w:t>
      </w:r>
      <w:r w:rsidR="00224F7E" w:rsidRPr="009E3412">
        <w:rPr>
          <w:rFonts w:ascii="Times New Roman" w:eastAsia="Times New Roman" w:hAnsi="Times New Roman" w:cs="Times New Roman"/>
        </w:rPr>
        <w:t>Lower</w:t>
      </w:r>
      <w:r w:rsidR="000601A5" w:rsidRPr="009E3412">
        <w:rPr>
          <w:rFonts w:ascii="Times New Roman" w:eastAsia="Times New Roman" w:hAnsi="Times New Roman" w:cs="Times New Roman"/>
        </w:rPr>
        <w:t xml:space="preserve"> </w:t>
      </w:r>
      <w:proofErr w:type="spellStart"/>
      <w:r w:rsidR="000601A5" w:rsidRPr="009E3412">
        <w:rPr>
          <w:rFonts w:ascii="Times New Roman" w:eastAsia="Times New Roman" w:hAnsi="Times New Roman" w:cs="Times New Roman"/>
          <w:i/>
          <w:iCs/>
        </w:rPr>
        <w:t>Turicibacter</w:t>
      </w:r>
      <w:proofErr w:type="spellEnd"/>
      <w:r w:rsidR="000601A5" w:rsidRPr="009E3412">
        <w:rPr>
          <w:rFonts w:ascii="Times New Roman" w:eastAsia="Times New Roman" w:hAnsi="Times New Roman" w:cs="Times New Roman"/>
        </w:rPr>
        <w:t xml:space="preserve"> abundance has been observed in AD, and its reduction correlates with elevated biomarkers of glial activation, supporting </w:t>
      </w:r>
      <w:r w:rsidR="009D1262" w:rsidRPr="009E3412">
        <w:rPr>
          <w:rFonts w:ascii="Times New Roman" w:eastAsia="Times New Roman" w:hAnsi="Times New Roman" w:cs="Times New Roman"/>
        </w:rPr>
        <w:t>a possible role in</w:t>
      </w:r>
      <w:r w:rsidR="000601A5" w:rsidRPr="009E3412">
        <w:rPr>
          <w:rFonts w:ascii="Times New Roman" w:eastAsia="Times New Roman" w:hAnsi="Times New Roman" w:cs="Times New Roman"/>
        </w:rPr>
        <w:t xml:space="preserve"> </w:t>
      </w:r>
      <w:r w:rsidR="009D1262" w:rsidRPr="009E3412">
        <w:rPr>
          <w:rFonts w:ascii="Times New Roman" w:eastAsia="Times New Roman" w:hAnsi="Times New Roman" w:cs="Times New Roman"/>
        </w:rPr>
        <w:t>microbiota-</w:t>
      </w:r>
      <w:r w:rsidR="000601A5" w:rsidRPr="009E3412">
        <w:rPr>
          <w:rFonts w:ascii="Times New Roman" w:eastAsia="Times New Roman" w:hAnsi="Times New Roman" w:cs="Times New Roman"/>
        </w:rPr>
        <w:t>gut</w:t>
      </w:r>
      <w:r w:rsidR="00C64A99" w:rsidRPr="009E3412">
        <w:rPr>
          <w:rFonts w:ascii="Times New Roman" w:eastAsia="Times New Roman" w:hAnsi="Times New Roman" w:cs="Times New Roman"/>
        </w:rPr>
        <w:t>-</w:t>
      </w:r>
      <w:r w:rsidR="000601A5" w:rsidRPr="009E3412">
        <w:rPr>
          <w:rFonts w:ascii="Times New Roman" w:eastAsia="Times New Roman" w:hAnsi="Times New Roman" w:cs="Times New Roman"/>
        </w:rPr>
        <w:t>brain axis dysfunction</w:t>
      </w:r>
      <w:r w:rsidR="00910392" w:rsidRPr="009E3412">
        <w:rPr>
          <w:rFonts w:ascii="Times New Roman" w:eastAsia="Times New Roman" w:hAnsi="Times New Roman" w:cs="Times New Roman"/>
        </w:rPr>
        <w:t xml:space="preserve"> </w:t>
      </w:r>
      <w:r w:rsidR="00910392"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{"citationID":"dsySsXjv","properties":{"formattedCitation":"[72]","plainCitation":"[72]","noteIndex":0},"citationItems":[{"id":2552,"uris":["http://zotero.org/users/9893877/items/7J8VYQNL"],"itemData":{"id":2552,"type":"article-journal","abstract":"Alzheimer’s disease (AD) is the most common form of dementia. However, the etiopathogenesis of this devastating disease is not fully understood. Recent studies in rodents suggest that alterations in the gut microbiome may contribute to amyloid deposition, yet the microbial communities associated with AD have not been characterized in humans. Towards this end, we characterized the bacterial taxonomic composition of fecal samples from participants with and without a diagnosis of dementia due to AD. Our analyses revealed that the gut microbiome of AD participants has decreased microbial diversity and is compositionally distinct from control age- and sex-matched individuals. We identified phylum- through genus-wide differences in bacterial abundance including decreased Firmicutes, increased Bacteroidetes, and decreased Bifidobacterium in the microbiome of AD participants. Furthermore, we observed correlations between levels of differentially abundant genera and cerebrospinal fluid (CSF) biomarkers of AD. These findings add AD to the growing list of diseases associated with gut microbial alterations, as well as suggest that gut bacterial communities may be a target for therapeutic intervention.","container-title":"Scientific Reports","DOI":"10.1038/s41598-017-13601-y","ISSN":"2045-2322","issue":"1","journalAbbreviation":"Sci Rep","language":"en","license":"2017 The Author(s)","note":"publisher: Nature Publishing Group","page":"13537","source":"www.nature.com","title":"Gut microbiome alterations in Alzheimer’s disease","volume":"7","author":[{"family":"Vogt","given":"Nicholas M."},{"family":"Kerby","given":"Robert L."},{"family":"Dill-McFarland","given":"Kimberly A."},{"family":"Harding","given":"Sandra J."},{"family":"Merluzzi","given":"Andrew P."},{"family":"Johnson","given":"Sterling C."},{"family":"Carlsson","given":"Cynthia M."},{"family":"Asthana","given":"Sanjay"},{"family":"Zetterberg","given":"Henrik"},{"family":"Blennow","given":"Kaj"},{"family":"Bendlin","given":"Barbara B."},{"family":"Rey","given":"Federico E."}],"issued":{"date-parts":[["2017",10,19]]}}}],"schema":"https://github.com/citation-style-language/schema/raw/master/csl-citation.json"} </w:instrText>
      </w:r>
      <w:r w:rsidR="00910392" w:rsidRPr="009E3412">
        <w:rPr>
          <w:rFonts w:ascii="Times New Roman" w:eastAsia="Times New Roman" w:hAnsi="Times New Roman" w:cs="Times New Roman"/>
        </w:rPr>
        <w:fldChar w:fldCharType="separate"/>
      </w:r>
      <w:r w:rsidR="00CC6090" w:rsidRPr="009E3412">
        <w:rPr>
          <w:rFonts w:ascii="Times New Roman" w:hAnsi="Times New Roman" w:cs="Times New Roman"/>
        </w:rPr>
        <w:t>[72]</w:t>
      </w:r>
      <w:r w:rsidR="00910392" w:rsidRPr="009E3412">
        <w:rPr>
          <w:rFonts w:ascii="Times New Roman" w:eastAsia="Times New Roman" w:hAnsi="Times New Roman" w:cs="Times New Roman"/>
        </w:rPr>
        <w:fldChar w:fldCharType="end"/>
      </w:r>
      <w:r w:rsidR="003B64BD" w:rsidRPr="009E3412">
        <w:rPr>
          <w:rFonts w:ascii="Times New Roman" w:eastAsia="Times New Roman" w:hAnsi="Times New Roman" w:cs="Times New Roman"/>
        </w:rPr>
        <w:t>.</w:t>
      </w:r>
      <w:r w:rsidR="000601A5" w:rsidRPr="009E3412">
        <w:rPr>
          <w:rFonts w:ascii="Times New Roman" w:eastAsia="Times New Roman" w:hAnsi="Times New Roman" w:cs="Times New Roman"/>
        </w:rPr>
        <w:t xml:space="preserve"> </w:t>
      </w:r>
      <w:proofErr w:type="spellStart"/>
      <w:r w:rsidR="000601A5" w:rsidRPr="009E3412">
        <w:rPr>
          <w:rFonts w:ascii="Times New Roman" w:eastAsia="Times New Roman" w:hAnsi="Times New Roman" w:cs="Times New Roman"/>
          <w:i/>
          <w:iCs/>
        </w:rPr>
        <w:t>Holdemania</w:t>
      </w:r>
      <w:proofErr w:type="spellEnd"/>
      <w:r w:rsidR="000601A5" w:rsidRPr="009E3412">
        <w:rPr>
          <w:rFonts w:ascii="Times New Roman" w:eastAsia="Times New Roman" w:hAnsi="Times New Roman" w:cs="Times New Roman"/>
        </w:rPr>
        <w:t xml:space="preserve">, part of the </w:t>
      </w:r>
      <w:proofErr w:type="spellStart"/>
      <w:r w:rsidR="000601A5" w:rsidRPr="009E3412">
        <w:rPr>
          <w:rFonts w:ascii="Times New Roman" w:eastAsia="Times New Roman" w:hAnsi="Times New Roman" w:cs="Times New Roman"/>
          <w:i/>
          <w:iCs/>
        </w:rPr>
        <w:t>Erysipelotrichaceae</w:t>
      </w:r>
      <w:proofErr w:type="spellEnd"/>
      <w:r w:rsidR="000601A5" w:rsidRPr="009E3412">
        <w:rPr>
          <w:rFonts w:ascii="Times New Roman" w:eastAsia="Times New Roman" w:hAnsi="Times New Roman" w:cs="Times New Roman"/>
        </w:rPr>
        <w:t xml:space="preserve"> family, has been linked to age-related inflammation and metabolic dysregulation in older adults</w:t>
      </w:r>
      <w:r w:rsidR="00A61A0F" w:rsidRPr="009E3412">
        <w:rPr>
          <w:rFonts w:ascii="Times New Roman" w:eastAsia="Times New Roman" w:hAnsi="Times New Roman" w:cs="Times New Roman"/>
        </w:rPr>
        <w:t xml:space="preserve"> </w:t>
      </w:r>
      <w:r w:rsidR="00A61A0F"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{"citationID":"g5BAXh7V","properties":{"formattedCitation":"[74]","plainCitation":"[74]","noteIndex":0},"citationItems":[{"id":2556,"uris":["http://zotero.org/users/9893877/items/LXJ5N478"],"itemData":{"id":2556,"type":"article-journal","abstract":"The gut microbiota is closely related to aging, but the genetic relationship between gut microbiota and aging has not been well investigated. The aim of the study was to explore the association of microbiota with epigenetic age acceleration (EAA) using the Mendelian randomization.","container-title":"Aging Clinical and Experimental Research","DOI":"10.1007/s40520-024-02877-6","ISSN":"1720-8319","issue":"1","journalAbbreviation":"Aging Clin Exp Res","language":"en","page":"227","source":"Springer Link","title":"Gut microbiota and epigenetic age acceleration: a bi-directional Mendelian randomization study","title-short":"Gut microbiota and epigenetic age acceleration","volume":"36","author":[{"family":"Xu","given":"Han"},{"family":"Li","given":"Ouyang"},{"family":"Kim","given":"Dayoung"},{"family":"Bao","given":"Zhijun"},{"family":"Yang","given":"Fan"}],"issued":{"date-parts":[["2024",11,29]]}}}],"schema":"https://github.com/citation-style-language/schema/raw/master/csl-citation.json"} </w:instrText>
      </w:r>
      <w:r w:rsidR="00A61A0F" w:rsidRPr="009E3412">
        <w:rPr>
          <w:rFonts w:ascii="Times New Roman" w:eastAsia="Times New Roman" w:hAnsi="Times New Roman" w:cs="Times New Roman"/>
        </w:rPr>
        <w:fldChar w:fldCharType="separate"/>
      </w:r>
      <w:r w:rsidR="00CC6090" w:rsidRPr="009E3412">
        <w:rPr>
          <w:rFonts w:ascii="Times New Roman" w:hAnsi="Times New Roman" w:cs="Times New Roman"/>
        </w:rPr>
        <w:t>[74]</w:t>
      </w:r>
      <w:r w:rsidR="00A61A0F" w:rsidRPr="009E3412">
        <w:rPr>
          <w:rFonts w:ascii="Times New Roman" w:eastAsia="Times New Roman" w:hAnsi="Times New Roman" w:cs="Times New Roman"/>
        </w:rPr>
        <w:fldChar w:fldCharType="end"/>
      </w:r>
      <w:r w:rsidR="000601A5" w:rsidRPr="009E3412">
        <w:rPr>
          <w:rFonts w:ascii="Times New Roman" w:eastAsia="Times New Roman" w:hAnsi="Times New Roman" w:cs="Times New Roman"/>
        </w:rPr>
        <w:t>, though specific cognitive associations remain to be clarified</w:t>
      </w:r>
      <w:r w:rsidR="00EA1F57" w:rsidRPr="009E3412">
        <w:rPr>
          <w:rFonts w:ascii="Times New Roman" w:eastAsia="Times New Roman" w:hAnsi="Times New Roman" w:cs="Times New Roman"/>
        </w:rPr>
        <w:t xml:space="preserve">. </w:t>
      </w:r>
      <w:r w:rsidR="00FB2F9B" w:rsidRPr="009E3412">
        <w:rPr>
          <w:rFonts w:ascii="Times New Roman" w:eastAsia="Times New Roman" w:hAnsi="Times New Roman" w:cs="Times New Roman"/>
        </w:rPr>
        <w:t xml:space="preserve">Procrustes analysis showed significant congruence of the </w:t>
      </w:r>
      <w:r w:rsidR="00C205D7" w:rsidRPr="009E3412">
        <w:rPr>
          <w:rFonts w:ascii="Times New Roman" w:eastAsia="Times New Roman" w:hAnsi="Times New Roman" w:cs="Times New Roman"/>
        </w:rPr>
        <w:t>microbiome and metabolome</w:t>
      </w:r>
      <w:r w:rsidR="00FB2F9B" w:rsidRPr="009E3412">
        <w:rPr>
          <w:rFonts w:ascii="Times New Roman" w:eastAsia="Times New Roman" w:hAnsi="Times New Roman" w:cs="Times New Roman"/>
        </w:rPr>
        <w:t xml:space="preserve"> datasets</w:t>
      </w:r>
      <w:r w:rsidR="00617E60" w:rsidRPr="009E3412">
        <w:rPr>
          <w:rFonts w:ascii="Times New Roman" w:eastAsia="Times New Roman" w:hAnsi="Times New Roman" w:cs="Times New Roman"/>
        </w:rPr>
        <w:t xml:space="preserve">, suggesting the two are </w:t>
      </w:r>
      <w:r w:rsidR="00EC7016" w:rsidRPr="009E3412">
        <w:rPr>
          <w:rFonts w:ascii="Times New Roman" w:eastAsia="Times New Roman" w:hAnsi="Times New Roman" w:cs="Times New Roman"/>
        </w:rPr>
        <w:t>inter</w:t>
      </w:r>
      <w:r w:rsidR="00617E60" w:rsidRPr="009E3412">
        <w:rPr>
          <w:rFonts w:ascii="Times New Roman" w:eastAsia="Times New Roman" w:hAnsi="Times New Roman" w:cs="Times New Roman"/>
        </w:rPr>
        <w:t>linked</w:t>
      </w:r>
      <w:r w:rsidR="00BB428F" w:rsidRPr="009E3412">
        <w:rPr>
          <w:rFonts w:ascii="Times New Roman" w:eastAsia="Times New Roman" w:hAnsi="Times New Roman" w:cs="Times New Roman"/>
        </w:rPr>
        <w:t xml:space="preserve"> and </w:t>
      </w:r>
      <w:r w:rsidR="000B5B73" w:rsidRPr="009E3412">
        <w:rPr>
          <w:rFonts w:ascii="Times New Roman" w:eastAsia="Times New Roman" w:hAnsi="Times New Roman" w:cs="Times New Roman"/>
        </w:rPr>
        <w:t>provides</w:t>
      </w:r>
      <w:r w:rsidR="00A207F7" w:rsidRPr="009E3412">
        <w:rPr>
          <w:rFonts w:ascii="Times New Roman" w:eastAsia="Times New Roman" w:hAnsi="Times New Roman" w:cs="Times New Roman"/>
        </w:rPr>
        <w:t xml:space="preserve"> </w:t>
      </w:r>
      <w:r w:rsidR="000B5B73" w:rsidRPr="009E3412">
        <w:rPr>
          <w:rFonts w:ascii="Times New Roman" w:eastAsia="Times New Roman" w:hAnsi="Times New Roman" w:cs="Times New Roman"/>
        </w:rPr>
        <w:t xml:space="preserve">the </w:t>
      </w:r>
      <w:r w:rsidR="00A207F7" w:rsidRPr="009E3412">
        <w:rPr>
          <w:rFonts w:ascii="Times New Roman" w:eastAsia="Times New Roman" w:hAnsi="Times New Roman" w:cs="Times New Roman"/>
        </w:rPr>
        <w:t xml:space="preserve">potential for MDM </w:t>
      </w:r>
      <w:r w:rsidR="00EF3405" w:rsidRPr="009E3412">
        <w:rPr>
          <w:rFonts w:ascii="Times New Roman" w:eastAsia="Times New Roman" w:hAnsi="Times New Roman" w:cs="Times New Roman"/>
        </w:rPr>
        <w:t xml:space="preserve">risk factors </w:t>
      </w:r>
      <w:r w:rsidR="00A207F7" w:rsidRPr="009E3412">
        <w:rPr>
          <w:rFonts w:ascii="Times New Roman" w:eastAsia="Times New Roman" w:hAnsi="Times New Roman" w:cs="Times New Roman"/>
        </w:rPr>
        <w:t>to be detected early in disease progression</w:t>
      </w:r>
      <w:r w:rsidR="00EC7016" w:rsidRPr="009E3412">
        <w:rPr>
          <w:rFonts w:ascii="Times New Roman" w:eastAsia="Times New Roman" w:hAnsi="Times New Roman" w:cs="Times New Roman"/>
        </w:rPr>
        <w:t xml:space="preserve">. </w:t>
      </w:r>
      <w:r w:rsidR="000C59D2" w:rsidRPr="009E3412">
        <w:rPr>
          <w:rFonts w:ascii="Times New Roman" w:hAnsi="Times New Roman" w:cs="Times New Roman"/>
        </w:rPr>
        <w:t>Indeed, gut microbiome composition can account for up to</w:t>
      </w:r>
      <w:r w:rsidR="000C59D2" w:rsidRPr="009E3412">
        <w:t xml:space="preserve"> </w:t>
      </w:r>
      <w:r w:rsidR="000C59D2" w:rsidRPr="009E3412">
        <w:rPr>
          <w:rFonts w:ascii="Times New Roman" w:hAnsi="Times New Roman" w:cs="Times New Roman"/>
        </w:rPr>
        <w:t xml:space="preserve">58% of the variation of </w:t>
      </w:r>
      <w:r w:rsidR="00766BEC" w:rsidRPr="009E3412">
        <w:rPr>
          <w:rFonts w:ascii="Times New Roman" w:hAnsi="Times New Roman" w:cs="Times New Roman"/>
        </w:rPr>
        <w:t>circulatory</w:t>
      </w:r>
      <w:r w:rsidR="000C59D2" w:rsidRPr="009E3412">
        <w:rPr>
          <w:rFonts w:ascii="Times New Roman" w:hAnsi="Times New Roman" w:cs="Times New Roman"/>
        </w:rPr>
        <w:t xml:space="preserve"> metabolites communicating</w:t>
      </w:r>
      <w:r w:rsidR="000C59D2" w:rsidRPr="009E3412">
        <w:rPr>
          <w:rFonts w:ascii="Times New Roman" w:eastAsia="Times New Roman" w:hAnsi="Times New Roman" w:cs="Times New Roman"/>
        </w:rPr>
        <w:t xml:space="preserve"> along the microbiota-gut-brain axis </w:t>
      </w:r>
      <w:r w:rsidR="000C59D2"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{"citationID":"Q1HPLwlv","properties":{"formattedCitation":"[75]","plainCitation":"[75]","noteIndex":0},"citationItems":[{"id":367,"uris":["http://zotero.org/users/9893877/items/LWZLPJ37"],"itemData":{"id":367,"type":"article-journal","abstract":"Human gut microbiota produce a variety of molecules, some of which enter the bloodstream and impact health. Conversely, dietary or pharmacological compounds may affect the microbiota before entering the circulation. Characterization of these interactions is an important step towards understanding the effects of the gut microbiota on health. In this cross-sectional study, we used deep metagenomic sequencing and ultra-high-performance liquid chromatography linked to mass spectrometry for a detailed characterization of the gut microbiota and plasma metabolome, respectively, of 8583 participants invited at age 50 to 64 from the population-based Swedish CArdioPulmonary bioImage Study. Here, we find that the gut microbiota explain up to 58% of the variance of individual plasma metabolites and we present 997 associations between alpha diversity and plasma metabolites and 546,819 associations between specific gut metagenomic species and plasma metabolites in an online atlas (https://gutsyatlas.serve.scilifelab.se/). We exemplify the potential of this resource by presenting novel associations between dietary factors and oral medication with the gut microbiome, and microbial species strongly associated with the uremic toxin p-cresol sulfate. This resource can be used as the basis for targeted studies of perturbation of specific metabolites and for identification of candidate plasma biomarkers of gut microbiota composition.","container-title":"Nature Communications","DOI":"10.1038/s41467-022-33050-0","ISSN":"2041-1723","issue":"1","journalAbbreviation":"Nat Commun","language":"en","license":"2022 The Author(s)","note":"number: 1\npublisher: Nature Publishing Group","page":"5370","source":"www.nature.com","title":"An online atlas of human plasma metabolite signatures of gut microbiome composition","volume":"13","author":[{"family":"Dekkers","given":"Koen F."},{"family":"Sayols-Baixeras","given":"Sergi"},{"family":"Baldanzi","given":"Gabriel"},{"family":"Nowak","given":"Christoph"},{"family":"Hammar","given":"Ulf"},{"family":"Nguyen","given":"Diem"},{"family":"Varotsis","given":"Georgios"},{"family":"Brunkwall","given":"Louise"},{"family":"Nielsen","given":"Nynne"},{"family":"Eklund","given":"Aron C."},{"family":"Bak Holm","given":"Jacob"},{"family":"Nielsen","given":"H. Bjørn"},{"family":"Ottosson","given":"Filip"},{"family":"Lin","given":"Yi-Ting"},{"family":"Ahmad","given":"Shafqat"},{"family":"Lind","given":"Lars"},{"family":"Sundström","given":"Johan"},{"family":"Engström","given":"Gunnar"},{"family":"Smith","given":"J. Gustav"},{"family":"Ärnlöv","given":"Johan"},{"family":"Orho-Melander","given":"Marju"},{"family":"Fall","given":"Tove"}],"issued":{"date-parts":[["2022",9,23]]}}}],"schema":"https://github.com/citation-style-language/schema/raw/master/csl-citation.json"} </w:instrText>
      </w:r>
      <w:r w:rsidR="000C59D2" w:rsidRPr="009E3412">
        <w:rPr>
          <w:rFonts w:ascii="Times New Roman" w:hAnsi="Times New Roman" w:cs="Times New Roman"/>
        </w:rPr>
        <w:fldChar w:fldCharType="separate"/>
      </w:r>
      <w:r w:rsidR="00CC6090" w:rsidRPr="009E3412">
        <w:rPr>
          <w:rFonts w:ascii="Times New Roman" w:hAnsi="Times New Roman" w:cs="Times New Roman"/>
        </w:rPr>
        <w:t>[75]</w:t>
      </w:r>
      <w:r w:rsidR="000C59D2" w:rsidRPr="009E3412">
        <w:rPr>
          <w:rFonts w:ascii="Times New Roman" w:hAnsi="Times New Roman" w:cs="Times New Roman"/>
        </w:rPr>
        <w:fldChar w:fldCharType="end"/>
      </w:r>
      <w:r w:rsidR="000C59D2" w:rsidRPr="009E3412">
        <w:rPr>
          <w:rFonts w:ascii="Times New Roman" w:eastAsia="Times New Roman" w:hAnsi="Times New Roman" w:cs="Times New Roman"/>
        </w:rPr>
        <w:t>.</w:t>
      </w:r>
    </w:p>
    <w:p w14:paraId="477B552D" w14:textId="2B0F83D0" w:rsidR="00150AD6" w:rsidRPr="009E3412" w:rsidRDefault="00F37F2B" w:rsidP="00636F0F">
      <w:pPr>
        <w:tabs>
          <w:tab w:val="left" w:pos="6663"/>
        </w:tabs>
        <w:spacing w:line="360" w:lineRule="auto"/>
        <w:jc w:val="both"/>
        <w:rPr>
          <w:rFonts w:ascii="Times New Roman" w:eastAsia="Times New Roman" w:hAnsi="Times New Roman" w:cs="Times New Roman"/>
        </w:rPr>
      </w:pPr>
      <w:r w:rsidRPr="009E3412">
        <w:rPr>
          <w:rFonts w:ascii="Times New Roman" w:hAnsi="Times New Roman" w:cs="Times New Roman"/>
        </w:rPr>
        <w:t>T</w:t>
      </w:r>
      <w:r w:rsidR="00064834" w:rsidRPr="009E3412">
        <w:rPr>
          <w:rFonts w:ascii="Times New Roman" w:eastAsia="Times New Roman" w:hAnsi="Times New Roman" w:cs="Times New Roman"/>
        </w:rPr>
        <w:t>argeted metabolomics</w:t>
      </w:r>
      <w:r w:rsidR="005D6F05" w:rsidRPr="009E3412">
        <w:rPr>
          <w:rFonts w:ascii="Times New Roman" w:eastAsia="Times New Roman" w:hAnsi="Times New Roman" w:cs="Times New Roman"/>
        </w:rPr>
        <w:t xml:space="preserve"> </w:t>
      </w:r>
      <w:r w:rsidR="008B1BC1" w:rsidRPr="009E3412">
        <w:rPr>
          <w:rFonts w:ascii="Times New Roman" w:eastAsia="Times New Roman" w:hAnsi="Times New Roman" w:cs="Times New Roman"/>
        </w:rPr>
        <w:t>quantif</w:t>
      </w:r>
      <w:r w:rsidR="00990E9A" w:rsidRPr="009E3412">
        <w:rPr>
          <w:rFonts w:ascii="Times New Roman" w:eastAsia="Times New Roman" w:hAnsi="Times New Roman" w:cs="Times New Roman"/>
        </w:rPr>
        <w:t>ies</w:t>
      </w:r>
      <w:r w:rsidR="008B1BC1" w:rsidRPr="009E3412">
        <w:rPr>
          <w:rFonts w:ascii="Times New Roman" w:eastAsia="Times New Roman" w:hAnsi="Times New Roman" w:cs="Times New Roman"/>
        </w:rPr>
        <w:t xml:space="preserve"> metabolites with </w:t>
      </w:r>
      <w:r w:rsidR="00064834" w:rsidRPr="009E3412">
        <w:rPr>
          <w:rFonts w:ascii="Times New Roman" w:eastAsia="Times New Roman" w:hAnsi="Times New Roman" w:cs="Times New Roman"/>
        </w:rPr>
        <w:t xml:space="preserve">extremely </w:t>
      </w:r>
      <w:r w:rsidR="00EC082F" w:rsidRPr="009E3412">
        <w:rPr>
          <w:rFonts w:ascii="Times New Roman" w:eastAsia="Times New Roman" w:hAnsi="Times New Roman" w:cs="Times New Roman"/>
        </w:rPr>
        <w:t>high</w:t>
      </w:r>
      <w:r w:rsidR="008B1BC1" w:rsidRPr="009E3412">
        <w:rPr>
          <w:rFonts w:ascii="Times New Roman" w:eastAsia="Times New Roman" w:hAnsi="Times New Roman" w:cs="Times New Roman"/>
        </w:rPr>
        <w:t xml:space="preserve"> sensitivity and accuracy</w:t>
      </w:r>
      <w:r w:rsidR="005D6F05" w:rsidRPr="009E3412">
        <w:rPr>
          <w:rFonts w:ascii="Times New Roman" w:eastAsia="Times New Roman" w:hAnsi="Times New Roman" w:cs="Times New Roman"/>
        </w:rPr>
        <w:t>,</w:t>
      </w:r>
      <w:r w:rsidR="008D292D" w:rsidRPr="009E3412">
        <w:rPr>
          <w:rFonts w:ascii="Times New Roman" w:eastAsia="Times New Roman" w:hAnsi="Times New Roman" w:cs="Times New Roman"/>
        </w:rPr>
        <w:t xml:space="preserve"> </w:t>
      </w:r>
      <w:r w:rsidR="002F51C2" w:rsidRPr="009E3412">
        <w:rPr>
          <w:rFonts w:ascii="Times New Roman" w:eastAsia="Times New Roman" w:hAnsi="Times New Roman" w:cs="Times New Roman"/>
        </w:rPr>
        <w:t>providing an advantage over</w:t>
      </w:r>
      <w:r w:rsidR="008B1BC1" w:rsidRPr="009E3412">
        <w:rPr>
          <w:rFonts w:ascii="Times New Roman" w:eastAsia="Times New Roman" w:hAnsi="Times New Roman" w:cs="Times New Roman"/>
        </w:rPr>
        <w:t xml:space="preserve"> </w:t>
      </w:r>
      <w:r w:rsidR="00A207F7" w:rsidRPr="009E3412">
        <w:rPr>
          <w:rFonts w:ascii="Times New Roman" w:eastAsia="Times New Roman" w:hAnsi="Times New Roman" w:cs="Times New Roman"/>
        </w:rPr>
        <w:t xml:space="preserve">the relative responses yielded by </w:t>
      </w:r>
      <w:r w:rsidR="008B1BC1" w:rsidRPr="009E3412">
        <w:rPr>
          <w:rFonts w:ascii="Times New Roman" w:eastAsia="Times New Roman" w:hAnsi="Times New Roman" w:cs="Times New Roman"/>
        </w:rPr>
        <w:t xml:space="preserve">untargeted </w:t>
      </w:r>
      <w:r w:rsidR="00EC7016" w:rsidRPr="009E3412">
        <w:rPr>
          <w:rFonts w:ascii="Times New Roman" w:eastAsia="Times New Roman" w:hAnsi="Times New Roman" w:cs="Times New Roman"/>
        </w:rPr>
        <w:t>approaches</w:t>
      </w:r>
      <w:r w:rsidR="008B1BC1" w:rsidRPr="009E3412">
        <w:rPr>
          <w:rFonts w:ascii="Times New Roman" w:eastAsia="Times New Roman" w:hAnsi="Times New Roman" w:cs="Times New Roman"/>
        </w:rPr>
        <w:t xml:space="preserve">. </w:t>
      </w:r>
      <w:r w:rsidR="00990E9A" w:rsidRPr="009E3412">
        <w:rPr>
          <w:rFonts w:ascii="Times New Roman" w:hAnsi="Times New Roman" w:cs="Times New Roman"/>
        </w:rPr>
        <w:t xml:space="preserve">RF and multiple linear regression </w:t>
      </w:r>
      <w:r w:rsidR="005B0D4E" w:rsidRPr="009E3412">
        <w:rPr>
          <w:rFonts w:ascii="Times New Roman" w:hAnsi="Times New Roman" w:cs="Times New Roman"/>
        </w:rPr>
        <w:t xml:space="preserve">models </w:t>
      </w:r>
      <w:r w:rsidR="00990E9A" w:rsidRPr="009E3412">
        <w:rPr>
          <w:rFonts w:ascii="Times New Roman" w:hAnsi="Times New Roman" w:cs="Times New Roman"/>
        </w:rPr>
        <w:t>both reveal</w:t>
      </w:r>
      <w:r w:rsidR="005B0D4E" w:rsidRPr="009E3412">
        <w:rPr>
          <w:rFonts w:ascii="Times New Roman" w:hAnsi="Times New Roman" w:cs="Times New Roman"/>
        </w:rPr>
        <w:t>ed</w:t>
      </w:r>
      <w:r w:rsidR="00990E9A" w:rsidRPr="009E3412">
        <w:rPr>
          <w:rFonts w:ascii="Times New Roman" w:hAnsi="Times New Roman" w:cs="Times New Roman"/>
        </w:rPr>
        <w:t xml:space="preserve"> </w:t>
      </w:r>
      <w:r w:rsidR="00990E9A" w:rsidRPr="009E3412">
        <w:rPr>
          <w:rFonts w:ascii="Times New Roman" w:eastAsia="Times New Roman" w:hAnsi="Times New Roman" w:cs="Times New Roman"/>
        </w:rPr>
        <w:t xml:space="preserve">indoxyl </w:t>
      </w:r>
      <w:proofErr w:type="spellStart"/>
      <w:r w:rsidR="00990E9A" w:rsidRPr="009E3412">
        <w:rPr>
          <w:rFonts w:ascii="Times New Roman" w:eastAsia="Times New Roman" w:hAnsi="Times New Roman" w:cs="Times New Roman"/>
        </w:rPr>
        <w:t>sulfate</w:t>
      </w:r>
      <w:proofErr w:type="spellEnd"/>
      <w:r w:rsidR="00990E9A" w:rsidRPr="009E3412">
        <w:rPr>
          <w:rFonts w:ascii="Times New Roman" w:eastAsia="Times New Roman" w:hAnsi="Times New Roman" w:cs="Times New Roman"/>
        </w:rPr>
        <w:t>, choline, 5-hydroxyindole acetic acid, IPA and kynurenic acid as key early indicators of cognitive decline, with RF presenting a</w:t>
      </w:r>
      <w:r w:rsidR="00F25E5E" w:rsidRPr="009E3412">
        <w:rPr>
          <w:rFonts w:ascii="Times New Roman" w:eastAsia="Times New Roman" w:hAnsi="Times New Roman" w:cs="Times New Roman"/>
        </w:rPr>
        <w:t>n AUC</w:t>
      </w:r>
      <w:r w:rsidR="005B4C55" w:rsidRPr="009E3412">
        <w:rPr>
          <w:rFonts w:ascii="Times New Roman" w:eastAsia="Times New Roman" w:hAnsi="Times New Roman" w:cs="Times New Roman"/>
        </w:rPr>
        <w:t xml:space="preserve"> </w:t>
      </w:r>
      <w:r w:rsidR="00F25E5E" w:rsidRPr="009E3412">
        <w:rPr>
          <w:rFonts w:ascii="Times New Roman" w:eastAsia="Times New Roman" w:hAnsi="Times New Roman" w:cs="Times New Roman"/>
        </w:rPr>
        <w:t xml:space="preserve">predictive performance </w:t>
      </w:r>
      <w:r w:rsidR="005B4C55" w:rsidRPr="009E3412">
        <w:rPr>
          <w:rFonts w:ascii="Times New Roman" w:eastAsia="Times New Roman" w:hAnsi="Times New Roman" w:cs="Times New Roman"/>
        </w:rPr>
        <w:t>of</w:t>
      </w:r>
      <w:r w:rsidR="00990E9A" w:rsidRPr="009E3412">
        <w:rPr>
          <w:rFonts w:ascii="Times New Roman" w:eastAsia="Times New Roman" w:hAnsi="Times New Roman" w:cs="Times New Roman"/>
        </w:rPr>
        <w:t xml:space="preserve"> </w:t>
      </w:r>
      <w:r w:rsidR="00F25E5E" w:rsidRPr="009E3412">
        <w:rPr>
          <w:rFonts w:ascii="Times New Roman" w:eastAsia="Times New Roman" w:hAnsi="Times New Roman" w:cs="Times New Roman"/>
        </w:rPr>
        <w:t>0.7</w:t>
      </w:r>
      <w:r w:rsidR="00FA68A5" w:rsidRPr="009E3412">
        <w:rPr>
          <w:rFonts w:ascii="Times New Roman" w:eastAsia="Times New Roman" w:hAnsi="Times New Roman" w:cs="Times New Roman"/>
        </w:rPr>
        <w:t>9</w:t>
      </w:r>
      <w:r w:rsidR="007722BA" w:rsidRPr="009E3412">
        <w:rPr>
          <w:rFonts w:ascii="Times New Roman" w:eastAsia="Times New Roman" w:hAnsi="Times New Roman" w:cs="Times New Roman"/>
        </w:rPr>
        <w:t>,</w:t>
      </w:r>
      <w:r w:rsidR="001E23D8" w:rsidRPr="009E3412">
        <w:rPr>
          <w:rFonts w:ascii="Times New Roman" w:eastAsia="Times New Roman" w:hAnsi="Times New Roman" w:cs="Times New Roman"/>
        </w:rPr>
        <w:t xml:space="preserve"> strongly</w:t>
      </w:r>
      <w:r w:rsidR="007722BA" w:rsidRPr="009E3412">
        <w:rPr>
          <w:rFonts w:ascii="Times New Roman" w:eastAsia="Times New Roman" w:hAnsi="Times New Roman" w:cs="Times New Roman"/>
        </w:rPr>
        <w:t xml:space="preserve"> supporting </w:t>
      </w:r>
      <w:r w:rsidR="003A79A1" w:rsidRPr="009E3412">
        <w:rPr>
          <w:rFonts w:ascii="Times New Roman" w:eastAsia="Times New Roman" w:hAnsi="Times New Roman" w:cs="Times New Roman"/>
        </w:rPr>
        <w:t>a significant link between</w:t>
      </w:r>
      <w:r w:rsidR="007722BA" w:rsidRPr="009E3412">
        <w:rPr>
          <w:rFonts w:ascii="Times New Roman" w:eastAsia="Times New Roman" w:hAnsi="Times New Roman" w:cs="Times New Roman"/>
        </w:rPr>
        <w:t xml:space="preserve"> metabolic perturbations associated with the gut microbiome </w:t>
      </w:r>
      <w:r w:rsidR="003A79A1" w:rsidRPr="009E3412">
        <w:rPr>
          <w:rFonts w:ascii="Times New Roman" w:eastAsia="Times New Roman" w:hAnsi="Times New Roman" w:cs="Times New Roman"/>
        </w:rPr>
        <w:t>and</w:t>
      </w:r>
      <w:r w:rsidR="007722BA" w:rsidRPr="009E3412">
        <w:rPr>
          <w:rFonts w:ascii="Times New Roman" w:eastAsia="Times New Roman" w:hAnsi="Times New Roman" w:cs="Times New Roman"/>
        </w:rPr>
        <w:t xml:space="preserve"> </w:t>
      </w:r>
      <w:r w:rsidR="00E64EA7" w:rsidRPr="009E3412">
        <w:rPr>
          <w:rFonts w:ascii="Times New Roman" w:hAnsi="Times New Roman" w:cs="Times New Roman"/>
          <w:bdr w:val="none" w:sz="0" w:space="0" w:color="auto" w:frame="1"/>
          <w:shd w:val="clear" w:color="auto" w:fill="FFFFFF"/>
        </w:rPr>
        <w:t>early</w:t>
      </w:r>
      <w:r w:rsidR="007722BA" w:rsidRPr="009E3412">
        <w:rPr>
          <w:rFonts w:ascii="Times New Roman" w:hAnsi="Times New Roman" w:cs="Times New Roman"/>
          <w:bdr w:val="none" w:sz="0" w:space="0" w:color="auto" w:frame="1"/>
          <w:shd w:val="clear" w:color="auto" w:fill="FFFFFF"/>
        </w:rPr>
        <w:t xml:space="preserve"> </w:t>
      </w:r>
      <w:r w:rsidR="009F0CF9" w:rsidRPr="009E3412">
        <w:rPr>
          <w:rFonts w:ascii="Times New Roman" w:hAnsi="Times New Roman" w:cs="Times New Roman"/>
          <w:bdr w:val="none" w:sz="0" w:space="0" w:color="auto" w:frame="1"/>
          <w:shd w:val="clear" w:color="auto" w:fill="FFFFFF"/>
        </w:rPr>
        <w:t>cognitive decline</w:t>
      </w:r>
      <w:r w:rsidR="007722BA" w:rsidRPr="009E3412">
        <w:rPr>
          <w:rFonts w:ascii="Times New Roman" w:eastAsia="Times New Roman" w:hAnsi="Times New Roman" w:cs="Times New Roman"/>
        </w:rPr>
        <w:t xml:space="preserve">. </w:t>
      </w:r>
      <w:r w:rsidR="00636F0F" w:rsidRPr="009E3412">
        <w:rPr>
          <w:rFonts w:ascii="Times New Roman" w:eastAsia="Times New Roman" w:hAnsi="Times New Roman" w:cs="Times New Roman"/>
        </w:rPr>
        <w:t>Previous studies have predominantly concentrated on binary classification approaches, primarily utilising MRI and PET imaging modalities</w:t>
      </w:r>
      <w:r w:rsidR="002A48B6" w:rsidRPr="009E3412">
        <w:rPr>
          <w:rFonts w:ascii="Times New Roman" w:eastAsia="Times New Roman" w:hAnsi="Times New Roman" w:cs="Times New Roman"/>
        </w:rPr>
        <w:t xml:space="preserve">, to investigate AD progression </w:t>
      </w:r>
      <w:r w:rsidR="002A48B6"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p9X1SvYC","properties":{"formattedCitation":"[76\\uc0\\u8211{}78]","plainCitation":"[76–78]","noteIndex":0},"citationItems":[{"id":1063,"uris":["http://zotero.org/users/9893877/items/BQ7E6BWK"],"itemData":{"id":1063,"type":"article-journal","abstract":"Electroencephalogram (EEG) signals give detailed information on the electrical brain activities occurring in the cerebral cortex. They are used to study brain-related disorders such as mild cognitive impairment (MCI) and Alzheimer’s disease (AD). Brain signals obtained using an EEG machine can be a neurophysiological biomarker for early diagnosis of dementia through quantitative EEG (qEEG) analysis. This paper proposes a machine learning methodology to detect MCI and AD from qEEG time-frequency (TF) images of the subjects in an eyes-closed resting state (ECR). The dataset consisted of 16,910 TF images from 890 subjects: 269 healthy controls (HC), 356 MCI, and 265 AD. First, EEG signals were transformed into TF images using a Fast Fourier Transform (FFT) containing different event-rated changes of frequency sub-bands preprocessed from the EEGlab toolbox in the MATLAB R2021a environment software. The preprocessed TF images were applied in a convolutional neural network (CNN) with adjusted parameters. For classification, the computed image features were concatenated with age data and went through the feed-forward neural network (FNN). The trained models’, HC vs MCI, HC vs AD, and HC vs CASE (MCI + AD), performance metrics were evaluated based on the test dataset of the subjects. The accuracy, sensitivity, and specificity were evaluated: HC vs MCI was 83%, 93%, and 73%, HC vs AD was 81%, 80%, and 83%, and HC vs CASE (MCI + AD) was 88%, 80%, and 90%, respectively. The proposed models trained with TF images and age can be used to assist clinicians as a biomarker in detecting cognitively impaired subjects at an early stage in clinical sectors.","container-title":"Neuropsychiatric Disease and Treatment","DOI":"10.2147/NDT.S404528","ISSN":"1176-6328","note":"publisher: Dove Medical Press\n_eprint: https://www.tandfonline.com/doi/pdf/10.2147/NDT.S404528","page":"851-863","source":"Taylor and Francis+NEJM","title":"CNN for a Regression Machine Learning Algorithm for Predicting Cognitive Impairment Using qEEG","volume":"19","author":[{"family":"Simfukwe","given":"Chanda"},{"family":"Youn","given":"Young Chul"},{"family":"Kim","given":"Min-Jae"},{"family":"Paik","given":"Joonki"},{"family":"Han","given":"Su-Hyun"}],"issued":{"date-parts":[["2023",12,31]]}}},{"id":1061,"uris":["http://zotero.org/users/9893877/items/VRUHAT6A"],"itemData":{"id":1061,"type":"article-journal","abstract":"Automated detection of dementia stage using multimodal imaging modalities will be helpful for improving the clinical diagnosis. In this study, we develop the Inception-ResNet wrapper model in differentiating the healthy controls (HC), mild cognitive impairment (MCI), and Alzheimer’s disease (AD) using conjoint magnetic resonance imaging (MRI) and positron emission tomography (PET) scans. We use T1-weighted MR and PET images of individuals aged between 42 and 95 years, including HC, MCI and AD patients. We first perform 3D tissue segmentation of MR images after skull striping. The atlas-based segmented MR image tissue is fused with PET image. Then we transform PET images from RGB to HSI color space and apply fusion of MRI with PET images using two-dimensional Fourier and discrete wavelet transform (DWT) and then reconstruct the MR-PET fused image using inverse Fourier and DWT methods. After the fusion of MRI and PET imaging modalities, we used 60 % training, 20 % for validation and the remaining 20 % as a test set using various convolutional neural networks. We found the proposed model as the best classifier with an accuracy of 95.5 %, 94.1 % and 95.9 % in classifying HC vs MCI, MCI vs AD and AD vs HC respectively when compared to the existing methods. We conclude that the proposed deep learning model has potential in automated classification of healthy and dementia stages using combined MRI and PET modalities with good performance.","container-title":"Biomedical Signal Processing and Control","DOI":"10.1016/j.bspc.2022.104312","ISSN":"1746-8094","journalAbbreviation":"Biomedical Signal Processing and Control","page":"104312","source":"ScienceDirect","title":"Deep learning-based classification of healthy aging controls, mild cognitive impairment and Alzheimer’s disease using fusion of MRI-PET imaging","volume":"80","author":[{"family":"Subramanyam Rallabandi","given":"V. P."},{"family":"Seetharaman","given":"Krishnamoorthy"}],"issued":{"date-parts":[["2023",2,1]]}}},{"id":1056,"uris":["http://zotero.org/users/9893877/items/NPXX8VCN"],"itemData":{"id":1056,"type":"article-journal","abstract":"Mild cognitive impairment (MCI) is an important public health problem that has enormous consequences for patients, their families, the health care system, and the economy. MCI is highly likely to progress to dementia. Early premedical intervention for MCI could prevent or delay dementia's onset, which in turn would improve patients' quality of life. Thus, the goal of our research is to develop an MCI detection system using MRI-based measures. The dataset for the study consists of 62 healthy volunteers and 145 patients with MCI obtained from the «Memory Clinic» (Moscow, Russia). The morphometric data were extracted from T1-weighted structural MR images. We propose a machine learning method, which achieved an accuracy of 73%, and extract key features in brain structures that can distinguish the healthy control (HC) group from the MCI group. This study confirms the previously identified changes in the structural regions of the brain in MCI patients. Compared to the healthy control group, in the MCI group, volume increases in the Lateral Ventricle, Inferior Lateral Ventricle, and Cerebrospinal Fluid as well as volume reductions in the Amygdala, Hippocampus, and Accumbens have been found.","container-title":"Cognitive Systems Research","DOI":"10.1016/j.cogsys.2022.12.005","ISSN":"1389-0417","journalAbbreviation":"Cognitive Systems Research","page":"87-95","source":"ScienceDirect","title":"Machine learning approaches to mild cognitive impairment detection based on structural MRI data and morphometric features","volume":"78","author":[{"family":"Zubrikhina","given":"M. O."},{"family":"Abramova","given":"O. V."},{"family":"Yarkin","given":"V. E."},{"family":"Ushakov","given":"V. L."},{"family":"Ochneva","given":"A. G."},{"family":"Bernstein","given":"A. V."},{"family":"Burnaev","given":"E. V."},{"family":"Andreyuk","given":"D. S."},{"family":"Savilov","given":"V. B."},{"family":"Kurmishev","given":"M. V."},{"family":"Syunyakov","given":"T. S."},{"family":"Karpenko","given":"O. A."},{"family":"Andryushchenko","given":"A. V."},{"family":"Kostyuk","given":"G. P."},{"family":"Sharaev","given":"M. G."}],"issued":{"date-parts":[["2023",3,1]]}}}],"schema":"https://github.com/citation-style-language/schema/raw/master/csl-citation.json"} </w:instrText>
      </w:r>
      <w:r w:rsidR="002A48B6" w:rsidRPr="009E3412">
        <w:rPr>
          <w:rFonts w:ascii="Times New Roman" w:eastAsia="Times New Roman" w:hAnsi="Times New Roman" w:cs="Times New Roman"/>
        </w:rPr>
        <w:fldChar w:fldCharType="separate"/>
      </w:r>
      <w:r w:rsidR="00CC6090" w:rsidRPr="009E3412">
        <w:rPr>
          <w:rFonts w:ascii="Times New Roman" w:hAnsi="Times New Roman" w:cs="Times New Roman"/>
        </w:rPr>
        <w:t>[76–78]</w:t>
      </w:r>
      <w:r w:rsidR="002A48B6" w:rsidRPr="009E3412">
        <w:rPr>
          <w:rFonts w:ascii="Times New Roman" w:eastAsia="Times New Roman" w:hAnsi="Times New Roman" w:cs="Times New Roman"/>
        </w:rPr>
        <w:fldChar w:fldCharType="end"/>
      </w:r>
      <w:r w:rsidR="00636F0F" w:rsidRPr="009E3412">
        <w:rPr>
          <w:rFonts w:ascii="Times New Roman" w:eastAsia="Times New Roman" w:hAnsi="Times New Roman" w:cs="Times New Roman"/>
        </w:rPr>
        <w:t xml:space="preserve">. However, in clinical practice, multiclass classification of blood samples of patients with SCI, MCI and healthy controls could provide a useful approach. </w:t>
      </w:r>
      <w:r w:rsidR="00D2632E" w:rsidRPr="009E3412">
        <w:rPr>
          <w:rFonts w:ascii="Times New Roman" w:eastAsia="Times New Roman" w:hAnsi="Times New Roman" w:cs="Times New Roman"/>
        </w:rPr>
        <w:t xml:space="preserve">Tong and colleagues attained </w:t>
      </w:r>
      <w:r w:rsidR="00F25E5E" w:rsidRPr="009E3412">
        <w:rPr>
          <w:rFonts w:ascii="Times New Roman" w:eastAsia="Times New Roman" w:hAnsi="Times New Roman" w:cs="Times New Roman"/>
        </w:rPr>
        <w:t xml:space="preserve">a </w:t>
      </w:r>
      <w:r w:rsidR="00636F0F" w:rsidRPr="009E3412">
        <w:rPr>
          <w:rFonts w:ascii="Times New Roman" w:eastAsia="Times New Roman" w:hAnsi="Times New Roman" w:cs="Times New Roman"/>
        </w:rPr>
        <w:t>similar predictive performance (</w:t>
      </w:r>
      <w:r w:rsidR="00D2632E" w:rsidRPr="009E3412">
        <w:rPr>
          <w:rFonts w:ascii="Times New Roman" w:eastAsia="Times New Roman" w:hAnsi="Times New Roman" w:cs="Times New Roman"/>
        </w:rPr>
        <w:t>AUC</w:t>
      </w:r>
      <w:r w:rsidR="00636F0F" w:rsidRPr="009E3412">
        <w:rPr>
          <w:rFonts w:ascii="Times New Roman" w:eastAsia="Times New Roman" w:hAnsi="Times New Roman" w:cs="Times New Roman"/>
        </w:rPr>
        <w:t>=</w:t>
      </w:r>
      <w:r w:rsidR="00D2632E" w:rsidRPr="009E3412">
        <w:rPr>
          <w:rFonts w:ascii="Times New Roman" w:eastAsia="Times New Roman" w:hAnsi="Times New Roman" w:cs="Times New Roman"/>
        </w:rPr>
        <w:t xml:space="preserve"> </w:t>
      </w:r>
      <w:r w:rsidR="00F25E5E" w:rsidRPr="009E3412">
        <w:rPr>
          <w:rFonts w:ascii="Times New Roman" w:eastAsia="Times New Roman" w:hAnsi="Times New Roman" w:cs="Times New Roman"/>
        </w:rPr>
        <w:t>0.7</w:t>
      </w:r>
      <w:r w:rsidR="00EF3405" w:rsidRPr="009E3412">
        <w:rPr>
          <w:rFonts w:ascii="Times New Roman" w:eastAsia="Times New Roman" w:hAnsi="Times New Roman" w:cs="Times New Roman"/>
        </w:rPr>
        <w:t>3</w:t>
      </w:r>
      <w:r w:rsidR="00636F0F" w:rsidRPr="009E3412">
        <w:rPr>
          <w:rFonts w:ascii="Times New Roman" w:eastAsia="Times New Roman" w:hAnsi="Times New Roman" w:cs="Times New Roman"/>
        </w:rPr>
        <w:t>)</w:t>
      </w:r>
      <w:r w:rsidR="00D2632E" w:rsidRPr="009E3412">
        <w:rPr>
          <w:rFonts w:ascii="Times New Roman" w:eastAsia="Times New Roman" w:hAnsi="Times New Roman" w:cs="Times New Roman"/>
        </w:rPr>
        <w:t xml:space="preserve"> using</w:t>
      </w:r>
      <w:r w:rsidR="003F32B0" w:rsidRPr="009E3412">
        <w:rPr>
          <w:rFonts w:ascii="Times New Roman" w:eastAsia="Times New Roman" w:hAnsi="Times New Roman" w:cs="Times New Roman"/>
        </w:rPr>
        <w:t xml:space="preserve"> </w:t>
      </w:r>
      <w:r w:rsidR="005B0D4E" w:rsidRPr="009E3412">
        <w:rPr>
          <w:rFonts w:ascii="Times New Roman" w:eastAsia="Times New Roman" w:hAnsi="Times New Roman" w:cs="Times New Roman"/>
        </w:rPr>
        <w:t xml:space="preserve">RF and </w:t>
      </w:r>
      <w:r w:rsidR="00D2632E" w:rsidRPr="009E3412">
        <w:rPr>
          <w:rFonts w:ascii="Times New Roman" w:eastAsia="Times New Roman" w:hAnsi="Times New Roman" w:cs="Times New Roman"/>
        </w:rPr>
        <w:t xml:space="preserve">nonlinear graph fusion of </w:t>
      </w:r>
      <w:r w:rsidR="003F32B0" w:rsidRPr="009E3412">
        <w:rPr>
          <w:rFonts w:ascii="Times New Roman" w:eastAsia="Times New Roman" w:hAnsi="Times New Roman" w:cs="Times New Roman"/>
        </w:rPr>
        <w:t>multiple modalities (</w:t>
      </w:r>
      <w:r w:rsidR="00D2632E" w:rsidRPr="009E3412">
        <w:rPr>
          <w:rFonts w:ascii="Times New Roman" w:eastAsia="Times New Roman" w:hAnsi="Times New Roman" w:cs="Times New Roman"/>
        </w:rPr>
        <w:t>regional MRI volumes, voxel-based FDG-PET signal intensities, CSF biomarker</w:t>
      </w:r>
      <w:r w:rsidR="003F32B0" w:rsidRPr="009E3412">
        <w:rPr>
          <w:rFonts w:ascii="Times New Roman" w:eastAsia="Times New Roman" w:hAnsi="Times New Roman" w:cs="Times New Roman"/>
        </w:rPr>
        <w:t xml:space="preserve"> measures</w:t>
      </w:r>
      <w:r w:rsidR="000C4ABF" w:rsidRPr="009E3412">
        <w:rPr>
          <w:rFonts w:ascii="Times New Roman" w:eastAsia="Times New Roman" w:hAnsi="Times New Roman" w:cs="Times New Roman"/>
        </w:rPr>
        <w:t xml:space="preserve"> and genetic information</w:t>
      </w:r>
      <w:r w:rsidR="003F32B0" w:rsidRPr="009E3412">
        <w:rPr>
          <w:rFonts w:ascii="Times New Roman" w:eastAsia="Times New Roman" w:hAnsi="Times New Roman" w:cs="Times New Roman"/>
        </w:rPr>
        <w:t>) to classify</w:t>
      </w:r>
      <w:r w:rsidR="00D2632E" w:rsidRPr="009E3412">
        <w:rPr>
          <w:rFonts w:ascii="Times New Roman" w:eastAsia="Times New Roman" w:hAnsi="Times New Roman" w:cs="Times New Roman"/>
        </w:rPr>
        <w:t xml:space="preserve"> control, MCI and AD participants </w:t>
      </w:r>
      <w:r w:rsidR="00D2632E"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{"citationID":"sAn8RAoj","properties":{"formattedCitation":"[79]","plainCitation":"[79]","noteIndex":0},"citationItems":[{"id":1028,"uris":["http://zotero.org/users/9893877/items/TF4UZA6Z"],"itemData":{"id":1028,"type":"article-journal","abstract":"Accurate diagnosis of Alzheimer's disease (AD) and its prodromal stage mild cognitive impairment (MCI) is of great interest to patients and clinicians. Recent studies have demonstrated that multiple neuroimaging and biological measures contain complementary information for diagnosis and prognosis. Classification methods are needed to combine these multiple biomarkers to provide an accurate diagnosis. State-of-the-art approaches calculate a mixed kernel or a similarity matrix by linearly combining kernels or similarities from multiple modalities. However, the complementary information from multi-modal data are not necessarily linearly related. In addition, this linear combination is also sensitive to the weights assigned to each modality. In this paper, we present a multi-modality classification framework to efficiently exploit the complementarity in the multi-modal data. First, pairwise similarity is calculated for each modality individually using the features including regional MRI volumes, voxel-based FDG-PET signal intensities, CSF biomarker measures, and categorical genetic information. Similarities from multiple modalities are then combined in a nonlinear graph fusion process, which generates a unified graph for final classification. Based on the unified graphs, we achieved classification area under curve (AUC) of receiver-operator characteristic of 98.1% between AD subjects and normal controls (NC), 82.4% between MCI subjects and NC and 77.9% in a three-way classification, which are significantly better than those using single-modality biomarkers and those based on state-of-the-art linear combination approaches.","container-title":"Pattern Recognition","DOI":"10.1016/j.patcog.2016.10.009","ISSN":"0031-3203","journalAbbreviation":"Pattern Recognition","page":"171-181","source":"ScienceDirect","title":"Multi-modal classification of Alzheimer's disease using nonlinear graph fusion","volume":"63","author":[{"family":"Tong","given":"Tong"},{"family":"Gray","given":"Katherine"},{"family":"Gao","given":"Qinquan"},{"family":"Chen","given":"Liang"},{"family":"Rueckert","given":"Daniel"}],"issued":{"date-parts":[["2017",3,1]]}}}],"schema":"https://github.com/citation-style-language/schema/raw/master/csl-citation.json"} </w:instrText>
      </w:r>
      <w:r w:rsidR="00D2632E" w:rsidRPr="009E3412">
        <w:rPr>
          <w:rFonts w:ascii="Times New Roman" w:eastAsia="Times New Roman" w:hAnsi="Times New Roman" w:cs="Times New Roman"/>
        </w:rPr>
        <w:fldChar w:fldCharType="separate"/>
      </w:r>
      <w:r w:rsidR="00CC6090" w:rsidRPr="009E3412">
        <w:rPr>
          <w:rFonts w:ascii="Times New Roman" w:hAnsi="Times New Roman" w:cs="Times New Roman"/>
        </w:rPr>
        <w:t>[79]</w:t>
      </w:r>
      <w:r w:rsidR="00D2632E" w:rsidRPr="009E3412">
        <w:rPr>
          <w:rFonts w:ascii="Times New Roman" w:eastAsia="Times New Roman" w:hAnsi="Times New Roman" w:cs="Times New Roman"/>
        </w:rPr>
        <w:fldChar w:fldCharType="end"/>
      </w:r>
      <w:r w:rsidR="00D2632E" w:rsidRPr="009E3412">
        <w:rPr>
          <w:rFonts w:ascii="Times New Roman" w:eastAsia="Times New Roman" w:hAnsi="Times New Roman" w:cs="Times New Roman"/>
        </w:rPr>
        <w:t xml:space="preserve">. </w:t>
      </w:r>
      <w:r w:rsidR="005B4C55" w:rsidRPr="009E3412">
        <w:rPr>
          <w:rFonts w:ascii="Times New Roman" w:eastAsia="Times New Roman" w:hAnsi="Times New Roman" w:cs="Times New Roman"/>
        </w:rPr>
        <w:t>AUC</w:t>
      </w:r>
      <w:r w:rsidR="00990E9A" w:rsidRPr="009E3412">
        <w:rPr>
          <w:rFonts w:ascii="Times New Roman" w:eastAsia="Times New Roman" w:hAnsi="Times New Roman" w:cs="Times New Roman"/>
        </w:rPr>
        <w:t xml:space="preserve"> increased to</w:t>
      </w:r>
      <w:r w:rsidR="00F25E5E" w:rsidRPr="009E3412">
        <w:rPr>
          <w:rFonts w:ascii="Times New Roman" w:eastAsia="Times New Roman" w:hAnsi="Times New Roman" w:cs="Times New Roman"/>
        </w:rPr>
        <w:t xml:space="preserve"> 0.8</w:t>
      </w:r>
      <w:r w:rsidR="00EF3405" w:rsidRPr="009E3412">
        <w:rPr>
          <w:rFonts w:ascii="Times New Roman" w:eastAsia="Times New Roman" w:hAnsi="Times New Roman" w:cs="Times New Roman"/>
        </w:rPr>
        <w:t>7</w:t>
      </w:r>
      <w:r w:rsidR="00990E9A" w:rsidRPr="009E3412">
        <w:rPr>
          <w:rFonts w:ascii="Times New Roman" w:eastAsia="Times New Roman" w:hAnsi="Times New Roman" w:cs="Times New Roman"/>
        </w:rPr>
        <w:t xml:space="preserve"> when predicting healthy ageing </w:t>
      </w:r>
      <w:r w:rsidR="00F25E5E" w:rsidRPr="009E3412">
        <w:rPr>
          <w:rFonts w:ascii="Times New Roman" w:eastAsia="Times New Roman" w:hAnsi="Times New Roman" w:cs="Times New Roman"/>
        </w:rPr>
        <w:t>and</w:t>
      </w:r>
      <w:r w:rsidR="00990E9A" w:rsidRPr="009E3412">
        <w:rPr>
          <w:rFonts w:ascii="Times New Roman" w:eastAsia="Times New Roman" w:hAnsi="Times New Roman" w:cs="Times New Roman"/>
        </w:rPr>
        <w:t xml:space="preserve"> MCI, likely due to the difficulty of diagnosing a patient undergoing SCI. Indeed, Purser and colleagues found no relationship between memory complaints and the progression of cognitive impairment over 10 years in individuals 65 years and over </w:t>
      </w:r>
      <w:r w:rsidR="00990E9A"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{"citationID":"00LS3xHI","properties":{"formattedCitation":"[80]","plainCitation":"[80]","noteIndex":0},"citationItems":[{"id":322,"uris":["http://zotero.org/users/9893877/items/UWR8JXBK"],"itemData":{"id":322,"type":"article-journal","abstract":"OBJECTIVES: To evaluate the prevalence and utility of memory complaint in a geographically representative cohort and, in cases with mild cognitive impairment (MCI), to determine whether memory complaint alters 10-year trajectories of disability in activities of daily living (ADLs), Short Portable Mental Status Questionnaire (SPMSQ) score, and 20-item word recall.\nDESIGN: Prospective cohort study.\nSETTING: Washington and Iowa counties, Iowa.\nPARTICIPANTS: Iowa Established Populations for Epidemiologic Studies of the Elderly (N = 3,673; aged &gt; or =65; 61.3% female; 99.9% white).\nMEASUREMENTS: Age, sex, education, SPMSQ score, 20-item word recall, ADL or instrumental ADL disability, and chronic medical conditions.\nRESULTS: The prevalence of memory complaint was 34%. Although proportionally more cognitively impaired individuals were in the memory complaint group (34% vs 27%), the pattern of subclassification into cognitively intact and MCI Stage 1 and 2 subgroups was similar for people with and without memory complaint. Median SPMSQ score and number of words recalled at baseline were comparable across memory complaint categories in each subgroup. MCI participants without subjective memory complaint constituted a larger proportion of the overall sample than individuals with subjective memory complaint (460 (14%) vs 295 (8.9%)) and of persons objectively classified as having MCI (61% vs 39%). The distribution of individual 10-year change in ADL disability, SPMSQ score, and word recall were similar for those with and without memory complaint across all subgroups of cognitive impairment.\nCONCLUSION: Memory complaint is not necessary for MCI diagnosis and does not distinguish cases with different progression rates in disability or cognitive impairment. 2006.","container-title":"Journal of the American Geriatrics Society","DOI":"10.1111/j.1532-5415.2005.00589.x","ISSN":"0002-8614","issue":"2","journalAbbreviation":"J Am Geriatr Soc","language":"eng","note":"PMID: 16460388","page":"335-338","source":"PubMed","title":"Memory complaint is not necessary for diagnosis of mild cognitive impairment and does not predict 10-year trajectories of functional disability, word recall, or short portable mental status questionnaire limitations","volume":"54","author":[{"family":"Purser","given":"Jama L."},{"family":"Fillenbaum","given":"Gerda G."},{"family":"Wallace","given":"Robert B."}],"issued":{"date-parts":[["2006",2]]}}}],"schema":"https://github.com/citation-style-language/schema/raw/master/csl-citation.json"} </w:instrText>
      </w:r>
      <w:r w:rsidR="00990E9A" w:rsidRPr="009E3412">
        <w:rPr>
          <w:rFonts w:ascii="Times New Roman" w:eastAsia="Times New Roman" w:hAnsi="Times New Roman" w:cs="Times New Roman"/>
        </w:rPr>
        <w:fldChar w:fldCharType="separate"/>
      </w:r>
      <w:r w:rsidR="00CC6090" w:rsidRPr="009E3412">
        <w:rPr>
          <w:rFonts w:ascii="Times New Roman" w:hAnsi="Times New Roman" w:cs="Times New Roman"/>
        </w:rPr>
        <w:t>[80]</w:t>
      </w:r>
      <w:r w:rsidR="00990E9A" w:rsidRPr="009E3412">
        <w:rPr>
          <w:rFonts w:ascii="Times New Roman" w:eastAsia="Times New Roman" w:hAnsi="Times New Roman" w:cs="Times New Roman"/>
        </w:rPr>
        <w:fldChar w:fldCharType="end"/>
      </w:r>
      <w:r w:rsidR="00990E9A" w:rsidRPr="009E3412">
        <w:rPr>
          <w:rFonts w:ascii="Times New Roman" w:eastAsia="Times New Roman" w:hAnsi="Times New Roman" w:cs="Times New Roman"/>
        </w:rPr>
        <w:t xml:space="preserve">. However, others dispute this result </w:t>
      </w:r>
      <w:r w:rsidR="00990E9A"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{"citationID":"6ttz5zyN","properties":{"formattedCitation":"[81]","plainCitation":"[81]","noteIndex":0},"citationItems":[{"id":324,"uris":["http://zotero.org/users/9893877/items/Y89DRMRW"],"itemData":{"id":324,"type":"article-journal","abstract":"OBJECTIVE: Results of previous studies suggest that memory complaints may predict cognitive decline and dementia among elderly people in whom cognitive impairment is already apparent. However, cognitive decline is often a gradual process, and elderly people may notice that their memory deteriorates before mental status tests are able to detect any change in cognitive functioning. Therefore, the authors hypothesized that memory complaints would predict incident Alzheimer's disease in elderly subjects with no signs of cognitive impairment.\nMETHOD: In the community-based Amsterdam Study of the Elderly, a sample of 3,778 nondemented persons, 65 to 84 years old, was selected and divided into two cognitive categories: normal (Mini-Mental State scores of 26-30) and borderline and impaired (Mini-Mental State scores less than 26). At baseline, the presence or absence of memory complaints was assessed. At follow-up, incident cases of Alzheimer's disease were diagnosed in a two-step procedure.\nRESULTS: After an average of 3.2 years, 2,169 persons were reevaluated, of whom 77 had incident Alzheimer's disease. Multivariate logistic regression analyses showed that memory complaints were associated with incident Alzheimer's disease in subjects with normal baseline cognition but not in subjects with impaired baseline cognition.\nCONCLUSIONS: The findings of this study suggest that memory complaints are a relatively strong predictor of incident Alzheimer's disease in older persons in whom cognitive impairment is not yet apparent. Furthermore, they suggest that older persons may be aware of a decline in cognition at a time when mental status tests are still unable to detect a decline from premorbid functioning.","container-title":"The American Journal of Psychiatry","DOI":"10.1176/ajp.156.4.531","ISSN":"0002-953X","issue":"4","journalAbbreviation":"Am J Psychiatry","language":"eng","note":"PMID: 10200730","page":"531-537","source":"PubMed","title":"Association between memory complaints and incident Alzheimer's disease in elderly people with normal baseline cognition","volume":"156","author":[{"family":"Geerlings","given":"M. I."},{"family":"Jonker","given":"C."},{"family":"Bouter","given":"L. M."},{"family":"Adèr","given":"H. J."},{"family":"Schmand","given":"B."}],"issued":{"date-parts":[["1999",4]]}}}],"schema":"https://github.com/citation-style-language/schema/raw/master/csl-citation.json"} </w:instrText>
      </w:r>
      <w:r w:rsidR="00990E9A" w:rsidRPr="009E3412">
        <w:rPr>
          <w:rFonts w:ascii="Times New Roman" w:eastAsia="Times New Roman" w:hAnsi="Times New Roman" w:cs="Times New Roman"/>
        </w:rPr>
        <w:fldChar w:fldCharType="separate"/>
      </w:r>
      <w:r w:rsidR="00CC6090" w:rsidRPr="009E3412">
        <w:rPr>
          <w:rFonts w:ascii="Times New Roman" w:hAnsi="Times New Roman" w:cs="Times New Roman"/>
        </w:rPr>
        <w:t>[81]</w:t>
      </w:r>
      <w:r w:rsidR="00990E9A" w:rsidRPr="009E3412">
        <w:rPr>
          <w:rFonts w:ascii="Times New Roman" w:eastAsia="Times New Roman" w:hAnsi="Times New Roman" w:cs="Times New Roman"/>
        </w:rPr>
        <w:fldChar w:fldCharType="end"/>
      </w:r>
      <w:r w:rsidR="00990E9A" w:rsidRPr="009E3412">
        <w:rPr>
          <w:rFonts w:ascii="Times New Roman" w:eastAsia="Times New Roman" w:hAnsi="Times New Roman" w:cs="Times New Roman"/>
        </w:rPr>
        <w:t xml:space="preserve">. </w:t>
      </w:r>
      <w:r w:rsidR="00EA658D" w:rsidRPr="009E3412">
        <w:rPr>
          <w:rFonts w:ascii="Times New Roman" w:eastAsia="Times New Roman" w:hAnsi="Times New Roman" w:cs="Times New Roman"/>
        </w:rPr>
        <w:t>A</w:t>
      </w:r>
      <w:r w:rsidR="006E561C" w:rsidRPr="009E3412">
        <w:rPr>
          <w:rFonts w:ascii="Times New Roman" w:eastAsia="Times New Roman" w:hAnsi="Times New Roman" w:cs="Times New Roman"/>
        </w:rPr>
        <w:t xml:space="preserve">djusting </w:t>
      </w:r>
      <w:r w:rsidR="000D24E5" w:rsidRPr="009E3412">
        <w:rPr>
          <w:rFonts w:ascii="Times New Roman" w:eastAsia="Times New Roman" w:hAnsi="Times New Roman" w:cs="Times New Roman"/>
        </w:rPr>
        <w:t xml:space="preserve">our </w:t>
      </w:r>
      <w:r w:rsidR="00990E9A" w:rsidRPr="009E3412">
        <w:rPr>
          <w:rFonts w:ascii="Times New Roman" w:eastAsia="Times New Roman" w:hAnsi="Times New Roman" w:cs="Times New Roman"/>
        </w:rPr>
        <w:t xml:space="preserve">statistical </w:t>
      </w:r>
      <w:r w:rsidR="000D24E5" w:rsidRPr="009E3412">
        <w:rPr>
          <w:rFonts w:ascii="Times New Roman" w:eastAsia="Times New Roman" w:hAnsi="Times New Roman" w:cs="Times New Roman"/>
        </w:rPr>
        <w:t xml:space="preserve">analysis </w:t>
      </w:r>
      <w:r w:rsidR="006E561C" w:rsidRPr="009E3412">
        <w:rPr>
          <w:rFonts w:ascii="Times New Roman" w:eastAsia="Times New Roman" w:hAnsi="Times New Roman" w:cs="Times New Roman"/>
        </w:rPr>
        <w:t xml:space="preserve">for confounding variables </w:t>
      </w:r>
      <w:r w:rsidR="005465A2" w:rsidRPr="009E3412">
        <w:rPr>
          <w:rFonts w:ascii="Times New Roman" w:eastAsia="Times New Roman" w:hAnsi="Times New Roman" w:cs="Times New Roman"/>
        </w:rPr>
        <w:t xml:space="preserve">that heavily influence the host, </w:t>
      </w:r>
      <w:r w:rsidR="006E561C" w:rsidRPr="009E3412">
        <w:rPr>
          <w:rFonts w:ascii="Times New Roman" w:eastAsia="Times New Roman" w:hAnsi="Times New Roman" w:cs="Times New Roman"/>
        </w:rPr>
        <w:t xml:space="preserve">such as </w:t>
      </w:r>
      <w:r w:rsidR="005E5218" w:rsidRPr="009E3412">
        <w:rPr>
          <w:rFonts w:ascii="Times New Roman" w:eastAsia="Times New Roman" w:hAnsi="Times New Roman" w:cs="Times New Roman"/>
        </w:rPr>
        <w:t>age, BMI</w:t>
      </w:r>
      <w:r w:rsidR="00EF3405" w:rsidRPr="009E3412">
        <w:rPr>
          <w:rFonts w:ascii="Times New Roman" w:eastAsia="Times New Roman" w:hAnsi="Times New Roman" w:cs="Times New Roman"/>
        </w:rPr>
        <w:t>, sex</w:t>
      </w:r>
      <w:r w:rsidR="00A92E48" w:rsidRPr="009E3412">
        <w:rPr>
          <w:rFonts w:ascii="Times New Roman" w:eastAsia="Times New Roman" w:hAnsi="Times New Roman" w:cs="Times New Roman"/>
        </w:rPr>
        <w:t xml:space="preserve">, </w:t>
      </w:r>
      <w:r w:rsidR="00EF3405" w:rsidRPr="009E3412">
        <w:rPr>
          <w:rFonts w:ascii="Times New Roman" w:eastAsia="Times New Roman" w:hAnsi="Times New Roman" w:cs="Times New Roman"/>
        </w:rPr>
        <w:t xml:space="preserve">albumin, </w:t>
      </w:r>
      <w:r w:rsidR="00A92E48" w:rsidRPr="009E3412">
        <w:rPr>
          <w:rFonts w:ascii="Times New Roman" w:eastAsia="Times New Roman" w:hAnsi="Times New Roman" w:cs="Times New Roman"/>
        </w:rPr>
        <w:t>kidney function, liver function</w:t>
      </w:r>
      <w:r w:rsidR="005E5218" w:rsidRPr="009E3412">
        <w:rPr>
          <w:rFonts w:ascii="Times New Roman" w:eastAsia="Times New Roman" w:hAnsi="Times New Roman" w:cs="Times New Roman"/>
        </w:rPr>
        <w:t xml:space="preserve"> and </w:t>
      </w:r>
      <w:r w:rsidR="00E24613" w:rsidRPr="009E3412">
        <w:rPr>
          <w:rFonts w:ascii="Times New Roman" w:eastAsia="Times New Roman" w:hAnsi="Times New Roman" w:cs="Times New Roman"/>
        </w:rPr>
        <w:t xml:space="preserve">background </w:t>
      </w:r>
      <w:r w:rsidR="005E5218" w:rsidRPr="009E3412">
        <w:rPr>
          <w:rFonts w:ascii="Times New Roman" w:eastAsia="Times New Roman" w:hAnsi="Times New Roman" w:cs="Times New Roman"/>
        </w:rPr>
        <w:t>diet</w:t>
      </w:r>
      <w:r w:rsidR="001D6D45" w:rsidRPr="009E3412">
        <w:rPr>
          <w:rFonts w:ascii="Times New Roman" w:eastAsia="Times New Roman" w:hAnsi="Times New Roman" w:cs="Times New Roman"/>
        </w:rPr>
        <w:t xml:space="preserve">, </w:t>
      </w:r>
      <w:r w:rsidR="005C1503" w:rsidRPr="009E3412">
        <w:rPr>
          <w:rFonts w:ascii="Times New Roman" w:eastAsia="Times New Roman" w:hAnsi="Times New Roman" w:cs="Times New Roman"/>
        </w:rPr>
        <w:lastRenderedPageBreak/>
        <w:t>i</w:t>
      </w:r>
      <w:r w:rsidR="005C1503" w:rsidRPr="009E3412">
        <w:rPr>
          <w:rStyle w:val="cf01"/>
          <w:rFonts w:ascii="Times New Roman" w:hAnsi="Times New Roman" w:cs="Times New Roman"/>
          <w:sz w:val="22"/>
          <w:szCs w:val="22"/>
        </w:rPr>
        <w:t xml:space="preserve">mproves </w:t>
      </w:r>
      <w:r w:rsidR="00064834" w:rsidRPr="009E3412">
        <w:rPr>
          <w:rStyle w:val="cf01"/>
          <w:rFonts w:ascii="Times New Roman" w:hAnsi="Times New Roman" w:cs="Times New Roman"/>
          <w:sz w:val="22"/>
          <w:szCs w:val="22"/>
        </w:rPr>
        <w:t xml:space="preserve">analysis robustness and </w:t>
      </w:r>
      <w:r w:rsidR="005C1503" w:rsidRPr="009E3412">
        <w:rPr>
          <w:rStyle w:val="cf01"/>
          <w:rFonts w:ascii="Times New Roman" w:hAnsi="Times New Roman" w:cs="Times New Roman"/>
          <w:sz w:val="22"/>
          <w:szCs w:val="22"/>
        </w:rPr>
        <w:t>sensitivity</w:t>
      </w:r>
      <w:r w:rsidR="00A84B82" w:rsidRPr="009E3412">
        <w:rPr>
          <w:rFonts w:ascii="Times New Roman" w:eastAsia="Times New Roman" w:hAnsi="Times New Roman" w:cs="Times New Roman"/>
        </w:rPr>
        <w:t>.</w:t>
      </w:r>
      <w:r w:rsidR="00A95CD5" w:rsidRPr="009E3412">
        <w:rPr>
          <w:rFonts w:ascii="Times New Roman" w:eastAsia="Times New Roman" w:hAnsi="Times New Roman" w:cs="Times New Roman"/>
        </w:rPr>
        <w:t xml:space="preserve"> </w:t>
      </w:r>
      <w:r w:rsidR="00064834" w:rsidRPr="009E3412">
        <w:rPr>
          <w:rFonts w:ascii="Times New Roman" w:eastAsia="Times New Roman" w:hAnsi="Times New Roman" w:cs="Times New Roman"/>
        </w:rPr>
        <w:t>A</w:t>
      </w:r>
      <w:r w:rsidR="00A95CD5" w:rsidRPr="009E3412">
        <w:rPr>
          <w:rFonts w:ascii="Times New Roman" w:eastAsia="Times New Roman" w:hAnsi="Times New Roman" w:cs="Times New Roman"/>
        </w:rPr>
        <w:t xml:space="preserve">djusting for background diet becomes </w:t>
      </w:r>
      <w:r w:rsidR="00064834" w:rsidRPr="009E3412">
        <w:rPr>
          <w:rFonts w:ascii="Times New Roman" w:eastAsia="Times New Roman" w:hAnsi="Times New Roman" w:cs="Times New Roman"/>
        </w:rPr>
        <w:t xml:space="preserve">particularly </w:t>
      </w:r>
      <w:r w:rsidR="00A95CD5" w:rsidRPr="009E3412">
        <w:rPr>
          <w:rFonts w:ascii="Times New Roman" w:eastAsia="Times New Roman" w:hAnsi="Times New Roman" w:cs="Times New Roman"/>
        </w:rPr>
        <w:t xml:space="preserve">vital when examining </w:t>
      </w:r>
      <w:r w:rsidR="00064834" w:rsidRPr="009E3412">
        <w:rPr>
          <w:rFonts w:ascii="Times New Roman" w:eastAsia="Times New Roman" w:hAnsi="Times New Roman" w:cs="Times New Roman"/>
        </w:rPr>
        <w:t>MDM</w:t>
      </w:r>
      <w:r w:rsidR="00A95CD5" w:rsidRPr="009E3412">
        <w:rPr>
          <w:rFonts w:ascii="Times New Roman" w:eastAsia="Times New Roman" w:hAnsi="Times New Roman" w:cs="Times New Roman"/>
        </w:rPr>
        <w:t xml:space="preserve"> as </w:t>
      </w:r>
      <w:r w:rsidR="00A207F7" w:rsidRPr="009E3412">
        <w:rPr>
          <w:rFonts w:ascii="Times New Roman" w:eastAsia="Times New Roman" w:hAnsi="Times New Roman" w:cs="Times New Roman"/>
        </w:rPr>
        <w:t xml:space="preserve">the diet can both modulate gut microbiome composition and provide a variety of bioactive precursor compounds; </w:t>
      </w:r>
      <w:r w:rsidR="00DF56E2" w:rsidRPr="009E3412">
        <w:rPr>
          <w:rFonts w:ascii="Times New Roman" w:eastAsia="Times New Roman" w:hAnsi="Times New Roman" w:cs="Times New Roman"/>
        </w:rPr>
        <w:t xml:space="preserve">a factor which is often overlooked </w:t>
      </w:r>
      <w:r w:rsidR="00A95CD5" w:rsidRPr="009E3412">
        <w:rPr>
          <w:rFonts w:ascii="Times New Roman" w:eastAsia="Times New Roman" w:hAnsi="Times New Roman" w:cs="Times New Roman"/>
        </w:rPr>
        <w:t xml:space="preserve">in metabolomic analyses </w:t>
      </w:r>
      <w:r w:rsidR="00A95CD5" w:rsidRPr="009E3412">
        <w:rPr>
          <w:rFonts w:ascii="Times New Roman" w:eastAsia="Times New Roman" w:hAnsi="Times New Roman" w:cs="Times New Roman"/>
        </w:rPr>
        <w:fldChar w:fldCharType="begin"/>
      </w:r>
      <w:r w:rsidR="00CC6090" w:rsidRPr="009E3412">
        <w:rPr>
          <w:rFonts w:ascii="Times New Roman" w:eastAsia="Times New Roman" w:hAnsi="Times New Roman" w:cs="Times New Roman"/>
        </w:rPr>
        <w:instrText xml:space="preserve"> ADDIN ZOTERO_ITEM CSL_CITATION {"citationID":"L06aHgRK","properties":{"formattedCitation":"[82]","plainCitation":"[82]","noteIndex":0},"citationItems":[{"id":802,"uris":["http://zotero.org/users/9893877/items/VV68BDUQ"],"itemData":{"id":802,"type":"article-journal","abstract":"Background: Diet plays an important role in chronic disease etiology, but some diet-disease associations remain inconclusive because of methodologic limitations in dietary assessment. Metabolomics is a novel method for identifying objective dietary biomarkers, although it is unclear what dietary information is captured from metabolites found in serum compared with urine., Objective: We compared metabolite profiles of habitual diet measured from serum with those measured from urine., Design: We first estimated correlations between consumption of 56 foods, beverages, and supplements assessed by a food-frequency questionnaire, with 676 serum and 848 urine metabolites identified by untargeted liquid chromatography mass spectrometry, ultra-high performance liquid chromatography tandem mass spectrometry, and gas chromatography mass spectrometry in a colon adenoma case–control study (n = 125 cases and 128 controls) while adjusting for age, sex, smoking, fasting, case-control status, body mass index, physical activity, education, and caloric intake. We controlled for multiple comparisons with the use of a false discovery rate of &lt;0.1. Next, we created serum and urine multiple-metabolite models to predict food intake with the use of 10-fold crossvalidation least absolute shrinkage and selection operator regression for 80% of the data; predicted values were created in the remaining 20%. Finally, we compared predicted values with estimates obtained from self-reported intake for metabolites measured in serum and urine., Results: We identified metabolites associated with 46 of 56 dietary items; 417 urine and 105 serum metabolites were correlated with ≥1 food, beverage, or supplement. More metabolites in urine (n = 154) than in serum (n = 39) were associated uniquely with one food. We found previously unreported metabolite associations with leafy green vegetables, sugar-sweetened beverages, citrus, added sugar, red meat, shellfish, desserts, and wine. Prediction of dietary intake from multiple-metabolite profiles was similar between biofluids., Conclusions: Candidate metabolite biomarkers of habitual diet are identifiable in both serum and urine. Urine samples offer a valid alternative or complement to serum for metabolite biomarkers of diet in large-scale clinical or epidemiologic studies.","container-title":"The American Journal of Clinical Nutrition","DOI":"10.3945/ajcn.116.135301","ISSN":"0002-9165","issue":"3","journalAbbreviation":"Am J Clin Nutr","note":"PMID: 27510537\nPMCID: PMC4997302","page":"776-789","source":"PubMed Central","title":"Comparing metabolite profiles of habitual diet in serum and urine","volume":"104","author":[{"family":"Playdon","given":"Mary C"},{"family":"Sampson","given":"Joshua N"},{"family":"Cross","given":"Amanda J"},{"family":"Sinha","given":"Rashmi"},{"family":"Guertin","given":"Kristin A"},{"family":"Moy","given":"Kristin A"},{"family":"Rothman","given":"Nathaniel"},{"family":"Irwin","given":"Melinda L"},{"family":"Mayne","given":"Susan T"},{"family":"Stolzenberg-Solomon","given":"Rachael"},{"family":"Moore","given":"Steven C"}],"issued":{"date-parts":[["2016",9]]}}}],"schema":"https://github.com/citation-style-language/schema/raw/master/csl-citation.json"} </w:instrText>
      </w:r>
      <w:r w:rsidR="00A95CD5" w:rsidRPr="009E3412">
        <w:rPr>
          <w:rFonts w:ascii="Times New Roman" w:eastAsia="Times New Roman" w:hAnsi="Times New Roman" w:cs="Times New Roman"/>
        </w:rPr>
        <w:fldChar w:fldCharType="separate"/>
      </w:r>
      <w:r w:rsidR="00CC6090" w:rsidRPr="009E3412">
        <w:rPr>
          <w:rFonts w:ascii="Times New Roman" w:hAnsi="Times New Roman" w:cs="Times New Roman"/>
        </w:rPr>
        <w:t>[82]</w:t>
      </w:r>
      <w:r w:rsidR="00A95CD5" w:rsidRPr="009E3412">
        <w:rPr>
          <w:rFonts w:ascii="Times New Roman" w:eastAsia="Times New Roman" w:hAnsi="Times New Roman" w:cs="Times New Roman"/>
        </w:rPr>
        <w:fldChar w:fldCharType="end"/>
      </w:r>
      <w:r w:rsidR="00A95CD5" w:rsidRPr="009E3412">
        <w:rPr>
          <w:rFonts w:ascii="Times New Roman" w:eastAsia="Times New Roman" w:hAnsi="Times New Roman" w:cs="Times New Roman"/>
        </w:rPr>
        <w:t>.</w:t>
      </w:r>
      <w:r w:rsidR="001E23D8" w:rsidRPr="009E3412">
        <w:t xml:space="preserve"> </w:t>
      </w:r>
      <w:r w:rsidR="001E23D8" w:rsidRPr="009E3412">
        <w:rPr>
          <w:rFonts w:ascii="Times New Roman" w:eastAsia="Times New Roman" w:hAnsi="Times New Roman" w:cs="Times New Roman"/>
        </w:rPr>
        <w:t xml:space="preserve">Nevertheless, </w:t>
      </w:r>
      <w:r w:rsidR="00EA439F" w:rsidRPr="009E3412">
        <w:rPr>
          <w:rFonts w:ascii="Times New Roman" w:eastAsia="Times New Roman" w:hAnsi="Times New Roman" w:cs="Times New Roman"/>
        </w:rPr>
        <w:t>our results highlight the use of</w:t>
      </w:r>
      <w:r w:rsidR="00A95CD5" w:rsidRPr="009E3412">
        <w:rPr>
          <w:rFonts w:ascii="Times New Roman" w:eastAsia="Times New Roman" w:hAnsi="Times New Roman" w:cs="Times New Roman"/>
        </w:rPr>
        <w:t xml:space="preserve"> </w:t>
      </w:r>
      <w:r w:rsidR="00EA439F" w:rsidRPr="009E3412">
        <w:rPr>
          <w:rFonts w:ascii="Times New Roman" w:eastAsia="Times New Roman" w:hAnsi="Times New Roman" w:cs="Times New Roman"/>
        </w:rPr>
        <w:t xml:space="preserve">profiling select </w:t>
      </w:r>
      <w:r w:rsidR="007C074D" w:rsidRPr="009E3412">
        <w:rPr>
          <w:rFonts w:ascii="Times New Roman" w:eastAsia="Times New Roman" w:hAnsi="Times New Roman" w:cs="Times New Roman"/>
        </w:rPr>
        <w:t xml:space="preserve">circulatory </w:t>
      </w:r>
      <w:r w:rsidR="00EA439F" w:rsidRPr="009E3412">
        <w:rPr>
          <w:rFonts w:ascii="Times New Roman" w:eastAsia="Times New Roman" w:hAnsi="Times New Roman" w:cs="Times New Roman"/>
        </w:rPr>
        <w:t>MDM to identify higher-risk individuals of cognitive decline.</w:t>
      </w:r>
    </w:p>
    <w:p w14:paraId="054F046C" w14:textId="641701AC" w:rsidR="00E84933" w:rsidRPr="009E3412" w:rsidRDefault="00990E9A">
      <w:pPr>
        <w:spacing w:line="360" w:lineRule="auto"/>
        <w:jc w:val="both"/>
        <w:rPr>
          <w:rFonts w:ascii="Times New Roman" w:hAnsi="Times New Roman" w:cs="Times New Roman"/>
        </w:rPr>
      </w:pPr>
      <w:r w:rsidRPr="009E3412">
        <w:rPr>
          <w:rFonts w:ascii="Times New Roman" w:hAnsi="Times New Roman" w:cs="Times New Roman"/>
          <w:shd w:val="clear" w:color="auto" w:fill="FFFFFF"/>
        </w:rPr>
        <w:t>Of the five metabolites highlighted</w:t>
      </w:r>
      <w:r w:rsidR="005B0D4E" w:rsidRPr="009E3412">
        <w:rPr>
          <w:rFonts w:ascii="Times New Roman" w:hAnsi="Times New Roman" w:cs="Times New Roman"/>
          <w:shd w:val="clear" w:color="auto" w:fill="FFFFFF"/>
        </w:rPr>
        <w:t xml:space="preserve"> by both machine learning and multiple linear regression</w:t>
      </w:r>
      <w:r w:rsidRPr="009E3412">
        <w:rPr>
          <w:rFonts w:ascii="Times New Roman" w:hAnsi="Times New Roman" w:cs="Times New Roman"/>
          <w:shd w:val="clear" w:color="auto" w:fill="FFFFFF"/>
        </w:rPr>
        <w:t xml:space="preserve">, all </w:t>
      </w:r>
      <w:r w:rsidR="000B5B73" w:rsidRPr="009E3412">
        <w:rPr>
          <w:rFonts w:ascii="Times New Roman" w:hAnsi="Times New Roman" w:cs="Times New Roman"/>
          <w:shd w:val="clear" w:color="auto" w:fill="FFFFFF"/>
        </w:rPr>
        <w:t>except</w:t>
      </w:r>
      <w:r w:rsidR="000C59D2" w:rsidRPr="009E3412">
        <w:rPr>
          <w:rFonts w:ascii="Times New Roman" w:hAnsi="Times New Roman" w:cs="Times New Roman"/>
          <w:shd w:val="clear" w:color="auto" w:fill="FFFFFF"/>
        </w:rPr>
        <w:t xml:space="preserve"> choline are produced</w:t>
      </w:r>
      <w:r w:rsidR="00C05579" w:rsidRPr="009E3412">
        <w:rPr>
          <w:rFonts w:ascii="Times New Roman" w:hAnsi="Times New Roman" w:cs="Times New Roman"/>
          <w:shd w:val="clear" w:color="auto" w:fill="FFFFFF"/>
        </w:rPr>
        <w:t xml:space="preserve"> from tryptophan metabolism, indicating notable alterations in tryptophan metabolism may occur </w:t>
      </w:r>
      <w:r w:rsidR="00172058" w:rsidRPr="009E3412">
        <w:rPr>
          <w:rFonts w:ascii="Times New Roman" w:hAnsi="Times New Roman" w:cs="Times New Roman"/>
          <w:shd w:val="clear" w:color="auto" w:fill="FFFFFF"/>
        </w:rPr>
        <w:t xml:space="preserve">in </w:t>
      </w:r>
      <w:r w:rsidR="00E64EA7" w:rsidRPr="009E3412">
        <w:rPr>
          <w:rFonts w:ascii="Times New Roman" w:hAnsi="Times New Roman" w:cs="Times New Roman"/>
          <w:shd w:val="clear" w:color="auto" w:fill="FFFFFF"/>
        </w:rPr>
        <w:t>early</w:t>
      </w:r>
      <w:r w:rsidRPr="009E3412">
        <w:rPr>
          <w:rFonts w:ascii="Times New Roman" w:hAnsi="Times New Roman" w:cs="Times New Roman"/>
          <w:shd w:val="clear" w:color="auto" w:fill="FFFFFF"/>
        </w:rPr>
        <w:t xml:space="preserve"> </w:t>
      </w:r>
      <w:r w:rsidR="00172058" w:rsidRPr="009E3412">
        <w:rPr>
          <w:rFonts w:ascii="Times New Roman" w:hAnsi="Times New Roman" w:cs="Times New Roman"/>
          <w:shd w:val="clear" w:color="auto" w:fill="FFFFFF"/>
        </w:rPr>
        <w:t>AD progression</w:t>
      </w:r>
      <w:r w:rsidR="00C05579" w:rsidRPr="009E3412">
        <w:rPr>
          <w:rFonts w:ascii="Times New Roman" w:hAnsi="Times New Roman" w:cs="Times New Roman"/>
          <w:shd w:val="clear" w:color="auto" w:fill="FFFFFF"/>
        </w:rPr>
        <w:t>.</w:t>
      </w:r>
      <w:r w:rsidR="000C59D2" w:rsidRPr="009E3412">
        <w:rPr>
          <w:rFonts w:ascii="Times New Roman" w:hAnsi="Times New Roman" w:cs="Times New Roman"/>
          <w:shd w:val="clear" w:color="auto" w:fill="FFFFFF"/>
        </w:rPr>
        <w:t xml:space="preserve"> Tryptophan metabolism has previously been well</w:t>
      </w:r>
      <w:r w:rsidR="000B5B73" w:rsidRPr="009E3412">
        <w:rPr>
          <w:rFonts w:ascii="Times New Roman" w:hAnsi="Times New Roman" w:cs="Times New Roman"/>
          <w:shd w:val="clear" w:color="auto" w:fill="FFFFFF"/>
        </w:rPr>
        <w:t>-</w:t>
      </w:r>
      <w:r w:rsidR="000C59D2" w:rsidRPr="009E3412">
        <w:rPr>
          <w:rFonts w:ascii="Times New Roman" w:hAnsi="Times New Roman" w:cs="Times New Roman"/>
          <w:shd w:val="clear" w:color="auto" w:fill="FFFFFF"/>
        </w:rPr>
        <w:t xml:space="preserve">linked to </w:t>
      </w:r>
      <w:r w:rsidR="006C29B1" w:rsidRPr="009E3412">
        <w:rPr>
          <w:rFonts w:ascii="Times New Roman" w:hAnsi="Times New Roman" w:cs="Times New Roman"/>
          <w:shd w:val="clear" w:color="auto" w:fill="FFFFFF"/>
        </w:rPr>
        <w:t xml:space="preserve">cognitive decline and </w:t>
      </w:r>
      <w:r w:rsidR="000C59D2" w:rsidRPr="009E3412">
        <w:rPr>
          <w:rFonts w:ascii="Times New Roman" w:hAnsi="Times New Roman" w:cs="Times New Roman"/>
          <w:shd w:val="clear" w:color="auto" w:fill="FFFFFF"/>
        </w:rPr>
        <w:t xml:space="preserve">AD </w:t>
      </w:r>
      <w:r w:rsidR="000C59D2" w:rsidRPr="009E3412">
        <w:rPr>
          <w:rFonts w:ascii="Times New Roman" w:hAnsi="Times New Roman" w:cs="Times New Roman"/>
          <w:shd w:val="clear" w:color="auto" w:fill="FFFFFF"/>
        </w:rPr>
        <w:fldChar w:fldCharType="begin"/>
      </w:r>
      <w:r w:rsidR="007A55BE" w:rsidRPr="009E3412">
        <w:rPr>
          <w:rFonts w:ascii="Times New Roman" w:hAnsi="Times New Roman" w:cs="Times New Roman"/>
          <w:shd w:val="clear" w:color="auto" w:fill="FFFFFF"/>
        </w:rPr>
        <w:instrText xml:space="preserve"> ADDIN ZOTERO_ITEM CSL_CITATION {"citationID":"YBkytxtG","properties":{"formattedCitation":"[18]","plainCitation":"[18]","noteIndex":0},"citationItems":[{"id":402,"uris":["http://zotero.org/users/9893877/items/UJBPW423"],"itemData":{"id":402,"type":"article-journal","abstract":"Objective: To identify compounds endogenous to the human brain capable of curatively inhibiting progression of Alzheimer’s disease (AD). Although administration of replacement compounds (insulin for diabetes) or analogs of endogenous compounds (isoproterenol as a norepinephrine analog) are time-honored therapeutic strategies, this direction has not been evaluated for AD. An “endogenous anti-AD compound” represents an unexplored concept.\nBackground: AD arises from cytotoxic protein misfolding and aggregation of β-amyloid and tau, concomitantly associated with microglial activation and synaptotoxic/neurotoxic immuno-inflammation, leading to a combined proteopathic-immunopathic pathogenesis. Since many peptide sequences are susceptible to aggregation, there is evolutionary pressure to inhibit proteopathic misfolding; the immunopathic cascade associated with such misfolding is likewise subject to endogenous regulation. Accordingly, it is reasonable to postulate the existence of endogenous human brain molecules capable of interrupting AD disease progression.\nDesign/Methods: We assembled a library of 1,107 molecules (molecular weight&lt;600 Da) endogenous to the human brain and employed a primary in vitro screening assay targeting β-amyloid and tau oligomerization, and then a secondary screen against lipopolysaccharide-triggered, microglial-mediated pro-inflammatory cytokine release.\nResults: The primary screen identified multiple metabolites of tryptophan (indoleamines, anthranilates) as putative endogenous anti-proteopathic agents. Tryptamine, 5-hydroxytryptamine (5-HT), 5-methoxytryptamine, 3-hydroxyanthranilic acid (3-HA) and nicotinate inhibited β-amyloid and tau aggregation; neither tryptophan nor nicotinamide had any effect. Beyond anti-aggregation activities, 3-HA reduced glial cytokine expression and cytokine-induced neuronal death while 5-HT inhibited TNF-alpha release from activated microglia – suggesting the capacity of tryptophan metabolites to modulate both parallel pathways of the interdependent proteopathic-immunopathic etiopathogenesis of AD.\nConclusions: We have identified multiple tryptophan metabolites as putative endogenous anti-AD molecules capable of inhibiting AD’s proteopathic-immunopathic cycle. These results are compatible with clinical data: serum tryptophan levels show a statistically significant reduction with age; people with AD have significantly reduced plasma levels of tryptophan; and, acute tryptophan depletion in people with AD causes increased cognitive dysfunction.Disclosure: Dr. Weaver holds stock and/or stock options in Treventis Corp. which sponsored research in which Dr. Weaver was involved as an investigator. Dr. Gupta has nothing to disclose. Dr. Meek has nothing to disclose. Dr. Wang has nothing to disclose. Dr. Wu has nothing to disclose.","container-title":"Neurology","ISSN":"0028-3878, 1526-632X","issue":"15 Supplement","language":"en","license":"© 2020","note":"publisher: Wolters Kluwer Health, Inc. on behalf of the American Academy of Neurology\nsection: Saturday, April 25","source":"n.neurology.org","title":"Alzheimer’s Disease as a Disorder of Tryptophan Metabolism (2745)","URL":"https://n.neurology.org/content/94/15_Supplement/2745","volume":"94","author":[{"family":"Weaver","given":"Donald"},{"family":"Gupta","given":"Mayuri"},{"family":"Meek","given":"Autumn"},{"family":"Wang","given":"Yanfei"},{"family":"Wu","given":"Fan"}],"accessed":{"date-parts":[["2022",10,31]]},"issued":{"date-parts":[["2020",4,14]]}}}],"schema":"https://github.com/citation-style-language/schema/raw/master/csl-citation.json"} </w:instrText>
      </w:r>
      <w:r w:rsidR="000C59D2" w:rsidRPr="009E3412">
        <w:rPr>
          <w:rFonts w:ascii="Times New Roman" w:hAnsi="Times New Roman" w:cs="Times New Roman"/>
          <w:shd w:val="clear" w:color="auto" w:fill="FFFFFF"/>
        </w:rPr>
        <w:fldChar w:fldCharType="separate"/>
      </w:r>
      <w:r w:rsidR="007A55BE" w:rsidRPr="009E3412">
        <w:rPr>
          <w:rFonts w:ascii="Times New Roman" w:hAnsi="Times New Roman" w:cs="Times New Roman"/>
        </w:rPr>
        <w:t>[18]</w:t>
      </w:r>
      <w:r w:rsidR="000C59D2" w:rsidRPr="009E3412">
        <w:rPr>
          <w:rFonts w:ascii="Times New Roman" w:hAnsi="Times New Roman" w:cs="Times New Roman"/>
          <w:shd w:val="clear" w:color="auto" w:fill="FFFFFF"/>
        </w:rPr>
        <w:fldChar w:fldCharType="end"/>
      </w:r>
      <w:r w:rsidR="000C59D2" w:rsidRPr="009E3412">
        <w:rPr>
          <w:rFonts w:ascii="Times New Roman" w:hAnsi="Times New Roman" w:cs="Times New Roman"/>
          <w:shd w:val="clear" w:color="auto" w:fill="FFFFFF"/>
        </w:rPr>
        <w:t xml:space="preserve">. </w:t>
      </w:r>
      <w:r w:rsidR="00DB4264" w:rsidRPr="009E3412">
        <w:rPr>
          <w:rFonts w:ascii="Times New Roman" w:hAnsi="Times New Roman" w:cs="Times New Roman"/>
          <w:shd w:val="clear" w:color="auto" w:fill="FFFFFF"/>
        </w:rPr>
        <w:t>Indeed, we find lower neuroprotective tryptophan-derived metabolites, including IPA and 5-hydroxyindole acetic acid, as cognitive decline progresses</w:t>
      </w:r>
      <w:r w:rsidR="005B0D4E" w:rsidRPr="009E3412">
        <w:rPr>
          <w:rFonts w:ascii="Times New Roman" w:hAnsi="Times New Roman" w:cs="Times New Roman"/>
          <w:shd w:val="clear" w:color="auto" w:fill="FFFFFF"/>
        </w:rPr>
        <w:t xml:space="preserve"> from controls to SCI and MCI</w:t>
      </w:r>
      <w:r w:rsidR="00DB4264" w:rsidRPr="009E3412">
        <w:rPr>
          <w:rFonts w:ascii="Times New Roman" w:hAnsi="Times New Roman" w:cs="Times New Roman"/>
          <w:shd w:val="clear" w:color="auto" w:fill="FFFFFF"/>
        </w:rPr>
        <w:t xml:space="preserve">. </w:t>
      </w:r>
      <w:r w:rsidRPr="009E3412">
        <w:rPr>
          <w:rFonts w:ascii="Times New Roman" w:hAnsi="Times New Roman" w:cs="Times New Roman"/>
        </w:rPr>
        <w:t xml:space="preserve">IPA </w:t>
      </w:r>
      <w:r w:rsidR="003318EB" w:rsidRPr="009E3412">
        <w:rPr>
          <w:rFonts w:ascii="Times New Roman" w:hAnsi="Times New Roman" w:cs="Times New Roman"/>
        </w:rPr>
        <w:t xml:space="preserve">is produced in the gut by the microbial conversion of tryptophan via the indole pathway and </w:t>
      </w:r>
      <w:r w:rsidR="000C59D2" w:rsidRPr="009E3412">
        <w:rPr>
          <w:rFonts w:ascii="Times New Roman" w:hAnsi="Times New Roman" w:cs="Times New Roman"/>
        </w:rPr>
        <w:t xml:space="preserve">has previously been investigated as a possible treatment for AD </w:t>
      </w:r>
      <w:r w:rsidR="000C59D2"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{"citationID":"t9UBxhvF","properties":{"formattedCitation":"[83]","plainCitation":"[83]","noteIndex":0},"citationItems":[{"id":270,"uris":["http://zotero.org/users/9893877/items/7IRNCR5S"],"itemData":{"id":270,"type":"article-journal","abstract":"The accumulation of amyloid-beta and concomitant oxidative stress are major pathogenic events in Alzheimer's disease. Indole-3-propionic acid (IPA, OXIGON) is a potent anti-oxidant devoid of pro-oxidant activity. IPA has been demonstrated to be an inhibitor of beta-amyloid fibril formation and to be a potent neuroprotectant against a variety of oxidotoxins. This review will summarize the known properties of IPA and outline the rationale behind its selection as a potential disease-modifying therapy for Alzheimer's disease.","container-title":"Journal of molecular neuroscience: MN","DOI":"10.1007/s12031-002-0036-0","ISSN":"0895-8696","issue":"1-2","journalAbbreviation":"J Mol Neurosci","language":"eng","note":"PMID: 12212784","page":"213-217","source":"PubMed","title":"Development of indole-3-propionic acid (OXIGON) for Alzheimer's disease","volume":"19","author":[{"family":"Bendheim","given":"Paul E."},{"family":"Poeggeler","given":"Burkhard"},{"family":"Neria","given":"Eyal"},{"family":"Ziv","given":"Vivi"},{"family":"Pappolla","given":"Miguel A."},{"family":"Chain","given":"Daniel G."}],"issued":{"date-parts":[["2002",10]]}}}],"schema":"https://github.com/citation-style-language/schema/raw/master/csl-citation.json"} </w:instrText>
      </w:r>
      <w:r w:rsidR="000C59D2" w:rsidRPr="009E3412">
        <w:rPr>
          <w:rFonts w:ascii="Times New Roman" w:hAnsi="Times New Roman" w:cs="Times New Roman"/>
        </w:rPr>
        <w:fldChar w:fldCharType="separate"/>
      </w:r>
      <w:r w:rsidR="00CC6090" w:rsidRPr="009E3412">
        <w:rPr>
          <w:rFonts w:ascii="Times New Roman" w:hAnsi="Times New Roman" w:cs="Times New Roman"/>
        </w:rPr>
        <w:t>[83]</w:t>
      </w:r>
      <w:r w:rsidR="000C59D2" w:rsidRPr="009E3412">
        <w:rPr>
          <w:rFonts w:ascii="Times New Roman" w:hAnsi="Times New Roman" w:cs="Times New Roman"/>
        </w:rPr>
        <w:fldChar w:fldCharType="end"/>
      </w:r>
      <w:r w:rsidR="000C59D2" w:rsidRPr="009E3412">
        <w:rPr>
          <w:rFonts w:ascii="Times New Roman" w:hAnsi="Times New Roman" w:cs="Times New Roman"/>
        </w:rPr>
        <w:t xml:space="preserve"> due to its potent antioxidant effect against Aβ 1-42 </w:t>
      </w:r>
      <w:r w:rsidR="000C59D2" w:rsidRPr="009E3412">
        <w:rPr>
          <w:rFonts w:ascii="Times New Roman" w:hAnsi="Times New Roman" w:cs="Times New Roman"/>
          <w:i/>
          <w:iCs/>
        </w:rPr>
        <w:t>in vitro</w:t>
      </w:r>
      <w:r w:rsidR="000C59D2" w:rsidRPr="009E3412">
        <w:rPr>
          <w:rFonts w:ascii="Times New Roman" w:hAnsi="Times New Roman" w:cs="Times New Roman"/>
        </w:rPr>
        <w:t xml:space="preserve"> </w:t>
      </w:r>
      <w:r w:rsidR="000C59D2"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{"citationID":"URTdgXvq","properties":{"formattedCitation":"[84]","plainCitation":"[84]","noteIndex":0},"citationItems":[{"id":272,"uris":["http://zotero.org/users/9893877/items/Y9MDG6GF"],"itemData":{"id":272,"type":"article-journal","abstract":"Widespread cerebral deposition of a 40-43-amino acid peptide called the amyloid beta-protein (Abeta) in the form of amyloid fibrils is one of the most prominent neuropathologic features of Alzheimer's disease. Numerous studies suggest that Abeta is toxic to neurons by free radical-mediated mechanisms. We have previously reported that melatonin prevents oxidative stress and death of neurons exposed to Abeta. In the process of screening indole compounds for neuroprotection against Abeta, potent neuroprotective properties were uncovered for an endogenous related species, indole-3-propionic acid (IPA). This compound has previously been identified in the plasma and cerebrospinal fluid of humans, but its functions are not known. IPA completely protected primary neurons and neuroblastoma cells against oxidative damage and death caused by exposure to Abeta, by inhibition of superoxide dismutase, or by treatment with hydrogen peroxide. In kinetic competition experiments using free radical-trapping agents, the capacity of IPA to scavenge hydroxyl radicals exceeded that of melatonin, an indoleamine considered to be the most potent naturally occurring scavenger of free radicals. In contrast with other antioxidants, IPA was not converted to reactive intermediates with pro-oxidant activity. These findings may have therapeutic applications in a broad range of clinical situations.","container-title":"The Journal of Biological Chemistry","DOI":"10.1074/jbc.274.31.21937","ISSN":"0021-9258","issue":"31","journalAbbreviation":"J Biol Chem","language":"eng","note":"PMID: 10419516","page":"21937-21942","source":"PubMed","title":"Potent neuroprotective properties against the Alzheimer beta-amyloid by an endogenous melatonin-related indole structure, indole-3-propionic acid","volume":"274","author":[{"family":"Chyan","given":"Y. J."},{"family":"Poeggeler","given":"B."},{"family":"Omar","given":"R. A."},{"family":"Chain","given":"D. G."},{"family":"Frangione","given":"B."},{"family":"Ghiso","given":"J."},{"family":"Pappolla","given":"M. A."}],"issued":{"date-parts":[["1999",7,30]]}}}],"schema":"https://github.com/citation-style-language/schema/raw/master/csl-citation.json"} </w:instrText>
      </w:r>
      <w:r w:rsidR="000C59D2" w:rsidRPr="009E3412">
        <w:rPr>
          <w:rFonts w:ascii="Times New Roman" w:hAnsi="Times New Roman" w:cs="Times New Roman"/>
        </w:rPr>
        <w:fldChar w:fldCharType="separate"/>
      </w:r>
      <w:r w:rsidR="00CC6090" w:rsidRPr="009E3412">
        <w:rPr>
          <w:rFonts w:ascii="Times New Roman" w:hAnsi="Times New Roman" w:cs="Times New Roman"/>
        </w:rPr>
        <w:t>[84]</w:t>
      </w:r>
      <w:r w:rsidR="000C59D2" w:rsidRPr="009E3412">
        <w:rPr>
          <w:rFonts w:ascii="Times New Roman" w:hAnsi="Times New Roman" w:cs="Times New Roman"/>
        </w:rPr>
        <w:fldChar w:fldCharType="end"/>
      </w:r>
      <w:r w:rsidR="00A932EC" w:rsidRPr="009E3412">
        <w:rPr>
          <w:rFonts w:ascii="Times New Roman" w:hAnsi="Times New Roman" w:cs="Times New Roman"/>
        </w:rPr>
        <w:t xml:space="preserve"> and its ability to prevent </w:t>
      </w:r>
      <w:r w:rsidR="000C59D2" w:rsidRPr="009E3412">
        <w:rPr>
          <w:rFonts w:ascii="Times New Roman" w:hAnsi="Times New Roman" w:cs="Times New Roman"/>
        </w:rPr>
        <w:t xml:space="preserve">aggregation and deposition of Aβ monomers </w:t>
      </w:r>
      <w:r w:rsidR="000C59D2"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{"citationID":"C0HNqRu2","properties":{"formattedCitation":"[85]","plainCitation":"[85]","noteIndex":0},"citationItems":[{"id":275,"uris":["http://zotero.org/users/9893877/items/AZ5SKGJ3"],"itemData":{"id":275,"type":"article-journal","abstract":"Alzheimer's disease is the most common cause of the loss of cognitive function among the elderly, and the aggregation and deposition of misfolded beta-amyloid protein (Abeta) contribute to this progressive central nervous system decline. Therefore, compounds that inhibit or even reverse Abeta aggregation might be useful for the treatment or prevention of Alzheimer's disease. To identify potential therapeutic agents for the treatment of Alzheimer's disease, a mass spectrometry-based screening assay was developed to identify and rank order compounds that inhibit the aggregation of Abeta. To carry out this assay, Abeta was incubated with a test compound at 37 degrees C for 20 h followed by ultrafiltration to separate the monomeric Abeta from its aggregates. Aliquots of the ultrafiltrate were analyzed for monomeric Abeta using positive ion electrospray mass spectrometry based on the abundance the quadruply protonated molecule of Abeta at m/z 1083. The calibration curve for Abeta was linear with a correlation coefficient (r2) of &gt;0.99 over the range of at least 11-110 microM. The limit of detection was 0.224 ng (5.18 nM, 10-microL injection), and the limit of quantitation was 0.747 ng (17.2 nM, 10-microL injection). Based on previous reports of compounds that either bind to Abeta or are useful in treating Alzheimer's disease, melatonin, methysticin, 3-indolepropionic acid, and daunomycin were assayed and ranked in order of inhibition of Abeta aggregation. The most effective inhibitor of aggregation of Abeta protein was daunomycin followed in descending order by 3-indolepropionic acid, melatonin, and then methysticin. These data suggest that this ultrafiltration LC-MS screening assay may be used to identify potential therapeutic agents for the treatment of Alzheimer's disease based on the prevention of Abeta aggregation.","container-title":"Analytical Chemistry","DOI":"10.1021/ac050556a","ISSN":"0003-2700","issue":"21","journalAbbreviation":"Anal Chem","language":"eng","note":"PMID: 16255603\nPMCID: PMC1780175","page":"7012-7015","source":"PubMed","title":"Mass spectrometry-based screening for inhibitors of beta-amyloid protein aggregation","volume":"77","author":[{"family":"Cheng","given":"Xun"},{"family":"Breemen","given":"Richard B.","non-dropping-particle":"van"}],"issued":{"date-parts":[["2005",11,1]]}}}],"schema":"https://github.com/citation-style-language/schema/raw/master/csl-citation.json"} </w:instrText>
      </w:r>
      <w:r w:rsidR="000C59D2" w:rsidRPr="009E3412">
        <w:rPr>
          <w:rFonts w:ascii="Times New Roman" w:hAnsi="Times New Roman" w:cs="Times New Roman"/>
        </w:rPr>
        <w:fldChar w:fldCharType="separate"/>
      </w:r>
      <w:r w:rsidR="00CC6090" w:rsidRPr="009E3412">
        <w:rPr>
          <w:rFonts w:ascii="Times New Roman" w:hAnsi="Times New Roman" w:cs="Times New Roman"/>
        </w:rPr>
        <w:t>[85]</w:t>
      </w:r>
      <w:r w:rsidR="000C59D2" w:rsidRPr="009E3412">
        <w:rPr>
          <w:rFonts w:ascii="Times New Roman" w:hAnsi="Times New Roman" w:cs="Times New Roman"/>
        </w:rPr>
        <w:fldChar w:fldCharType="end"/>
      </w:r>
      <w:r w:rsidR="00090AC2" w:rsidRPr="009E3412">
        <w:rPr>
          <w:rFonts w:ascii="Times New Roman" w:hAnsi="Times New Roman" w:cs="Times New Roman"/>
        </w:rPr>
        <w:t>.</w:t>
      </w:r>
      <w:r w:rsidR="00DB4264" w:rsidRPr="009E3412">
        <w:rPr>
          <w:rFonts w:ascii="Times New Roman" w:hAnsi="Times New Roman" w:cs="Times New Roman"/>
        </w:rPr>
        <w:t xml:space="preserve"> </w:t>
      </w:r>
      <w:r w:rsidR="00766BEC" w:rsidRPr="009E3412">
        <w:rPr>
          <w:rFonts w:ascii="Times New Roman" w:hAnsi="Times New Roman" w:cs="Times New Roman"/>
        </w:rPr>
        <w:t xml:space="preserve">IPA is anti-inflammatory, reducing the concentration of the proinflammatory TNF-α in activated microglia </w:t>
      </w:r>
      <w:r w:rsidR="00766BEC"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{"citationID":"E6uQXCwW","properties":{"formattedCitation":"[86]","plainCitation":"[86]","noteIndex":0},"citationItems":[{"id":823,"uris":["http://zotero.org/users/9893877/items/P9JW7B92"],"itemData":{"id":823,"type":"article-journal","abstract":"Background &amp; aims\nThe beneficial effects of probiotic consumption on age-related decline in cerebral function have been previously reported in the literature; however, the mechanistic link between gut and brain interactions has not yet been fully elucidated. Therefore, this study aimed to identify the role of gut microbiota-derived metabolites in gut-brain interactions via blood metabolomic profiling analysis in clinical trials and in vitro mechanistic studies.\nMethods\nA randomized, double-blind, placebo-controlled, multicenter clinical trial was conducted in 63 healthy elderly individuals (≥65 years of age). Participants were administered either placebo (placebo group, N = 31) or probiotic capsules (Bifidobacterium bifidum BGN4 and Bifidobacterium longum BORI; probiotics group, N = 32) for 12 weeks. Global and targeted metabolomic profiling analyses of their blood samples were then performed using 1H nuclear magnetic resonance and liquid chromatography-mass spectrometry methods, both at baseline and at the end of the trial. Gut microbial analysis was conducted using the 16S ribosomal ribonucleic acid gene sequencing method. Subsequently, microglial BV2 cells were treated in vitro with indole-3-propionic acid (IPA) following lipopolysaccharide stimulation, and neuronal SH-SY5Y cells were treated with conditioned media from the BV2 cells. Finally, the levels of pro-inflammatory cytokines in BV2 cells and neurotrophins in SH-SY5Y cells were quantified using a real-time polymerase chain reaction or enzyme-linked immunosorbent assay.\nResults\nThe metabolomic profiling analyses showed that probiotic consumption significantly altered the levels of metabolites involved in tryptophan metabolism (P &lt; 0.01). Among these metabolites, gut microbiota-produced IPA had a 1.91-fold increase in the probiotics group (P &lt; 0.05) and showed a significant relation to gut bacterial profiles (P &lt; 0.01). Elevated IPA levels were also positively associated with the level of serum brain-derived neurotropic factor (BDNF) in the probiotics group (r = 0.28, P &lt; 0.05), showing an inverse trend compared to the placebo group. In addition, in vitro treatment with IPA (5 μM) significantly reduced the concentration of proinflammatory TNF-α in activated microglia (P &lt; 0.05), and neuronal cells cultured with conditioned media from IPA-treated microglia showed a significant increase in BDNF and nerve growth factor production (P &lt; 0.05).\nConclusions\nThese results show that gut microbiota-produced IPA plays a role in protecting the microglia from inflammation, thus promoting neuronal function. Therefore, this suggests that IPA is a significant mediator linking the interaction between the gut and the brain in the elderly with probiotic supplementation.","container-title":"Clinical Nutrition","DOI":"10.1016/j.clnu.2023.04.001","ISSN":"0261-5614","issue":"6","journalAbbreviation":"Clinical Nutrition","page":"1025-1033","source":"ScienceDirect","title":"Gut microbiota indole-3-propionic acid mediates neuroprotective effect of probiotic consumption in healthy elderly: A randomized, double-blind, placebo-controlled, multicenter trial and in vitro study","title-short":"Gut microbiota indole-3-propionic acid mediates neuroprotective effect of probiotic consumption in healthy elderly","volume":"42","author":[{"family":"Kim","given":"Chong-Su"},{"family":"Jung","given":"Sunhee"},{"family":"Hwang","given":"Geum-Sook"},{"family":"Shin","given":"Dong-Mi"}],"issued":{"date-parts":[["2023",6,1]]}}}],"schema":"https://github.com/citation-style-language/schema/raw/master/csl-citation.json"} </w:instrText>
      </w:r>
      <w:r w:rsidR="00766BEC" w:rsidRPr="009E3412">
        <w:rPr>
          <w:rFonts w:ascii="Times New Roman" w:hAnsi="Times New Roman" w:cs="Times New Roman"/>
        </w:rPr>
        <w:fldChar w:fldCharType="separate"/>
      </w:r>
      <w:r w:rsidR="00CC6090" w:rsidRPr="009E3412">
        <w:rPr>
          <w:rFonts w:ascii="Times New Roman" w:hAnsi="Times New Roman" w:cs="Times New Roman"/>
        </w:rPr>
        <w:t>[86]</w:t>
      </w:r>
      <w:r w:rsidR="00766BEC" w:rsidRPr="009E3412">
        <w:rPr>
          <w:rFonts w:ascii="Times New Roman" w:hAnsi="Times New Roman" w:cs="Times New Roman"/>
        </w:rPr>
        <w:fldChar w:fldCharType="end"/>
      </w:r>
      <w:r w:rsidR="00766BEC" w:rsidRPr="009E3412">
        <w:rPr>
          <w:rFonts w:ascii="Times New Roman" w:hAnsi="Times New Roman" w:cs="Times New Roman"/>
        </w:rPr>
        <w:t xml:space="preserve">, lowering the expression of chemokine (CC Motif) ligand 2 (CCL2) and nitric oxide synthase 2 (NOS2) in interferon-beta (IFN-β) activated murine astrocytes </w:t>
      </w:r>
      <w:r w:rsidR="00766BEC"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{"citationID":"ZEcdiKGF","properties":{"formattedCitation":"[87]","plainCitation":"[87]","noteIndex":0},"citationItems":[{"id":278,"uris":["http://zotero.org/users/9893877/items/494XRKWT"],"itemData":{"id":278,"type":"article-journal","abstract":"Astrocytes have important roles in the central nervous system (CNS) during health and disease. Through genome-wide analyses we detected a transcriptional response to type I interferons (IFN-Is) in astrocytes during experimental CNS autoimmunity and also in CNS lesions from patients with multiple sclerosis (MS). IFN-I signaling in astrocytes reduces inflammation and experimental autoimmune encephalomyelitis (EAE) disease scores via the ligand-activated transcription factor aryl hydrocarbon receptor (AHR) and the suppressor of cytokine signaling 2 (SOCS2). The anti-inflammatory effects of nasally administered interferon (IFN)-β are partly mediated by AHR. Dietary tryptophan is metabolized by the gut microbiota into AHR agonists that have an effect on astrocytes to limit CNS inflammation. EAE scores were increased following ampicillin treatment during the recovery phase, and CNS inflammation was reduced in antibiotic-treated mice by supplementation with the tryptophan metabolites indole, indoxyl-3-sulfate, indole-3-propionic acid and indole-3-aldehyde, or the bacterial enzyme tryptophanase. In individuals with MS, the circulating levels of AHR agonists were decreased. These findings suggest that IFN-Is produced in the CNS function in combination with metabolites derived from dietary tryptophan by the gut flora to activate AHR signaling in astrocytes and suppress CNS inflammation.","container-title":"Nature Medicine","DOI":"10.1038/nm.4106","ISSN":"1546-170X","issue":"6","journalAbbreviation":"Nat Med","language":"eng","note":"PMID: 27158906\nPMCID: PMC4899206","page":"586-597","source":"PubMed","title":"Type I interferons and microbial metabolites of tryptophan modulate astrocyte activity and central nervous system inflammation via the aryl hydrocarbon receptor","volume":"22","author":[{"family":"Rothhammer","given":"Veit"},{"family":"Mascanfroni","given":"Ivan D."},{"family":"Bunse","given":"Lukas"},{"family":"Takenaka","given":"Maisa C."},{"family":"Kenison","given":"Jessica E."},{"family":"Mayo","given":"Lior"},{"family":"Chao","given":"Chun-Cheih"},{"family":"Patel","given":"Bonny"},{"family":"Yan","given":"Raymond"},{"family":"Blain","given":"Manon"},{"family":"Alvarez","given":"Jorge I."},{"family":"Kébir","given":"Hania"},{"family":"Anandasabapathy","given":"Niroshana"},{"family":"Izquierdo","given":"Guillermo"},{"family":"Jung","given":"Steffen"},{"family":"Obholzer","given":"Nikolaus"},{"family":"Pochet","given":"Nathalie"},{"family":"Clish","given":"Clary B."},{"family":"Prinz","given":"Marco"},{"family":"Prat","given":"Alexandre"},{"family":"Antel","given":"Jack"},{"family":"Quintana","given":"Francisco J."}],"issued":{"date-parts":[["2016",6]]}}}],"schema":"https://github.com/citation-style-language/schema/raw/master/csl-citation.json"} </w:instrText>
      </w:r>
      <w:r w:rsidR="00766BEC" w:rsidRPr="009E3412">
        <w:rPr>
          <w:rFonts w:ascii="Times New Roman" w:hAnsi="Times New Roman" w:cs="Times New Roman"/>
        </w:rPr>
        <w:fldChar w:fldCharType="separate"/>
      </w:r>
      <w:r w:rsidR="00CC6090" w:rsidRPr="009E3412">
        <w:rPr>
          <w:rFonts w:ascii="Times New Roman" w:hAnsi="Times New Roman" w:cs="Times New Roman"/>
        </w:rPr>
        <w:t>[87]</w:t>
      </w:r>
      <w:r w:rsidR="00766BEC" w:rsidRPr="009E3412">
        <w:rPr>
          <w:rFonts w:ascii="Times New Roman" w:hAnsi="Times New Roman" w:cs="Times New Roman"/>
        </w:rPr>
        <w:fldChar w:fldCharType="end"/>
      </w:r>
      <w:r w:rsidR="00766BEC" w:rsidRPr="009E3412">
        <w:rPr>
          <w:rFonts w:ascii="Times New Roman" w:hAnsi="Times New Roman" w:cs="Times New Roman"/>
        </w:rPr>
        <w:t xml:space="preserve"> and preventing increases in cytokines in LPS-induced human primary astrocytes </w:t>
      </w:r>
      <w:r w:rsidR="00766BEC"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{"citationID":"om45cH0z","properties":{"formattedCitation":"[88]","plainCitation":"[88]","noteIndex":0},"citationItems":[{"id":281,"uris":["http://zotero.org/users/9893877/items/SSH5NEQN"],"itemData":{"id":281,"type":"article-journal","abstract":"The crosstalk between central nervous system (CNS) and gut microbiota plays key roles in neuroinflammation and chronic immune activation that are common features of all neurodegenerative diseases. Imbalance in the microbiota can lead to an increase in the intestinal permeability allowing toxins to diffuse and reach the CNS, as well as impairing the production of neuroprotective metabolites such as sodium butyrate (SB) and indole-3-propionic acid (IPA). The aim of the present study was to evaluate the effect of SB and IPA on LPS-induced production of cytokines and tryptophan metabolites in human astrocytes. Primary cultures of human astrocytes were pre-incubated with SB or IPA for 1 hour before treatment with LPS. Cell viability was not affected at 24, 48 or 72 hours after pre-treatment with SB, IPA or LPS treatment. SB was able to significantly prevent the increase of GM-CSF, MCP-1, IL-6 IL-12, and IL-13 triggered by LPS. SB and IPA also prevented inflammation indicated by the increase in kynurenine and kynurenine/tryptophan ratio induced by LPS treatment. IPA pre-treatment prevented the LPS-induced increase in MCP-1, IL-12, IL-13, and TNF-α levels 24 hours after pre-treatment, but had no effect on tryptophan metabolites. The present study showed for the first time that bacterial metabolites SB and IPA have potential anti-inflammatory effect on primary human astrocytes with potential therapeutic benefit in neurodegenerative disease characterized by the presence of chronic low-grade inflammation.","container-title":"International Journal of Tryptophan Research : IJTR","DOI":"10.1177/1178646920978404","ISSN":"1178-6469","journalAbbreviation":"Int J Tryptophan Res","note":"PMID: 33447046\nPMCID: PMC7780186","page":"1178646920978404","source":"PubMed Central","title":"Sodium Butyrate and Indole-3-propionic Acid Prevent the Increase of Cytokines and Kynurenine Levels in LPS-induced Human Primary Astrocytes","volume":"13","author":[{"family":"Garcez","given":"Michelle L"},{"family":"Tan","given":"Vanessa X"},{"family":"Heng","given":"Benjamin"},{"family":"Guillemin","given":"Gilles J"}],"issued":{"date-parts":[["2020",12,28]]}}}],"schema":"https://github.com/citation-style-language/schema/raw/master/csl-citation.json"} </w:instrText>
      </w:r>
      <w:r w:rsidR="00766BEC" w:rsidRPr="009E3412">
        <w:rPr>
          <w:rFonts w:ascii="Times New Roman" w:hAnsi="Times New Roman" w:cs="Times New Roman"/>
        </w:rPr>
        <w:fldChar w:fldCharType="separate"/>
      </w:r>
      <w:r w:rsidR="00CC6090" w:rsidRPr="009E3412">
        <w:rPr>
          <w:rFonts w:ascii="Times New Roman" w:hAnsi="Times New Roman" w:cs="Times New Roman"/>
        </w:rPr>
        <w:t>[88]</w:t>
      </w:r>
      <w:r w:rsidR="00766BEC" w:rsidRPr="009E3412">
        <w:rPr>
          <w:rFonts w:ascii="Times New Roman" w:hAnsi="Times New Roman" w:cs="Times New Roman"/>
        </w:rPr>
        <w:fldChar w:fldCharType="end"/>
      </w:r>
      <w:r w:rsidR="00766BEC" w:rsidRPr="009E3412">
        <w:rPr>
          <w:rFonts w:ascii="Times New Roman" w:hAnsi="Times New Roman" w:cs="Times New Roman"/>
        </w:rPr>
        <w:t xml:space="preserve">, </w:t>
      </w:r>
      <w:r w:rsidR="00DB4264" w:rsidRPr="009E3412">
        <w:rPr>
          <w:rFonts w:ascii="Times New Roman" w:hAnsi="Times New Roman" w:cs="Times New Roman"/>
        </w:rPr>
        <w:t xml:space="preserve">and has previously been identified as a predictor of AD progression </w:t>
      </w:r>
      <w:r w:rsidR="00DB4264"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{"citationID":"uPM2e4vb","properties":{"formattedCitation":"[89]","plainCitation":"[89]","noteIndex":0},"citationItems":[{"id":826,"uris":["http://zotero.org/users/9893877/items/FCLSWTU2"],"itemData":{"id":826,"type":"article-journal","abstract":"OBJECTIVE: This randomized controlled-feeding trial aimed to determine the impact of fried meat intake on the gut microbiota and fecal cometabolites and whether such impacts influenced host glucose homoeostasis, intestinal endotoxin levels, and systemic inflammation.\nRESEARCH DESIGN AND METHODS: A total of 117 overweight adults were randomized into two groups. Fifty-nine participants were provided fried meat four times per week, and 58 participants were restricted from fried meat intake, while holding food group and nutrient compositions constant, for 4 weeks. The gut microbiota was analyzed by 16S rRNA sequencing. Glucose and insulin concentrations at 0, 30, 60, and 120 min of an oral glucose tolerance test, fecal microbiota-host cometabolite levels, and intestinal endotoxin and inflammation serum biomarker levels were measured. The area under the curve (AUC) for insulin, insulinogenic index (IGI), and muscle insulin resistance index (MIRI) were calculated.\nRESULTS: The participants who consumed fried meat had lower IGI values than the control subjects, but they had higher MIRI and AUC values of insulin and lipopolysaccharide (LPS), TNF-α, IL-10, and IL-1β levels (P &lt; 0.05). Fried meat intake lowered microbial community richness and decreased Lachnospiraceae and Flavonifractor abundances while increasing Dialister, Dorea, and Veillonella abundances (P FDR &lt;0.05), provoking a significant shift in the fecal cometabolite profile, with lower 3-indolepropionic acid, valeric acid, and butyric acid concentrations and higher carnitine and methylglutaric acid concentrations (P FDR &lt;0.05). Changes in these cometabolite levels were significantly associated with changes in IGI and MIRI values and LPS, FGF21, TNF-α, IL-1β, and IL-10 levels (P &lt; 0.05).\nCONCLUSIONS: Fried meat intake impaired glucose homoeostasis and increased intestinal endotoxin and systemic inflammation levels by influencing the gut microbiota and microbial-host cometabolites.","container-title":"Diabetes Care","DOI":"10.2337/dc21-0099","ISSN":"1935-5548","issue":"9","journalAbbreviation":"Diabetes Care","language":"eng","note":"PMID: 34253560","page":"1970-1979","source":"PubMed","title":"The Association of Fried Meat Consumption With the Gut Microbiota and Fecal Metabolites and Its Impact on Glucose Homoeostasis, Intestinal Endotoxin Levels, and Systemic Inflammation: A Randomized Controlled-Feeding Trial","title-short":"The Association of Fried Meat Consumption With the Gut Microbiota and Fecal Metabolites and Its Impact on Glucose Homoeostasis, Intestinal Endotoxin Levels, and Systemic Inflammation","volume":"44","author":[{"family":"Gao","given":"Jian"},{"family":"Guo","given":"Xiaoyu"},{"family":"Wei","given":"Wei"},{"family":"Li","given":"Ran"},{"family":"Hu","given":"Ke"},{"family":"Liu","given":"Xin"},{"family":"Jiang","given":"Wenbo"},{"family":"Liu","given":"Siyao"},{"family":"Wang","given":"Weiqi"},{"family":"Sun","given":"Hu"},{"family":"Wu","given":"Huanyu"},{"family":"Zhang","given":"Yuntao"},{"family":"Gu","given":"Wenbo"},{"family":"Li","given":"Ying"},{"family":"Sun","given":"Changhao"},{"family":"Han","given":"Tianshu"}],"issued":{"date-parts":[["2021",9]]}}}],"schema":"https://github.com/citation-style-language/schema/raw/master/csl-citation.json"} </w:instrText>
      </w:r>
      <w:r w:rsidR="00DB4264" w:rsidRPr="009E3412">
        <w:rPr>
          <w:rFonts w:ascii="Times New Roman" w:hAnsi="Times New Roman" w:cs="Times New Roman"/>
        </w:rPr>
        <w:fldChar w:fldCharType="separate"/>
      </w:r>
      <w:r w:rsidR="00CC6090" w:rsidRPr="009E3412">
        <w:rPr>
          <w:rFonts w:ascii="Times New Roman" w:hAnsi="Times New Roman" w:cs="Times New Roman"/>
        </w:rPr>
        <w:t>[89]</w:t>
      </w:r>
      <w:r w:rsidR="00DB4264" w:rsidRPr="009E3412">
        <w:rPr>
          <w:rFonts w:ascii="Times New Roman" w:hAnsi="Times New Roman" w:cs="Times New Roman"/>
        </w:rPr>
        <w:fldChar w:fldCharType="end"/>
      </w:r>
      <w:r w:rsidR="00DB4264" w:rsidRPr="009E3412">
        <w:rPr>
          <w:rFonts w:ascii="Times New Roman" w:hAnsi="Times New Roman" w:cs="Times New Roman"/>
        </w:rPr>
        <w:t xml:space="preserve">. 5-hydroxyindole acetic acid is often used as a surrogate marker for serotonin due to serotonin’s rapid degradation. As </w:t>
      </w:r>
      <w:r w:rsidRPr="009E3412">
        <w:rPr>
          <w:rFonts w:ascii="Times New Roman" w:hAnsi="Times New Roman" w:cs="Times New Roman"/>
        </w:rPr>
        <w:t>such</w:t>
      </w:r>
      <w:r w:rsidR="00DB4264" w:rsidRPr="009E3412">
        <w:rPr>
          <w:rFonts w:ascii="Times New Roman" w:hAnsi="Times New Roman" w:cs="Times New Roman"/>
        </w:rPr>
        <w:t xml:space="preserve">, our findings indicate lower peripheral serotonin </w:t>
      </w:r>
      <w:r w:rsidR="00636F0F" w:rsidRPr="009E3412">
        <w:rPr>
          <w:rFonts w:ascii="Times New Roman" w:hAnsi="Times New Roman" w:cs="Times New Roman"/>
        </w:rPr>
        <w:t>breakdown</w:t>
      </w:r>
      <w:r w:rsidR="00DB4264" w:rsidRPr="009E3412">
        <w:rPr>
          <w:rFonts w:ascii="Times New Roman" w:hAnsi="Times New Roman" w:cs="Times New Roman"/>
        </w:rPr>
        <w:t xml:space="preserve"> </w:t>
      </w:r>
      <w:r w:rsidR="00636F0F" w:rsidRPr="009E3412">
        <w:rPr>
          <w:rFonts w:ascii="Times New Roman" w:hAnsi="Times New Roman" w:cs="Times New Roman"/>
        </w:rPr>
        <w:t>as early cognitive decline progresses</w:t>
      </w:r>
      <w:r w:rsidR="00356F52" w:rsidRPr="009E3412">
        <w:rPr>
          <w:rFonts w:ascii="Times New Roman" w:hAnsi="Times New Roman" w:cs="Times New Roman"/>
        </w:rPr>
        <w:t xml:space="preserve">. </w:t>
      </w:r>
      <w:r w:rsidR="00376746" w:rsidRPr="009E3412">
        <w:rPr>
          <w:rFonts w:ascii="Times New Roman" w:hAnsi="Times New Roman" w:cs="Times New Roman"/>
        </w:rPr>
        <w:t xml:space="preserve">Approximately </w:t>
      </w:r>
      <w:r w:rsidR="00356F52" w:rsidRPr="009E3412">
        <w:rPr>
          <w:rFonts w:ascii="Times New Roman" w:hAnsi="Times New Roman" w:cs="Times New Roman"/>
        </w:rPr>
        <w:t>9</w:t>
      </w:r>
      <w:r w:rsidR="00EA439F" w:rsidRPr="009E3412">
        <w:rPr>
          <w:rFonts w:ascii="Times New Roman" w:hAnsi="Times New Roman" w:cs="Times New Roman"/>
        </w:rPr>
        <w:t>5</w:t>
      </w:r>
      <w:r w:rsidR="00356F52" w:rsidRPr="009E3412">
        <w:rPr>
          <w:rFonts w:ascii="Times New Roman" w:hAnsi="Times New Roman" w:cs="Times New Roman"/>
        </w:rPr>
        <w:t xml:space="preserve">% of all serotonin is </w:t>
      </w:r>
      <w:r w:rsidR="00450930" w:rsidRPr="009E3412">
        <w:rPr>
          <w:rFonts w:ascii="Times New Roman" w:hAnsi="Times New Roman" w:cs="Times New Roman"/>
        </w:rPr>
        <w:t>localised in peripheral compartments</w:t>
      </w:r>
      <w:r w:rsidR="00C60B85" w:rsidRPr="009E3412">
        <w:rPr>
          <w:rFonts w:ascii="Times New Roman" w:hAnsi="Times New Roman" w:cs="Times New Roman"/>
        </w:rPr>
        <w:t xml:space="preserve"> where it is</w:t>
      </w:r>
      <w:r w:rsidR="00FA5E43" w:rsidRPr="009E3412">
        <w:rPr>
          <w:rFonts w:ascii="Times New Roman" w:hAnsi="Times New Roman" w:cs="Times New Roman"/>
        </w:rPr>
        <w:t xml:space="preserve"> </w:t>
      </w:r>
      <w:r w:rsidR="00450930" w:rsidRPr="009E3412">
        <w:rPr>
          <w:rFonts w:ascii="Times New Roman" w:hAnsi="Times New Roman" w:cs="Times New Roman"/>
        </w:rPr>
        <w:t xml:space="preserve">involved in </w:t>
      </w:r>
      <w:r w:rsidR="00C60B85" w:rsidRPr="009E3412">
        <w:rPr>
          <w:rFonts w:ascii="Times New Roman" w:hAnsi="Times New Roman" w:cs="Times New Roman"/>
        </w:rPr>
        <w:t xml:space="preserve">the </w:t>
      </w:r>
      <w:r w:rsidR="00FA5E43" w:rsidRPr="009E3412">
        <w:rPr>
          <w:rFonts w:ascii="Times New Roman" w:hAnsi="Times New Roman" w:cs="Times New Roman"/>
        </w:rPr>
        <w:t xml:space="preserve">modulation of the enteric nervous system (ENS) development and neurogenesis, </w:t>
      </w:r>
      <w:r w:rsidR="0007117A" w:rsidRPr="009E3412">
        <w:rPr>
          <w:rFonts w:ascii="Times New Roman" w:hAnsi="Times New Roman" w:cs="Times New Roman"/>
        </w:rPr>
        <w:t xml:space="preserve">gut </w:t>
      </w:r>
      <w:r w:rsidR="00FA5E43" w:rsidRPr="009E3412">
        <w:rPr>
          <w:rFonts w:ascii="Times New Roman" w:hAnsi="Times New Roman" w:cs="Times New Roman"/>
        </w:rPr>
        <w:t>motility, secretion, inflammation, and epithelial development</w:t>
      </w:r>
      <w:r w:rsidR="0007117A" w:rsidRPr="009E3412">
        <w:rPr>
          <w:rFonts w:ascii="Times New Roman" w:hAnsi="Times New Roman" w:cs="Times New Roman"/>
        </w:rPr>
        <w:t>, suggesting these processes may be disrupted in early cognitive decline</w:t>
      </w:r>
      <w:r w:rsidR="00FA5E43" w:rsidRPr="009E3412">
        <w:rPr>
          <w:rFonts w:ascii="Times New Roman" w:hAnsi="Times New Roman" w:cs="Times New Roman"/>
        </w:rPr>
        <w:t xml:space="preserve"> </w:t>
      </w:r>
      <w:r w:rsidR="00FA5E43"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{"citationID":"vfPMklSk","properties":{"formattedCitation":"[90]","plainCitation":"[90]","noteIndex":0},"citationItems":[{"id":1185,"uris":["http://zotero.org/users/9893877/items/DXGCJJ5M"],"itemData":{"id":1185,"type":"article-journal","abstract":"Serotonin (5-hydroxytryptamine; 5-HT) is best known as a neurotransmitter critical for central nervous system (CNS) development and function. 95% of the body’s serotonin, however, is produced in the intestine where it has been increasingly recognized for its hormonal, autocrine, paracrine, and endocrine actions. This chapter provides the most current knowledge of the critical autocrine and paracrine roles of 5-HT in intestinal motility and inflammation as well as its function as a hormone in osteocyte homeostasis. Therapeutic applications in each of these areas are also discussed.","container-title":"Handbook of experimental pharmacology","DOI":"10.1007/164_2016_103","ISSN":"0171-2004","journalAbbreviation":"Handb Exp Pharmacol","note":"PMID: 28035530\nPMCID: PMC5526216","page":"319-342","source":"PubMed Central","title":"Serotonergic Mechanisms Regulating the GI Tract: Experimental Evidence and Therapeutic Relevance","title-short":"Serotonergic Mechanisms Regulating the GI Tract","volume":"239","author":[{"family":"Terry","given":"Natalie"},{"family":"Margolis","given":"Kara Gross"}],"issued":{"date-parts":[["2017"]]}}}],"schema":"https://github.com/citation-style-language/schema/raw/master/csl-citation.json"} </w:instrText>
      </w:r>
      <w:r w:rsidR="00FA5E43" w:rsidRPr="009E3412">
        <w:rPr>
          <w:rFonts w:ascii="Times New Roman" w:hAnsi="Times New Roman" w:cs="Times New Roman"/>
        </w:rPr>
        <w:fldChar w:fldCharType="separate"/>
      </w:r>
      <w:r w:rsidR="00CC6090" w:rsidRPr="009E3412">
        <w:rPr>
          <w:rFonts w:ascii="Times New Roman" w:hAnsi="Times New Roman" w:cs="Times New Roman"/>
        </w:rPr>
        <w:t>[90]</w:t>
      </w:r>
      <w:r w:rsidR="00FA5E43" w:rsidRPr="009E3412">
        <w:rPr>
          <w:rFonts w:ascii="Times New Roman" w:hAnsi="Times New Roman" w:cs="Times New Roman"/>
        </w:rPr>
        <w:fldChar w:fldCharType="end"/>
      </w:r>
      <w:r w:rsidR="00B42815" w:rsidRPr="009E3412">
        <w:rPr>
          <w:rFonts w:ascii="Times New Roman" w:hAnsi="Times New Roman" w:cs="Times New Roman"/>
        </w:rPr>
        <w:t>.</w:t>
      </w:r>
      <w:r w:rsidR="0007117A" w:rsidRPr="009E3412">
        <w:rPr>
          <w:rFonts w:ascii="Times New Roman" w:hAnsi="Times New Roman" w:cs="Times New Roman"/>
        </w:rPr>
        <w:t xml:space="preserve"> Indeed, MCI and AD patients have often been </w:t>
      </w:r>
      <w:r w:rsidR="00F7256D" w:rsidRPr="009E3412">
        <w:rPr>
          <w:rFonts w:ascii="Times New Roman" w:hAnsi="Times New Roman" w:cs="Times New Roman"/>
        </w:rPr>
        <w:t>reported</w:t>
      </w:r>
      <w:r w:rsidR="0007117A" w:rsidRPr="009E3412">
        <w:rPr>
          <w:rFonts w:ascii="Times New Roman" w:hAnsi="Times New Roman" w:cs="Times New Roman"/>
        </w:rPr>
        <w:t xml:space="preserve"> to suffer from gastrointestinal symptoms </w:t>
      </w:r>
      <w:r w:rsidR="0007117A"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{"citationID":"O5PP6vOY","properties":{"formattedCitation":"[91]","plainCitation":"[91]","noteIndex":0},"citationItems":[{"id":1190,"uris":["http://zotero.org/users/9893877/items/E7LIF24M"],"itemData":{"id":1190,"type":"article-journal","abstract":"The enteric nervous system (ENS) is large, complex and uniquely able to orchestrate gastrointestinal behaviour independently of the central nervous system (CNS). An intact ENS is essential for life and ENS dysfunction is often linked to digestive disorders. The part the ENS plays in neurological disorders, as a portal or participant, has also become increasingly evident. ENS structure and neurochemistry resemble that of the CNS, therefore pathogenic mechanisms that give rise to CNS disorders might also lead to ENS dysfunction, and nerves that interconnect the ENS and CNS can be conduits for disease spread. We review evidence for ENS dysfunction in the aetiopathogenesis of autism spectrum disorder, amyotrophic lateral sclerosis, transmissible spongiform encephalopathies, Parkinson disease and Alzheimer disease. Animal models suggest that common pathophysiological mechanisms account for the frequency of gastrointestinal comorbidity in these conditions. Moreover, the neurotropic pathogen, varicella zoster virus (VZV), unexpectedly establishes latency in enteric and other autonomic neurons that do not innervate skin. VZV reactivation in these neurons produces no rash and is therefore a clandestine cause of gastrointestinal disease, meningitis and strokes. The gut-brain alliance has raised consciousness as a contributor to health, but a gut-brain axis that contributes to disease merits equal attention.","container-title":"Nature Reviews. Gastroenterology &amp; Hepatology","DOI":"10.1038/nrgastro.2016.107","ISSN":"1759-5053","issue":"9","journalAbbreviation":"Nat Rev Gastroenterol Hepatol","language":"eng","note":"PMID: 27435372\nPMCID: PMC5005185","page":"517-528","source":"PubMed","title":"The bowel and beyond: the enteric nervous system in neurological disorders","title-short":"The bowel and beyond","volume":"13","author":[{"family":"Rao","given":"Meenakshi"},{"family":"Gershon","given":"Michael D."}],"issued":{"date-parts":[["2016",9]]}}}],"schema":"https://github.com/citation-style-language/schema/raw/master/csl-citation.json"} </w:instrText>
      </w:r>
      <w:r w:rsidR="0007117A" w:rsidRPr="009E3412">
        <w:rPr>
          <w:rFonts w:ascii="Times New Roman" w:hAnsi="Times New Roman" w:cs="Times New Roman"/>
        </w:rPr>
        <w:fldChar w:fldCharType="separate"/>
      </w:r>
      <w:r w:rsidR="00CC6090" w:rsidRPr="009E3412">
        <w:rPr>
          <w:rFonts w:ascii="Times New Roman" w:hAnsi="Times New Roman" w:cs="Times New Roman"/>
        </w:rPr>
        <w:t>[91]</w:t>
      </w:r>
      <w:r w:rsidR="0007117A" w:rsidRPr="009E3412">
        <w:rPr>
          <w:rFonts w:ascii="Times New Roman" w:hAnsi="Times New Roman" w:cs="Times New Roman"/>
        </w:rPr>
        <w:fldChar w:fldCharType="end"/>
      </w:r>
      <w:r w:rsidR="0007117A" w:rsidRPr="009E3412">
        <w:rPr>
          <w:rFonts w:ascii="Times New Roman" w:hAnsi="Times New Roman" w:cs="Times New Roman"/>
        </w:rPr>
        <w:t xml:space="preserve"> and ENS dysregulation in AD has previously </w:t>
      </w:r>
      <w:r w:rsidR="00F7256D" w:rsidRPr="009E3412">
        <w:rPr>
          <w:rFonts w:ascii="Times New Roman" w:hAnsi="Times New Roman" w:cs="Times New Roman"/>
        </w:rPr>
        <w:t xml:space="preserve">been </w:t>
      </w:r>
      <w:r w:rsidR="0007117A" w:rsidRPr="009E3412">
        <w:rPr>
          <w:rFonts w:ascii="Times New Roman" w:hAnsi="Times New Roman" w:cs="Times New Roman"/>
        </w:rPr>
        <w:t>described</w:t>
      </w:r>
      <w:r w:rsidR="00F7256D" w:rsidRPr="009E3412">
        <w:rPr>
          <w:rFonts w:ascii="Times New Roman" w:hAnsi="Times New Roman" w:cs="Times New Roman"/>
        </w:rPr>
        <w:t xml:space="preserve"> </w:t>
      </w:r>
      <w:r w:rsidR="00F7256D"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{"citationID":"C2NUlD9b","properties":{"formattedCitation":"[92]","plainCitation":"[92]","noteIndex":0},"citationItems":[{"id":1195,"uris":["http://zotero.org/users/9893877/items/F29AI9CL"],"itemData":{"id":1195,"type":"article-journal","abstract":"Neurological disorders cause gastrointestinal (GI) symptoms that are debilitating and markedly diminish quality of life in patients. The enteric nervous system (ENS), the intrinsic nervous system of the GI tract that is often referred to as \"the second brain\", shares many features with the central nervous system. The ENS plays an essential role in regulating many GI functions including motility and fluid secretion. Enteric neuronal degeneration could therefore be responsible for the GI symptoms commonly observed in neurological conditions. Here we describe the organization and functions of the ENS and then review the evidence for ENS involvement in two common neurodegenerative disorders, Parkinson's disease (PD) and Alzheimer's disease (AD). Data from patients as well as animal models suggest that PD affects distinct subsets of neurons and glia in the ENS, and that the ENS may participate in the pathogenesis of this disorder. While there has been great enthusiasm for the possibility of sampling the ENS for diagnosis or therapeutic monitoring of PD, further work is needed to determine which enteric neurons are most affected and how ENS function could be modulated to ameliorate GI symptoms in patients. Although AD is far more common than PD and AD patients also experience GI symptoms, understanding of ENS dysfunction in AD is in its infancy. Much work remains to be done in both of these fields to determine how the ENS contributes to and/or is altered by these disorders, and how to target the ENS for more effective treatment of GI comorbidities.","container-title":"Brain Research","DOI":"10.1016/j.brainres.2018.01.011","ISSN":"1872-6240","issue":"Pt B","journalAbbreviation":"Brain Res","language":"eng","note":"PMID: 29360466\nPMCID: PMC6003851","page":"207-213","source":"PubMed","title":"Enteric nervous system manifestations of neurodegenerative disease","volume":"1693","author":[{"family":"Chalazonitis","given":"Alcmène"},{"family":"Rao","given":"Meenakshi"}],"issued":{"date-parts":[["2018",8,15]]}}}],"schema":"https://github.com/citation-style-language/schema/raw/master/csl-citation.json"} </w:instrText>
      </w:r>
      <w:r w:rsidR="00F7256D" w:rsidRPr="009E3412">
        <w:rPr>
          <w:rFonts w:ascii="Times New Roman" w:hAnsi="Times New Roman" w:cs="Times New Roman"/>
        </w:rPr>
        <w:fldChar w:fldCharType="separate"/>
      </w:r>
      <w:r w:rsidR="00CC6090" w:rsidRPr="009E3412">
        <w:rPr>
          <w:rFonts w:ascii="Times New Roman" w:hAnsi="Times New Roman" w:cs="Times New Roman"/>
        </w:rPr>
        <w:t>[92]</w:t>
      </w:r>
      <w:r w:rsidR="00F7256D" w:rsidRPr="009E3412">
        <w:rPr>
          <w:rFonts w:ascii="Times New Roman" w:hAnsi="Times New Roman" w:cs="Times New Roman"/>
        </w:rPr>
        <w:fldChar w:fldCharType="end"/>
      </w:r>
      <w:r w:rsidR="0031253D" w:rsidRPr="009E3412">
        <w:rPr>
          <w:rFonts w:ascii="Times New Roman" w:hAnsi="Times New Roman" w:cs="Times New Roman"/>
        </w:rPr>
        <w:t xml:space="preserve">. </w:t>
      </w:r>
      <w:r w:rsidR="00F7256D" w:rsidRPr="009E3412">
        <w:rPr>
          <w:rFonts w:ascii="Times New Roman" w:hAnsi="Times New Roman" w:cs="Times New Roman"/>
        </w:rPr>
        <w:t xml:space="preserve">Decreased concentrations of 5-hydroxyindole acetic acid also </w:t>
      </w:r>
      <w:r w:rsidR="00DB4264" w:rsidRPr="009E3412">
        <w:rPr>
          <w:rFonts w:ascii="Times New Roman" w:hAnsi="Times New Roman" w:cs="Times New Roman"/>
        </w:rPr>
        <w:t xml:space="preserve">suggest a shift in tryptophan metabolism towards the kynurenine pathway, reducing the availability of tryptophan for serotonin synthesis. This is supported </w:t>
      </w:r>
      <w:r w:rsidRPr="009E3412">
        <w:rPr>
          <w:rFonts w:ascii="Times New Roman" w:hAnsi="Times New Roman" w:cs="Times New Roman"/>
        </w:rPr>
        <w:t>by</w:t>
      </w:r>
      <w:r w:rsidR="00DB4264" w:rsidRPr="009E3412">
        <w:rPr>
          <w:rFonts w:ascii="Times New Roman" w:hAnsi="Times New Roman" w:cs="Times New Roman"/>
        </w:rPr>
        <w:t xml:space="preserve"> higher serum kynurenine concentrations in SCI and MCI participants in comparison to controls (</w:t>
      </w:r>
      <w:r w:rsidR="002A48B6" w:rsidRPr="009E3412">
        <w:rPr>
          <w:rFonts w:ascii="Times New Roman" w:hAnsi="Times New Roman" w:cs="Times New Roman"/>
        </w:rPr>
        <w:t xml:space="preserve">Supplementary </w:t>
      </w:r>
      <w:r w:rsidR="00DB4264" w:rsidRPr="009E3412">
        <w:rPr>
          <w:rFonts w:ascii="Times New Roman" w:hAnsi="Times New Roman" w:cs="Times New Roman"/>
        </w:rPr>
        <w:t>Table S</w:t>
      </w:r>
      <w:r w:rsidR="00AA7B79" w:rsidRPr="009E3412">
        <w:rPr>
          <w:rFonts w:ascii="Times New Roman" w:hAnsi="Times New Roman" w:cs="Times New Roman"/>
        </w:rPr>
        <w:t>3</w:t>
      </w:r>
      <w:r w:rsidR="00C449FE" w:rsidRPr="009E3412">
        <w:rPr>
          <w:rFonts w:ascii="Times New Roman" w:hAnsi="Times New Roman" w:cs="Times New Roman"/>
        </w:rPr>
        <w:t xml:space="preserve">) and has previously been </w:t>
      </w:r>
      <w:r w:rsidR="00DB4264" w:rsidRPr="009E3412">
        <w:rPr>
          <w:rFonts w:ascii="Times New Roman" w:hAnsi="Times New Roman" w:cs="Times New Roman"/>
        </w:rPr>
        <w:t>found in AD participants</w:t>
      </w:r>
      <w:r w:rsidR="00C449FE" w:rsidRPr="009E3412">
        <w:rPr>
          <w:rFonts w:ascii="Times New Roman" w:hAnsi="Times New Roman" w:cs="Times New Roman"/>
        </w:rPr>
        <w:t>,</w:t>
      </w:r>
      <w:r w:rsidR="00DB4264" w:rsidRPr="009E3412">
        <w:rPr>
          <w:rFonts w:ascii="Times New Roman" w:hAnsi="Times New Roman" w:cs="Times New Roman"/>
        </w:rPr>
        <w:t xml:space="preserve"> linked to poor memory, executive function and global cognition </w:t>
      </w:r>
      <w:r w:rsidR="00DB4264"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nv1s4fPk","properties":{"formattedCitation":"[93]","plainCitation":"[93]","noteIndex":0},"citationItems":[{"id":1436,"uris":["http://zotero.org/users/9893877/items/UN896P96","http://zotero.org/users/9893877/items/6NGCD699"],"itemData":{"id":1436,"type":"article-journal","abstract":"Background:\nDepressive symptoms in Alzheimer’s disease (AD) predict worse cognitive and functional outcomes. Both AD and major depression inflammatory processes are characterized by shunted tryptophan metabolism away from serotonin (5-HT) and toward the neuroinflammatory kynurenine (Kyn) pathway. The present study assessed associations between Kyn and behavioral, neuroanatomical, neuropathological, and physiological outcomes common to both AD and negative affect across the AD continuum.\n\nMethods:\nIn 58 cognitively normal, 396 mild cognitive impairment, and 112 AD participants from the Alzheimer’s Disease Neuroimaging Initiative-1 (ADNI1) cohort, serum markers of 5-HT, tryptophan, and Kyn were measured and their relationships investigated with immunologic markers, affect and functional outcomes, CSF markers of beta-amyloid (Aβ) and tau, and regional gray matter.\n\nResults:\nA higher Kyn/Tryptophan ratio was linked to many inflammatory markers, as well as lower functional independence and memory scores. A higher Kyn/5-HT ratio showed similar associations, but also strong relationships with negative affect and neuropsychiatric disturbance, executive dysfunction, and global cognitive decline. Further, gray matter atrophy was seen in hippocampus, anterior cingulate, and prefrontal cortices, as well as greater amyloid and total tau deposition. Finally, using moderated-mediation, several pro-inflammatory factors partially mediated Kyn/5-HT and negative affect scores in participants with subclinical Aβ (i.e., Aβ−), whereas such associations were fully mediated by Complement 3 in Aβ+ participants.\n\nConclusion:\nThese findings suggest that inflammatory signaling cascades may occur during AD, which is associated with increased Kyn metabolism that influences the pathogenesis of negative affect. Aβ and the complement system may be critical contributing factors in this process.","container-title":"Brain, behavior, and immunity","DOI":"10.1016/j.bbi.2021.03.019","ISSN":"0889-1591","journalAbbreviation":"Brain Behav Immun","note":"PMID: 33775832\nPMCID: PMC8187283","page":"216-225","source":"PubMed Central","title":"Inflammation, Negative Affect, and Amyloid Burden in Alzheimer’s Disease: Insights from the Kynurenine Pathway","title-short":"Inflammation, Negative Affect, and Amyloid Burden in Alzheimer’s Disease","volume":"95","author":[{"family":"Willette","given":"Auriel A."},{"family":"Pappas","given":"Colleen"},{"family":"Hoth","given":"Nathan"},{"family":"Wang","given":"Qian"},{"family":"Klinedinst","given":"Brandon"},{"family":"Willette","given":"Sara A."},{"family":"Larsen","given":"Brittany"},{"family":"Pollpeter","given":"Amy"},{"family":"Li","given":"Tianqi"},{"family":"Le","given":"Scott"},{"family":"Collazo-Martinez","given":"Ana D."},{"family":"Mochel","given":"Jonathan P."},{"family":"Allenspach","given":"Karin"},{"family":"Dantzer","given":"Robert"}],"issued":{"date-parts":[["2021",7]]}}}],"schema":"https://github.com/citation-style-language/schema/raw/master/csl-citation.json"} </w:instrText>
      </w:r>
      <w:r w:rsidR="00DB4264" w:rsidRPr="009E3412">
        <w:rPr>
          <w:rFonts w:ascii="Times New Roman" w:hAnsi="Times New Roman" w:cs="Times New Roman"/>
        </w:rPr>
        <w:fldChar w:fldCharType="separate"/>
      </w:r>
      <w:r w:rsidR="00CC6090" w:rsidRPr="009E3412">
        <w:rPr>
          <w:rFonts w:ascii="Times New Roman" w:hAnsi="Times New Roman" w:cs="Times New Roman"/>
        </w:rPr>
        <w:t>[93]</w:t>
      </w:r>
      <w:r w:rsidR="00DB4264" w:rsidRPr="009E3412">
        <w:rPr>
          <w:rFonts w:ascii="Times New Roman" w:hAnsi="Times New Roman" w:cs="Times New Roman"/>
        </w:rPr>
        <w:fldChar w:fldCharType="end"/>
      </w:r>
      <w:r w:rsidR="00DB4264" w:rsidRPr="009E3412">
        <w:rPr>
          <w:rFonts w:ascii="Times New Roman" w:hAnsi="Times New Roman" w:cs="Times New Roman"/>
        </w:rPr>
        <w:t xml:space="preserve">. </w:t>
      </w:r>
      <w:r w:rsidR="00081D41" w:rsidRPr="009E3412">
        <w:rPr>
          <w:rFonts w:ascii="Times New Roman" w:hAnsi="Times New Roman" w:cs="Times New Roman"/>
        </w:rPr>
        <w:t xml:space="preserve">The kynurenine pathway is activated by an inflammatory stimulus, promoting indoleamine 2,3-dioxygenase, the rate-limiting enzyme that initiates the kynurenine pathway. Increased inflammation is a common feature of AD and </w:t>
      </w:r>
      <w:r w:rsidR="00D035AD" w:rsidRPr="009E3412">
        <w:rPr>
          <w:rFonts w:ascii="Times New Roman" w:hAnsi="Times New Roman" w:cs="Times New Roman"/>
        </w:rPr>
        <w:t xml:space="preserve">as such </w:t>
      </w:r>
      <w:r w:rsidR="00081D41" w:rsidRPr="009E3412">
        <w:rPr>
          <w:rFonts w:ascii="Times New Roman" w:hAnsi="Times New Roman" w:cs="Times New Roman"/>
        </w:rPr>
        <w:t xml:space="preserve">may </w:t>
      </w:r>
      <w:r w:rsidR="00D035AD" w:rsidRPr="009E3412">
        <w:rPr>
          <w:rFonts w:ascii="Times New Roman" w:hAnsi="Times New Roman" w:cs="Times New Roman"/>
        </w:rPr>
        <w:t>p</w:t>
      </w:r>
      <w:r w:rsidR="000C5A64" w:rsidRPr="009E3412">
        <w:rPr>
          <w:rFonts w:ascii="Times New Roman" w:hAnsi="Times New Roman" w:cs="Times New Roman"/>
        </w:rPr>
        <w:t>l</w:t>
      </w:r>
      <w:r w:rsidR="00D035AD" w:rsidRPr="009E3412">
        <w:rPr>
          <w:rFonts w:ascii="Times New Roman" w:hAnsi="Times New Roman" w:cs="Times New Roman"/>
        </w:rPr>
        <w:t xml:space="preserve">ay a role in </w:t>
      </w:r>
      <w:r w:rsidR="00081D41" w:rsidRPr="009E3412">
        <w:rPr>
          <w:rFonts w:ascii="Times New Roman" w:hAnsi="Times New Roman" w:cs="Times New Roman"/>
        </w:rPr>
        <w:t>modulat</w:t>
      </w:r>
      <w:r w:rsidR="00D035AD" w:rsidRPr="009E3412">
        <w:rPr>
          <w:rFonts w:ascii="Times New Roman" w:hAnsi="Times New Roman" w:cs="Times New Roman"/>
        </w:rPr>
        <w:t>ing</w:t>
      </w:r>
      <w:r w:rsidR="00081D41" w:rsidRPr="009E3412">
        <w:rPr>
          <w:rFonts w:ascii="Times New Roman" w:hAnsi="Times New Roman" w:cs="Times New Roman"/>
        </w:rPr>
        <w:t xml:space="preserve"> tryptophan catabolite</w:t>
      </w:r>
      <w:r w:rsidR="00D035AD" w:rsidRPr="009E3412">
        <w:rPr>
          <w:rFonts w:ascii="Times New Roman" w:hAnsi="Times New Roman" w:cs="Times New Roman"/>
        </w:rPr>
        <w:t>s</w:t>
      </w:r>
      <w:r w:rsidR="00081D41" w:rsidRPr="009E3412">
        <w:rPr>
          <w:rFonts w:ascii="Times New Roman" w:hAnsi="Times New Roman" w:cs="Times New Roman"/>
        </w:rPr>
        <w:t>.</w:t>
      </w:r>
    </w:p>
    <w:p w14:paraId="60DA2CEE" w14:textId="0060CA87" w:rsidR="00E1486D" w:rsidRPr="009E3412" w:rsidRDefault="00A43D12">
      <w:pPr>
        <w:spacing w:line="360" w:lineRule="auto"/>
        <w:jc w:val="both"/>
        <w:rPr>
          <w:rFonts w:ascii="Times New Roman" w:hAnsi="Times New Roman" w:cs="Times New Roman"/>
        </w:rPr>
      </w:pPr>
      <w:r w:rsidRPr="009E3412">
        <w:rPr>
          <w:rFonts w:ascii="Times New Roman" w:hAnsi="Times New Roman" w:cs="Times New Roman"/>
        </w:rPr>
        <w:t>Both i</w:t>
      </w:r>
      <w:r w:rsidR="00947AC5" w:rsidRPr="009E3412">
        <w:rPr>
          <w:rFonts w:ascii="Times New Roman" w:hAnsi="Times New Roman" w:cs="Times New Roman"/>
        </w:rPr>
        <w:t xml:space="preserve">ndoxyl </w:t>
      </w:r>
      <w:proofErr w:type="spellStart"/>
      <w:r w:rsidR="00947AC5" w:rsidRPr="009E3412">
        <w:rPr>
          <w:rFonts w:ascii="Times New Roman" w:hAnsi="Times New Roman" w:cs="Times New Roman"/>
        </w:rPr>
        <w:t>sulfate</w:t>
      </w:r>
      <w:proofErr w:type="spellEnd"/>
      <w:r w:rsidR="00E84933" w:rsidRPr="009E3412">
        <w:rPr>
          <w:rFonts w:ascii="Times New Roman" w:hAnsi="Times New Roman" w:cs="Times New Roman"/>
        </w:rPr>
        <w:t xml:space="preserve"> </w:t>
      </w:r>
      <w:r w:rsidR="00DB4264" w:rsidRPr="009E3412">
        <w:rPr>
          <w:rFonts w:ascii="Times New Roman" w:hAnsi="Times New Roman" w:cs="Times New Roman"/>
        </w:rPr>
        <w:t>and kynurenic acid</w:t>
      </w:r>
      <w:r w:rsidR="003318EB" w:rsidRPr="009E3412">
        <w:rPr>
          <w:rFonts w:ascii="Times New Roman" w:hAnsi="Times New Roman" w:cs="Times New Roman"/>
        </w:rPr>
        <w:t xml:space="preserve"> </w:t>
      </w:r>
      <w:r w:rsidRPr="009E3412">
        <w:rPr>
          <w:rFonts w:ascii="Times New Roman" w:hAnsi="Times New Roman" w:cs="Times New Roman"/>
        </w:rPr>
        <w:t xml:space="preserve">concentrations </w:t>
      </w:r>
      <w:r w:rsidR="00DB4264" w:rsidRPr="009E3412">
        <w:rPr>
          <w:rFonts w:ascii="Times New Roman" w:hAnsi="Times New Roman" w:cs="Times New Roman"/>
        </w:rPr>
        <w:t xml:space="preserve">were </w:t>
      </w:r>
      <w:r w:rsidR="00C449FE" w:rsidRPr="009E3412">
        <w:rPr>
          <w:rFonts w:ascii="Times New Roman" w:hAnsi="Times New Roman" w:cs="Times New Roman"/>
        </w:rPr>
        <w:t>increased</w:t>
      </w:r>
      <w:r w:rsidR="00DB4264" w:rsidRPr="009E3412">
        <w:rPr>
          <w:rFonts w:ascii="Times New Roman" w:hAnsi="Times New Roman" w:cs="Times New Roman"/>
        </w:rPr>
        <w:t xml:space="preserve"> as cognitive decline progressed</w:t>
      </w:r>
      <w:r w:rsidR="008811D5" w:rsidRPr="009E3412">
        <w:rPr>
          <w:rFonts w:ascii="Times New Roman" w:hAnsi="Times New Roman" w:cs="Times New Roman"/>
        </w:rPr>
        <w:t xml:space="preserve">, even after adjusting for </w:t>
      </w:r>
      <w:r w:rsidR="00867F3C" w:rsidRPr="009E3412">
        <w:rPr>
          <w:rFonts w:ascii="Times New Roman" w:hAnsi="Times New Roman" w:cs="Times New Roman"/>
        </w:rPr>
        <w:t xml:space="preserve">measures of </w:t>
      </w:r>
      <w:r w:rsidR="008811D5" w:rsidRPr="009E3412">
        <w:rPr>
          <w:rFonts w:ascii="Times New Roman" w:hAnsi="Times New Roman" w:cs="Times New Roman"/>
        </w:rPr>
        <w:t xml:space="preserve">liver </w:t>
      </w:r>
      <w:r w:rsidR="00867F3C" w:rsidRPr="009E3412">
        <w:rPr>
          <w:rFonts w:ascii="Times New Roman" w:hAnsi="Times New Roman" w:cs="Times New Roman"/>
        </w:rPr>
        <w:t xml:space="preserve">and kidney </w:t>
      </w:r>
      <w:r w:rsidR="008811D5" w:rsidRPr="009E3412">
        <w:rPr>
          <w:rFonts w:ascii="Times New Roman" w:hAnsi="Times New Roman" w:cs="Times New Roman"/>
        </w:rPr>
        <w:t>function</w:t>
      </w:r>
      <w:r w:rsidR="00DB4264" w:rsidRPr="009E3412">
        <w:rPr>
          <w:rFonts w:ascii="Times New Roman" w:hAnsi="Times New Roman" w:cs="Times New Roman"/>
        </w:rPr>
        <w:t xml:space="preserve">. </w:t>
      </w:r>
      <w:r w:rsidR="007D7AFE" w:rsidRPr="009E3412">
        <w:rPr>
          <w:rFonts w:ascii="Times New Roman" w:hAnsi="Times New Roman" w:cs="Times New Roman"/>
        </w:rPr>
        <w:t>As a uremic toxin, i</w:t>
      </w:r>
      <w:r w:rsidRPr="009E3412">
        <w:rPr>
          <w:rFonts w:ascii="Times New Roman" w:hAnsi="Times New Roman" w:cs="Times New Roman"/>
        </w:rPr>
        <w:t xml:space="preserve">ndoxyl </w:t>
      </w:r>
      <w:proofErr w:type="spellStart"/>
      <w:r w:rsidRPr="009E3412">
        <w:rPr>
          <w:rFonts w:ascii="Times New Roman" w:hAnsi="Times New Roman" w:cs="Times New Roman"/>
        </w:rPr>
        <w:t>sulfate</w:t>
      </w:r>
      <w:proofErr w:type="spellEnd"/>
      <w:r w:rsidR="00947AC5" w:rsidRPr="009E3412">
        <w:rPr>
          <w:rFonts w:ascii="Times New Roman" w:hAnsi="Times New Roman" w:cs="Times New Roman"/>
        </w:rPr>
        <w:t xml:space="preserve"> can disrupt neuronal efflux transport systems</w:t>
      </w:r>
      <w:r w:rsidR="00E1486D" w:rsidRPr="009E3412">
        <w:rPr>
          <w:rFonts w:ascii="Times New Roman" w:hAnsi="Times New Roman" w:cs="Times New Roman"/>
        </w:rPr>
        <w:t xml:space="preserve">, promote the production of free radicals, inflammation, </w:t>
      </w:r>
      <w:r w:rsidR="00E1486D" w:rsidRPr="009E3412">
        <w:rPr>
          <w:rFonts w:ascii="Times New Roman" w:hAnsi="Times New Roman" w:cs="Times New Roman"/>
        </w:rPr>
        <w:lastRenderedPageBreak/>
        <w:t xml:space="preserve">endothelial cell dysfunction and disturb the circadian rhythm involved in clearing renal and CNS </w:t>
      </w:r>
      <w:r w:rsidR="00F44F82" w:rsidRPr="009E3412">
        <w:rPr>
          <w:rFonts w:ascii="Times New Roman" w:hAnsi="Times New Roman" w:cs="Times New Roman"/>
        </w:rPr>
        <w:t xml:space="preserve">toxins </w:t>
      </w:r>
      <w:r w:rsidR="00E1486D"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{"citationID":"vsUQbs2B","properties":{"formattedCitation":"[94,95]","plainCitation":"[94,95]","noteIndex":0},"citationItems":[{"id":267,"uris":["http://zotero.org/users/9893877/items/65PG3FQE"],"itemData":{"id":267,"type":"article-journal","abstract":"One of the mechanisms proposed for chronic kidney disease (CKD)-related cognitive impairment is the accumulation of uremic toxins due to the deterioration of the renal clearance function. Cognition can be categorized into five major domains according to its information processing functions: memory, attention, language, visual-spatial, and executive. We performed a review using the terms 'uric acid', 'indoxyl sulfate', 'p-cresyl sulfate', 'homocysteine', 'interleukins' and 'parathyroid hormone'. These are the compounds that were found to be strongly associated with cognitive impairment in CKD in the literature. The 26 selected articles point towards an association between higher levels of uric acid, homocysteine, and interleukin 6 with lower cognitive performance in executive, attentional, and memory domains. We also reviewed the hemodialysis effects on cognition. Hemodialysis seems to contribute to an amelioration of CKD-related encephalopathic dysfunction, although this improvement occurs more in some cognitive domains than in others.","container-title":"Jornal Brasileiro de Nefrologia","DOI":"10.1590/2175-8239-JBN-2018-0033","ISSN":"0101-2800","issue":"1","journalAbbreviation":"J Bras Nefrol","note":"PMID: 30095142\nPMCID: PMC6534037","page":"103-111","source":"PubMed Central","title":"The specific impact of uremic toxins upon cognitive domains: a review","title-short":"The specific impact of uremic toxins upon cognitive domains","volume":"41","author":[{"family":"Franco","given":"Álvaro de Oliveira"},{"family":"Starosta","given":"Rodrigo Tzovenos"},{"family":"Roriz-Cruz","given":"Matheus"}],"issued":{"date-parts":[["2019"]]}}},{"id":265,"uris":["http://zotero.org/users/9893877/items/P2364W7W"],"itemData":{"id":265,"type":"article-journal","abstract":"PURPOSE: The purpose of the present study was to explore the involvement of indoxyl sulfate (IS) in nephrotoxicity and central nervous system (CNS) toxicity in cisplatin (CDDP)-treated rats.\nMATERIALS AND METHODS: Renal function was evaluated by serum creatinine and BUN levels. The IS levels in the serum, brain and kidney was monitored by high-performance liquid chromatography method. Body weight and rectal temperature were monitored. Real-time PCR analysis was performed to examine rPer2 mRNA expression.\nRESULTS: Renal function deteriorated in a time-dependent manner after administration of CDDP. The concentration of IS in the serum, brain and kidney markedly increased 24-84 h after commencement of CDDP treatment. The observed increase in the levels of serum creatinine, BUN and IS was suppressed by concomitant administration of AST-120. Rectal temperature was significantly lowered 72-92 h after CDDP-treatment, which was partially restored by coadministration of AST-120. Moreover, the amplitude of rectal temperature rhythms was disrupted by treatment with CDDP. Circadian rhythm of rPer2 mRNA expression, a clock gene, in suprachiasmatic nucleus (SCN) and kidney was disturbed in CDDP-treated rats.\nCONCLUSIONS: An increase in the IS level and the associated disturbance to the circadian rhythm are involved in the renal and CNS toxicities in CDDP-treatment.","container-title":"Pharmaceutical Research","DOI":"10.1007/s11095-006-9183-2","ISSN":"0724-8741","issue":"4","journalAbbreviation":"Pharm Res","language":"eng","note":"PMID: 17318420","page":"662-671","source":"PubMed","title":"Involvement of indoxyl sulfate in renal and central nervous system toxicities during cisplatin-induced acute renal failure","volume":"24","author":[{"family":"Iwata","given":"Kazufumi"},{"family":"Watanabe","given":"Hiroshi"},{"family":"Morisaki","given":"Takafumi"},{"family":"Matsuzaki","given":"Takanobu"},{"family":"Ohmura","given":"Takafumi"},{"family":"Hamada","given":"Akinobu"},{"family":"Saito","given":"Hideyuki"}],"issued":{"date-parts":[["2007",4]]}}}],"schema":"https://github.com/citation-style-language/schema/raw/master/csl-citation.json"} </w:instrText>
      </w:r>
      <w:r w:rsidR="00E1486D" w:rsidRPr="009E3412">
        <w:rPr>
          <w:rFonts w:ascii="Times New Roman" w:hAnsi="Times New Roman" w:cs="Times New Roman"/>
        </w:rPr>
        <w:fldChar w:fldCharType="separate"/>
      </w:r>
      <w:r w:rsidR="00CC6090" w:rsidRPr="009E3412">
        <w:rPr>
          <w:rFonts w:ascii="Times New Roman" w:hAnsi="Times New Roman" w:cs="Times New Roman"/>
        </w:rPr>
        <w:t>[94,95]</w:t>
      </w:r>
      <w:r w:rsidR="00E1486D" w:rsidRPr="009E3412">
        <w:rPr>
          <w:rFonts w:ascii="Times New Roman" w:hAnsi="Times New Roman" w:cs="Times New Roman"/>
        </w:rPr>
        <w:fldChar w:fldCharType="end"/>
      </w:r>
      <w:r w:rsidR="001D736C" w:rsidRPr="009E3412">
        <w:rPr>
          <w:rFonts w:ascii="Times New Roman" w:hAnsi="Times New Roman" w:cs="Times New Roman"/>
        </w:rPr>
        <w:t>, likely cont</w:t>
      </w:r>
      <w:r w:rsidR="008A700E" w:rsidRPr="009E3412">
        <w:rPr>
          <w:rFonts w:ascii="Times New Roman" w:hAnsi="Times New Roman" w:cs="Times New Roman"/>
        </w:rPr>
        <w:t>ributing to cognitive decline</w:t>
      </w:r>
      <w:r w:rsidR="00E1486D" w:rsidRPr="009E3412">
        <w:rPr>
          <w:rFonts w:ascii="Times New Roman" w:hAnsi="Times New Roman" w:cs="Times New Roman"/>
        </w:rPr>
        <w:t>.</w:t>
      </w:r>
      <w:r w:rsidR="00C66C55" w:rsidRPr="009E3412">
        <w:rPr>
          <w:rFonts w:ascii="Times New Roman" w:hAnsi="Times New Roman" w:cs="Times New Roman"/>
        </w:rPr>
        <w:t xml:space="preserve"> </w:t>
      </w:r>
      <w:r w:rsidR="00C449FE" w:rsidRPr="009E3412">
        <w:rPr>
          <w:rFonts w:ascii="Times New Roman" w:hAnsi="Times New Roman" w:cs="Times New Roman"/>
        </w:rPr>
        <w:t>S</w:t>
      </w:r>
      <w:r w:rsidR="00926181" w:rsidRPr="009E3412">
        <w:rPr>
          <w:rFonts w:ascii="Times New Roman" w:hAnsi="Times New Roman" w:cs="Times New Roman"/>
        </w:rPr>
        <w:t xml:space="preserve">erum levels of indoxyl </w:t>
      </w:r>
      <w:proofErr w:type="spellStart"/>
      <w:r w:rsidR="00926181" w:rsidRPr="009E3412">
        <w:rPr>
          <w:rFonts w:ascii="Times New Roman" w:hAnsi="Times New Roman" w:cs="Times New Roman"/>
        </w:rPr>
        <w:t>sulfate</w:t>
      </w:r>
      <w:proofErr w:type="spellEnd"/>
      <w:r w:rsidR="00926181" w:rsidRPr="009E3412">
        <w:rPr>
          <w:rFonts w:ascii="Times New Roman" w:hAnsi="Times New Roman" w:cs="Times New Roman"/>
        </w:rPr>
        <w:t xml:space="preserve">, as well as albumin, have previously been </w:t>
      </w:r>
      <w:r w:rsidR="002E5C6C" w:rsidRPr="009E3412">
        <w:rPr>
          <w:rFonts w:ascii="Times New Roman" w:hAnsi="Times New Roman" w:cs="Times New Roman"/>
        </w:rPr>
        <w:t>identified</w:t>
      </w:r>
      <w:r w:rsidR="00744617" w:rsidRPr="009E3412">
        <w:rPr>
          <w:rFonts w:ascii="Times New Roman" w:hAnsi="Times New Roman" w:cs="Times New Roman"/>
        </w:rPr>
        <w:t xml:space="preserve"> as </w:t>
      </w:r>
      <w:r w:rsidR="00161A8E" w:rsidRPr="009E3412">
        <w:rPr>
          <w:rFonts w:ascii="Times New Roman" w:hAnsi="Times New Roman" w:cs="Times New Roman"/>
        </w:rPr>
        <w:t>predictors</w:t>
      </w:r>
      <w:r w:rsidR="00744617" w:rsidRPr="009E3412">
        <w:rPr>
          <w:rFonts w:ascii="Times New Roman" w:hAnsi="Times New Roman" w:cs="Times New Roman"/>
        </w:rPr>
        <w:t xml:space="preserve"> of cognitive impairment in </w:t>
      </w:r>
      <w:r w:rsidR="00133663" w:rsidRPr="009E3412">
        <w:rPr>
          <w:rFonts w:ascii="Times New Roman" w:hAnsi="Times New Roman" w:cs="Times New Roman"/>
        </w:rPr>
        <w:t>participants</w:t>
      </w:r>
      <w:r w:rsidR="00744617" w:rsidRPr="009E3412">
        <w:rPr>
          <w:rFonts w:ascii="Times New Roman" w:hAnsi="Times New Roman" w:cs="Times New Roman"/>
        </w:rPr>
        <w:t xml:space="preserve"> with </w:t>
      </w:r>
      <w:r w:rsidR="002E5C6C" w:rsidRPr="009E3412">
        <w:rPr>
          <w:rFonts w:ascii="Times New Roman" w:hAnsi="Times New Roman" w:cs="Times New Roman"/>
        </w:rPr>
        <w:t xml:space="preserve">end-stage renal disease </w:t>
      </w:r>
      <w:r w:rsidR="002E5C6C"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{"citationID":"C2x7JL6W","properties":{"formattedCitation":"[96]","plainCitation":"[96]","noteIndex":0},"citationItems":[{"id":469,"uris":["http://zotero.org/users/9893877/items/BJSEPQMW"],"itemData":{"id":469,"type":"article-journal","abstract":"Background Patients with ESRD tend to have more risk factors for cognitive impairment than members of the general population, including hypertension, malnutrition, and accumulation of uremic toxin. Blood-based assays with immunomagentic reduction manner have the advantages of being less invasive and more cost-effective for diagnosing patients with cognitive impairment. However, the clinical application for cognitive impairment in patients with ESRD is still lacking. Method In total, 76 participants aged &gt;45 years were enrolled. The definition of ESRD was receiving maintenance hemodialysis for &gt;3 months. Cognitive impairment was defined as a Mini-Mental State Examination score of ≤24. The participants were divided into groups for health control (n=12), ESRD with (n=23)and without cognitive impairment (n=41). The blood-based biomarkers (tau protein, Aβ1/40, Aβ1/42 ) were analyzed through immunomagnetic reduction assay. Other biochemical and hematologic data were obtained simultaneously. Result The study enrolled 76 patients with health control, ESRD who did not have cognitive impairment and ESRD who had cognitive impairment (Mini-Mental State Examination [MMSE]: 30.00± 0.00, 27.60 ± 1.80 vs 18.00 ± 5.09, p &lt; 0.05). The serum albumin was lower in the ESRD with cognitive impairment group (3.70 ± 0.24g/dL, vs 3.89±0.30 g/dL in ESRD without cognitive impairment and 4.40± 0.27g/dL in health control, p&lt;0.05). The indoxyl sulfate concentration was lower in the health control rather than other group (5212 ±14621 ng/mL vs 44783 ±23799ng/mL in ESRD with cognitive impairment and 52148±23453 ng/mL in ESRD without cognitive impairment, p&lt;0.05). Tau protein, and amyloid beta 1/42 and amyloid beta 1/40 were similar between groups. The area under the curve of albumin and indoxyl sulfate was 0.759 (95% confidence interval: 0.560–0.955, p = 0.037) and 0.748 (95% confidence interval: 0.542–0.954, p = 0.046) respectively for predicting cognitive impairment in the ESRD group. The concentration of albumin was negative correlated with tau (r=-0.306, p=0.011). The indoxyl sulfate was positively correlated with amyloid beta 1/42 (r=0.283, p=0.013) Conclusion Serum albumin and indoxyl sulfate were predictive to the severity of cognitive impariment in patients with ESRD. The albumin was negatively associated with tau protein concentration. Indoxyl sulfate was positively correlated with amyloid beta 1/42.","container-title":"Alzheimer's &amp; Dementia","DOI":"10.1002/alz.053921","ISSN":"1552-5279","issue":"S5","language":"en","note":"_eprint: https://onlinelibrary.wiley.com/doi/pdf/10.1002/alz.053921","page":"e053921","source":"Wiley Online Library","title":"Serum albumin and indoxyl sulfate were predictive of cognitive impairment via amyloid beta and tauopathy, respectively, in end-stage renal disease patients","volume":"17","author":[{"family":"Hou","given":"Yi-Chou"},{"family":"Lu","given":"Kuo-Cheng"},{"family":"Huang","given":"Chuen-Lin"},{"family":"Lin","given":"Yuh-Feng"},{"family":"Chen","given":"Ruei-Ming"}],"issued":{"date-parts":[["2021"]]}}}],"schema":"https://github.com/citation-style-language/schema/raw/master/csl-citation.json"} </w:instrText>
      </w:r>
      <w:r w:rsidR="002E5C6C" w:rsidRPr="009E3412">
        <w:rPr>
          <w:rFonts w:ascii="Times New Roman" w:hAnsi="Times New Roman" w:cs="Times New Roman"/>
        </w:rPr>
        <w:fldChar w:fldCharType="separate"/>
      </w:r>
      <w:r w:rsidR="00CC6090" w:rsidRPr="009E3412">
        <w:rPr>
          <w:rFonts w:ascii="Times New Roman" w:hAnsi="Times New Roman" w:cs="Times New Roman"/>
        </w:rPr>
        <w:t>[96]</w:t>
      </w:r>
      <w:r w:rsidR="002E5C6C" w:rsidRPr="009E3412">
        <w:rPr>
          <w:rFonts w:ascii="Times New Roman" w:hAnsi="Times New Roman" w:cs="Times New Roman"/>
        </w:rPr>
        <w:fldChar w:fldCharType="end"/>
      </w:r>
      <w:r w:rsidR="002E5C6C" w:rsidRPr="009E3412">
        <w:rPr>
          <w:rFonts w:ascii="Times New Roman" w:hAnsi="Times New Roman" w:cs="Times New Roman"/>
        </w:rPr>
        <w:t>.</w:t>
      </w:r>
      <w:r w:rsidR="00871A10" w:rsidRPr="009E3412">
        <w:rPr>
          <w:rFonts w:ascii="Times New Roman" w:hAnsi="Times New Roman" w:cs="Times New Roman"/>
        </w:rPr>
        <w:t xml:space="preserve"> </w:t>
      </w:r>
      <w:r w:rsidR="00161A8E" w:rsidRPr="009E3412">
        <w:rPr>
          <w:rFonts w:ascii="Times New Roman" w:hAnsi="Times New Roman" w:cs="Times New Roman"/>
        </w:rPr>
        <w:t xml:space="preserve">End-stage renal disease patients </w:t>
      </w:r>
      <w:bookmarkStart w:id="3" w:name="_Hlk191883666"/>
      <w:r w:rsidR="00161A8E" w:rsidRPr="009E3412">
        <w:rPr>
          <w:rFonts w:ascii="Times New Roman" w:hAnsi="Times New Roman" w:cs="Times New Roman"/>
        </w:rPr>
        <w:t xml:space="preserve">exhibit significantly elevated indoxyl </w:t>
      </w:r>
      <w:proofErr w:type="spellStart"/>
      <w:r w:rsidR="00161A8E" w:rsidRPr="009E3412">
        <w:rPr>
          <w:rFonts w:ascii="Times New Roman" w:hAnsi="Times New Roman" w:cs="Times New Roman"/>
        </w:rPr>
        <w:t>sulfate</w:t>
      </w:r>
      <w:bookmarkEnd w:id="3"/>
      <w:proofErr w:type="spellEnd"/>
      <w:r w:rsidR="00161A8E" w:rsidRPr="009E3412">
        <w:rPr>
          <w:rFonts w:ascii="Times New Roman" w:hAnsi="Times New Roman" w:cs="Times New Roman"/>
        </w:rPr>
        <w:t xml:space="preserve"> levels due to impaired renal clearance, alongside an increased abundance of the gut bacteria </w:t>
      </w:r>
      <w:proofErr w:type="spellStart"/>
      <w:r w:rsidR="00161A8E" w:rsidRPr="009E3412">
        <w:rPr>
          <w:rFonts w:ascii="Times New Roman" w:hAnsi="Times New Roman" w:cs="Times New Roman"/>
          <w:i/>
          <w:iCs/>
        </w:rPr>
        <w:t>Holdemania</w:t>
      </w:r>
      <w:proofErr w:type="spellEnd"/>
      <w:r w:rsidR="00161A8E" w:rsidRPr="009E3412">
        <w:rPr>
          <w:rFonts w:ascii="Times New Roman" w:hAnsi="Times New Roman" w:cs="Times New Roman"/>
        </w:rPr>
        <w:t xml:space="preserve">, in line with our findings </w:t>
      </w:r>
      <w:r w:rsidR="006761D3"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{"citationID":"MihtByhn","properties":{"formattedCitation":"[97]","plainCitation":"[97]","noteIndex":0},"citationItems":[{"id":1178,"uris":["http://zotero.org/users/9893877/items/MLCBACLE"],"itemData":{"id":1178,"type":"article-journal","abstract":"Patients with end-stage renal disease (ESRD) are notably accompanied by cognitive disorder and anxiety or depressive symptom. We aimed to explore the linkages of the amygdala-based MR parameters, cognitive and mood performance, systematic inflammation and gut microbiota in ESRD. This prospective study enrolled 28 ESRD patients (13 males and 15 females, mean age of 43.9 ± 13.8 years) and 19 age- and sex-matched healthy control (HC) (12 males and 7 females, mean age of 44.1 ± 10.0 years). All subjects underwent cognitive assessment, inflammatory factor and stool microbiota analysis, and brain MRI analysis [amygdala-based functional connectivity and voxel-based morphometry (VBM)]. ERSD was separated by different microbiota strains. All factors were compared between ESRD and HC, as well as between ESRD subgroups. Pearson correlation analysis and causal mediation analysis were conducted to further investigate the relationship among the factors derived from the gut microbiota, brain and systemic inflammation. ESRD displayed gut dysbiosis and increased systemic inflammation when compared to HC (all P &lt; 0.05). Meanwhile, ESRD showed smaller VBM in amygdala, decreased functional connectivity in left amygdala - right inferior parietal lobe [P &lt; 0.05, Gaussian Random Field (GRF) corrected] and worse cognitive or mood performance. Moreover, ESRD-B (Prevutella mainly), when compared to ESRD-A (Bacteroides mainly), displayed increased interleukin-6, self-rating anxiety scale and functional connectivity in left amygdala - bilateral anterior cingulate cortex / medial superior frontal cortex (P &lt; 0.05, GRF corrected). Furthermore, the correlation network of ESRD showed that both gut dysbiosis and amygdala-based alteration were correlated with cognitive performance and systemic inflammation. Causal mediation analysis validated that the disrupted distribution of Roseburia indirectly regulated the amygdala-based functional connectivity through tumor necrosis factor-alpha. The gut dysbiosis induced by ESRD was closely related to pro-inflammatory cytokines, amygdala-based phenotype, and mood performance. The lower abundance in Roseburia indirectly modulated amygdala-based functional connectivity pattern by tumor necrosis factor-alpha, which might provide a new way in diagnosis and treatment in patients of ESRD with depressive/anxious mood.","container-title":"Brain Imaging and Behavior","DOI":"10.1007/s11682-019-00223-3","ISSN":"1931-7565","issue":"6","journalAbbreviation":"Brain Imaging Behav","language":"eng","note":"PMID: 32304020","page":"2731-2744","source":"PubMed","title":"Gut dysbiosis-influence on amygdala-based functional activity in patients with end stage renal disease: a preliminary study","title-short":"Gut dysbiosis-influence on amygdala-based functional activity in patients with end stage renal disease","volume":"14","author":[{"family":"Zheng","given":"Li Juan"},{"family":"Lin","given":"Li"},{"family":"Zhong","given":"Jianhui"},{"family":"Zhang","given":"Zhihong"},{"family":"Ye","given":"Yu Bing"},{"family":"Zhang","given":"Xin Yuan"},{"family":"Wang","given":"Yun Fei"},{"family":"Zhang","given":"Han"},{"family":"Liu","given":"Ya"},{"family":"Lu","given":"Guang Ming"},{"family":"Gong","given":"Dehua"},{"family":"Zhang","given":"Long Jiang"}],"issued":{"date-parts":[["2020",12]]}}}],"schema":"https://github.com/citation-style-language/schema/raw/master/csl-citation.json"} </w:instrText>
      </w:r>
      <w:r w:rsidR="006761D3" w:rsidRPr="009E3412">
        <w:rPr>
          <w:rFonts w:ascii="Times New Roman" w:hAnsi="Times New Roman" w:cs="Times New Roman"/>
        </w:rPr>
        <w:fldChar w:fldCharType="separate"/>
      </w:r>
      <w:r w:rsidR="00CC6090" w:rsidRPr="009E3412">
        <w:rPr>
          <w:rFonts w:ascii="Times New Roman" w:hAnsi="Times New Roman" w:cs="Times New Roman"/>
        </w:rPr>
        <w:t>[97]</w:t>
      </w:r>
      <w:r w:rsidR="006761D3" w:rsidRPr="009E3412">
        <w:rPr>
          <w:rFonts w:ascii="Times New Roman" w:hAnsi="Times New Roman" w:cs="Times New Roman"/>
        </w:rPr>
        <w:fldChar w:fldCharType="end"/>
      </w:r>
      <w:r w:rsidR="006761D3" w:rsidRPr="009E3412">
        <w:rPr>
          <w:rFonts w:ascii="Times New Roman" w:hAnsi="Times New Roman" w:cs="Times New Roman"/>
        </w:rPr>
        <w:t xml:space="preserve">. </w:t>
      </w:r>
      <w:bookmarkStart w:id="4" w:name="_Hlk191883503"/>
      <w:r w:rsidR="002F461E" w:rsidRPr="009E3412">
        <w:rPr>
          <w:rFonts w:ascii="Times New Roman" w:hAnsi="Times New Roman" w:cs="Times New Roman"/>
        </w:rPr>
        <w:t>I</w:t>
      </w:r>
      <w:r w:rsidR="00161A8E" w:rsidRPr="009E3412">
        <w:rPr>
          <w:rFonts w:ascii="Times New Roman" w:hAnsi="Times New Roman" w:cs="Times New Roman"/>
        </w:rPr>
        <w:t xml:space="preserve">ncreased abundance in end-stage renal patients suggests it may contribute to indoxyl </w:t>
      </w:r>
      <w:proofErr w:type="spellStart"/>
      <w:r w:rsidR="00161A8E" w:rsidRPr="009E3412">
        <w:rPr>
          <w:rFonts w:ascii="Times New Roman" w:hAnsi="Times New Roman" w:cs="Times New Roman"/>
        </w:rPr>
        <w:t>sulfate</w:t>
      </w:r>
      <w:proofErr w:type="spellEnd"/>
      <w:r w:rsidR="00161A8E" w:rsidRPr="009E3412">
        <w:rPr>
          <w:rFonts w:ascii="Times New Roman" w:hAnsi="Times New Roman" w:cs="Times New Roman"/>
        </w:rPr>
        <w:t xml:space="preserve"> levels through </w:t>
      </w:r>
      <w:r w:rsidR="002F461E" w:rsidRPr="009E3412">
        <w:rPr>
          <w:rFonts w:ascii="Times New Roman" w:hAnsi="Times New Roman" w:cs="Times New Roman"/>
        </w:rPr>
        <w:t xml:space="preserve">direct or </w:t>
      </w:r>
      <w:r w:rsidR="00161A8E" w:rsidRPr="009E3412">
        <w:rPr>
          <w:rFonts w:ascii="Times New Roman" w:hAnsi="Times New Roman" w:cs="Times New Roman"/>
        </w:rPr>
        <w:t xml:space="preserve">indirect mechanisms, possibly through involvement in tryptophan metabolism </w:t>
      </w:r>
      <w:r w:rsidR="00161A8E"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{"citationID":"XNFDdtkT","properties":{"formattedCitation":"[98,99]","plainCitation":"[98,99]","noteIndex":0},"citationItems":[{"id":951,"uris":["http://zotero.org/users/9893877/items/D8YLMGE9"],"itemData":{"id":951,"type":"article-journal","abstract":"The link between gut microbiome and brain is being slowly acknowledged due to the speculated role of resident gut microbial community in altering the functions of gut-brain axis (GBA). Recently, a number of microbial metabolites (referred to as neuro-active metabolites) produced through tryptophan metabolism have been suggested to influence the GBA. In view of this, the current study focuses on microbial tryptophan metabolism pathways which produce neuro-active metabolites. An in silico analysis was performed on bacterial genomes as well as publicly available gut microbiome data. The results provide a comprehensive catalog of the analyzed pathways across bacteria. The analysis indicates an enrichment of tryptophan metabolism pathways in five gut-associated phyla, namely, Actinobacteria, Firmicutes, Bacteroidetes, Proteobacteria, and Fusobacteria. Further, five genera, namely, Clostridium, Burkholderia, Streptomyces, Pseudomonas, and Bacillus have been predicted to be enriched in terms of number of the analyzed tryptophan metabolism pathways, suggesting a higher potential of these bacterial groups to metabolize tryptophan in gut. Analysis of available microbiome data corresponding to gut samples from patients of neurological diseases and healthy individuals suggests probable association of different sets of tryptophan metabolizing bacterial pathways with the etiology of different diseases. The insights obtained from the present study are expected to provide directions toward designing of microbiome based diagnostic and therapeutic approaches for neurological diseases/disorders.","container-title":"Frontiers in Neuroscience","DOI":"10.3389/fnins.2019.01365","ISSN":"1662-4548","journalAbbreviation":"Front Neurosci","note":"PMID: 31920519\nPMCID: PMC6930238","page":"1365","source":"PubMed Central","title":"Tryptophan Metabolism by Gut Microbiome and Gut-Brain-Axis: An in silico Analysis","title-short":"Tryptophan Metabolism by Gut Microbiome and Gut-Brain-Axis","volume":"13","author":[{"family":"Kaur","given":"Harrisham"},{"family":"Bose","given":"Chandrani"},{"family":"Mande","given":"Sharmila S."}],"issued":{"date-parts":[["2019",12,18]]}}},{"id":2479,"uris":["http://zotero.org/users/9893877/items/LKJ45YBL"],"itemData":{"id":2479,"type":"article-journal","abstract":"The gut microbiota of breast-fed and formula-fed infants differ significantly, as do the risks for allergies, gut dysfunction, and upper respiratory tract infections. The connections between breast milk, various formulas, and the profiles of gut bacteria to these childhood illnesses, as well as the mechanisms underlying the effects, are not well understood.","container-title":"Microbiome","DOI":"10.1186/s40168-017-0297-z","ISSN":"2049-2618","issue":"1","journalAbbreviation":"Microbiome","page":"77","source":"BioMed Central","title":"Formula diet driven microbiota shifts tryptophan metabolism from serotonin to tryptamine in neonatal porcine colon","volume":"5","author":[{"family":"Saraf","given":"Manish Kumar"},{"family":"Piccolo","given":"Brian D."},{"family":"Bowlin","given":"Anne K."},{"family":"Mercer","given":"Kelly E."},{"family":"LeRoith","given":"Tanya"},{"family":"Chintapalli","given":"Sree V."},{"family":"Shankar","given":"Kartik"},{"family":"Badger","given":"Thomas M."},{"family":"Yeruva","given":"Laxmi"}],"issued":{"date-parts":[["2017",7,14]]}}}],"schema":"https://github.com/citation-style-language/schema/raw/master/csl-citation.json"} </w:instrText>
      </w:r>
      <w:r w:rsidR="00161A8E" w:rsidRPr="009E3412">
        <w:rPr>
          <w:rFonts w:ascii="Times New Roman" w:hAnsi="Times New Roman" w:cs="Times New Roman"/>
        </w:rPr>
        <w:fldChar w:fldCharType="separate"/>
      </w:r>
      <w:r w:rsidR="00CC6090" w:rsidRPr="009E3412">
        <w:rPr>
          <w:rFonts w:ascii="Times New Roman" w:hAnsi="Times New Roman" w:cs="Times New Roman"/>
        </w:rPr>
        <w:t>[98,99]</w:t>
      </w:r>
      <w:r w:rsidR="00161A8E" w:rsidRPr="009E3412">
        <w:rPr>
          <w:rFonts w:ascii="Times New Roman" w:hAnsi="Times New Roman" w:cs="Times New Roman"/>
        </w:rPr>
        <w:fldChar w:fldCharType="end"/>
      </w:r>
      <w:r w:rsidR="00161A8E" w:rsidRPr="009E3412">
        <w:rPr>
          <w:rFonts w:ascii="Times New Roman" w:hAnsi="Times New Roman" w:cs="Times New Roman"/>
        </w:rPr>
        <w:t xml:space="preserve">. </w:t>
      </w:r>
      <w:bookmarkEnd w:id="4"/>
      <w:r w:rsidR="00C177F9" w:rsidRPr="009E3412">
        <w:rPr>
          <w:rFonts w:ascii="Times New Roman" w:hAnsi="Times New Roman" w:cs="Times New Roman"/>
        </w:rPr>
        <w:t>Rodent studies show</w:t>
      </w:r>
      <w:r w:rsidR="0065490A" w:rsidRPr="009E3412">
        <w:rPr>
          <w:rFonts w:ascii="Times New Roman" w:hAnsi="Times New Roman" w:cs="Times New Roman"/>
        </w:rPr>
        <w:t xml:space="preserve"> increased kynurenic acid concentrations</w:t>
      </w:r>
      <w:r w:rsidR="00C177F9" w:rsidRPr="009E3412">
        <w:rPr>
          <w:rFonts w:ascii="Times New Roman" w:hAnsi="Times New Roman" w:cs="Times New Roman"/>
        </w:rPr>
        <w:t xml:space="preserve"> can</w:t>
      </w:r>
      <w:r w:rsidR="0065490A" w:rsidRPr="009E3412">
        <w:rPr>
          <w:rFonts w:ascii="Times New Roman" w:hAnsi="Times New Roman" w:cs="Times New Roman"/>
        </w:rPr>
        <w:t xml:space="preserve"> </w:t>
      </w:r>
      <w:r w:rsidR="007F7D78" w:rsidRPr="009E3412">
        <w:rPr>
          <w:rFonts w:ascii="Times New Roman" w:hAnsi="Times New Roman" w:cs="Times New Roman"/>
        </w:rPr>
        <w:t>impair</w:t>
      </w:r>
      <w:r w:rsidR="0065490A" w:rsidRPr="009E3412">
        <w:rPr>
          <w:rFonts w:ascii="Times New Roman" w:hAnsi="Times New Roman" w:cs="Times New Roman"/>
        </w:rPr>
        <w:t xml:space="preserve"> cognitive function, including spatial working memory, and broad monitoring deficits </w:t>
      </w:r>
      <w:r w:rsidR="0065490A"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{"citationID":"X1OEQMGi","properties":{"formattedCitation":"[100,101]","plainCitation":"[100,101]","noteIndex":0},"citationItems":[{"id":284,"uris":["http://zotero.org/users/9893877/items/XSIGBEUR"],"itemData":{"id":284,"type":"article-journal","abstract":"RATIONALE: Elevated brain kynurenic acid (KYNA) levels are implicated in the pathology and neurodevelopmental pathogenesis of schizophrenia. In rats, embryonic treatment with kynurenine (EKyn) causes elevated brain KYNA levels in adulthood and cognitive deficits reminiscent of schizophrenia.\nOBJECTIVES: Growing evidence suggests that people with schizophrenia have a narrowed attentional focus, and we aimed at establishing whether these abnormalities may be related to KYNA dysregulation.\nMETHODS: To test whether EKyn rats display broad monitoring deficits, kynurenine was added to the chow of pregnant Wistar dams on embryonic days 15-22. As adults, 20 EKyn and 20 control rats were trained to stable performance on the five-choice serial reaction time task, requiring the localization of 1-s light stimuli presented randomly across five apertures horizontally arranged along a curved wall, equating the locomotor demands of reaching each hole.\nRESULTS: EKyn rats displayed elevated omission errors and reduced anticipatory responses relative to control rats, indicative of a lower response rate, and showed reduced locomotor activity. The ability to spread attention broadly was measured by parsing performance by stimulus location. Both groups displayed poorer stimulus detection with greater target location eccentricity, but this effect was significantly more pronounced in the EKyn group. Specifically, the groups differed in the spatial distribution of correct but not incorrect responses. This pattern cannot be explained by differences in response rate and is indicative of a narrowed attentional focus.\nCONCLUSIONS: The findings suggest a potential etiology of broad monitoring deficits in schizophrenia, which may constitute a core cognitive deficit.","container-title":"Psychopharmacology","DOI":"10.1007/s00213-017-4780-9","ISSN":"1432-2072","issue":"3","journalAbbreviation":"Psychopharmacology (Berl)","language":"eng","note":"PMID: 29128872\nPMCID: PMC5823752","page":"651-661","source":"PubMed","title":"Prenatal kynurenine treatment in rats causes schizophrenia-like broad monitoring deficits in adulthood","volume":"235","author":[{"family":"Hahn","given":"Britta"},{"family":"Reneski","given":"Carolyn H."},{"family":"Pocivavsek","given":"Ana"},{"family":"Schwarcz","given":"Robert"}],"issued":{"date-parts":[["2018",3]]}}},{"id":287,"uris":["http://zotero.org/users/9893877/items/DDQ6DLFR","http://zotero.org/users/9893877/items/HJ5ZB42K"],"itemData":{"id":287,"type":"article-journal","abstract":"Kynurenic acid (KYNA), an astrocyte-derived metabolite, antagonizes the α7 nicotinic acetylcholine receptor (α7nAChR) and, possibly, the glycine co-agonist site of the NMDA receptor at endogenous brain concentrations. As both receptors are involved in cognitive processes, KYNA elevations may aggrava …","container-title":"Neuropsychopharmacology : official publication of the American College of Neuropsychopharmacology","DOI":"10.1038/npp.2011.127","ISSN":"1740-634X","issue":"11","language":"en","note":"publisher: Neuropsychopharmacology\nPMID: 21796108","source":"pubmed.ncbi.nlm.nih.gov","title":"Fluctuations in endogenous kynurenic acid control hippocampal glutamate and memory","URL":"https://pubmed.ncbi.nlm.nih.gov/21796108/","volume":"36","author":[{"family":"Pocivavsek","given":"Ana"},{"family":"Hq","given":"Wu"},{"family":"Mc","given":"Potter"},{"family":"Gi","given":"Elmer"},{"family":"R","given":"Pellicciari"},{"family":"R","given":"Schwarcz"}],"accessed":{"date-parts":[["2022",10,19]]},"issued":{"date-parts":[["2011",10]]}}}],"schema":"https://github.com/citation-style-language/schema/raw/master/csl-citation.json"} </w:instrText>
      </w:r>
      <w:r w:rsidR="0065490A" w:rsidRPr="009E3412">
        <w:rPr>
          <w:rFonts w:ascii="Times New Roman" w:hAnsi="Times New Roman" w:cs="Times New Roman"/>
        </w:rPr>
        <w:fldChar w:fldCharType="separate"/>
      </w:r>
      <w:r w:rsidR="00CC6090" w:rsidRPr="009E3412">
        <w:rPr>
          <w:rFonts w:ascii="Times New Roman" w:hAnsi="Times New Roman" w:cs="Times New Roman"/>
        </w:rPr>
        <w:t>[100,101]</w:t>
      </w:r>
      <w:r w:rsidR="0065490A" w:rsidRPr="009E3412">
        <w:rPr>
          <w:rFonts w:ascii="Times New Roman" w:hAnsi="Times New Roman" w:cs="Times New Roman"/>
        </w:rPr>
        <w:fldChar w:fldCharType="end"/>
      </w:r>
      <w:r w:rsidR="0065490A" w:rsidRPr="009E3412">
        <w:rPr>
          <w:rFonts w:ascii="Times New Roman" w:hAnsi="Times New Roman" w:cs="Times New Roman"/>
        </w:rPr>
        <w:t xml:space="preserve">. However, </w:t>
      </w:r>
      <w:r w:rsidR="007F7D78" w:rsidRPr="009E3412">
        <w:rPr>
          <w:rFonts w:ascii="Times New Roman" w:hAnsi="Times New Roman" w:cs="Times New Roman"/>
        </w:rPr>
        <w:t xml:space="preserve">data regarding this </w:t>
      </w:r>
      <w:r w:rsidR="0065490A" w:rsidRPr="009E3412">
        <w:rPr>
          <w:rFonts w:ascii="Times New Roman" w:hAnsi="Times New Roman" w:cs="Times New Roman"/>
        </w:rPr>
        <w:t>relationship in human studies is inconsistent</w:t>
      </w:r>
      <w:r w:rsidR="00DB4264" w:rsidRPr="009E3412">
        <w:rPr>
          <w:rFonts w:ascii="Times New Roman" w:hAnsi="Times New Roman" w:cs="Times New Roman"/>
        </w:rPr>
        <w:t xml:space="preserve"> </w:t>
      </w:r>
      <w:r w:rsidR="0065490A"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{"citationID":"aTFENe2Y","properties":{"formattedCitation":"[102,103]","plainCitation":"[102,103]","noteIndex":0},"citationItems":[{"id":291,"uris":["http://zotero.org/users/9893877/items/7GTYS7QS"],"itemData":{"id":291,"type":"article-journal","abstract":"The kynurenine pathway of tryptophan metabolism has been implicated in the pathophysiology of psychiatric disorders, including schizophrenia. We report here that the kynurenine metabolite, xanturenic acid (XA), interacts with, and activates mGlu2 and mGlu3 metabotropic glutamate receptors in heterologous expression systems. However, the molecular nature of this interaction is unknown, and our data cannot exclude that XA acts primarily on other targets, such as the vesicular glutamate transporter, in the CNS. Systemic administration of XA in mice produced antipsychotic-like effects in the MK-801-induced model of hyperactivity. This effect required the presence of mGlu2 receptors and was abrogated by the preferential mGlu2/3 receptor antagonist, LY341495. Because the mGlu2 receptor is a potential drug target in the treatment of schizophrenia, we decided to measure serum levels of XA and other kynurenine metabolites in patients affected by schizophrenia. Serum XA levels were largely reduced in a large cohort of patients affected by schizophrenia, and, in patients with first-episode schizophrenia, levels remained low after 12 months of antipsychotic medication. As opposed to other kynurenine metabolites, XA levels were also significantly reduced in first-degree relatives of patients affected by schizophrenia. We suggest that lowered serum XA levels might represent a novel trait marker for schizophrenia.","container-title":"Scientific Reports","DOI":"10.1038/srep17799","ISSN":"2045-2322","journalAbbreviation":"Sci Rep","language":"eng","note":"PMID: 26643205\nPMCID: PMC4672300","page":"17799","source":"PubMed","title":"Xanthurenic Acid Activates mGlu2/3 Metabotropic Glutamate Receptors and is a Potential Trait Marker for Schizophrenia","volume":"5","author":[{"family":"Fazio","given":"Francesco"},{"family":"Lionetto","given":"Luana"},{"family":"Curto","given":"Martina"},{"family":"Iacovelli","given":"Luisa"},{"family":"Cavallari","given":"Michele"},{"family":"Zappulla","given":"Cristina"},{"family":"Ulivieri","given":"Martina"},{"family":"Napoletano","given":"Flavia"},{"family":"Capi","given":"Matilde"},{"family":"Corigliano","given":"Valentina"},{"family":"Scaccianoce","given":"Sergio"},{"family":"Caruso","given":"Alessandra"},{"family":"Miele","given":"Jessica"},{"family":"De Fusco","given":"Antonio"},{"family":"Di Menna","given":"Luisa"},{"family":"Comparelli","given":"Anna"},{"family":"De Carolis","given":"Antonella"},{"family":"Gradini","given":"Roberto"},{"family":"Nisticò","given":"Robert"},{"family":"De Blasi","given":"Antonio"},{"family":"Girardi","given":"Paolo"},{"family":"Bruno","given":"Valeria"},{"family":"Battaglia","given":"Giuseppe"},{"family":"Nicoletti","given":"Ferdinando"},{"family":"Simmaco","given":"Maurizio"}],"issued":{"date-parts":[["2015",12,8]]}}},{"id":294,"uris":["http://zotero.org/users/9893877/items/66BCD7RF"],"itemData":{"id":294,"type":"article-journal","abstract":"IMPORTANCE: Several lines of evidence have linked the endogenous neuromodulator kynurenic acid (KYNA) to schizophrenia. The pathophysiology of schizophrenia is commonly associated with stress, and stress plays a key regulatory role in the first, rate-limiting step of the kynurenine pathway, which produces KYNA.\nOBJECTIVE: To determine whether the level of KYNA changes following psychological stress and whether this change is associated with stress-related behavior.\nDESIGN, SETTING, AND PARTICIPANTS: The KYNA level was measured in saliva samples taken at baseline and at 2 times following a laboratory-based psychological stress challenge in 128 participants (64 patients with schizophrenia from outpatient clinics and 64 healthy controls from the community).\nEXPOSURE: Laboratory-based psychological stress challenge.\nMAIN OUTCOMES AND MEASURES: Quitting the stressful task early was used as a behavioral marker of distress intolerance.\nRESULTS: Patients with schizophrenia showed a significantly higher rate of distress intolerance compared with healthy controls (P = .003). Salivary KYNA levels increased significantly between baseline and 20 minutes following the stress task in both patients and controls (mean [SEM], 6.72nM [0.65nM] vs 8.43nM [1.05nM], respectively; P = .007). Patients who were unable to tolerate the stressful tasks and quit early showed significantly higher levels of KYNA than patients who tolerated the psychological stressor (P = .02) or healthy controls (P = .02). In patients with distress intolerance, KYNA elevation significantly correlated with the severity of clinical symptoms (ρ = 0.64; P = .008).\nCONCLUSIONS AND RELEVANCE: Distress intolerance is more common in patients with schizophrenia. Patients with this behavioral phenotype have elevated salivary KYNA levels. This stress response behavior-linked biomarker may aid heterogeneity reduction in schizophrenia and other stress-related psychiatric conditions.","container-title":"JAMA psychiatry","DOI":"10.1001/jamapsychiatry.2014.243","ISSN":"2168-6238","issue":"7","journalAbbreviation":"JAMA Psychiatry","language":"eng","note":"PMID: 24806441\nPMCID: PMC4219570","page":"761-768","source":"PubMed","title":"Stress-induced increase in kynurenic acid as a potential biomarker for patients with schizophrenia and distress intolerance","volume":"71","author":[{"family":"Chiappelli","given":"Joshua"},{"family":"Pocivavsek","given":"Ana"},{"family":"Nugent","given":"Katie L."},{"family":"Notarangelo","given":"Francesca M."},{"family":"Kochunov","given":"Peter"},{"family":"Rowland","given":"Laura M."},{"family":"Schwarcz","given":"Robert"},{"family":"Hong","given":"L. Elliot"}],"issued":{"date-parts":[["2014",7,1]]}}}],"schema":"https://github.com/citation-style-language/schema/raw/master/csl-citation.json"} </w:instrText>
      </w:r>
      <w:r w:rsidR="0065490A" w:rsidRPr="009E3412">
        <w:rPr>
          <w:rFonts w:ascii="Times New Roman" w:hAnsi="Times New Roman" w:cs="Times New Roman"/>
        </w:rPr>
        <w:fldChar w:fldCharType="separate"/>
      </w:r>
      <w:r w:rsidR="00CC6090" w:rsidRPr="009E3412">
        <w:rPr>
          <w:rFonts w:ascii="Times New Roman" w:hAnsi="Times New Roman" w:cs="Times New Roman"/>
        </w:rPr>
        <w:t>[102,103]</w:t>
      </w:r>
      <w:r w:rsidR="0065490A" w:rsidRPr="009E3412">
        <w:rPr>
          <w:rFonts w:ascii="Times New Roman" w:hAnsi="Times New Roman" w:cs="Times New Roman"/>
        </w:rPr>
        <w:fldChar w:fldCharType="end"/>
      </w:r>
      <w:r w:rsidR="0065490A" w:rsidRPr="009E3412">
        <w:rPr>
          <w:rFonts w:ascii="Times New Roman" w:hAnsi="Times New Roman" w:cs="Times New Roman"/>
        </w:rPr>
        <w:t>.</w:t>
      </w:r>
      <w:r w:rsidR="00ED6037" w:rsidRPr="009E3412">
        <w:rPr>
          <w:rFonts w:ascii="Times New Roman" w:hAnsi="Times New Roman" w:cs="Times New Roman"/>
        </w:rPr>
        <w:t xml:space="preserve"> </w:t>
      </w:r>
      <w:r w:rsidR="003318EB" w:rsidRPr="009E3412">
        <w:rPr>
          <w:rFonts w:ascii="Times New Roman" w:hAnsi="Times New Roman" w:cs="Times New Roman"/>
        </w:rPr>
        <w:t xml:space="preserve">Kynurenic acid can play a protective role against the cytotoxic product of the kynurenine pathway, quinolinic acid, by acting as an NMDA antagonist for both glycine and glutamate modulatory sites </w:t>
      </w:r>
      <w:r w:rsidR="003318EB"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{"citationID":"cpYZSzB4","properties":{"formattedCitation":"[104]","plainCitation":"[104]","noteIndex":0},"citationItems":[{"id":327,"uris":["http://zotero.org/users/9893877/items/VKHAA26N"],"itemData":{"id":327,"type":"article-journal","abstract":"Understanding the neurochemical basis for cognitive function is one of the major goals of neuroscience, with a potential impact on the diagnosis, prevention and treatment of a range of psychiatric and neurological disorders. In this review, the focus will be on a biochemical pathway that remains under-recognized in its implications for brain function, even though it can be responsible for moderating the activity of two neurotransmitters fundamentally involved in cognition - glutamate and acetylcholine. Since this pathway - the kynurenine pathway of tryptophan metabolism - is induced by immunological activation and stress, it also stands in a unique position to mediate the effects of environmental factors on cognition and behaviour. Targeting the pathway for new drug development could, therefore, be of value not only for the treatment of existing psychiatric conditions, but also for preventing the development of cognitive disorders in response to environmental pressures.","container-title":"British Journal of Pharmacology","DOI":"10.1111/bph.12230","ISSN":"1476-5381","issue":"6","journalAbbreviation":"Br J Pharmacol","language":"eng","note":"PMID: 23647169\nPMCID: PMC3831703","page":"1211-1227","source":"PubMed","title":"The kynurenine pathway as a therapeutic target in cognitive and neurodegenerative disorders","volume":"169","author":[{"family":"Stone","given":"Trevor W."},{"family":"Darlington","given":"L. Gail"}],"issued":{"date-parts":[["2013",7]]}}}],"schema":"https://github.com/citation-style-language/schema/raw/master/csl-citation.json"} </w:instrText>
      </w:r>
      <w:r w:rsidR="003318EB" w:rsidRPr="009E3412">
        <w:rPr>
          <w:rFonts w:ascii="Times New Roman" w:hAnsi="Times New Roman" w:cs="Times New Roman"/>
        </w:rPr>
        <w:fldChar w:fldCharType="separate"/>
      </w:r>
      <w:r w:rsidR="00CC6090" w:rsidRPr="009E3412">
        <w:rPr>
          <w:rFonts w:ascii="Times New Roman" w:hAnsi="Times New Roman" w:cs="Times New Roman"/>
        </w:rPr>
        <w:t>[104]</w:t>
      </w:r>
      <w:r w:rsidR="003318EB" w:rsidRPr="009E3412">
        <w:rPr>
          <w:rFonts w:ascii="Times New Roman" w:hAnsi="Times New Roman" w:cs="Times New Roman"/>
        </w:rPr>
        <w:fldChar w:fldCharType="end"/>
      </w:r>
      <w:r w:rsidR="003318EB" w:rsidRPr="009E3412">
        <w:rPr>
          <w:rFonts w:ascii="Times New Roman" w:hAnsi="Times New Roman" w:cs="Times New Roman"/>
        </w:rPr>
        <w:t>. However, a</w:t>
      </w:r>
      <w:r w:rsidR="00650F1A" w:rsidRPr="009E3412">
        <w:rPr>
          <w:rFonts w:ascii="Times New Roman" w:hAnsi="Times New Roman" w:cs="Times New Roman"/>
        </w:rPr>
        <w:t xml:space="preserve">bnormal accumulation </w:t>
      </w:r>
      <w:r w:rsidR="00DB4264" w:rsidRPr="009E3412">
        <w:rPr>
          <w:rFonts w:ascii="Times New Roman" w:hAnsi="Times New Roman" w:cs="Times New Roman"/>
        </w:rPr>
        <w:t>has previously been found to</w:t>
      </w:r>
      <w:r w:rsidR="001A0DCA" w:rsidRPr="009E3412">
        <w:rPr>
          <w:rFonts w:ascii="Times New Roman" w:hAnsi="Times New Roman" w:cs="Times New Roman"/>
        </w:rPr>
        <w:t xml:space="preserve"> induce </w:t>
      </w:r>
      <w:r w:rsidR="00EC03DC" w:rsidRPr="009E3412">
        <w:rPr>
          <w:rFonts w:ascii="Times New Roman" w:hAnsi="Times New Roman" w:cs="Times New Roman"/>
        </w:rPr>
        <w:t>glutamatergic</w:t>
      </w:r>
      <w:r w:rsidR="001A0DCA" w:rsidRPr="009E3412">
        <w:rPr>
          <w:rFonts w:ascii="Times New Roman" w:hAnsi="Times New Roman" w:cs="Times New Roman"/>
        </w:rPr>
        <w:t xml:space="preserve"> hypofunction</w:t>
      </w:r>
      <w:r w:rsidR="00403CA1" w:rsidRPr="009E3412">
        <w:rPr>
          <w:rFonts w:ascii="Times New Roman" w:hAnsi="Times New Roman" w:cs="Times New Roman"/>
        </w:rPr>
        <w:t xml:space="preserve"> and subsequently</w:t>
      </w:r>
      <w:r w:rsidR="001A0DCA" w:rsidRPr="009E3412">
        <w:rPr>
          <w:rFonts w:ascii="Times New Roman" w:hAnsi="Times New Roman" w:cs="Times New Roman"/>
        </w:rPr>
        <w:t xml:space="preserve"> disrupt</w:t>
      </w:r>
      <w:r w:rsidR="00403CA1" w:rsidRPr="009E3412">
        <w:rPr>
          <w:rFonts w:ascii="Times New Roman" w:hAnsi="Times New Roman" w:cs="Times New Roman"/>
        </w:rPr>
        <w:t xml:space="preserve"> </w:t>
      </w:r>
      <w:r w:rsidR="00EC03DC" w:rsidRPr="009E3412">
        <w:rPr>
          <w:rFonts w:ascii="Times New Roman" w:hAnsi="Times New Roman" w:cs="Times New Roman"/>
        </w:rPr>
        <w:t>cognitive</w:t>
      </w:r>
      <w:r w:rsidR="001A0DCA" w:rsidRPr="009E3412">
        <w:rPr>
          <w:rFonts w:ascii="Times New Roman" w:hAnsi="Times New Roman" w:cs="Times New Roman"/>
        </w:rPr>
        <w:t xml:space="preserve"> function</w:t>
      </w:r>
      <w:r w:rsidR="00BB0E8C" w:rsidRPr="009E3412">
        <w:rPr>
          <w:rFonts w:ascii="Times New Roman" w:hAnsi="Times New Roman" w:cs="Times New Roman"/>
        </w:rPr>
        <w:t xml:space="preserve"> </w:t>
      </w:r>
      <w:r w:rsidR="00BB0E8C"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{"citationID":"7xxXK6i8","properties":{"formattedCitation":"[105]","plainCitation":"[105]","noteIndex":0},"citationItems":[{"id":330,"uris":["http://zotero.org/users/9893877/items/GG6GWUMU"],"itemData":{"id":330,"type":"article-journal","abstract":"The kynurenine pathway (KP) is the major route for tryptophan (TRP) metabolism in most mammalian tissues. The KP metabolizes TRP into a number of neuroactive metabolites, such as kynurenine (KYN), kynurenic acid (KYNA), 3-hydroxykynurenine (3-HK), and quinolinic acid (QUIN). Elevated metabolite concentrations in the central nervous system are associated with the pathophysiology of several inflammation-related neuropsychiatric diseases. During an inflammatory response, the initial KP metabolic step is primarily regulated by indoleamine 2,3-dioxygenase 1 (IDO1), which produces KYN from TRP. Following this initial step, the KP has 2 distinct branches; one branch is regulated by kynurenine 3-monooxygenase (KMO) and is primarily responsible for the 3-HK and QUIN production, and the other branch is regulated by kynurenine aminotransferase (KAT), which produces KYNA, an N-methyl-d-aspartate receptor and alpha-7-nicotinic acetylcholine receptor antagonist. Unbalanced KP metabolism has been demonstrated in distinct neuropsychiatric diseases; thus, understanding the mechanisms that regulate KP enzyme expression and activity is important. These enzymes are expressed by specific cell types, and the induction of enzyme expression by inflammatory stimuli also shows cell type specificity. This review provides an overview and discusses the current understanding of the influence of KP enzyme expression and activity in different cell types on the pathophysiological mechanisms of specific neuropsychiatric diseases. Moreover, the potential use of KP enzyme inhibition as a therapeutic strategy for treating neurological diseases is briefly discussed. This article is part of the Special Issue entitled 'The Kynurenine Pathway in Health and Disease'.","container-title":"Neuropharmacology","DOI":"10.1016/j.neuropharm.2016.01.011","ISSN":"1873-7064","issue":"Pt B","journalAbbreviation":"Neuropharmacology","language":"eng","note":"PMID: 26767951","page":"264-274","source":"PubMed","title":"L-Tryptophan-kynurenine pathway enzymes are therapeutic target for neuropsychiatric diseases: Focus on cell type differences","title-short":"L-Tryptophan-kynurenine pathway enzymes are therapeutic target for neuropsychiatric diseases","volume":"112","author":[{"family":"Fujigaki","given":"Hidetsugu"},{"family":"Yamamoto","given":"Yasuko"},{"family":"Saito","given":"Kuniaki"}],"issued":{"date-parts":[["2017",1]]}}}],"schema":"https://github.com/citation-style-language/schema/raw/master/csl-citation.json"} </w:instrText>
      </w:r>
      <w:r w:rsidR="00BB0E8C" w:rsidRPr="009E3412">
        <w:rPr>
          <w:rFonts w:ascii="Times New Roman" w:hAnsi="Times New Roman" w:cs="Times New Roman"/>
        </w:rPr>
        <w:fldChar w:fldCharType="separate"/>
      </w:r>
      <w:r w:rsidR="00CC6090" w:rsidRPr="009E3412">
        <w:rPr>
          <w:rFonts w:ascii="Times New Roman" w:hAnsi="Times New Roman" w:cs="Times New Roman"/>
        </w:rPr>
        <w:t>[105]</w:t>
      </w:r>
      <w:r w:rsidR="00BB0E8C" w:rsidRPr="009E3412">
        <w:rPr>
          <w:rFonts w:ascii="Times New Roman" w:hAnsi="Times New Roman" w:cs="Times New Roman"/>
        </w:rPr>
        <w:fldChar w:fldCharType="end"/>
      </w:r>
      <w:r w:rsidR="001A0DCA" w:rsidRPr="009E3412">
        <w:rPr>
          <w:rFonts w:ascii="Times New Roman" w:hAnsi="Times New Roman" w:cs="Times New Roman"/>
        </w:rPr>
        <w:t>.</w:t>
      </w:r>
      <w:r w:rsidR="00D24C30" w:rsidRPr="009E3412">
        <w:rPr>
          <w:rFonts w:ascii="Times New Roman" w:hAnsi="Times New Roman" w:cs="Times New Roman"/>
        </w:rPr>
        <w:t xml:space="preserve"> </w:t>
      </w:r>
      <w:r w:rsidR="004B5326" w:rsidRPr="009E3412">
        <w:rPr>
          <w:rFonts w:ascii="Times New Roman" w:hAnsi="Times New Roman" w:cs="Times New Roman"/>
        </w:rPr>
        <w:t xml:space="preserve">In AD, increased blood concentrations of kynurenic acid have been hypothesised </w:t>
      </w:r>
      <w:r w:rsidR="00F70706" w:rsidRPr="009E3412">
        <w:rPr>
          <w:rFonts w:ascii="Times New Roman" w:hAnsi="Times New Roman" w:cs="Times New Roman"/>
        </w:rPr>
        <w:t xml:space="preserve">to relate to </w:t>
      </w:r>
      <w:r w:rsidR="005D45E2" w:rsidRPr="009E3412">
        <w:rPr>
          <w:rFonts w:ascii="Times New Roman" w:hAnsi="Times New Roman" w:cs="Times New Roman"/>
        </w:rPr>
        <w:t>neuro</w:t>
      </w:r>
      <w:r w:rsidR="00F70706" w:rsidRPr="009E3412">
        <w:rPr>
          <w:rFonts w:ascii="Times New Roman" w:hAnsi="Times New Roman" w:cs="Times New Roman"/>
        </w:rPr>
        <w:t xml:space="preserve">inflammatory processes and </w:t>
      </w:r>
      <w:r w:rsidR="005069C9" w:rsidRPr="009E3412">
        <w:rPr>
          <w:rFonts w:ascii="Times New Roman" w:hAnsi="Times New Roman" w:cs="Times New Roman"/>
        </w:rPr>
        <w:t>may be</w:t>
      </w:r>
      <w:r w:rsidR="00F70706" w:rsidRPr="009E3412">
        <w:rPr>
          <w:rFonts w:ascii="Times New Roman" w:hAnsi="Times New Roman" w:cs="Times New Roman"/>
        </w:rPr>
        <w:t xml:space="preserve"> produced as a protective </w:t>
      </w:r>
      <w:r w:rsidR="005069C9" w:rsidRPr="009E3412">
        <w:rPr>
          <w:rFonts w:ascii="Times New Roman" w:hAnsi="Times New Roman" w:cs="Times New Roman"/>
        </w:rPr>
        <w:t>response</w:t>
      </w:r>
      <w:r w:rsidR="00F70706" w:rsidRPr="009E3412">
        <w:rPr>
          <w:rFonts w:ascii="Times New Roman" w:hAnsi="Times New Roman" w:cs="Times New Roman"/>
        </w:rPr>
        <w:t xml:space="preserve"> </w:t>
      </w:r>
      <w:r w:rsidR="00867F3C" w:rsidRPr="009E3412">
        <w:rPr>
          <w:rFonts w:ascii="Times New Roman" w:hAnsi="Times New Roman" w:cs="Times New Roman"/>
        </w:rPr>
        <w:t>to</w:t>
      </w:r>
      <w:r w:rsidR="00F70706" w:rsidRPr="009E3412">
        <w:rPr>
          <w:rFonts w:ascii="Times New Roman" w:hAnsi="Times New Roman" w:cs="Times New Roman"/>
        </w:rPr>
        <w:t xml:space="preserve"> neuron</w:t>
      </w:r>
      <w:r w:rsidR="00867F3C" w:rsidRPr="009E3412">
        <w:rPr>
          <w:rFonts w:ascii="Times New Roman" w:hAnsi="Times New Roman" w:cs="Times New Roman"/>
        </w:rPr>
        <w:t>al</w:t>
      </w:r>
      <w:r w:rsidR="00F70706" w:rsidRPr="009E3412">
        <w:rPr>
          <w:rFonts w:ascii="Times New Roman" w:hAnsi="Times New Roman" w:cs="Times New Roman"/>
        </w:rPr>
        <w:t xml:space="preserve"> </w:t>
      </w:r>
      <w:r w:rsidR="00867F3C" w:rsidRPr="009E3412">
        <w:rPr>
          <w:rFonts w:ascii="Times New Roman" w:hAnsi="Times New Roman" w:cs="Times New Roman"/>
        </w:rPr>
        <w:t>damage</w:t>
      </w:r>
      <w:r w:rsidR="00F70706" w:rsidRPr="009E3412">
        <w:rPr>
          <w:rFonts w:ascii="Times New Roman" w:hAnsi="Times New Roman" w:cs="Times New Roman"/>
        </w:rPr>
        <w:t xml:space="preserve"> </w:t>
      </w:r>
      <w:r w:rsidR="00F70706"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{"citationID":"NlzJ0Skl","properties":{"formattedCitation":"[106]","plainCitation":"[106]","noteIndex":0},"citationItems":[{"id":1183,"uris":["http://zotero.org/users/9893877/items/CHIXQLN8"],"itemData":{"id":1183,"type":"article-journal","abstract":"Alzheimer’s disease (AD) is a neurodegenerative disorder, characterized by a functional deterioration of the brain. Currently, there are selected biomarkers for its diagnosis in cerebrospinal fluid. However, its extraction has several disadvantages for the patient. Therefore, there is an urgent need for a detection method using sensitive and selective blood-based biomarkers. Kynurenic acid (KYNA) is a potential biomarker candidate for this purpose. The alteration of the KYNA levels in blood has been related with inflammatory processes in the brain, produced as a protective function when neurons are damaged. This paper describes a novel electrochemical immunosensor for KYNA detection, based on successive functionalization multi-electrode array. The resultant sensor was characterized by cyclic voltammetry (CV), chronoamperometry (CA), and electrochemical impedance spectroscopy (EIS). The proposed biosensor detects KYNA within a linear calibration range from 10 pM to 100 nM using CA and EIS, obtaining a limit of detection (LOD) of 16.9 pM and 37.6 pM in buffer, respectively, being the lowest reported LOD for this biomarker. Moreover, to assess our device closer to the real application, the developed immunosensor was also tested under human serum matrix, obtaining an LOD of 391.71 pM for CA and 278.8 pM for EIS with diluted serum.","container-title":"Biosensors","DOI":"10.3390/bios11010020","ISSN":"2079-6374","issue":"1","language":"en","license":"http://creativecommons.org/licenses/by/3.0/","note":"number: 1\npublisher: Multidisciplinary Digital Publishing Institute","page":"20","source":"www.mdpi.com","title":"Kynurenic Acid Electrochemical Immunosensor: Blood-Based Diagnosis of Alzheimer’s Disease","title-short":"Kynurenic Acid Electrochemical Immunosensor","volume":"11","author":[{"family":"Marrugo-Ramírez","given":"Jose"},{"family":"Rodríguez-Núñez","given":"Montserrat"},{"family":"Marco","given":"M.-Pilar"},{"family":"Mir","given":"Mónica"},{"family":"Samitier","given":"Josep"}],"issued":{"date-parts":[["2021",1]]}}}],"schema":"https://github.com/citation-style-language/schema/raw/master/csl-citation.json"} </w:instrText>
      </w:r>
      <w:r w:rsidR="00F70706" w:rsidRPr="009E3412">
        <w:rPr>
          <w:rFonts w:ascii="Times New Roman" w:hAnsi="Times New Roman" w:cs="Times New Roman"/>
        </w:rPr>
        <w:fldChar w:fldCharType="separate"/>
      </w:r>
      <w:r w:rsidR="00CC6090" w:rsidRPr="009E3412">
        <w:rPr>
          <w:rFonts w:ascii="Times New Roman" w:hAnsi="Times New Roman" w:cs="Times New Roman"/>
        </w:rPr>
        <w:t>[106]</w:t>
      </w:r>
      <w:r w:rsidR="00F70706" w:rsidRPr="009E3412">
        <w:rPr>
          <w:rFonts w:ascii="Times New Roman" w:hAnsi="Times New Roman" w:cs="Times New Roman"/>
        </w:rPr>
        <w:fldChar w:fldCharType="end"/>
      </w:r>
      <w:r w:rsidR="00867F3C" w:rsidRPr="009E3412">
        <w:rPr>
          <w:rFonts w:ascii="Times New Roman" w:hAnsi="Times New Roman" w:cs="Times New Roman"/>
        </w:rPr>
        <w:t>.</w:t>
      </w:r>
    </w:p>
    <w:p w14:paraId="6F32BD41" w14:textId="44CCF9FA" w:rsidR="00A43D12" w:rsidRPr="009E3412" w:rsidRDefault="00A43D12" w:rsidP="00A43D12">
      <w:pPr>
        <w:spacing w:line="360" w:lineRule="auto"/>
        <w:jc w:val="both"/>
        <w:rPr>
          <w:rFonts w:ascii="Times New Roman" w:hAnsi="Times New Roman" w:cs="Times New Roman"/>
        </w:rPr>
      </w:pPr>
      <w:r w:rsidRPr="009E3412">
        <w:rPr>
          <w:rFonts w:ascii="Times New Roman" w:hAnsi="Times New Roman" w:cs="Times New Roman"/>
        </w:rPr>
        <w:t>Choline is required for numerous biological functions in the body</w:t>
      </w:r>
      <w:r w:rsidR="00356F52" w:rsidRPr="009E3412">
        <w:rPr>
          <w:rFonts w:ascii="Times New Roman" w:hAnsi="Times New Roman" w:cs="Times New Roman"/>
        </w:rPr>
        <w:t xml:space="preserve"> </w:t>
      </w:r>
      <w:r w:rsidR="00356F52"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{"citationID":"Y01O153j","properties":{"formattedCitation":"[107]","plainCitation":"[107]","noteIndex":0},"citationItems":[{"id":1173,"uris":["http://zotero.org/users/9893877/items/TU2VCPQ8"],"itemData":{"id":1173,"type":"article-journal","abstract":"Choline was officially recognized as an essential nutrient by the Institute of Medicine (IOM) in 1998. There is a significant variation in the dietary requirement for choline that can be explained by common genetic polymorphisms. Because of its wide-ranging roles in human metabolism, from cell structure to neurotransmitter synthesis, choline-deficiency is now thought to have an impact on diseases such as liver disease, atherosclerosis and possibly neurological disorders. Choline is found in a wide variety of foods. Egg yolks are the most concentrated source of choline in the American diet, providing 680 milligrams per 100 grams. Mean choline intakes for older children, men, women and pregnant women are far below the Adequate Intake established by the IOM. Given the importance of choline in a wide range of critical functions in the human body, coupled with less than optimal intakes among the population, dietary guidance should be developed to encourage the intake of choline-rich foods.","container-title":"Nutrition reviews","DOI":"10.1111/j.1753-4887.2009.00246.x","ISSN":"0029-6643","issue":"11","journalAbbreviation":"Nutr Rev","note":"PMID: 19906248\nPMCID: PMC2782876","page":"615-623","source":"PubMed Central","title":"Choline: An Essential Nutrient for Public Health","title-short":"Choline","volume":"67","author":[{"family":"Zeisel","given":"Steven H."},{"family":"Costa","given":"Kerry-Ann","non-dropping-particle":"da"}],"issued":{"date-parts":[["2009",11]]}}}],"schema":"https://github.com/citation-style-language/schema/raw/master/csl-citation.json"} </w:instrText>
      </w:r>
      <w:r w:rsidR="00356F52" w:rsidRPr="009E3412">
        <w:rPr>
          <w:rFonts w:ascii="Times New Roman" w:hAnsi="Times New Roman" w:cs="Times New Roman"/>
        </w:rPr>
        <w:fldChar w:fldCharType="separate"/>
      </w:r>
      <w:r w:rsidR="00CC6090" w:rsidRPr="009E3412">
        <w:rPr>
          <w:rFonts w:ascii="Times New Roman" w:hAnsi="Times New Roman" w:cs="Times New Roman"/>
        </w:rPr>
        <w:t>[107]</w:t>
      </w:r>
      <w:r w:rsidR="00356F52" w:rsidRPr="009E3412">
        <w:rPr>
          <w:rFonts w:ascii="Times New Roman" w:hAnsi="Times New Roman" w:cs="Times New Roman"/>
        </w:rPr>
        <w:fldChar w:fldCharType="end"/>
      </w:r>
      <w:r w:rsidR="00CF5F13" w:rsidRPr="009E3412">
        <w:rPr>
          <w:rFonts w:ascii="Times New Roman" w:hAnsi="Times New Roman" w:cs="Times New Roman"/>
        </w:rPr>
        <w:t>, notably including hallmark AD</w:t>
      </w:r>
      <w:r w:rsidR="003D1134" w:rsidRPr="009E3412">
        <w:rPr>
          <w:rFonts w:ascii="Times New Roman" w:hAnsi="Times New Roman" w:cs="Times New Roman"/>
        </w:rPr>
        <w:t>-associated</w:t>
      </w:r>
      <w:r w:rsidR="00CF5F13" w:rsidRPr="009E3412">
        <w:rPr>
          <w:rFonts w:ascii="Times New Roman" w:hAnsi="Times New Roman" w:cs="Times New Roman"/>
        </w:rPr>
        <w:t xml:space="preserve"> processes</w:t>
      </w:r>
      <w:r w:rsidR="00636F0F" w:rsidRPr="009E3412">
        <w:rPr>
          <w:rFonts w:ascii="Times New Roman" w:hAnsi="Times New Roman" w:cs="Times New Roman"/>
        </w:rPr>
        <w:t xml:space="preserve"> </w:t>
      </w:r>
      <w:r w:rsidR="003D1134" w:rsidRPr="009E3412">
        <w:rPr>
          <w:rFonts w:ascii="Times New Roman" w:hAnsi="Times New Roman" w:cs="Times New Roman"/>
        </w:rPr>
        <w:t xml:space="preserve">such as acetylcholine synthesis </w:t>
      </w:r>
      <w:r w:rsidR="00636F0F"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{"citationID":"gtIadfxq","properties":{"formattedCitation":"[108]","plainCitation":"[108]","noteIndex":0},"citationItems":[{"id":1052,"uris":["http://zotero.org/users/9893877/items/UANJTJAQ"],"itemData":{"id":1052,"type":"article-journal","abstract":"There is an urgent need to identify modifiable environmental risk factors that reduce the incidence of Alzheimer's disease (AD). The B-like vitamin choline plays key roles in body- and brain-related functions. Choline produced endogenously by the phosphatidylethanolamine N-methyltransferase protein in the liver is not sufficient for adequate physiological functions, necessitating daily dietary intake. 90% of Americans do not reach the recommended daily intake of dietary choline. Thus, it's imperative to determine whether dietary choline deficiency increases disease outcomes. Here, we placed 3xTg-AD, a model of AD, and non-transgenic (NonTg) control mice on either a standard laboratory diet with sufficient choline (ChN; 2.0 g/kg choline bitartrate) or a choline-deficient diet (Ch-; 0.0 g/kg choline bitartrate) from 3 to 12 (early to late adulthood) months of age. A Ch- diet reduced blood plasma choline levels, increased weight, and impaired both motor function and glucose metabolism in NonTg mice, with 3xTg-AD mice showing greater deficits. Tissue analyses showed cardiac and liver pathology, elevated soluble and insoluble Amyloid-β and Thioflavin S structures, and tau hyperphosphorylation at various pathological epitopes in the hippocampus and cortex of 3xTg-AD Ch- mice. To gain mechanistic insight, we performed unbiased proteomics of hippocampal and blood plasma samples. Dietary choline deficiency altered hippocampal networks associated with microtubule function and postsynaptic membrane regulation. In plasma, dietary choline deficiency altered protein networks associated with insulin metabolism, mitochondrial function, inflammation, and fructose metabolic processing. Our data highlight that dietary choline intake is necessary to prevent systems-wide organ pathology and reduce hallmark AD pathologies.","container-title":"Aging Cell","DOI":"10.1111/acel.13775","ISSN":"1474-9726","issue":"2","language":"en","license":"© 2023 The Authors. Aging Cell published by Anatomical Society and John Wiley &amp; Sons Ltd.","note":"_eprint: https://onlinelibrary.wiley.com/doi/pdf/10.1111/acel.13775","page":"e13775","source":"Wiley Online Library","title":"Dietary choline intake is necessary to prevent systems-wide organ pathology and reduce Alzheimer's disease hallmarks","volume":"22","author":[{"family":"Dave","given":"Nikhil"},{"family":"Judd","given":"Jessica M."},{"family":"Decker","given":"Annika"},{"family":"Winslow","given":"Wendy"},{"family":"Sarette","given":"Patrick"},{"family":"Villarreal Espinosa","given":"Oscar"},{"family":"Tallino","given":"Savannah"},{"family":"Bartholomew","given":"Samantha K."},{"family":"Bilal","given":"Alina"},{"family":"Sandler","given":"Jessica"},{"family":"McDonough","given":"Ian"},{"family":"Winstone","given":"Joanna K."},{"family":"Blackwood","given":"Erik A."},{"family":"Glembotski","given":"Christopher"},{"family":"Karr","given":"Timothy"},{"family":"Velazquez","given":"Ramon"}],"issued":{"date-parts":[["2023"]]}}}],"schema":"https://github.com/citation-style-language/schema/raw/master/csl-citation.json"} </w:instrText>
      </w:r>
      <w:r w:rsidR="00636F0F" w:rsidRPr="009E3412">
        <w:rPr>
          <w:rFonts w:ascii="Times New Roman" w:hAnsi="Times New Roman" w:cs="Times New Roman"/>
        </w:rPr>
        <w:fldChar w:fldCharType="separate"/>
      </w:r>
      <w:r w:rsidR="00CC6090" w:rsidRPr="009E3412">
        <w:rPr>
          <w:rFonts w:ascii="Times New Roman" w:hAnsi="Times New Roman" w:cs="Times New Roman"/>
        </w:rPr>
        <w:t>[108]</w:t>
      </w:r>
      <w:r w:rsidR="00636F0F" w:rsidRPr="009E3412">
        <w:rPr>
          <w:rFonts w:ascii="Times New Roman" w:hAnsi="Times New Roman" w:cs="Times New Roman"/>
        </w:rPr>
        <w:fldChar w:fldCharType="end"/>
      </w:r>
      <w:r w:rsidR="00636F0F" w:rsidRPr="009E3412">
        <w:rPr>
          <w:rFonts w:ascii="Times New Roman" w:hAnsi="Times New Roman" w:cs="Times New Roman"/>
        </w:rPr>
        <w:t>.</w:t>
      </w:r>
      <w:r w:rsidR="00D35D67" w:rsidRPr="009E3412">
        <w:rPr>
          <w:rFonts w:ascii="Times New Roman" w:hAnsi="Times New Roman" w:cs="Times New Roman"/>
        </w:rPr>
        <w:t xml:space="preserve"> </w:t>
      </w:r>
      <w:r w:rsidR="00636F0F" w:rsidRPr="009E3412">
        <w:rPr>
          <w:rFonts w:ascii="Times New Roman" w:hAnsi="Times New Roman" w:cs="Times New Roman"/>
        </w:rPr>
        <w:t xml:space="preserve">As choline </w:t>
      </w:r>
      <w:r w:rsidRPr="009E3412">
        <w:rPr>
          <w:rFonts w:ascii="Times New Roman" w:hAnsi="Times New Roman" w:cs="Times New Roman"/>
        </w:rPr>
        <w:t>readily cross</w:t>
      </w:r>
      <w:r w:rsidR="00CF5F13" w:rsidRPr="009E3412">
        <w:rPr>
          <w:rFonts w:ascii="Times New Roman" w:hAnsi="Times New Roman" w:cs="Times New Roman"/>
        </w:rPr>
        <w:t>es</w:t>
      </w:r>
      <w:r w:rsidRPr="009E3412">
        <w:rPr>
          <w:rFonts w:ascii="Times New Roman" w:hAnsi="Times New Roman" w:cs="Times New Roman"/>
        </w:rPr>
        <w:t xml:space="preserve"> the blood-brain barrier</w:t>
      </w:r>
      <w:r w:rsidR="00C449FE" w:rsidRPr="009E3412">
        <w:rPr>
          <w:rFonts w:ascii="Times New Roman" w:hAnsi="Times New Roman" w:cs="Times New Roman"/>
        </w:rPr>
        <w:t>,</w:t>
      </w:r>
      <w:r w:rsidRPr="009E3412">
        <w:rPr>
          <w:rFonts w:ascii="Times New Roman" w:hAnsi="Times New Roman" w:cs="Times New Roman"/>
        </w:rPr>
        <w:t xml:space="preserve"> peripheral concentrations typically mirror concentrations in the brain </w:t>
      </w:r>
      <w:r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{"citationID":"fO9bpySn","properties":{"formattedCitation":"[109]","plainCitation":"[109]","noteIndex":0},"citationItems":[{"id":442,"uris":["http://zotero.org/users/9893877/items/FVTB8S42"],"itemData":{"id":442,"type":"chapter","abstract":"Choline, a quaternary amine obtained largely from the diet but also synthesized in the brain and, especially, liver, is an essential precursor of the neurotransmitter acetylcholine (ACh) and of the major membrane constituent phosphatidylcholine (PC). Plasma choline concentrations can vary over a fivefold range depending on the choline contents of the foods being digested. Since choline readily crosses the blood–brain barrier (BBB) through an unsaturated facilitated-diffusion system, these plasma changes can produce parallel changes in brain choline levels. In addition, since the enzymes that convert choline to ACh [choline acetyltransferase (ChAT)] and PC's precursor phosphocholine [choline kinase (CK)] are also poorly saturated with their choline substrate, increases in plasma choline can enhance the formation of ACh and phosphocholine, and the release of ACh. The subsequent conversion of phosphocholine to PC is increased if PC's other circulating precursors (uridine and omega-3 fatty acids) are provided. This leads to an increase in the levels of synaptic membrane within the brain. Choline is principally metabolized in the liver to betaine, which provides a source of methyl groups for the regeneration of methionine and S-adenosylmethionine.","container-title":"Handbook of Neurochemistry and Molecular Neurobiology: Neural Lipids","event-place":"Boston, MA","ISBN":"978-0-387-30378-9","language":"en","note":"DOI: 10.1007/978-0-387-30378-9_18","page":"443-501","publisher":"Springer US","publisher-place":"Boston, MA","source":"Springer Link","title":"Choline and Its Products Acetylcholine and Phosphatidylcholine","URL":"https://doi.org/10.1007/978-0-387-30378-9_18","author":[{"family":"Wurtman","given":"R. J."},{"family":"Cansev","given":"M."},{"family":"Ulus","given":"I. H."}],"editor":[{"family":"Lajtha","given":"Abel"},{"family":"Tettamanti","given":"Guido"},{"family":"Goracci","given":"Gianfrancesco"}],"accessed":{"date-parts":[["2022",11,1]]},"issued":{"date-parts":[["2009"]]}}}],"schema":"https://github.com/citation-style-language/schema/raw/master/csl-citation.json"} </w:instrText>
      </w:r>
      <w:r w:rsidRPr="009E3412">
        <w:rPr>
          <w:rFonts w:ascii="Times New Roman" w:hAnsi="Times New Roman" w:cs="Times New Roman"/>
        </w:rPr>
        <w:fldChar w:fldCharType="separate"/>
      </w:r>
      <w:r w:rsidR="00CC6090" w:rsidRPr="009E3412">
        <w:rPr>
          <w:rFonts w:ascii="Times New Roman" w:hAnsi="Times New Roman" w:cs="Times New Roman"/>
        </w:rPr>
        <w:t>[109]</w:t>
      </w:r>
      <w:r w:rsidRPr="009E3412">
        <w:rPr>
          <w:rFonts w:ascii="Times New Roman" w:hAnsi="Times New Roman" w:cs="Times New Roman"/>
        </w:rPr>
        <w:fldChar w:fldCharType="end"/>
      </w:r>
      <w:r w:rsidR="00CF5F13" w:rsidRPr="009E3412">
        <w:rPr>
          <w:rFonts w:ascii="Times New Roman" w:hAnsi="Times New Roman" w:cs="Times New Roman"/>
        </w:rPr>
        <w:t xml:space="preserve">, thus </w:t>
      </w:r>
      <w:r w:rsidRPr="009E3412">
        <w:rPr>
          <w:rFonts w:ascii="Times New Roman" w:hAnsi="Times New Roman" w:cs="Times New Roman"/>
        </w:rPr>
        <w:t xml:space="preserve">lower concentrations in early cognitive decline may </w:t>
      </w:r>
      <w:r w:rsidR="00C449FE" w:rsidRPr="009E3412">
        <w:rPr>
          <w:rFonts w:ascii="Times New Roman" w:hAnsi="Times New Roman" w:cs="Times New Roman"/>
        </w:rPr>
        <w:t xml:space="preserve">indicate </w:t>
      </w:r>
      <w:r w:rsidRPr="009E3412">
        <w:rPr>
          <w:rFonts w:ascii="Times New Roman" w:hAnsi="Times New Roman" w:cs="Times New Roman"/>
        </w:rPr>
        <w:t xml:space="preserve">decreased </w:t>
      </w:r>
      <w:r w:rsidR="00CF5F13" w:rsidRPr="009E3412">
        <w:rPr>
          <w:rFonts w:ascii="Times New Roman" w:hAnsi="Times New Roman" w:cs="Times New Roman"/>
        </w:rPr>
        <w:t xml:space="preserve">central </w:t>
      </w:r>
      <w:r w:rsidRPr="009E3412">
        <w:rPr>
          <w:rFonts w:ascii="Times New Roman" w:hAnsi="Times New Roman" w:cs="Times New Roman"/>
        </w:rPr>
        <w:t xml:space="preserve">acetylcholine production. Acetylcholine is intricately connected to neural networks </w:t>
      </w:r>
      <w:r w:rsidR="00CF5F13" w:rsidRPr="009E3412">
        <w:rPr>
          <w:rFonts w:ascii="Times New Roman" w:hAnsi="Times New Roman" w:cs="Times New Roman"/>
        </w:rPr>
        <w:t xml:space="preserve">regulating </w:t>
      </w:r>
      <w:r w:rsidRPr="009E3412">
        <w:rPr>
          <w:rFonts w:ascii="Times New Roman" w:hAnsi="Times New Roman" w:cs="Times New Roman"/>
        </w:rPr>
        <w:t>memory</w:t>
      </w:r>
      <w:r w:rsidR="00CF5F13" w:rsidRPr="009E3412">
        <w:rPr>
          <w:rFonts w:ascii="Times New Roman" w:hAnsi="Times New Roman" w:cs="Times New Roman"/>
        </w:rPr>
        <w:t>,</w:t>
      </w:r>
      <w:r w:rsidRPr="009E3412">
        <w:rPr>
          <w:rFonts w:ascii="Times New Roman" w:hAnsi="Times New Roman" w:cs="Times New Roman"/>
        </w:rPr>
        <w:t xml:space="preserve"> and a reduction in this system is closely associated with learning and memory deficits in AD </w:t>
      </w:r>
      <w:r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{"citationID":"N7drBnaH","properties":{"formattedCitation":"[110]","plainCitation":"[110]","noteIndex":0},"citationItems":[{"id":305,"uris":["http://zotero.org/users/9893877/items/Q9HPPY9L"],"itemData":{"id":305,"type":"article-journal","abstract":"Background: Choline is the precursor to the neurotransmitter acetylcholine. Loss of cholinergic neurons is associated with impaired cognitive function, particularly memory loss and Alzheimer disease (AD). Brain atrophy and white-matter hyperintensity (WMH) are also associated with impaired cognitive function and AD., Objective: The objective was to determine whether a relation exists between dietary choline intake, cognitive function, and brain morphology in a large, nondemented community-based cohort., Design: A dementia-free cohort of 1391 subjects (744 women, 647 men; age range: 36–83 y; mean ± SD age: 60.9 ± 9.29 y) from the Framingham Offspring population completed a food-frequency questionnaire administered from 1991 to 1995 (exam 5; remote intake) and from 1998 to 2001 (exam 7; concurrent intake). Participants underwent neuropsychological evaluation and brain MRI at exam 7. Four neuropsychological factors were constructed: verbal memory (VM), visual memory (VsM), verbal learning, and executive function. MRI measures included WMH volume (WMHV)., Results: Performance on the VM and VsM factors was better with higher concurrent choline intake in multivariable-adjusted models for VM (average change in neuropsychological factor per 1-unit change in choline = 0.60; 95% CI: 0.29, 0.91; P &lt; 0.01) and VsM (0.66; 95% CI: 0.19, 1.13; P &lt; 0.01). Remote choline intake was inversely related to log-transformed WMHV (average change in log WMHV per 1-unit change in choline = −0.05; 95% CI: −0.10, −0.01; P = 0.02). Furthermore, an inverse association was observed between remote higher choline intake and presence of large WMVH (OR: 0.56; 95% CI: 0.34, 0.92; P = 0.01)., Conclusion: In this community-based population of nondemented individuals, higher concurrent choline intake was related to better cognitive performance, whereas higher remote choline intake was associated with little to no WMHV.","container-title":"The American Journal of Clinical Nutrition","DOI":"10.3945/ajcn.110.008938","ISSN":"0002-9165","issue":"6","journalAbbreviation":"Am J Clin Nutr","note":"PMID: 22071706\nPMCID: PMC3252552","page":"1584-1591","source":"PubMed Central","title":"The relation of dietary choline to cognitive performance and white-matter hyperintensity in the Framingham Offspring Cohort1234","volume":"94","author":[{"family":"Poly","given":"Coreyann"},{"family":"Massaro","given":"Joseph M"},{"family":"Seshadri","given":"Sudha"},{"family":"Wolf","given":"Philip A"},{"family":"Cho","given":"Eunyoung"},{"family":"Krall","given":"Elizabeth"},{"family":"Jacques","given":"Paul F"},{"family":"Au","given":"Rhoda"}],"issued":{"date-parts":[["2011",12]]}}}],"schema":"https://github.com/citation-style-language/schema/raw/master/csl-citation.json"} </w:instrText>
      </w:r>
      <w:r w:rsidRPr="009E3412">
        <w:rPr>
          <w:rFonts w:ascii="Times New Roman" w:hAnsi="Times New Roman" w:cs="Times New Roman"/>
        </w:rPr>
        <w:fldChar w:fldCharType="separate"/>
      </w:r>
      <w:r w:rsidR="00CC6090" w:rsidRPr="009E3412">
        <w:rPr>
          <w:rFonts w:ascii="Times New Roman" w:hAnsi="Times New Roman" w:cs="Times New Roman"/>
        </w:rPr>
        <w:t>[110]</w:t>
      </w:r>
      <w:r w:rsidRPr="009E3412">
        <w:rPr>
          <w:rFonts w:ascii="Times New Roman" w:hAnsi="Times New Roman" w:cs="Times New Roman"/>
        </w:rPr>
        <w:fldChar w:fldCharType="end"/>
      </w:r>
      <w:r w:rsidRPr="009E3412">
        <w:rPr>
          <w:rFonts w:ascii="Times New Roman" w:hAnsi="Times New Roman" w:cs="Times New Roman"/>
        </w:rPr>
        <w:t xml:space="preserve">. </w:t>
      </w:r>
      <w:proofErr w:type="spellStart"/>
      <w:r w:rsidRPr="009E3412">
        <w:rPr>
          <w:rFonts w:ascii="Times New Roman" w:hAnsi="Times New Roman" w:cs="Times New Roman"/>
          <w:i/>
          <w:iCs/>
        </w:rPr>
        <w:t>Lachnoclostridium</w:t>
      </w:r>
      <w:proofErr w:type="spellEnd"/>
      <w:r w:rsidRPr="009E3412">
        <w:rPr>
          <w:rFonts w:ascii="Times New Roman" w:hAnsi="Times New Roman" w:cs="Times New Roman"/>
          <w:i/>
          <w:iCs/>
        </w:rPr>
        <w:t xml:space="preserve"> </w:t>
      </w:r>
      <w:r w:rsidRPr="009E3412">
        <w:rPr>
          <w:rFonts w:ascii="Times New Roman" w:hAnsi="Times New Roman" w:cs="Times New Roman"/>
        </w:rPr>
        <w:t xml:space="preserve">and </w:t>
      </w:r>
      <w:proofErr w:type="spellStart"/>
      <w:r w:rsidRPr="009E3412">
        <w:rPr>
          <w:rFonts w:ascii="Times New Roman" w:hAnsi="Times New Roman" w:cs="Times New Roman"/>
          <w:i/>
          <w:iCs/>
        </w:rPr>
        <w:t>Lactonifactor</w:t>
      </w:r>
      <w:proofErr w:type="spellEnd"/>
      <w:r w:rsidRPr="009E3412">
        <w:rPr>
          <w:rFonts w:ascii="Times New Roman" w:hAnsi="Times New Roman" w:cs="Times New Roman"/>
          <w:i/>
          <w:iCs/>
        </w:rPr>
        <w:t xml:space="preserve"> </w:t>
      </w:r>
      <w:r w:rsidRPr="009E3412">
        <w:rPr>
          <w:rFonts w:ascii="Times New Roman" w:hAnsi="Times New Roman" w:cs="Times New Roman"/>
        </w:rPr>
        <w:t xml:space="preserve">were inversely correlated with choline levels, suggesting changes in these genera may modulate blood concentrations. Indeed, previous research has found </w:t>
      </w:r>
      <w:r w:rsidRPr="009E3412">
        <w:rPr>
          <w:rFonts w:ascii="Times New Roman" w:hAnsi="Times New Roman" w:cs="Times New Roman"/>
          <w:i/>
          <w:iCs/>
        </w:rPr>
        <w:t xml:space="preserve">L. </w:t>
      </w:r>
      <w:proofErr w:type="spellStart"/>
      <w:r w:rsidRPr="009E3412">
        <w:rPr>
          <w:rFonts w:ascii="Times New Roman" w:hAnsi="Times New Roman" w:cs="Times New Roman"/>
          <w:i/>
          <w:iCs/>
        </w:rPr>
        <w:t>saccharolyticum</w:t>
      </w:r>
      <w:proofErr w:type="spellEnd"/>
      <w:r w:rsidRPr="009E3412">
        <w:rPr>
          <w:rFonts w:ascii="Times New Roman" w:hAnsi="Times New Roman" w:cs="Times New Roman"/>
          <w:i/>
          <w:iCs/>
        </w:rPr>
        <w:t xml:space="preserve"> </w:t>
      </w:r>
      <w:r w:rsidRPr="009E3412">
        <w:rPr>
          <w:rFonts w:ascii="Times New Roman" w:hAnsi="Times New Roman" w:cs="Times New Roman"/>
        </w:rPr>
        <w:t xml:space="preserve">WM1, a representative strain of </w:t>
      </w:r>
      <w:proofErr w:type="spellStart"/>
      <w:r w:rsidRPr="009E3412">
        <w:rPr>
          <w:rFonts w:ascii="Times New Roman" w:hAnsi="Times New Roman" w:cs="Times New Roman"/>
          <w:i/>
          <w:iCs/>
        </w:rPr>
        <w:t>Lachnoclostridium</w:t>
      </w:r>
      <w:proofErr w:type="spellEnd"/>
      <w:r w:rsidRPr="009E3412">
        <w:rPr>
          <w:rFonts w:ascii="Times New Roman" w:hAnsi="Times New Roman" w:cs="Times New Roman"/>
        </w:rPr>
        <w:t xml:space="preserve">, </w:t>
      </w:r>
      <w:r w:rsidR="003D1134" w:rsidRPr="009E3412">
        <w:rPr>
          <w:rFonts w:ascii="Times New Roman" w:hAnsi="Times New Roman" w:cs="Times New Roman"/>
        </w:rPr>
        <w:t xml:space="preserve">to be </w:t>
      </w:r>
      <w:r w:rsidRPr="009E3412">
        <w:rPr>
          <w:rFonts w:ascii="Times New Roman" w:hAnsi="Times New Roman" w:cs="Times New Roman"/>
        </w:rPr>
        <w:t xml:space="preserve">an efficient </w:t>
      </w:r>
      <w:r w:rsidR="00242CAA" w:rsidRPr="009E3412">
        <w:rPr>
          <w:rFonts w:ascii="Times New Roman" w:hAnsi="Times New Roman" w:cs="Times New Roman"/>
        </w:rPr>
        <w:t>converter</w:t>
      </w:r>
      <w:r w:rsidRPr="009E3412">
        <w:rPr>
          <w:rFonts w:ascii="Times New Roman" w:hAnsi="Times New Roman" w:cs="Times New Roman"/>
        </w:rPr>
        <w:t xml:space="preserve"> of choline to TMA</w:t>
      </w:r>
      <w:r w:rsidR="00356F52" w:rsidRPr="009E3412">
        <w:rPr>
          <w:rFonts w:ascii="Times New Roman" w:hAnsi="Times New Roman" w:cs="Times New Roman"/>
        </w:rPr>
        <w:t xml:space="preserve"> </w:t>
      </w:r>
      <w:r w:rsidR="00356F52" w:rsidRPr="009E3412">
        <w:rPr>
          <w:rFonts w:ascii="Times New Roman" w:hAnsi="Times New Roman" w:cs="Times New Roman"/>
          <w:i/>
          <w:iCs/>
        </w:rPr>
        <w:t>in vitro</w:t>
      </w:r>
      <w:r w:rsidRPr="009E3412">
        <w:rPr>
          <w:rFonts w:ascii="Times New Roman" w:hAnsi="Times New Roman" w:cs="Times New Roman"/>
        </w:rPr>
        <w:t xml:space="preserve">, transforming at a rate near 100% </w:t>
      </w:r>
      <w:r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{"citationID":"JMNqTlBZ","properties":{"formattedCitation":"[111]","plainCitation":"[111]","noteIndex":0},"citationItems":[{"id":830,"uris":["http://zotero.org/users/9893877/items/G2FYJMNK"],"itemData":{"id":830,"type":"article-journal","abstract":"Microbial trimethylamine (TMA)-lyase activity promotes the development of atherosclerosis by generating of TMA, the precursor of TMA N-oxide (TMAO). TMAO is well documented, but same can not be said of TMA-producing bacteria. This work aimed to identify TMA-producing genera in human intestinal microbiota. We retrieved the genomes of human-associated microorganisms from the Human Microbiome Project database comprising 1751 genomes, Unified Human Gastrointestinal Genome collection consisting 4644 gut prokaryotes, recapitulated 4930 species-level genome bins and public gut metagenomic data of 2134 individuals from 11 populations. By sequence searching, 216 TMA-lyase-containing species from 102 genera were found to contain the homologous sequences of cntA/B, yeaW/X, and/or cutC/D. We identified 13 strains from 5 genera with cntA sequences, and 30 strains from 14 genera with cutC showing detectable relative abundance in healthy individuals. Lachnoclostridium (p = 2.9e−05) and Clostridium (p = 5.8e−04), the two most abundant cutC-containing genera, were found to be much higher in atherosclerotic patients compared with healthy persons. Upon incubation with choline (substrate), L. saccharolyticum effectively transformed it to TMA at a rate higher than 98.7% while that for C. sporogenes was 63.8–67.5% as detected by liquid chromatography-triple quadrupole mass spectrometry. In vivo studies further showed that treatment of L. saccharolyticum and choline promoted a significant increase in TMAO level in the serum of ApoE−/− mice with obvious accumulation of aortic plaque in same. This study discloses the significance and efficiency of the gut bacterium L. saccharolyticum in transforming choline to TMA and consequently promoting the development of atherosclerosis.","container-title":"npj Biofilms and Microbiomes","DOI":"10.1038/s41522-022-00273-4","ISSN":"2055-5008","issue":"1","journalAbbreviation":"npj Biofilms Microbiomes","language":"en","license":"2022 The Author(s)","note":"number: 1\npublisher: Nature Publishing Group","page":"1-12","source":"www.nature.com","title":"Integrated metagenomics identifies a crucial role for trimethylamine-producing Lachnoclostridium in promoting atherosclerosis","volume":"8","author":[{"family":"Cai","given":"Yuan-Yuan"},{"family":"Huang","given":"Feng-Qing"},{"family":"Lao","given":"Xingzhen"},{"family":"Lu","given":"Yawen"},{"family":"Gao","given":"Xuejiao"},{"family":"Alolga","given":"Raphael N."},{"family":"Yin","given":"Kunpeng"},{"family":"Zhou","given":"Xingchen"},{"family":"Wang","given":"Yun"},{"family":"Liu","given":"Baolin"},{"family":"Shang","given":"Jing"},{"family":"Qi","given":"Lian-Wen"},{"family":"Li","given":"Jing"}],"issued":{"date-parts":[["2022",3,10]]}}}],"schema":"https://github.com/citation-style-language/schema/raw/master/csl-citation.json"} </w:instrText>
      </w:r>
      <w:r w:rsidRPr="009E3412">
        <w:rPr>
          <w:rFonts w:ascii="Times New Roman" w:hAnsi="Times New Roman" w:cs="Times New Roman"/>
        </w:rPr>
        <w:fldChar w:fldCharType="separate"/>
      </w:r>
      <w:r w:rsidR="00CC6090" w:rsidRPr="009E3412">
        <w:rPr>
          <w:rFonts w:ascii="Times New Roman" w:hAnsi="Times New Roman" w:cs="Times New Roman"/>
        </w:rPr>
        <w:t>[111]</w:t>
      </w:r>
      <w:r w:rsidRPr="009E3412">
        <w:rPr>
          <w:rFonts w:ascii="Times New Roman" w:hAnsi="Times New Roman" w:cs="Times New Roman"/>
        </w:rPr>
        <w:fldChar w:fldCharType="end"/>
      </w:r>
      <w:r w:rsidRPr="009E3412">
        <w:rPr>
          <w:rFonts w:ascii="Times New Roman" w:hAnsi="Times New Roman" w:cs="Times New Roman"/>
        </w:rPr>
        <w:t xml:space="preserve">. </w:t>
      </w:r>
      <w:r w:rsidR="00446910" w:rsidRPr="009E3412">
        <w:rPr>
          <w:rFonts w:ascii="Times New Roman" w:hAnsi="Times New Roman" w:cs="Times New Roman"/>
        </w:rPr>
        <w:t xml:space="preserve">This metabolic process </w:t>
      </w:r>
      <w:r w:rsidR="00446910" w:rsidRPr="009E3412">
        <w:rPr>
          <w:rFonts w:ascii="Times New Roman" w:hAnsi="Times New Roman" w:cs="Times New Roman"/>
          <w:i/>
          <w:iCs/>
        </w:rPr>
        <w:t>in vivo</w:t>
      </w:r>
      <w:r w:rsidR="00B53D51" w:rsidRPr="009E3412">
        <w:rPr>
          <w:rFonts w:ascii="Times New Roman" w:hAnsi="Times New Roman" w:cs="Times New Roman"/>
        </w:rPr>
        <w:t xml:space="preserve"> also</w:t>
      </w:r>
      <w:r w:rsidRPr="009E3412">
        <w:rPr>
          <w:rFonts w:ascii="Times New Roman" w:hAnsi="Times New Roman" w:cs="Times New Roman"/>
        </w:rPr>
        <w:t xml:space="preserve"> elevate</w:t>
      </w:r>
      <w:r w:rsidR="00B53D51" w:rsidRPr="009E3412">
        <w:rPr>
          <w:rFonts w:ascii="Times New Roman" w:hAnsi="Times New Roman" w:cs="Times New Roman"/>
        </w:rPr>
        <w:t>d</w:t>
      </w:r>
      <w:r w:rsidRPr="009E3412">
        <w:rPr>
          <w:rFonts w:ascii="Times New Roman" w:hAnsi="Times New Roman" w:cs="Times New Roman"/>
        </w:rPr>
        <w:t xml:space="preserve"> serum TMAO level</w:t>
      </w:r>
      <w:r w:rsidR="00A92E48" w:rsidRPr="009E3412">
        <w:rPr>
          <w:rFonts w:ascii="Times New Roman" w:hAnsi="Times New Roman" w:cs="Times New Roman"/>
        </w:rPr>
        <w:t>s</w:t>
      </w:r>
      <w:r w:rsidR="00B53D51" w:rsidRPr="009E3412">
        <w:rPr>
          <w:rFonts w:ascii="Times New Roman" w:hAnsi="Times New Roman" w:cs="Times New Roman"/>
        </w:rPr>
        <w:t xml:space="preserve"> </w:t>
      </w:r>
      <w:r w:rsidR="00B53D51" w:rsidRPr="009E3412">
        <w:rPr>
          <w:rFonts w:ascii="Times New Roman" w:hAnsi="Times New Roman" w:cs="Times New Roman"/>
        </w:rPr>
        <w:fldChar w:fldCharType="begin"/>
      </w:r>
      <w:r w:rsidR="00CC6090" w:rsidRPr="009E3412">
        <w:rPr>
          <w:rFonts w:ascii="Times New Roman" w:hAnsi="Times New Roman" w:cs="Times New Roman"/>
        </w:rPr>
        <w:instrText xml:space="preserve"> ADDIN ZOTERO_ITEM CSL_CITATION {"citationID":"2bfxuSEW","properties":{"formattedCitation":"[111]","plainCitation":"[111]","noteIndex":0},"citationItems":[{"id":830,"uris":["http://zotero.org/users/9893877/items/G2FYJMNK"],"itemData":{"id":830,"type":"article-journal","abstract":"Microbial trimethylamine (TMA)-lyase activity promotes the development of atherosclerosis by generating of TMA, the precursor of TMA N-oxide (TMAO). TMAO is well documented, but same can not be said of TMA-producing bacteria. This work aimed to identify TMA-producing genera in human intestinal microbiota. We retrieved the genomes of human-associated microorganisms from the Human Microbiome Project database comprising 1751 genomes, Unified Human Gastrointestinal Genome collection consisting 4644 gut prokaryotes, recapitulated 4930 species-level genome bins and public gut metagenomic data of 2134 individuals from 11 populations. By sequence searching, 216 TMA-lyase-containing species from 102 genera were found to contain the homologous sequences of cntA/B, yeaW/X, and/or cutC/D. We identified 13 strains from 5 genera with cntA sequences, and 30 strains from 14 genera with cutC showing detectable relative abundance in healthy individuals. Lachnoclostridium (p = 2.9e−05) and Clostridium (p = 5.8e−04), the two most abundant cutC-containing genera, were found to be much higher in atherosclerotic patients compared with healthy persons. Upon incubation with choline (substrate), L. saccharolyticum effectively transformed it to TMA at a rate higher than 98.7% while that for C. sporogenes was 63.8–67.5% as detected by liquid chromatography-triple quadrupole mass spectrometry. In vivo studies further showed that treatment of L. saccharolyticum and choline promoted a significant increase in TMAO level in the serum of ApoE−/− mice with obvious accumulation of aortic plaque in same. This study discloses the significance and efficiency of the gut bacterium L. saccharolyticum in transforming choline to TMA and consequently promoting the development of atherosclerosis.","container-title":"npj Biofilms and Microbiomes","DOI":"10.1038/s41522-022-00273-4","ISSN":"2055-5008","issue":"1","journalAbbreviation":"npj Biofilms Microbiomes","language":"en","license":"2022 The Author(s)","note":"number: 1\npublisher: Nature Publishing Group","page":"1-12","source":"www.nature.com","title":"Integrated metagenomics identifies a crucial role for trimethylamine-producing Lachnoclostridium in promoting atherosclerosis","volume":"8","author":[{"family":"Cai","given":"Yuan-Yuan"},{"family":"Huang","given":"Feng-Qing"},{"family":"Lao","given":"Xingzhen"},{"family":"Lu","given":"Yawen"},{"family":"Gao","given":"Xuejiao"},{"family":"Alolga","given":"Raphael N."},{"family":"Yin","given":"Kunpeng"},{"family":"Zhou","given":"Xingchen"},{"family":"Wang","given":"Yun"},{"family":"Liu","given":"Baolin"},{"family":"Shang","given":"Jing"},{"family":"Qi","given":"Lian-Wen"},{"family":"Li","given":"Jing"}],"issued":{"date-parts":[["2022",3,10]]}}}],"schema":"https://github.com/citation-style-language/schema/raw/master/csl-citation.json"} </w:instrText>
      </w:r>
      <w:r w:rsidR="00B53D51" w:rsidRPr="009E3412">
        <w:rPr>
          <w:rFonts w:ascii="Times New Roman" w:hAnsi="Times New Roman" w:cs="Times New Roman"/>
        </w:rPr>
        <w:fldChar w:fldCharType="separate"/>
      </w:r>
      <w:r w:rsidR="00CC6090" w:rsidRPr="009E3412">
        <w:rPr>
          <w:rFonts w:ascii="Times New Roman" w:hAnsi="Times New Roman" w:cs="Times New Roman"/>
        </w:rPr>
        <w:t>[111]</w:t>
      </w:r>
      <w:r w:rsidR="00B53D51" w:rsidRPr="009E3412">
        <w:rPr>
          <w:rFonts w:ascii="Times New Roman" w:hAnsi="Times New Roman" w:cs="Times New Roman"/>
        </w:rPr>
        <w:fldChar w:fldCharType="end"/>
      </w:r>
      <w:r w:rsidRPr="009E3412">
        <w:rPr>
          <w:rFonts w:ascii="Times New Roman" w:hAnsi="Times New Roman" w:cs="Times New Roman"/>
        </w:rPr>
        <w:t xml:space="preserve">, which is supported by our results displaying a 1.6-fold higher TMAO in </w:t>
      </w:r>
      <w:r w:rsidR="007D7AFE" w:rsidRPr="009E3412">
        <w:rPr>
          <w:rFonts w:ascii="Times New Roman" w:hAnsi="Times New Roman" w:cs="Times New Roman"/>
        </w:rPr>
        <w:t>MCI</w:t>
      </w:r>
      <w:r w:rsidRPr="009E3412">
        <w:rPr>
          <w:rFonts w:ascii="Times New Roman" w:hAnsi="Times New Roman" w:cs="Times New Roman"/>
        </w:rPr>
        <w:t xml:space="preserve"> compared to </w:t>
      </w:r>
      <w:r w:rsidR="007D7AFE" w:rsidRPr="009E3412">
        <w:rPr>
          <w:rFonts w:ascii="Times New Roman" w:hAnsi="Times New Roman" w:cs="Times New Roman"/>
        </w:rPr>
        <w:t>controls</w:t>
      </w:r>
      <w:r w:rsidRPr="009E3412">
        <w:rPr>
          <w:rFonts w:ascii="Times New Roman" w:hAnsi="Times New Roman" w:cs="Times New Roman"/>
        </w:rPr>
        <w:t xml:space="preserve">. </w:t>
      </w:r>
      <w:r w:rsidR="00EC1C61" w:rsidRPr="009E3412">
        <w:rPr>
          <w:rFonts w:ascii="Times New Roman" w:hAnsi="Times New Roman" w:cs="Times New Roman"/>
        </w:rPr>
        <w:t>It is likely that</w:t>
      </w:r>
      <w:r w:rsidRPr="009E3412">
        <w:rPr>
          <w:rFonts w:ascii="Times New Roman" w:hAnsi="Times New Roman" w:cs="Times New Roman"/>
        </w:rPr>
        <w:t xml:space="preserve"> increases in </w:t>
      </w:r>
      <w:proofErr w:type="spellStart"/>
      <w:r w:rsidRPr="009E3412">
        <w:rPr>
          <w:rFonts w:ascii="Times New Roman" w:hAnsi="Times New Roman" w:cs="Times New Roman"/>
          <w:i/>
          <w:iCs/>
        </w:rPr>
        <w:t>Lachnoclostridium</w:t>
      </w:r>
      <w:proofErr w:type="spellEnd"/>
      <w:r w:rsidRPr="009E3412">
        <w:rPr>
          <w:rFonts w:ascii="Times New Roman" w:hAnsi="Times New Roman" w:cs="Times New Roman"/>
          <w:i/>
          <w:iCs/>
        </w:rPr>
        <w:t xml:space="preserve"> </w:t>
      </w:r>
      <w:r w:rsidRPr="009E3412">
        <w:rPr>
          <w:rFonts w:ascii="Times New Roman" w:hAnsi="Times New Roman" w:cs="Times New Roman"/>
        </w:rPr>
        <w:t xml:space="preserve">abundance may increase the metabolism of choline to TMAO, decreasing its concentration in circulation. </w:t>
      </w:r>
    </w:p>
    <w:p w14:paraId="2E5B4F1C" w14:textId="6E4FF542" w:rsidR="009B7131" w:rsidRPr="009E3412" w:rsidRDefault="00D35D67" w:rsidP="00D35D67">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Our study has major strengths including simultaneously targeting some of the top microbial and metabolic metabolites associated with cognitive decline</w:t>
      </w:r>
      <w:r w:rsidR="00EA439F" w:rsidRPr="009E3412">
        <w:rPr>
          <w:rFonts w:ascii="Times New Roman" w:eastAsia="Times New Roman" w:hAnsi="Times New Roman" w:cs="Times New Roman"/>
        </w:rPr>
        <w:t xml:space="preserve">, whilst </w:t>
      </w:r>
      <w:r w:rsidRPr="009E3412">
        <w:rPr>
          <w:rFonts w:ascii="Times New Roman" w:eastAsia="Times New Roman" w:hAnsi="Times New Roman" w:cs="Times New Roman"/>
        </w:rPr>
        <w:t>matching our participants</w:t>
      </w:r>
      <w:r w:rsidR="00EA439F" w:rsidRPr="009E3412">
        <w:rPr>
          <w:rFonts w:ascii="Times New Roman" w:eastAsia="Times New Roman" w:hAnsi="Times New Roman" w:cs="Times New Roman"/>
        </w:rPr>
        <w:t xml:space="preserve"> and adjusting our analysis</w:t>
      </w:r>
      <w:r w:rsidRPr="009E3412">
        <w:rPr>
          <w:rFonts w:ascii="Times New Roman" w:eastAsia="Times New Roman" w:hAnsi="Times New Roman" w:cs="Times New Roman"/>
        </w:rPr>
        <w:t xml:space="preserve"> for key factors known to influence the metabolome (age, BMI, sex</w:t>
      </w:r>
      <w:r w:rsidR="00662C02" w:rsidRPr="009E3412">
        <w:rPr>
          <w:rFonts w:ascii="Times New Roman" w:eastAsia="Times New Roman" w:hAnsi="Times New Roman" w:cs="Times New Roman"/>
        </w:rPr>
        <w:t>, liver function, kidney function</w:t>
      </w:r>
      <w:r w:rsidRPr="009E3412">
        <w:rPr>
          <w:rFonts w:ascii="Times New Roman" w:eastAsia="Times New Roman" w:hAnsi="Times New Roman" w:cs="Times New Roman"/>
        </w:rPr>
        <w:t xml:space="preserve"> and background diet), factors rarely </w:t>
      </w:r>
      <w:r w:rsidR="00EA439F" w:rsidRPr="009E3412">
        <w:rPr>
          <w:rFonts w:ascii="Times New Roman" w:eastAsia="Times New Roman" w:hAnsi="Times New Roman" w:cs="Times New Roman"/>
        </w:rPr>
        <w:t>accounted</w:t>
      </w:r>
      <w:r w:rsidRPr="009E3412">
        <w:rPr>
          <w:rFonts w:ascii="Times New Roman" w:eastAsia="Times New Roman" w:hAnsi="Times New Roman" w:cs="Times New Roman"/>
        </w:rPr>
        <w:t xml:space="preserve"> for in marker studies. Furthermore, our study highlights key microbiota </w:t>
      </w:r>
      <w:r w:rsidR="00A817C9" w:rsidRPr="009E3412">
        <w:rPr>
          <w:rFonts w:ascii="Times New Roman" w:eastAsia="Times New Roman" w:hAnsi="Times New Roman" w:cs="Times New Roman"/>
        </w:rPr>
        <w:t xml:space="preserve">associated with </w:t>
      </w:r>
      <w:r w:rsidRPr="009E3412">
        <w:rPr>
          <w:rFonts w:ascii="Times New Roman" w:eastAsia="Times New Roman" w:hAnsi="Times New Roman" w:cs="Times New Roman"/>
        </w:rPr>
        <w:t xml:space="preserve">these metabolic changes, as well as investigating participants from the earliest stage of decline (SCI) and validating our results through machine learning and adjusted statistical approaches. However, some limitations should be stressed. Despite our study adjusting results </w:t>
      </w:r>
      <w:r w:rsidRPr="009E3412">
        <w:rPr>
          <w:rFonts w:ascii="Times New Roman" w:eastAsia="Times New Roman" w:hAnsi="Times New Roman" w:cs="Times New Roman"/>
        </w:rPr>
        <w:lastRenderedPageBreak/>
        <w:t xml:space="preserve">for </w:t>
      </w:r>
      <w:r w:rsidR="00662C02" w:rsidRPr="009E3412">
        <w:rPr>
          <w:rFonts w:ascii="Times New Roman" w:eastAsia="Times New Roman" w:hAnsi="Times New Roman" w:cs="Times New Roman"/>
        </w:rPr>
        <w:t xml:space="preserve">key covariates, </w:t>
      </w:r>
      <w:r w:rsidRPr="009E3412">
        <w:rPr>
          <w:rFonts w:ascii="Times New Roman" w:eastAsia="Times New Roman" w:hAnsi="Times New Roman" w:cs="Times New Roman"/>
        </w:rPr>
        <w:t xml:space="preserve">host metabolome profiles are influenced by a plethora of additional largely environmental and biological factors. </w:t>
      </w:r>
      <w:r w:rsidR="00662C02" w:rsidRPr="009E3412">
        <w:rPr>
          <w:rFonts w:ascii="Times New Roman" w:eastAsia="Times New Roman" w:hAnsi="Times New Roman" w:cs="Times New Roman"/>
        </w:rPr>
        <w:t>Thus, although our findings suggest relationships between the variables, we cannot infer causal relationships from this analysis alone</w:t>
      </w:r>
      <w:r w:rsidR="009B7131" w:rsidRPr="009E3412">
        <w:rPr>
          <w:rFonts w:ascii="Times New Roman" w:eastAsia="Times New Roman" w:hAnsi="Times New Roman" w:cs="Times New Roman"/>
        </w:rPr>
        <w:t xml:space="preserve">. </w:t>
      </w:r>
      <w:r w:rsidR="002B72FF" w:rsidRPr="009E3412">
        <w:rPr>
          <w:rFonts w:ascii="Times New Roman" w:eastAsia="Times New Roman" w:hAnsi="Times New Roman" w:cs="Times New Roman"/>
        </w:rPr>
        <w:t xml:space="preserve">Additionally, while Spearman correlation identifies potential associations between metabolites and the microbiome, it cannot establish causality and determine whether microbial changes directly influence metabolite levels or if the relationships are driven by other confounding factors. </w:t>
      </w:r>
      <w:r w:rsidR="00B95AC5" w:rsidRPr="009E3412">
        <w:rPr>
          <w:rFonts w:ascii="Times New Roman" w:eastAsia="Times New Roman" w:hAnsi="Times New Roman" w:cs="Times New Roman"/>
        </w:rPr>
        <w:t>Furthermore, running separate regressions for each metabolite without correction for multiple comparisons may increase the risk of false positives</w:t>
      </w:r>
      <w:r w:rsidR="00970EA6" w:rsidRPr="009E3412">
        <w:rPr>
          <w:rFonts w:ascii="Times New Roman" w:eastAsia="Times New Roman" w:hAnsi="Times New Roman" w:cs="Times New Roman"/>
        </w:rPr>
        <w:t>. H</w:t>
      </w:r>
      <w:r w:rsidR="00B95AC5" w:rsidRPr="009E3412">
        <w:rPr>
          <w:rFonts w:ascii="Times New Roman" w:eastAsia="Times New Roman" w:hAnsi="Times New Roman" w:cs="Times New Roman"/>
        </w:rPr>
        <w:t>owever, given the exploratory nature of this study and the sample size, sensitivity to detect potential biologically relevant signals</w:t>
      </w:r>
      <w:r w:rsidR="00482122" w:rsidRPr="009E3412">
        <w:rPr>
          <w:rFonts w:ascii="Times New Roman" w:eastAsia="Times New Roman" w:hAnsi="Times New Roman" w:cs="Times New Roman"/>
        </w:rPr>
        <w:t xml:space="preserve"> was prioritised</w:t>
      </w:r>
      <w:r w:rsidR="00B95AC5" w:rsidRPr="009E3412">
        <w:rPr>
          <w:rFonts w:ascii="Times New Roman" w:eastAsia="Times New Roman" w:hAnsi="Times New Roman" w:cs="Times New Roman"/>
        </w:rPr>
        <w:t>.</w:t>
      </w:r>
      <w:r w:rsidR="00970EA6"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Moreover, </w:t>
      </w:r>
      <w:r w:rsidR="00F25E5E" w:rsidRPr="009E3412">
        <w:rPr>
          <w:rFonts w:ascii="Times New Roman" w:eastAsia="Times New Roman" w:hAnsi="Times New Roman" w:cs="Times New Roman"/>
        </w:rPr>
        <w:t xml:space="preserve">participants’ </w:t>
      </w:r>
      <w:r w:rsidRPr="009E3412">
        <w:rPr>
          <w:rFonts w:ascii="Times New Roman" w:eastAsia="Times New Roman" w:hAnsi="Times New Roman" w:cs="Times New Roman"/>
        </w:rPr>
        <w:t>background diet was adjusted for using data collected by food frequency questionnaire</w:t>
      </w:r>
      <w:r w:rsidR="00F25E5E" w:rsidRPr="009E3412">
        <w:rPr>
          <w:rFonts w:ascii="Times New Roman" w:eastAsia="Times New Roman" w:hAnsi="Times New Roman" w:cs="Times New Roman"/>
        </w:rPr>
        <w:t>s</w:t>
      </w:r>
      <w:r w:rsidRPr="009E3412">
        <w:rPr>
          <w:rFonts w:ascii="Times New Roman" w:eastAsia="Times New Roman" w:hAnsi="Times New Roman" w:cs="Times New Roman"/>
        </w:rPr>
        <w:t xml:space="preserve">, which can be prone to measurement error and may introduce inaccuracies due to recall bias and self-reporting issues. </w:t>
      </w:r>
      <w:r w:rsidR="00C869EB" w:rsidRPr="009E3412">
        <w:rPr>
          <w:rFonts w:ascii="Times New Roman" w:eastAsia="Times New Roman" w:hAnsi="Times New Roman" w:cs="Times New Roman"/>
        </w:rPr>
        <w:t>While we excluded participants with diagnosed depression or anxiety to minimise confounding effects related to mood disorders, conditions known to impact tryptophan metabolism and inflammation, we recognise that some of the observed metabolic</w:t>
      </w:r>
      <w:r w:rsidR="00C622F7" w:rsidRPr="009E3412">
        <w:rPr>
          <w:rFonts w:ascii="Times New Roman" w:eastAsia="Times New Roman" w:hAnsi="Times New Roman" w:cs="Times New Roman"/>
        </w:rPr>
        <w:t xml:space="preserve"> shifts </w:t>
      </w:r>
      <w:r w:rsidR="00C869EB" w:rsidRPr="009E3412">
        <w:rPr>
          <w:rFonts w:ascii="Times New Roman" w:eastAsia="Times New Roman" w:hAnsi="Times New Roman" w:cs="Times New Roman"/>
        </w:rPr>
        <w:t xml:space="preserve">may not be entirely specific to SCI/MCI. Given that tryptophan metabolism plays a significant role in broader inflammatory responses, it is possible that the observed alterations could reflect a physiological state associated with systemic inflammation rather than being exclusive to early cognitive decline. </w:t>
      </w:r>
      <w:r w:rsidR="00C622F7" w:rsidRPr="009E3412">
        <w:rPr>
          <w:rFonts w:ascii="Times New Roman" w:eastAsia="Times New Roman" w:hAnsi="Times New Roman" w:cs="Times New Roman"/>
        </w:rPr>
        <w:t xml:space="preserve">However, as neuroinflammation plays a critical role in cognitive decline, these findings remain relevant for understanding disease mechanisms and identifying potential </w:t>
      </w:r>
      <w:r w:rsidR="004F353F" w:rsidRPr="009E3412">
        <w:rPr>
          <w:rFonts w:ascii="Times New Roman" w:eastAsia="Times New Roman" w:hAnsi="Times New Roman" w:cs="Times New Roman"/>
        </w:rPr>
        <w:t xml:space="preserve">risk factors </w:t>
      </w:r>
      <w:r w:rsidR="003F7DAF" w:rsidRPr="009E3412">
        <w:rPr>
          <w:rFonts w:ascii="Times New Roman" w:eastAsia="Times New Roman" w:hAnsi="Times New Roman" w:cs="Times New Roman"/>
        </w:rPr>
        <w:t>of early disease progression</w:t>
      </w:r>
      <w:r w:rsidR="00C622F7"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Furthermore, like all studies utilising machine learning models, the larger the dataset, </w:t>
      </w:r>
      <w:r w:rsidR="00EA439F" w:rsidRPr="009E3412">
        <w:rPr>
          <w:rFonts w:ascii="Times New Roman" w:eastAsia="Times New Roman" w:hAnsi="Times New Roman" w:cs="Times New Roman"/>
        </w:rPr>
        <w:t xml:space="preserve">the more robust </w:t>
      </w:r>
      <w:r w:rsidR="004D7046" w:rsidRPr="009E3412">
        <w:rPr>
          <w:rFonts w:ascii="Times New Roman" w:eastAsia="Times New Roman" w:hAnsi="Times New Roman" w:cs="Times New Roman"/>
        </w:rPr>
        <w:t xml:space="preserve">the </w:t>
      </w:r>
      <w:r w:rsidR="00F25E5E" w:rsidRPr="009E3412">
        <w:rPr>
          <w:rFonts w:ascii="Times New Roman" w:eastAsia="Times New Roman" w:hAnsi="Times New Roman" w:cs="Times New Roman"/>
        </w:rPr>
        <w:t>predictive performance</w:t>
      </w:r>
      <w:r w:rsidRPr="009E3412">
        <w:rPr>
          <w:rFonts w:ascii="Times New Roman" w:eastAsia="Times New Roman" w:hAnsi="Times New Roman" w:cs="Times New Roman"/>
        </w:rPr>
        <w:t>. With the current dataset including 150 individuals and 3</w:t>
      </w:r>
      <w:r w:rsidR="00784D98" w:rsidRPr="009E3412">
        <w:rPr>
          <w:rFonts w:ascii="Times New Roman" w:eastAsia="Times New Roman" w:hAnsi="Times New Roman" w:cs="Times New Roman"/>
        </w:rPr>
        <w:t>3</w:t>
      </w:r>
      <w:r w:rsidRPr="009E3412">
        <w:rPr>
          <w:rFonts w:ascii="Times New Roman" w:eastAsia="Times New Roman" w:hAnsi="Times New Roman" w:cs="Times New Roman"/>
        </w:rPr>
        <w:t xml:space="preserve"> metabolites, we achieved significant predicti</w:t>
      </w:r>
      <w:r w:rsidR="00F25E5E" w:rsidRPr="009E3412">
        <w:rPr>
          <w:rFonts w:ascii="Times New Roman" w:eastAsia="Times New Roman" w:hAnsi="Times New Roman" w:cs="Times New Roman"/>
        </w:rPr>
        <w:t>ve performance</w:t>
      </w:r>
      <w:r w:rsidRPr="009E3412">
        <w:rPr>
          <w:rFonts w:ascii="Times New Roman" w:eastAsia="Times New Roman" w:hAnsi="Times New Roman" w:cs="Times New Roman"/>
        </w:rPr>
        <w:t xml:space="preserve">. However, </w:t>
      </w:r>
      <w:r w:rsidR="00295968" w:rsidRPr="009E3412">
        <w:rPr>
          <w:rFonts w:ascii="Times New Roman" w:eastAsia="Times New Roman" w:hAnsi="Times New Roman" w:cs="Times New Roman"/>
        </w:rPr>
        <w:t xml:space="preserve">these </w:t>
      </w:r>
      <w:r w:rsidR="00662C02" w:rsidRPr="009E3412">
        <w:rPr>
          <w:rFonts w:ascii="Times New Roman" w:eastAsia="Times New Roman" w:hAnsi="Times New Roman" w:cs="Times New Roman"/>
        </w:rPr>
        <w:t xml:space="preserve">findings </w:t>
      </w:r>
      <w:r w:rsidR="00054249" w:rsidRPr="009E3412">
        <w:rPr>
          <w:rFonts w:ascii="Times New Roman" w:eastAsia="Times New Roman" w:hAnsi="Times New Roman" w:cs="Times New Roman"/>
        </w:rPr>
        <w:t>are hypothesis-generating</w:t>
      </w:r>
      <w:r w:rsidR="00706711" w:rsidRPr="009E3412">
        <w:rPr>
          <w:rFonts w:ascii="Times New Roman" w:eastAsia="Times New Roman" w:hAnsi="Times New Roman" w:cs="Times New Roman"/>
        </w:rPr>
        <w:t xml:space="preserve"> and </w:t>
      </w:r>
      <w:r w:rsidR="00662C02" w:rsidRPr="009E3412">
        <w:rPr>
          <w:rFonts w:ascii="Times New Roman" w:eastAsia="Times New Roman" w:hAnsi="Times New Roman" w:cs="Times New Roman"/>
        </w:rPr>
        <w:t xml:space="preserve">will require external validation in </w:t>
      </w:r>
      <w:r w:rsidR="002E6322" w:rsidRPr="009E3412">
        <w:rPr>
          <w:rFonts w:ascii="Times New Roman" w:eastAsia="Times New Roman" w:hAnsi="Times New Roman" w:cs="Times New Roman"/>
        </w:rPr>
        <w:t xml:space="preserve">larger </w:t>
      </w:r>
      <w:r w:rsidR="00662C02" w:rsidRPr="009E3412">
        <w:rPr>
          <w:rFonts w:ascii="Times New Roman" w:eastAsia="Times New Roman" w:hAnsi="Times New Roman" w:cs="Times New Roman"/>
        </w:rPr>
        <w:t xml:space="preserve">independent cohorts </w:t>
      </w:r>
      <w:r w:rsidRPr="009E3412">
        <w:rPr>
          <w:rFonts w:ascii="Times New Roman" w:eastAsia="Times New Roman" w:hAnsi="Times New Roman" w:cs="Times New Roman"/>
        </w:rPr>
        <w:t>to improve the model.</w:t>
      </w:r>
      <w:r w:rsidR="002D17AF" w:rsidRPr="009E3412">
        <w:rPr>
          <w:rFonts w:ascii="Times New Roman" w:eastAsia="Times New Roman" w:hAnsi="Times New Roman" w:cs="Times New Roman"/>
        </w:rPr>
        <w:t xml:space="preserve"> </w:t>
      </w:r>
    </w:p>
    <w:p w14:paraId="302BDD43" w14:textId="77777777" w:rsidR="00F82F5A" w:rsidRPr="009E3412" w:rsidRDefault="00F82F5A" w:rsidP="00D35D67">
      <w:pPr>
        <w:spacing w:line="360" w:lineRule="auto"/>
        <w:jc w:val="both"/>
        <w:rPr>
          <w:rFonts w:ascii="Times New Roman" w:eastAsia="Times New Roman" w:hAnsi="Times New Roman" w:cs="Times New Roman"/>
        </w:rPr>
      </w:pPr>
    </w:p>
    <w:p w14:paraId="4911D4DA" w14:textId="6AEC4E43" w:rsidR="00D35D67" w:rsidRPr="009E3412" w:rsidRDefault="009B7131" w:rsidP="00D35D67">
      <w:pP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t xml:space="preserve">5. Conclusion </w:t>
      </w:r>
      <w:r w:rsidR="00D35D67" w:rsidRPr="009E3412">
        <w:rPr>
          <w:rFonts w:ascii="Times New Roman" w:eastAsia="Times New Roman" w:hAnsi="Times New Roman" w:cs="Times New Roman"/>
          <w:b/>
          <w:bCs/>
        </w:rPr>
        <w:t xml:space="preserve"> </w:t>
      </w:r>
    </w:p>
    <w:p w14:paraId="2C44D28A" w14:textId="252A9889" w:rsidR="002C0C9F" w:rsidRPr="009E3412" w:rsidRDefault="00856E17" w:rsidP="002C0C9F">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Pathophysiological changes associated with neurodegenerative processes can begin many years prior to the onset of overt clinical symptoms, highlighting the importance of prevention research aimed at identifying novel risk factors underlying </w:t>
      </w:r>
      <w:r w:rsidRPr="009E3412">
        <w:rPr>
          <w:rFonts w:ascii="Times New Roman" w:hAnsi="Times New Roman" w:cs="Times New Roman"/>
          <w:bdr w:val="none" w:sz="0" w:space="0" w:color="auto" w:frame="1"/>
          <w:shd w:val="clear" w:color="auto" w:fill="FFFFFF"/>
        </w:rPr>
        <w:t>early cognitive decline</w:t>
      </w:r>
      <w:r w:rsidRPr="009E3412">
        <w:rPr>
          <w:rFonts w:ascii="Times New Roman" w:eastAsia="Times New Roman" w:hAnsi="Times New Roman" w:cs="Times New Roman"/>
        </w:rPr>
        <w:t xml:space="preserve">. </w:t>
      </w:r>
      <w:r w:rsidR="004D7046" w:rsidRPr="009E3412">
        <w:rPr>
          <w:rFonts w:ascii="Times New Roman" w:eastAsia="Times New Roman" w:hAnsi="Times New Roman" w:cs="Times New Roman"/>
        </w:rPr>
        <w:t>S</w:t>
      </w:r>
      <w:r w:rsidR="00D35D67" w:rsidRPr="009E3412">
        <w:rPr>
          <w:rFonts w:ascii="Times New Roman" w:eastAsia="Times New Roman" w:hAnsi="Times New Roman" w:cs="Times New Roman"/>
        </w:rPr>
        <w:t xml:space="preserve">calable markers that enable the early detection of at-risk persons </w:t>
      </w:r>
      <w:r w:rsidR="004D7046" w:rsidRPr="009E3412">
        <w:rPr>
          <w:rFonts w:ascii="Times New Roman" w:eastAsia="Times New Roman" w:hAnsi="Times New Roman" w:cs="Times New Roman"/>
        </w:rPr>
        <w:t>could</w:t>
      </w:r>
      <w:r w:rsidR="00D35D67" w:rsidRPr="009E3412">
        <w:rPr>
          <w:rFonts w:ascii="Times New Roman" w:eastAsia="Times New Roman" w:hAnsi="Times New Roman" w:cs="Times New Roman"/>
        </w:rPr>
        <w:t xml:space="preserve"> permit </w:t>
      </w:r>
      <w:r w:rsidR="0032760A" w:rsidRPr="009E3412">
        <w:rPr>
          <w:rFonts w:ascii="Times New Roman" w:eastAsia="Times New Roman" w:hAnsi="Times New Roman" w:cs="Times New Roman"/>
        </w:rPr>
        <w:t>t</w:t>
      </w:r>
      <w:r w:rsidR="004D7046" w:rsidRPr="009E3412">
        <w:rPr>
          <w:rFonts w:ascii="Times New Roman" w:eastAsia="Times New Roman" w:hAnsi="Times New Roman" w:cs="Times New Roman"/>
        </w:rPr>
        <w:t>he t</w:t>
      </w:r>
      <w:r w:rsidR="0032760A" w:rsidRPr="009E3412">
        <w:rPr>
          <w:rFonts w:ascii="Times New Roman" w:eastAsia="Times New Roman" w:hAnsi="Times New Roman" w:cs="Times New Roman"/>
        </w:rPr>
        <w:t>arget</w:t>
      </w:r>
      <w:r w:rsidR="004D7046" w:rsidRPr="009E3412">
        <w:rPr>
          <w:rFonts w:ascii="Times New Roman" w:eastAsia="Times New Roman" w:hAnsi="Times New Roman" w:cs="Times New Roman"/>
        </w:rPr>
        <w:t>ing of</w:t>
      </w:r>
      <w:r w:rsidR="00D35D67" w:rsidRPr="009E3412">
        <w:rPr>
          <w:rFonts w:ascii="Times New Roman" w:eastAsia="Times New Roman" w:hAnsi="Times New Roman" w:cs="Times New Roman"/>
        </w:rPr>
        <w:t xml:space="preserve"> lifestyle interventions to lessen future risk and uncover novel mechanisms underpinning dementia. We signify a major role for the gut in connection to the brain through the modulation of key MDM. Furthermore, we lend strength to the hypothesis that individuals with higher risks of cognitive decline can be identified via a targeted metabolomic approach in the </w:t>
      </w:r>
      <w:r w:rsidR="00C26E13" w:rsidRPr="009E3412">
        <w:rPr>
          <w:rFonts w:ascii="Times New Roman" w:eastAsia="Times New Roman" w:hAnsi="Times New Roman" w:cs="Times New Roman"/>
        </w:rPr>
        <w:t>early stages of cognitive decline.</w:t>
      </w:r>
      <w:r w:rsidR="00D35D67" w:rsidRPr="009E3412">
        <w:rPr>
          <w:rFonts w:ascii="Times New Roman" w:eastAsia="Times New Roman" w:hAnsi="Times New Roman" w:cs="Times New Roman"/>
        </w:rPr>
        <w:t xml:space="preserve"> </w:t>
      </w:r>
      <w:r w:rsidR="005927C1" w:rsidRPr="009E3412">
        <w:rPr>
          <w:rFonts w:ascii="Times New Roman" w:eastAsia="Times New Roman" w:hAnsi="Times New Roman" w:cs="Times New Roman"/>
        </w:rPr>
        <w:t>Future research should focus on validating these metabolite signatures in larger, independent cohorts and exploring their potential for guiding early interventions to slow or prevent cognitive decline.</w:t>
      </w:r>
      <w:r w:rsidR="002C0C9F" w:rsidRPr="009E3412">
        <w:rPr>
          <w:rFonts w:ascii="Times New Roman" w:eastAsia="Times New Roman" w:hAnsi="Times New Roman" w:cs="Times New Roman"/>
        </w:rPr>
        <w:br w:type="page"/>
      </w:r>
    </w:p>
    <w:p w14:paraId="2D7D4F0F" w14:textId="6488D637" w:rsidR="00151C7B" w:rsidRPr="009E3412" w:rsidRDefault="00151C7B" w:rsidP="00D35D67">
      <w:pP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lastRenderedPageBreak/>
        <w:t>Data availability</w:t>
      </w:r>
    </w:p>
    <w:p w14:paraId="7D5A91F6" w14:textId="2F272E54" w:rsidR="00B87587" w:rsidRPr="009E3412" w:rsidRDefault="006E6E3D" w:rsidP="00773C89">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The 16S rRNA gene sequence data have been deposited in the NCBI </w:t>
      </w:r>
      <w:proofErr w:type="spellStart"/>
      <w:r w:rsidRPr="009E3412">
        <w:rPr>
          <w:rFonts w:ascii="Times New Roman" w:eastAsia="Times New Roman" w:hAnsi="Times New Roman" w:cs="Times New Roman"/>
        </w:rPr>
        <w:t>BioProject</w:t>
      </w:r>
      <w:proofErr w:type="spellEnd"/>
      <w:r w:rsidRPr="009E3412">
        <w:rPr>
          <w:rFonts w:ascii="Times New Roman" w:eastAsia="Times New Roman" w:hAnsi="Times New Roman" w:cs="Times New Roman"/>
        </w:rPr>
        <w:t xml:space="preserve"> database (</w:t>
      </w:r>
      <w:hyperlink r:id="rId10" w:history="1">
        <w:r w:rsidRPr="009E3412">
          <w:rPr>
            <w:rStyle w:val="Hyperlink"/>
            <w:rFonts w:ascii="Times New Roman" w:eastAsia="Times New Roman" w:hAnsi="Times New Roman" w:cs="Times New Roman"/>
            <w:color w:val="auto"/>
          </w:rPr>
          <w:t>https://www.ncbi.nlm.nih.gov/bioproject/</w:t>
        </w:r>
      </w:hyperlink>
      <w:r w:rsidRPr="009E3412">
        <w:rPr>
          <w:rFonts w:ascii="Times New Roman" w:eastAsia="Times New Roman" w:hAnsi="Times New Roman" w:cs="Times New Roman"/>
        </w:rPr>
        <w:t xml:space="preserve">) under accession number PRJNA1109848. Other </w:t>
      </w:r>
      <w:r w:rsidR="008D6E8F" w:rsidRPr="009E3412">
        <w:rPr>
          <w:rFonts w:ascii="Times New Roman" w:eastAsia="Times New Roman" w:hAnsi="Times New Roman" w:cs="Times New Roman"/>
        </w:rPr>
        <w:t>data that support the findings of this study are available from the corresponding authors upon reasonable request.</w:t>
      </w:r>
    </w:p>
    <w:p w14:paraId="7488C086" w14:textId="77777777" w:rsidR="007F1B56" w:rsidRPr="009E3412" w:rsidRDefault="007F1B56" w:rsidP="007F1B56">
      <w:pPr>
        <w:spacing w:line="48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t>Disclosure of interest</w:t>
      </w:r>
    </w:p>
    <w:p w14:paraId="3D4ED1CF" w14:textId="77777777" w:rsidR="007F1B56" w:rsidRPr="009E3412" w:rsidRDefault="007F1B56" w:rsidP="007F1B56">
      <w:pPr>
        <w:spacing w:line="480" w:lineRule="auto"/>
        <w:jc w:val="both"/>
        <w:rPr>
          <w:rFonts w:ascii="Times New Roman" w:eastAsia="Times New Roman" w:hAnsi="Times New Roman" w:cs="Times New Roman"/>
        </w:rPr>
      </w:pPr>
      <w:r w:rsidRPr="009E3412">
        <w:rPr>
          <w:rFonts w:ascii="Times New Roman" w:eastAsia="Times New Roman" w:hAnsi="Times New Roman" w:cs="Times New Roman"/>
        </w:rPr>
        <w:t>The authors report there are no competing interests to declare.</w:t>
      </w:r>
    </w:p>
    <w:p w14:paraId="4141568B" w14:textId="77777777" w:rsidR="007F1B56" w:rsidRPr="009E3412" w:rsidRDefault="007F1B56" w:rsidP="007F1B56">
      <w:pPr>
        <w:spacing w:line="480" w:lineRule="auto"/>
        <w:jc w:val="both"/>
        <w:rPr>
          <w:rFonts w:ascii="Arial" w:eastAsia="Times New Roman" w:hAnsi="Arial" w:cs="Arial"/>
          <w:b/>
          <w:bCs/>
        </w:rPr>
      </w:pPr>
      <w:r w:rsidRPr="009E3412">
        <w:rPr>
          <w:rFonts w:ascii="Times New Roman" w:eastAsia="Times New Roman" w:hAnsi="Times New Roman" w:cs="Times New Roman"/>
          <w:b/>
          <w:bCs/>
        </w:rPr>
        <w:t>Funding</w:t>
      </w:r>
    </w:p>
    <w:p w14:paraId="02A1EF7C" w14:textId="77777777" w:rsidR="007F1B56" w:rsidRPr="009E3412" w:rsidRDefault="007F1B56" w:rsidP="007F1B56">
      <w:pPr>
        <w:spacing w:line="480" w:lineRule="auto"/>
        <w:jc w:val="both"/>
        <w:rPr>
          <w:rFonts w:ascii="Times New Roman" w:eastAsia="Times New Roman" w:hAnsi="Times New Roman" w:cs="Times New Roman"/>
        </w:rPr>
      </w:pPr>
      <w:r w:rsidRPr="009E3412">
        <w:rPr>
          <w:rFonts w:ascii="Times New Roman" w:eastAsia="Times New Roman" w:hAnsi="Times New Roman" w:cs="Times New Roman"/>
        </w:rPr>
        <w:t>The microbiota analysis was supported by Alzheimer’s Research UK Small Pump Priming Grant (R212039).</w:t>
      </w:r>
    </w:p>
    <w:p w14:paraId="0ED184F5" w14:textId="77777777" w:rsidR="00B87587" w:rsidRPr="009E3412" w:rsidRDefault="00B87587" w:rsidP="00773C89">
      <w:pPr>
        <w:spacing w:line="360" w:lineRule="auto"/>
        <w:jc w:val="both"/>
        <w:rPr>
          <w:rFonts w:ascii="Times New Roman" w:eastAsia="Times New Roman" w:hAnsi="Times New Roman" w:cs="Times New Roman"/>
        </w:rPr>
      </w:pPr>
    </w:p>
    <w:p w14:paraId="11B2B9B8" w14:textId="37902194" w:rsidR="00B87587" w:rsidRPr="009E3412" w:rsidRDefault="000273F7" w:rsidP="00B87587">
      <w:pP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t xml:space="preserve">Authors </w:t>
      </w:r>
      <w:r w:rsidR="00B87587" w:rsidRPr="009E3412">
        <w:rPr>
          <w:rFonts w:ascii="Times New Roman" w:eastAsia="Times New Roman" w:hAnsi="Times New Roman" w:cs="Times New Roman"/>
          <w:b/>
          <w:bCs/>
        </w:rPr>
        <w:t>Contributions</w:t>
      </w:r>
    </w:p>
    <w:p w14:paraId="467372C6" w14:textId="7BD715C2" w:rsidR="007F1B56" w:rsidRPr="009E3412" w:rsidRDefault="00B87587" w:rsidP="00205882">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t xml:space="preserve">D.V. </w:t>
      </w:r>
      <w:r w:rsidR="00D47F89" w:rsidRPr="009E3412">
        <w:rPr>
          <w:rFonts w:ascii="Times New Roman" w:eastAsia="Times New Roman" w:hAnsi="Times New Roman" w:cs="Times New Roman"/>
        </w:rPr>
        <w:t>conceptualised</w:t>
      </w:r>
      <w:r w:rsidRPr="009E3412">
        <w:rPr>
          <w:rFonts w:ascii="Times New Roman" w:eastAsia="Times New Roman" w:hAnsi="Times New Roman" w:cs="Times New Roman"/>
        </w:rPr>
        <w:t xml:space="preserve"> the project. A.M.M. provided the human blood and faecal samples. G.L.G. designed the metabolomic analysis</w:t>
      </w:r>
      <w:r w:rsidR="00D164AB" w:rsidRPr="009E3412">
        <w:rPr>
          <w:rFonts w:ascii="Times New Roman" w:eastAsia="Times New Roman" w:hAnsi="Times New Roman" w:cs="Times New Roman"/>
        </w:rPr>
        <w:t xml:space="preserve">, which </w:t>
      </w:r>
      <w:r w:rsidRPr="009E3412">
        <w:rPr>
          <w:rFonts w:ascii="Times New Roman" w:eastAsia="Times New Roman" w:hAnsi="Times New Roman" w:cs="Times New Roman"/>
        </w:rPr>
        <w:t xml:space="preserve">E.C. and G.L.G. </w:t>
      </w:r>
      <w:r w:rsidR="00D47F89" w:rsidRPr="009E3412">
        <w:rPr>
          <w:rFonts w:ascii="Times New Roman" w:eastAsia="Times New Roman" w:hAnsi="Times New Roman" w:cs="Times New Roman"/>
        </w:rPr>
        <w:t>then</w:t>
      </w:r>
      <w:r w:rsidR="00D164AB"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performed. E.C. conducted the 16S rRNA microbiome sequencing. E.C. and S.S. performed the machine learning analysis. E.C. and M.K. conducted the </w:t>
      </w:r>
      <w:r w:rsidR="00D47F89" w:rsidRPr="009E3412">
        <w:rPr>
          <w:rFonts w:ascii="Times New Roman" w:eastAsia="Times New Roman" w:hAnsi="Times New Roman" w:cs="Times New Roman"/>
        </w:rPr>
        <w:t>statistical</w:t>
      </w:r>
      <w:r w:rsidRPr="009E3412">
        <w:rPr>
          <w:rFonts w:ascii="Times New Roman" w:eastAsia="Times New Roman" w:hAnsi="Times New Roman" w:cs="Times New Roman"/>
        </w:rPr>
        <w:t xml:space="preserve"> analysis. E.C. wrote the paper. </w:t>
      </w:r>
      <w:r w:rsidR="00841572" w:rsidRPr="009E3412">
        <w:rPr>
          <w:rFonts w:ascii="Times New Roman" w:eastAsia="Times New Roman" w:hAnsi="Times New Roman" w:cs="Times New Roman"/>
        </w:rPr>
        <w:t xml:space="preserve">D.V., </w:t>
      </w:r>
      <w:r w:rsidRPr="009E3412">
        <w:rPr>
          <w:rFonts w:ascii="Times New Roman" w:eastAsia="Times New Roman" w:hAnsi="Times New Roman" w:cs="Times New Roman"/>
        </w:rPr>
        <w:t>S.S., M.K., A.M.M., M.G.P., M.M., S.M.</w:t>
      </w:r>
      <w:r w:rsidR="00305DAA" w:rsidRPr="009E3412">
        <w:rPr>
          <w:rFonts w:ascii="Times New Roman" w:eastAsia="Times New Roman" w:hAnsi="Times New Roman" w:cs="Times New Roman"/>
        </w:rPr>
        <w:t>, and</w:t>
      </w:r>
      <w:r w:rsidRPr="009E3412">
        <w:rPr>
          <w:rFonts w:ascii="Times New Roman" w:eastAsia="Times New Roman" w:hAnsi="Times New Roman" w:cs="Times New Roman"/>
        </w:rPr>
        <w:t xml:space="preserve"> G.L.G. </w:t>
      </w:r>
      <w:r w:rsidR="00841572" w:rsidRPr="009E3412">
        <w:rPr>
          <w:rFonts w:ascii="Times New Roman" w:eastAsia="Times New Roman" w:hAnsi="Times New Roman" w:cs="Times New Roman"/>
        </w:rPr>
        <w:t xml:space="preserve">contributed key discussions in interpreting </w:t>
      </w:r>
      <w:r w:rsidR="00B309ED" w:rsidRPr="009E3412">
        <w:rPr>
          <w:rFonts w:ascii="Times New Roman" w:eastAsia="Times New Roman" w:hAnsi="Times New Roman" w:cs="Times New Roman"/>
        </w:rPr>
        <w:t>results</w:t>
      </w:r>
      <w:r w:rsidR="00841572" w:rsidRPr="009E3412">
        <w:rPr>
          <w:rFonts w:ascii="Times New Roman" w:eastAsia="Times New Roman" w:hAnsi="Times New Roman" w:cs="Times New Roman"/>
        </w:rPr>
        <w:t xml:space="preserve"> and </w:t>
      </w:r>
      <w:r w:rsidRPr="009E3412">
        <w:rPr>
          <w:rFonts w:ascii="Times New Roman" w:eastAsia="Times New Roman" w:hAnsi="Times New Roman" w:cs="Times New Roman"/>
        </w:rPr>
        <w:t>edited the paper. All authors approved the final version of the paper.</w:t>
      </w:r>
    </w:p>
    <w:p w14:paraId="0D9969EB" w14:textId="63AC9A59" w:rsidR="002C1134" w:rsidRPr="009E3412" w:rsidRDefault="002C1134" w:rsidP="00205882">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rPr>
        <w:br w:type="page"/>
      </w:r>
    </w:p>
    <w:p w14:paraId="083AF52C" w14:textId="270F8710" w:rsidR="00B118F1" w:rsidRPr="009E3412" w:rsidRDefault="00F43009">
      <w:pP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lastRenderedPageBreak/>
        <w:t>Figure Legends</w:t>
      </w:r>
    </w:p>
    <w:p w14:paraId="0A8D801F" w14:textId="77777777" w:rsidR="00A817C9" w:rsidRPr="009E3412" w:rsidRDefault="00F43009">
      <w:pP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t xml:space="preserve">Figure 1: </w:t>
      </w:r>
      <w:r w:rsidR="00A817C9" w:rsidRPr="009E3412">
        <w:rPr>
          <w:rFonts w:ascii="Times New Roman" w:eastAsia="Times New Roman" w:hAnsi="Times New Roman" w:cs="Times New Roman"/>
          <w:b/>
          <w:bCs/>
        </w:rPr>
        <w:t>Faecal microbiome beta diversity is significantly altered in early cognitive decline.</w:t>
      </w:r>
      <w:r w:rsidR="00A817C9" w:rsidRPr="009E3412">
        <w:rPr>
          <w:rFonts w:ascii="Times New Roman" w:eastAsia="Times New Roman" w:hAnsi="Times New Roman" w:cs="Times New Roman"/>
        </w:rPr>
        <w:t xml:space="preserve"> Alpha diversity measured by Chao1 (A) and Shannon H (B) index. (C) Beta diversity as measured by Bray-Curtis; p-value generated from PERMANOVA. (D) Pairwise comparisons of the beta diversity analysis. (E) Relative abundance of the gut microbiome at phylum level.  (F-O) Abundance counts of microbiome genera significantly (p&lt;0.05) modulated between control, SCI and MCI. *=p&lt;0.05, **=p&lt;0.01.</w:t>
      </w:r>
    </w:p>
    <w:p w14:paraId="162826B1" w14:textId="6F472818" w:rsidR="00F43009" w:rsidRPr="009E3412" w:rsidRDefault="00F43009">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b/>
          <w:bCs/>
        </w:rPr>
        <w:t>Figure 2: Metabolic shift</w:t>
      </w:r>
      <w:r w:rsidR="00E87CD0" w:rsidRPr="009E3412">
        <w:rPr>
          <w:rFonts w:ascii="Times New Roman" w:eastAsia="Times New Roman" w:hAnsi="Times New Roman" w:cs="Times New Roman"/>
          <w:b/>
          <w:bCs/>
        </w:rPr>
        <w:t xml:space="preserve"> occurs</w:t>
      </w:r>
      <w:r w:rsidRPr="009E3412">
        <w:rPr>
          <w:rFonts w:ascii="Times New Roman" w:eastAsia="Times New Roman" w:hAnsi="Times New Roman" w:cs="Times New Roman"/>
          <w:b/>
          <w:bCs/>
        </w:rPr>
        <w:t xml:space="preserve"> in early cognitive decline.</w:t>
      </w:r>
      <w:r w:rsidR="003B65DA" w:rsidRPr="009E3412">
        <w:rPr>
          <w:rFonts w:ascii="Times New Roman" w:eastAsia="Times New Roman" w:hAnsi="Times New Roman" w:cs="Times New Roman"/>
          <w:b/>
          <w:bCs/>
        </w:rPr>
        <w:t xml:space="preserve"> </w:t>
      </w:r>
      <w:r w:rsidR="003B65DA" w:rsidRPr="009E3412">
        <w:rPr>
          <w:rFonts w:ascii="Times New Roman" w:eastAsia="Times New Roman" w:hAnsi="Times New Roman" w:cs="Times New Roman"/>
        </w:rPr>
        <w:t xml:space="preserve">(A) </w:t>
      </w:r>
      <w:r w:rsidR="00092146" w:rsidRPr="009E3412">
        <w:rPr>
          <w:rFonts w:ascii="Times New Roman" w:eastAsia="Times New Roman" w:hAnsi="Times New Roman" w:cs="Times New Roman"/>
        </w:rPr>
        <w:t xml:space="preserve">Orthogonal Partial Least Squares-Discriminant Analysis (OPLS-DA) </w:t>
      </w:r>
      <w:r w:rsidRPr="009E3412">
        <w:rPr>
          <w:rFonts w:ascii="Times New Roman" w:eastAsia="Times New Roman" w:hAnsi="Times New Roman" w:cs="Times New Roman"/>
        </w:rPr>
        <w:t>plot</w:t>
      </w:r>
      <w:r w:rsidR="00563136" w:rsidRPr="009E3412">
        <w:rPr>
          <w:rFonts w:ascii="Times New Roman" w:eastAsia="Times New Roman" w:hAnsi="Times New Roman" w:cs="Times New Roman"/>
        </w:rPr>
        <w:t>s</w:t>
      </w:r>
      <w:r w:rsidRPr="009E3412">
        <w:rPr>
          <w:rFonts w:ascii="Times New Roman" w:eastAsia="Times New Roman" w:hAnsi="Times New Roman" w:cs="Times New Roman"/>
        </w:rPr>
        <w:t xml:space="preserve"> of </w:t>
      </w:r>
      <w:r w:rsidR="00563136" w:rsidRPr="009E3412">
        <w:rPr>
          <w:rFonts w:ascii="Times New Roman" w:eastAsia="Times New Roman" w:hAnsi="Times New Roman" w:cs="Times New Roman"/>
        </w:rPr>
        <w:t>pairwise</w:t>
      </w:r>
      <w:r w:rsidR="003021C5" w:rsidRPr="009E3412">
        <w:rPr>
          <w:rFonts w:ascii="Times New Roman" w:eastAsia="Times New Roman" w:hAnsi="Times New Roman" w:cs="Times New Roman"/>
        </w:rPr>
        <w:t xml:space="preserve"> </w:t>
      </w:r>
      <w:r w:rsidRPr="009E3412">
        <w:rPr>
          <w:rFonts w:ascii="Times New Roman" w:eastAsia="Times New Roman" w:hAnsi="Times New Roman" w:cs="Times New Roman"/>
        </w:rPr>
        <w:t>metabolomic profiles</w:t>
      </w:r>
      <w:r w:rsidR="009F42EB" w:rsidRPr="009E3412">
        <w:rPr>
          <w:rFonts w:ascii="Times New Roman" w:eastAsia="Times New Roman" w:hAnsi="Times New Roman" w:cs="Times New Roman"/>
        </w:rPr>
        <w:t xml:space="preserve"> between control, SCI and MCI</w:t>
      </w:r>
      <w:r w:rsidR="009F73AA" w:rsidRPr="009E3412">
        <w:rPr>
          <w:rFonts w:ascii="Times New Roman" w:eastAsia="Times New Roman" w:hAnsi="Times New Roman" w:cs="Times New Roman"/>
        </w:rPr>
        <w:t xml:space="preserve"> and model statistics</w:t>
      </w:r>
      <w:r w:rsidRPr="009E3412">
        <w:rPr>
          <w:rFonts w:ascii="Times New Roman" w:eastAsia="Times New Roman" w:hAnsi="Times New Roman" w:cs="Times New Roman"/>
        </w:rPr>
        <w:t xml:space="preserve"> </w:t>
      </w:r>
      <w:r w:rsidR="003021C5" w:rsidRPr="009E3412">
        <w:rPr>
          <w:rFonts w:ascii="Times New Roman" w:eastAsia="Times New Roman" w:hAnsi="Times New Roman" w:cs="Times New Roman"/>
        </w:rPr>
        <w:t>(</w:t>
      </w:r>
      <w:r w:rsidR="009F42EB" w:rsidRPr="009E3412">
        <w:rPr>
          <w:rFonts w:ascii="Times New Roman" w:eastAsia="Times New Roman" w:hAnsi="Times New Roman" w:cs="Times New Roman"/>
        </w:rPr>
        <w:t>B</w:t>
      </w:r>
      <w:r w:rsidR="003021C5"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Heatmap displaying changes in concentrations of metabolites between the groups, with hierarchical clustering. </w:t>
      </w:r>
    </w:p>
    <w:p w14:paraId="0C62A8A9" w14:textId="19204B33" w:rsidR="00F43009" w:rsidRPr="009E3412" w:rsidRDefault="00F43009">
      <w:pPr>
        <w:spacing w:line="360" w:lineRule="auto"/>
        <w:jc w:val="both"/>
        <w:rPr>
          <w:rFonts w:ascii="Times New Roman" w:eastAsia="Times New Roman" w:hAnsi="Times New Roman" w:cs="Times New Roman"/>
        </w:rPr>
      </w:pPr>
      <w:r w:rsidRPr="009E3412">
        <w:rPr>
          <w:rFonts w:ascii="Times New Roman" w:eastAsia="Times New Roman" w:hAnsi="Times New Roman" w:cs="Times New Roman"/>
          <w:b/>
          <w:bCs/>
        </w:rPr>
        <w:t xml:space="preserve">Figure 3: </w:t>
      </w:r>
      <w:r w:rsidR="00616848" w:rsidRPr="009E3412">
        <w:rPr>
          <w:rFonts w:ascii="Times New Roman" w:eastAsia="Times New Roman" w:hAnsi="Times New Roman" w:cs="Times New Roman"/>
          <w:b/>
          <w:bCs/>
        </w:rPr>
        <w:t>Serum m</w:t>
      </w:r>
      <w:r w:rsidRPr="009E3412">
        <w:rPr>
          <w:rFonts w:ascii="Times New Roman" w:eastAsia="Times New Roman" w:hAnsi="Times New Roman" w:cs="Times New Roman"/>
          <w:b/>
          <w:bCs/>
        </w:rPr>
        <w:t>etabolome and</w:t>
      </w:r>
      <w:r w:rsidR="00616848" w:rsidRPr="009E3412">
        <w:rPr>
          <w:rFonts w:ascii="Times New Roman" w:eastAsia="Times New Roman" w:hAnsi="Times New Roman" w:cs="Times New Roman"/>
          <w:b/>
          <w:bCs/>
        </w:rPr>
        <w:t xml:space="preserve"> gut</w:t>
      </w:r>
      <w:r w:rsidRPr="009E3412">
        <w:rPr>
          <w:rFonts w:ascii="Times New Roman" w:eastAsia="Times New Roman" w:hAnsi="Times New Roman" w:cs="Times New Roman"/>
          <w:b/>
          <w:bCs/>
        </w:rPr>
        <w:t xml:space="preserve"> microbiome profiles are linked. </w:t>
      </w:r>
      <w:r w:rsidR="00616848" w:rsidRPr="009E3412">
        <w:rPr>
          <w:rFonts w:ascii="Times New Roman" w:eastAsia="Times New Roman" w:hAnsi="Times New Roman" w:cs="Times New Roman"/>
        </w:rPr>
        <w:t>Spearman rank c</w:t>
      </w:r>
      <w:r w:rsidRPr="009E3412">
        <w:rPr>
          <w:rFonts w:ascii="Times New Roman" w:eastAsia="Times New Roman" w:hAnsi="Times New Roman" w:cs="Times New Roman"/>
        </w:rPr>
        <w:t>orrelation analysis between</w:t>
      </w:r>
      <w:r w:rsidR="00616848" w:rsidRPr="009E3412">
        <w:rPr>
          <w:rFonts w:ascii="Times New Roman" w:eastAsia="Times New Roman" w:hAnsi="Times New Roman" w:cs="Times New Roman"/>
        </w:rPr>
        <w:t xml:space="preserve"> </w:t>
      </w:r>
      <w:r w:rsidRPr="009E3412">
        <w:rPr>
          <w:rFonts w:ascii="Times New Roman" w:eastAsia="Times New Roman" w:hAnsi="Times New Roman" w:cs="Times New Roman"/>
        </w:rPr>
        <w:t xml:space="preserve">metabolite and microbiome </w:t>
      </w:r>
      <w:r w:rsidR="00616848" w:rsidRPr="009E3412">
        <w:rPr>
          <w:rFonts w:ascii="Times New Roman" w:eastAsia="Times New Roman" w:hAnsi="Times New Roman" w:cs="Times New Roman"/>
        </w:rPr>
        <w:t>genera</w:t>
      </w:r>
      <w:r w:rsidR="00A817C9" w:rsidRPr="009E3412">
        <w:rPr>
          <w:rFonts w:ascii="Times New Roman" w:eastAsia="Times New Roman" w:hAnsi="Times New Roman" w:cs="Times New Roman"/>
        </w:rPr>
        <w:t>. Red highlights a positive correlation and blue a negative correlation.</w:t>
      </w:r>
      <w:r w:rsidR="00616848" w:rsidRPr="009E3412">
        <w:rPr>
          <w:rFonts w:ascii="Times New Roman" w:eastAsia="Times New Roman" w:hAnsi="Times New Roman" w:cs="Times New Roman"/>
        </w:rPr>
        <w:t xml:space="preserve"> </w:t>
      </w:r>
      <w:r w:rsidR="00141612" w:rsidRPr="009E3412">
        <w:rPr>
          <w:rFonts w:ascii="Times New Roman" w:eastAsia="Times New Roman" w:hAnsi="Times New Roman" w:cs="Times New Roman"/>
        </w:rPr>
        <w:t>*=p&lt;0.05, **=p&lt;0.01</w:t>
      </w:r>
      <w:r w:rsidR="00A817C9" w:rsidRPr="009E3412">
        <w:rPr>
          <w:rFonts w:ascii="Times New Roman" w:eastAsia="Times New Roman" w:hAnsi="Times New Roman" w:cs="Times New Roman"/>
        </w:rPr>
        <w:t>, ***&lt;0.001</w:t>
      </w:r>
      <w:r w:rsidR="00141612" w:rsidRPr="009E3412">
        <w:rPr>
          <w:rFonts w:ascii="Times New Roman" w:eastAsia="Times New Roman" w:hAnsi="Times New Roman" w:cs="Times New Roman"/>
        </w:rPr>
        <w:t>.</w:t>
      </w:r>
    </w:p>
    <w:p w14:paraId="253F8384" w14:textId="73D8D139" w:rsidR="002C0C9F" w:rsidRPr="009E3412" w:rsidRDefault="00E87CD0" w:rsidP="002C0C9F">
      <w:pP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t>Figure 4:</w:t>
      </w:r>
      <w:r w:rsidRPr="009E3412">
        <w:rPr>
          <w:rFonts w:ascii="Times New Roman" w:eastAsia="Times New Roman" w:hAnsi="Times New Roman" w:cs="Times New Roman"/>
        </w:rPr>
        <w:t xml:space="preserve"> </w:t>
      </w:r>
      <w:r w:rsidR="00242CAA" w:rsidRPr="009E3412">
        <w:rPr>
          <w:rFonts w:ascii="Times New Roman" w:eastAsia="Times New Roman" w:hAnsi="Times New Roman" w:cs="Times New Roman"/>
          <w:b/>
          <w:bCs/>
        </w:rPr>
        <w:t xml:space="preserve">Six circulatory metabolites </w:t>
      </w:r>
      <w:r w:rsidR="00305DAA" w:rsidRPr="009E3412">
        <w:rPr>
          <w:rFonts w:ascii="Times New Roman" w:eastAsia="Times New Roman" w:hAnsi="Times New Roman" w:cs="Times New Roman"/>
          <w:b/>
          <w:bCs/>
        </w:rPr>
        <w:t>can distinguish</w:t>
      </w:r>
      <w:r w:rsidR="00242CAA" w:rsidRPr="009E3412">
        <w:rPr>
          <w:rFonts w:ascii="Times New Roman" w:eastAsia="Times New Roman" w:hAnsi="Times New Roman" w:cs="Times New Roman"/>
          <w:b/>
          <w:bCs/>
        </w:rPr>
        <w:t xml:space="preserve"> </w:t>
      </w:r>
      <w:r w:rsidR="00305DAA" w:rsidRPr="009E3412">
        <w:rPr>
          <w:rFonts w:ascii="Times New Roman" w:eastAsia="Times New Roman" w:hAnsi="Times New Roman" w:cs="Times New Roman"/>
          <w:b/>
          <w:bCs/>
        </w:rPr>
        <w:t xml:space="preserve">stages of </w:t>
      </w:r>
      <w:r w:rsidR="00E26F7F" w:rsidRPr="009E3412">
        <w:rPr>
          <w:rFonts w:ascii="Times New Roman" w:eastAsia="Times New Roman" w:hAnsi="Times New Roman" w:cs="Times New Roman"/>
          <w:b/>
          <w:bCs/>
        </w:rPr>
        <w:t>early cognitive decline</w:t>
      </w:r>
      <w:r w:rsidR="00242CAA" w:rsidRPr="009E3412">
        <w:rPr>
          <w:rFonts w:ascii="Times New Roman" w:eastAsia="Times New Roman" w:hAnsi="Times New Roman" w:cs="Times New Roman"/>
          <w:b/>
          <w:bCs/>
        </w:rPr>
        <w:t xml:space="preserve">. </w:t>
      </w:r>
      <w:r w:rsidR="00F25E5E" w:rsidRPr="009E3412">
        <w:rPr>
          <w:rFonts w:ascii="Times New Roman" w:eastAsia="Times New Roman" w:hAnsi="Times New Roman" w:cs="Times New Roman"/>
        </w:rPr>
        <w:t xml:space="preserve">Receiving Operating Characteristic (ROC) curve illustrating the performance of the Random Forest model for </w:t>
      </w:r>
      <w:r w:rsidR="008C1C16" w:rsidRPr="009E3412">
        <w:rPr>
          <w:rFonts w:ascii="Times New Roman" w:eastAsia="Times New Roman" w:hAnsi="Times New Roman" w:cs="Times New Roman"/>
        </w:rPr>
        <w:t xml:space="preserve">both pairwise (solid lines) and multilevel (dashed line) </w:t>
      </w:r>
      <w:r w:rsidR="00F25E5E" w:rsidRPr="009E3412">
        <w:rPr>
          <w:rFonts w:ascii="Times New Roman" w:eastAsia="Times New Roman" w:hAnsi="Times New Roman" w:cs="Times New Roman"/>
        </w:rPr>
        <w:t>classifi</w:t>
      </w:r>
      <w:r w:rsidR="008C1C16" w:rsidRPr="009E3412">
        <w:rPr>
          <w:rFonts w:ascii="Times New Roman" w:eastAsia="Times New Roman" w:hAnsi="Times New Roman" w:cs="Times New Roman"/>
        </w:rPr>
        <w:t>er of</w:t>
      </w:r>
      <w:r w:rsidR="00F25E5E" w:rsidRPr="009E3412">
        <w:rPr>
          <w:rFonts w:ascii="Times New Roman" w:eastAsia="Times New Roman" w:hAnsi="Times New Roman" w:cs="Times New Roman"/>
        </w:rPr>
        <w:t xml:space="preserve"> controls, SCI and MCI participant</w:t>
      </w:r>
      <w:r w:rsidR="008C1C16" w:rsidRPr="009E3412">
        <w:rPr>
          <w:rFonts w:ascii="Times New Roman" w:eastAsia="Times New Roman" w:hAnsi="Times New Roman" w:cs="Times New Roman"/>
        </w:rPr>
        <w:t>s</w:t>
      </w:r>
      <w:r w:rsidR="00F25E5E" w:rsidRPr="009E3412">
        <w:rPr>
          <w:rFonts w:ascii="Times New Roman" w:eastAsia="Times New Roman" w:hAnsi="Times New Roman" w:cs="Times New Roman"/>
        </w:rPr>
        <w:t>.</w:t>
      </w:r>
      <w:r w:rsidR="008C1C16" w:rsidRPr="009E3412">
        <w:rPr>
          <w:rFonts w:ascii="Times New Roman" w:eastAsia="Times New Roman" w:hAnsi="Times New Roman" w:cs="Times New Roman"/>
        </w:rPr>
        <w:t xml:space="preserve"> AUC= area under the curve.</w:t>
      </w:r>
      <w:r w:rsidR="008E63A0" w:rsidRPr="009E3412">
        <w:rPr>
          <w:rFonts w:ascii="Times New Roman" w:eastAsia="Times New Roman" w:hAnsi="Times New Roman" w:cs="Times New Roman"/>
        </w:rPr>
        <w:t xml:space="preserve"> </w:t>
      </w:r>
      <w:r w:rsidR="00B20ABC" w:rsidRPr="009E3412">
        <w:rPr>
          <w:rFonts w:ascii="Times New Roman" w:eastAsia="Times New Roman" w:hAnsi="Times New Roman" w:cs="Times New Roman"/>
        </w:rPr>
        <w:t xml:space="preserve">The six metabolites included in the model were: 5-hydroxyindole acetic acid, indole-3-propionic acid, choline, indoxyl </w:t>
      </w:r>
      <w:proofErr w:type="spellStart"/>
      <w:r w:rsidR="00B20ABC" w:rsidRPr="009E3412">
        <w:rPr>
          <w:rFonts w:ascii="Times New Roman" w:eastAsia="Times New Roman" w:hAnsi="Times New Roman" w:cs="Times New Roman"/>
        </w:rPr>
        <w:t>sulfate</w:t>
      </w:r>
      <w:proofErr w:type="spellEnd"/>
      <w:r w:rsidR="00B20ABC" w:rsidRPr="009E3412">
        <w:rPr>
          <w:rFonts w:ascii="Times New Roman" w:eastAsia="Times New Roman" w:hAnsi="Times New Roman" w:cs="Times New Roman"/>
        </w:rPr>
        <w:t>, kynurenic acid, and kynurenine.</w:t>
      </w:r>
      <w:r w:rsidR="002C0C9F" w:rsidRPr="009E3412">
        <w:rPr>
          <w:rFonts w:ascii="Times New Roman" w:eastAsia="Times New Roman" w:hAnsi="Times New Roman" w:cs="Times New Roman"/>
          <w:b/>
          <w:bCs/>
        </w:rPr>
        <w:br w:type="page"/>
      </w:r>
    </w:p>
    <w:p w14:paraId="60D321C2" w14:textId="7616AD29" w:rsidR="005A7430" w:rsidRPr="009E3412" w:rsidRDefault="005A7430">
      <w:pPr>
        <w:spacing w:line="360" w:lineRule="auto"/>
        <w:jc w:val="both"/>
        <w:rPr>
          <w:rFonts w:ascii="Times New Roman" w:eastAsia="Times New Roman" w:hAnsi="Times New Roman" w:cs="Times New Roman"/>
          <w:b/>
          <w:bCs/>
        </w:rPr>
      </w:pPr>
      <w:r w:rsidRPr="009E3412">
        <w:rPr>
          <w:rFonts w:ascii="Times New Roman" w:eastAsia="Times New Roman" w:hAnsi="Times New Roman" w:cs="Times New Roman"/>
          <w:b/>
          <w:bCs/>
        </w:rPr>
        <w:lastRenderedPageBreak/>
        <w:t>5. References</w:t>
      </w:r>
    </w:p>
    <w:p w14:paraId="04ABABC0" w14:textId="77777777" w:rsidR="00CC6090" w:rsidRPr="009E3412" w:rsidRDefault="00F5504E" w:rsidP="00CC6090">
      <w:pPr>
        <w:pStyle w:val="Bibliography"/>
      </w:pPr>
      <w:r w:rsidRPr="009E3412">
        <w:rPr>
          <w:rFonts w:eastAsia="Times New Roman"/>
        </w:rPr>
        <w:fldChar w:fldCharType="begin"/>
      </w:r>
      <w:r w:rsidR="00C90A24" w:rsidRPr="009E3412">
        <w:rPr>
          <w:rFonts w:eastAsia="Times New Roman"/>
        </w:rPr>
        <w:instrText xml:space="preserve"> ADDIN ZOTERO_BIBL {"uncited":[],"omitted":[],"custom":[]} CSL_BIBLIOGRAPHY </w:instrText>
      </w:r>
      <w:r w:rsidRPr="009E3412">
        <w:rPr>
          <w:rFonts w:eastAsia="Times New Roman"/>
        </w:rPr>
        <w:fldChar w:fldCharType="separate"/>
      </w:r>
      <w:r w:rsidR="00CC6090" w:rsidRPr="009E3412">
        <w:t xml:space="preserve">[1] </w:t>
      </w:r>
      <w:r w:rsidR="00CC6090" w:rsidRPr="009E3412">
        <w:tab/>
        <w:t xml:space="preserve">World Health Organization (2021). Global status report on the public health response to dementia. </w:t>
      </w:r>
      <w:r w:rsidR="00CC6090" w:rsidRPr="009E3412">
        <w:rPr>
          <w:i/>
          <w:iCs/>
        </w:rPr>
        <w:t>Security Research Hub Reports</w:t>
      </w:r>
      <w:r w:rsidR="00CC6090" w:rsidRPr="009E3412">
        <w:t>.</w:t>
      </w:r>
    </w:p>
    <w:p w14:paraId="48E897A0" w14:textId="77777777" w:rsidR="00CC6090" w:rsidRPr="009E3412" w:rsidRDefault="00CC6090" w:rsidP="00CC6090">
      <w:pPr>
        <w:pStyle w:val="Bibliography"/>
      </w:pPr>
      <w:r w:rsidRPr="009E3412">
        <w:t xml:space="preserve">[2] </w:t>
      </w:r>
      <w:r w:rsidRPr="009E3412">
        <w:tab/>
        <w:t xml:space="preserve">Flicker, L. (2010). Modifiable Lifestyle Risk Factors for Alzheimer’s Disease. </w:t>
      </w:r>
      <w:r w:rsidRPr="009E3412">
        <w:rPr>
          <w:i/>
          <w:iCs/>
        </w:rPr>
        <w:t>Journal of Alzheimer’s Disease</w:t>
      </w:r>
      <w:r w:rsidRPr="009E3412">
        <w:t>. https://doi.org/10.3233/JAD-2010-091624.</w:t>
      </w:r>
    </w:p>
    <w:p w14:paraId="1E0DBBC7" w14:textId="77777777" w:rsidR="00CC6090" w:rsidRPr="009E3412" w:rsidRDefault="00CC6090" w:rsidP="00CC6090">
      <w:pPr>
        <w:pStyle w:val="Bibliography"/>
        <w:rPr>
          <w:lang w:val="fr-FR"/>
        </w:rPr>
      </w:pPr>
      <w:r w:rsidRPr="009E3412">
        <w:t xml:space="preserve">[3] </w:t>
      </w:r>
      <w:r w:rsidRPr="009E3412">
        <w:tab/>
        <w:t xml:space="preserve">Livingston, G. </w:t>
      </w:r>
      <w:r w:rsidRPr="009E3412">
        <w:rPr>
          <w:i/>
          <w:iCs/>
        </w:rPr>
        <w:t>et al.</w:t>
      </w:r>
      <w:r w:rsidRPr="009E3412">
        <w:t xml:space="preserve"> (2020). Dementia prevention, intervention, and care: 2020 report of the Lancet Commission. </w:t>
      </w:r>
      <w:r w:rsidRPr="009E3412">
        <w:rPr>
          <w:i/>
          <w:iCs/>
          <w:lang w:val="fr-FR"/>
        </w:rPr>
        <w:t>The Lancet</w:t>
      </w:r>
      <w:r w:rsidRPr="009E3412">
        <w:rPr>
          <w:lang w:val="fr-FR"/>
        </w:rPr>
        <w:t>. https://doi.org/10.1016/S0140-6736(20)30367-6.</w:t>
      </w:r>
    </w:p>
    <w:p w14:paraId="0FE9954A" w14:textId="77777777" w:rsidR="00CC6090" w:rsidRPr="009E3412" w:rsidRDefault="00CC6090" w:rsidP="00CC6090">
      <w:pPr>
        <w:pStyle w:val="Bibliography"/>
      </w:pPr>
      <w:r w:rsidRPr="009E3412">
        <w:rPr>
          <w:lang w:val="fr-FR"/>
        </w:rPr>
        <w:t xml:space="preserve">[4] </w:t>
      </w:r>
      <w:r w:rsidRPr="009E3412">
        <w:rPr>
          <w:lang w:val="fr-FR"/>
        </w:rPr>
        <w:tab/>
        <w:t xml:space="preserve">Chakrabarti, A. </w:t>
      </w:r>
      <w:r w:rsidRPr="009E3412">
        <w:rPr>
          <w:i/>
          <w:iCs/>
          <w:lang w:val="fr-FR"/>
        </w:rPr>
        <w:t>et al.</w:t>
      </w:r>
      <w:r w:rsidRPr="009E3412">
        <w:rPr>
          <w:lang w:val="fr-FR"/>
        </w:rPr>
        <w:t xml:space="preserve"> </w:t>
      </w:r>
      <w:r w:rsidRPr="009E3412">
        <w:t xml:space="preserve">(2022). The microbiota-gut-brain axis: pathways to better brain health. Perspectives on what we know, what we need to investigate and how to put knowledge into practice. </w:t>
      </w:r>
      <w:r w:rsidRPr="009E3412">
        <w:rPr>
          <w:i/>
          <w:iCs/>
        </w:rPr>
        <w:t>Cellular and molecular life sciences: CMLS</w:t>
      </w:r>
      <w:r w:rsidRPr="009E3412">
        <w:t>. https://doi.org/10.1007/s00018-021-04060-w.</w:t>
      </w:r>
    </w:p>
    <w:p w14:paraId="0F11031D" w14:textId="77777777" w:rsidR="00CC6090" w:rsidRPr="009E3412" w:rsidRDefault="00CC6090" w:rsidP="00CC6090">
      <w:pPr>
        <w:pStyle w:val="Bibliography"/>
      </w:pPr>
      <w:r w:rsidRPr="009E3412">
        <w:t xml:space="preserve">[5] </w:t>
      </w:r>
      <w:r w:rsidRPr="009E3412">
        <w:tab/>
        <w:t xml:space="preserve">Connell, E. </w:t>
      </w:r>
      <w:r w:rsidRPr="009E3412">
        <w:rPr>
          <w:i/>
          <w:iCs/>
        </w:rPr>
        <w:t>et al.</w:t>
      </w:r>
      <w:r w:rsidRPr="009E3412">
        <w:t xml:space="preserve"> (2022). Microbial-derived metabolites as a risk factor of age-related cognitive decline and dementia. </w:t>
      </w:r>
      <w:r w:rsidRPr="009E3412">
        <w:rPr>
          <w:i/>
          <w:iCs/>
        </w:rPr>
        <w:t>Molecular Neurodegeneration</w:t>
      </w:r>
      <w:r w:rsidRPr="009E3412">
        <w:t>. https://doi.org/10.1186/s13024-022-00548-6.</w:t>
      </w:r>
    </w:p>
    <w:p w14:paraId="1AB1311A" w14:textId="77777777" w:rsidR="00CC6090" w:rsidRPr="009E3412" w:rsidRDefault="00CC6090" w:rsidP="00CC6090">
      <w:pPr>
        <w:pStyle w:val="Bibliography"/>
        <w:rPr>
          <w:lang w:val="fr-FR"/>
        </w:rPr>
      </w:pPr>
      <w:r w:rsidRPr="009E3412">
        <w:t xml:space="preserve">[6] </w:t>
      </w:r>
      <w:r w:rsidRPr="009E3412">
        <w:tab/>
        <w:t xml:space="preserve">Li, B. </w:t>
      </w:r>
      <w:r w:rsidRPr="009E3412">
        <w:rPr>
          <w:i/>
          <w:iCs/>
        </w:rPr>
        <w:t>et al.</w:t>
      </w:r>
      <w:r w:rsidRPr="009E3412">
        <w:t xml:space="preserve"> (2019). Mild cognitive impairment has similar alterations as Alzheimer’s disease in gut microbiota. </w:t>
      </w:r>
      <w:r w:rsidRPr="009E3412">
        <w:rPr>
          <w:i/>
          <w:iCs/>
          <w:lang w:val="fr-FR"/>
        </w:rPr>
        <w:t>Alzheimer’s &amp; Dementia</w:t>
      </w:r>
      <w:r w:rsidRPr="009E3412">
        <w:rPr>
          <w:lang w:val="fr-FR"/>
        </w:rPr>
        <w:t>. https://doi.org/10.1016/j.jalz.2019.07.002.</w:t>
      </w:r>
    </w:p>
    <w:p w14:paraId="1AB56373" w14:textId="77777777" w:rsidR="00CC6090" w:rsidRPr="009E3412" w:rsidRDefault="00CC6090" w:rsidP="00CC6090">
      <w:pPr>
        <w:pStyle w:val="Bibliography"/>
      </w:pPr>
      <w:r w:rsidRPr="009E3412">
        <w:rPr>
          <w:lang w:val="fr-FR"/>
        </w:rPr>
        <w:t xml:space="preserve">[7] </w:t>
      </w:r>
      <w:r w:rsidRPr="009E3412">
        <w:rPr>
          <w:lang w:val="fr-FR"/>
        </w:rPr>
        <w:tab/>
        <w:t xml:space="preserve">Liu, P. </w:t>
      </w:r>
      <w:r w:rsidRPr="009E3412">
        <w:rPr>
          <w:i/>
          <w:iCs/>
          <w:lang w:val="fr-FR"/>
        </w:rPr>
        <w:t>et al.</w:t>
      </w:r>
      <w:r w:rsidRPr="009E3412">
        <w:rPr>
          <w:lang w:val="fr-FR"/>
        </w:rPr>
        <w:t xml:space="preserve"> </w:t>
      </w:r>
      <w:r w:rsidRPr="009E3412">
        <w:t xml:space="preserve">(2019). Altered microbiomes distinguish Alzheimer’s disease from amnestic mild cognitive impairment and health in a Chinese cohort. </w:t>
      </w:r>
      <w:r w:rsidRPr="009E3412">
        <w:rPr>
          <w:i/>
          <w:iCs/>
        </w:rPr>
        <w:t>Brain, Behavior, and Immunity</w:t>
      </w:r>
      <w:r w:rsidRPr="009E3412">
        <w:t>. https://doi.org/10.1016/j.bbi.2019.05.008.</w:t>
      </w:r>
    </w:p>
    <w:p w14:paraId="3BB504AD" w14:textId="77777777" w:rsidR="00CC6090" w:rsidRPr="009E3412" w:rsidRDefault="00CC6090" w:rsidP="00CC6090">
      <w:pPr>
        <w:pStyle w:val="Bibliography"/>
        <w:rPr>
          <w:lang w:val="fr-FR"/>
        </w:rPr>
      </w:pPr>
      <w:r w:rsidRPr="009E3412">
        <w:t xml:space="preserve">[8] </w:t>
      </w:r>
      <w:r w:rsidRPr="009E3412">
        <w:tab/>
        <w:t xml:space="preserve">Nagpal, R. </w:t>
      </w:r>
      <w:r w:rsidRPr="009E3412">
        <w:rPr>
          <w:i/>
          <w:iCs/>
        </w:rPr>
        <w:t>et al.</w:t>
      </w:r>
      <w:r w:rsidRPr="009E3412">
        <w:t xml:space="preserve"> (2020). Gut mycobiome and its interaction with diet, gut bacteria and alzheimer’s disease markers in subjects with mild cognitive impairment: A pilot study. </w:t>
      </w:r>
      <w:r w:rsidRPr="009E3412">
        <w:rPr>
          <w:i/>
          <w:iCs/>
          <w:lang w:val="fr-FR"/>
        </w:rPr>
        <w:t>EBioMedicine</w:t>
      </w:r>
      <w:r w:rsidRPr="009E3412">
        <w:rPr>
          <w:lang w:val="fr-FR"/>
        </w:rPr>
        <w:t>. https://doi.org/10.1016/j.ebiom.2020.102950.</w:t>
      </w:r>
    </w:p>
    <w:p w14:paraId="2A8128C8" w14:textId="77777777" w:rsidR="00CC6090" w:rsidRPr="009E3412" w:rsidRDefault="00CC6090" w:rsidP="00CC6090">
      <w:pPr>
        <w:pStyle w:val="Bibliography"/>
      </w:pPr>
      <w:r w:rsidRPr="009E3412">
        <w:rPr>
          <w:lang w:val="fr-FR"/>
        </w:rPr>
        <w:t xml:space="preserve">[9] </w:t>
      </w:r>
      <w:r w:rsidRPr="009E3412">
        <w:rPr>
          <w:lang w:val="fr-FR"/>
        </w:rPr>
        <w:tab/>
        <w:t xml:space="preserve">Brunt, V.E. </w:t>
      </w:r>
      <w:r w:rsidRPr="009E3412">
        <w:rPr>
          <w:i/>
          <w:iCs/>
          <w:lang w:val="fr-FR"/>
        </w:rPr>
        <w:t>et al.</w:t>
      </w:r>
      <w:r w:rsidRPr="009E3412">
        <w:rPr>
          <w:lang w:val="fr-FR"/>
        </w:rPr>
        <w:t xml:space="preserve"> </w:t>
      </w:r>
      <w:r w:rsidRPr="009E3412">
        <w:t xml:space="preserve">(2021). The gut microbiome–derived metabolite trimethylamine N-oxide modulates neuroinflammation and cognitive function with aging. </w:t>
      </w:r>
      <w:r w:rsidRPr="009E3412">
        <w:rPr>
          <w:i/>
          <w:iCs/>
        </w:rPr>
        <w:t>GeroScience</w:t>
      </w:r>
      <w:r w:rsidRPr="009E3412">
        <w:t>. https://doi.org/10.1007/s11357-020-00257-2.</w:t>
      </w:r>
    </w:p>
    <w:p w14:paraId="38064285" w14:textId="77777777" w:rsidR="00CC6090" w:rsidRPr="009E3412" w:rsidRDefault="00CC6090" w:rsidP="00CC6090">
      <w:pPr>
        <w:pStyle w:val="Bibliography"/>
        <w:rPr>
          <w:lang w:val="fr-FR"/>
        </w:rPr>
      </w:pPr>
      <w:r w:rsidRPr="009E3412">
        <w:t xml:space="preserve">[10] </w:t>
      </w:r>
      <w:r w:rsidRPr="009E3412">
        <w:tab/>
        <w:t xml:space="preserve">Li, D. </w:t>
      </w:r>
      <w:r w:rsidRPr="009E3412">
        <w:rPr>
          <w:i/>
          <w:iCs/>
        </w:rPr>
        <w:t>et al.</w:t>
      </w:r>
      <w:r w:rsidRPr="009E3412">
        <w:t xml:space="preserve"> (2018). Trimethylamine-N-oxide promotes brain aging and cognitive impairment in mice. </w:t>
      </w:r>
      <w:r w:rsidRPr="009E3412">
        <w:rPr>
          <w:i/>
          <w:iCs/>
          <w:lang w:val="fr-FR"/>
        </w:rPr>
        <w:t>Aging Cell</w:t>
      </w:r>
      <w:r w:rsidRPr="009E3412">
        <w:rPr>
          <w:lang w:val="fr-FR"/>
        </w:rPr>
        <w:t>. https://doi.org/10.1111/acel.12768.</w:t>
      </w:r>
    </w:p>
    <w:p w14:paraId="6332B531" w14:textId="77777777" w:rsidR="00CC6090" w:rsidRPr="009E3412" w:rsidRDefault="00CC6090" w:rsidP="00CC6090">
      <w:pPr>
        <w:pStyle w:val="Bibliography"/>
      </w:pPr>
      <w:r w:rsidRPr="009E3412">
        <w:rPr>
          <w:lang w:val="fr-FR"/>
        </w:rPr>
        <w:t xml:space="preserve">[11] </w:t>
      </w:r>
      <w:r w:rsidRPr="009E3412">
        <w:rPr>
          <w:lang w:val="fr-FR"/>
        </w:rPr>
        <w:tab/>
        <w:t xml:space="preserve">Zhuang, Z. </w:t>
      </w:r>
      <w:r w:rsidRPr="009E3412">
        <w:rPr>
          <w:i/>
          <w:iCs/>
          <w:lang w:val="fr-FR"/>
        </w:rPr>
        <w:t>et al.</w:t>
      </w:r>
      <w:r w:rsidRPr="009E3412">
        <w:rPr>
          <w:lang w:val="fr-FR"/>
        </w:rPr>
        <w:t xml:space="preserve"> </w:t>
      </w:r>
      <w:r w:rsidRPr="009E3412">
        <w:t xml:space="preserve">(2021). Causal relationships between gut metabolites and Alzheimer’s disease: a bidirectional Mendelian randomization study. </w:t>
      </w:r>
      <w:r w:rsidRPr="009E3412">
        <w:rPr>
          <w:i/>
          <w:iCs/>
        </w:rPr>
        <w:t>Neurobiology of Aging</w:t>
      </w:r>
      <w:r w:rsidRPr="009E3412">
        <w:t>. https://doi.org/10.1016/j.neurobiolaging.2020.10.022.</w:t>
      </w:r>
    </w:p>
    <w:p w14:paraId="2B5E0094" w14:textId="77777777" w:rsidR="00CC6090" w:rsidRPr="009E3412" w:rsidRDefault="00CC6090" w:rsidP="00CC6090">
      <w:pPr>
        <w:pStyle w:val="Bibliography"/>
      </w:pPr>
      <w:r w:rsidRPr="009E3412">
        <w:t xml:space="preserve">[12] </w:t>
      </w:r>
      <w:r w:rsidRPr="009E3412">
        <w:tab/>
        <w:t xml:space="preserve">Hoyles, L. </w:t>
      </w:r>
      <w:r w:rsidRPr="009E3412">
        <w:rPr>
          <w:i/>
          <w:iCs/>
        </w:rPr>
        <w:t>et al.</w:t>
      </w:r>
      <w:r w:rsidRPr="009E3412">
        <w:t xml:space="preserve"> (2021). Regulation of blood-brain barrier integrity by microbiome-associated methylamines and cognition by trimethylamine N-oxide. </w:t>
      </w:r>
      <w:r w:rsidRPr="009E3412">
        <w:rPr>
          <w:i/>
          <w:iCs/>
        </w:rPr>
        <w:t>Microbiome</w:t>
      </w:r>
      <w:r w:rsidRPr="009E3412">
        <w:t>. https://doi.org/10.1186/s40168-021-01181-z.</w:t>
      </w:r>
    </w:p>
    <w:p w14:paraId="5048F732" w14:textId="77777777" w:rsidR="00CC6090" w:rsidRPr="009E3412" w:rsidRDefault="00CC6090" w:rsidP="00CC6090">
      <w:pPr>
        <w:pStyle w:val="Bibliography"/>
      </w:pPr>
      <w:r w:rsidRPr="009E3412">
        <w:t xml:space="preserve">[13] </w:t>
      </w:r>
      <w:r w:rsidRPr="009E3412">
        <w:tab/>
        <w:t xml:space="preserve">Baloni, P. </w:t>
      </w:r>
      <w:r w:rsidRPr="009E3412">
        <w:rPr>
          <w:i/>
          <w:iCs/>
        </w:rPr>
        <w:t>et al.</w:t>
      </w:r>
      <w:r w:rsidRPr="009E3412">
        <w:t xml:space="preserve"> (2020). Metabolic Network Analysis Reveals Altered Bile Acid Synthesis and Metabolism in Alzheimer’s Disease. </w:t>
      </w:r>
      <w:r w:rsidRPr="009E3412">
        <w:rPr>
          <w:i/>
          <w:iCs/>
        </w:rPr>
        <w:t>Cell Reports. Medicine</w:t>
      </w:r>
      <w:r w:rsidRPr="009E3412">
        <w:t>. https://doi.org/10.1016/j.xcrm.2020.100138.</w:t>
      </w:r>
    </w:p>
    <w:p w14:paraId="1A40134E" w14:textId="77777777" w:rsidR="00CC6090" w:rsidRPr="009E3412" w:rsidRDefault="00CC6090" w:rsidP="00CC6090">
      <w:pPr>
        <w:pStyle w:val="Bibliography"/>
      </w:pPr>
      <w:r w:rsidRPr="009E3412">
        <w:t xml:space="preserve">[14] </w:t>
      </w:r>
      <w:r w:rsidRPr="009E3412">
        <w:tab/>
        <w:t xml:space="preserve">MahmoudianDehkordi, S. </w:t>
      </w:r>
      <w:r w:rsidRPr="009E3412">
        <w:rPr>
          <w:i/>
          <w:iCs/>
        </w:rPr>
        <w:t>et al.</w:t>
      </w:r>
      <w:r w:rsidRPr="009E3412">
        <w:t xml:space="preserve"> (2019). Altered Bile Acid Profile Associates with Cognitive Impairment in Alzheimer’s Disease – An Emerging Role for Gut Microbiome. </w:t>
      </w:r>
      <w:r w:rsidRPr="009E3412">
        <w:rPr>
          <w:i/>
          <w:iCs/>
        </w:rPr>
        <w:t>Alzheimer’s &amp; dementia : the journal of the Alzheimer’s Association</w:t>
      </w:r>
      <w:r w:rsidRPr="009E3412">
        <w:t>. https://doi.org/10.1016/j.jalz.2018.07.217.</w:t>
      </w:r>
    </w:p>
    <w:p w14:paraId="27315E85" w14:textId="77777777" w:rsidR="00CC6090" w:rsidRPr="009E3412" w:rsidRDefault="00CC6090" w:rsidP="00CC6090">
      <w:pPr>
        <w:pStyle w:val="Bibliography"/>
      </w:pPr>
      <w:r w:rsidRPr="009E3412">
        <w:t xml:space="preserve">[15] </w:t>
      </w:r>
      <w:r w:rsidRPr="009E3412">
        <w:tab/>
        <w:t xml:space="preserve">Nho, K. </w:t>
      </w:r>
      <w:r w:rsidRPr="009E3412">
        <w:rPr>
          <w:i/>
          <w:iCs/>
        </w:rPr>
        <w:t>et al.</w:t>
      </w:r>
      <w:r w:rsidRPr="009E3412">
        <w:t xml:space="preserve"> (2019). Altered Bile Acid Profile in Mild Cognitive Impairment and Alzheimer’s Disease: Relationship to Neuroimaging and CSF Biomarkers. </w:t>
      </w:r>
      <w:r w:rsidRPr="009E3412">
        <w:rPr>
          <w:i/>
          <w:iCs/>
        </w:rPr>
        <w:t>Alzheimer’s &amp; dementia : the journal of the Alzheimer’s Association</w:t>
      </w:r>
      <w:r w:rsidRPr="009E3412">
        <w:t>. https://doi.org/10.1016/j.jalz.2018.08.012.</w:t>
      </w:r>
    </w:p>
    <w:p w14:paraId="2C03DD39" w14:textId="77777777" w:rsidR="00CC6090" w:rsidRPr="009E3412" w:rsidRDefault="00CC6090" w:rsidP="00CC6090">
      <w:pPr>
        <w:pStyle w:val="Bibliography"/>
      </w:pPr>
      <w:r w:rsidRPr="009E3412">
        <w:t xml:space="preserve">[16] </w:t>
      </w:r>
      <w:r w:rsidRPr="009E3412">
        <w:tab/>
        <w:t xml:space="preserve">Hestad, K. </w:t>
      </w:r>
      <w:r w:rsidRPr="009E3412">
        <w:rPr>
          <w:i/>
          <w:iCs/>
        </w:rPr>
        <w:t>et al.</w:t>
      </w:r>
      <w:r w:rsidRPr="009E3412">
        <w:t xml:space="preserve"> (2022). The Role of Tryptophan Dysmetabolism and Quinolinic Acid in Depressive and Neurodegenerative Diseases. </w:t>
      </w:r>
      <w:r w:rsidRPr="009E3412">
        <w:rPr>
          <w:i/>
          <w:iCs/>
        </w:rPr>
        <w:t>Biomolecules</w:t>
      </w:r>
      <w:r w:rsidRPr="009E3412">
        <w:t>. https://doi.org/10.3390/biom12070998.</w:t>
      </w:r>
    </w:p>
    <w:p w14:paraId="2B4AA36F" w14:textId="77777777" w:rsidR="00CC6090" w:rsidRPr="009E3412" w:rsidRDefault="00CC6090" w:rsidP="00CC6090">
      <w:pPr>
        <w:pStyle w:val="Bibliography"/>
      </w:pPr>
      <w:r w:rsidRPr="009E3412">
        <w:t xml:space="preserve">[17] </w:t>
      </w:r>
      <w:r w:rsidRPr="009E3412">
        <w:tab/>
        <w:t xml:space="preserve">Schwarcz, R. </w:t>
      </w:r>
      <w:r w:rsidRPr="009E3412">
        <w:rPr>
          <w:i/>
          <w:iCs/>
        </w:rPr>
        <w:t>et al.</w:t>
      </w:r>
      <w:r w:rsidRPr="009E3412">
        <w:t xml:space="preserve"> (2012). Kynurenines in the mammalian brain: when physiology meets pathology. </w:t>
      </w:r>
      <w:r w:rsidRPr="009E3412">
        <w:rPr>
          <w:i/>
          <w:iCs/>
        </w:rPr>
        <w:t>Nature Reviews. Neuroscience</w:t>
      </w:r>
      <w:r w:rsidRPr="009E3412">
        <w:t>. https://doi.org/10.1038/nrn3257.</w:t>
      </w:r>
    </w:p>
    <w:p w14:paraId="696C96FD" w14:textId="77777777" w:rsidR="00CC6090" w:rsidRPr="009E3412" w:rsidRDefault="00CC6090" w:rsidP="00CC6090">
      <w:pPr>
        <w:pStyle w:val="Bibliography"/>
      </w:pPr>
      <w:r w:rsidRPr="009E3412">
        <w:t xml:space="preserve">[18] </w:t>
      </w:r>
      <w:r w:rsidRPr="009E3412">
        <w:tab/>
        <w:t xml:space="preserve">Weaver, D. </w:t>
      </w:r>
      <w:r w:rsidRPr="009E3412">
        <w:rPr>
          <w:i/>
          <w:iCs/>
        </w:rPr>
        <w:t>et al.</w:t>
      </w:r>
      <w:r w:rsidRPr="009E3412">
        <w:t xml:space="preserve"> (2020). Alzheimer’s Disease as a Disorder of Tryptophan Metabolism (2745). </w:t>
      </w:r>
      <w:r w:rsidRPr="009E3412">
        <w:rPr>
          <w:i/>
          <w:iCs/>
        </w:rPr>
        <w:t>Neurology</w:t>
      </w:r>
      <w:r w:rsidRPr="009E3412">
        <w:t>.</w:t>
      </w:r>
    </w:p>
    <w:p w14:paraId="05E9548F" w14:textId="77777777" w:rsidR="00CC6090" w:rsidRPr="009E3412" w:rsidRDefault="00CC6090" w:rsidP="00CC6090">
      <w:pPr>
        <w:pStyle w:val="Bibliography"/>
      </w:pPr>
      <w:r w:rsidRPr="009E3412">
        <w:lastRenderedPageBreak/>
        <w:t xml:space="preserve">[19] </w:t>
      </w:r>
      <w:r w:rsidRPr="009E3412">
        <w:tab/>
        <w:t xml:space="preserve">Whiley, L. </w:t>
      </w:r>
      <w:r w:rsidRPr="009E3412">
        <w:rPr>
          <w:i/>
          <w:iCs/>
        </w:rPr>
        <w:t>et al.</w:t>
      </w:r>
      <w:r w:rsidRPr="009E3412">
        <w:t xml:space="preserve"> (2021). Metabolic phenotyping reveals a reduction in the bioavailability of serotonin and kynurenine pathway metabolites in both the urine and serum of individuals living with Alzheimer’s disease. </w:t>
      </w:r>
      <w:r w:rsidRPr="009E3412">
        <w:rPr>
          <w:i/>
          <w:iCs/>
        </w:rPr>
        <w:t>Alzheimer’s Research &amp; Therapy</w:t>
      </w:r>
      <w:r w:rsidRPr="009E3412">
        <w:t>. https://doi.org/10.1186/s13195-020-00741-z.</w:t>
      </w:r>
    </w:p>
    <w:p w14:paraId="635DB3F6" w14:textId="77777777" w:rsidR="00CC6090" w:rsidRPr="009E3412" w:rsidRDefault="00CC6090" w:rsidP="00CC6090">
      <w:pPr>
        <w:pStyle w:val="Bibliography"/>
        <w:rPr>
          <w:lang w:val="it-IT"/>
        </w:rPr>
      </w:pPr>
      <w:r w:rsidRPr="009E3412">
        <w:t xml:space="preserve">[20] </w:t>
      </w:r>
      <w:r w:rsidRPr="009E3412">
        <w:tab/>
        <w:t xml:space="preserve">Sankowski, B. </w:t>
      </w:r>
      <w:r w:rsidRPr="009E3412">
        <w:rPr>
          <w:i/>
          <w:iCs/>
        </w:rPr>
        <w:t>et al.</w:t>
      </w:r>
      <w:r w:rsidRPr="009E3412">
        <w:t xml:space="preserve"> (2020). Higher cerebrospinal fluid to plasma ratio of p-cresol sulfate and indoxyl sulfate in patients with Parkinson’s disease. </w:t>
      </w:r>
      <w:r w:rsidRPr="009E3412">
        <w:rPr>
          <w:i/>
          <w:iCs/>
          <w:lang w:val="it-IT"/>
        </w:rPr>
        <w:t>Clinica Chimica Acta</w:t>
      </w:r>
      <w:r w:rsidRPr="009E3412">
        <w:rPr>
          <w:lang w:val="it-IT"/>
        </w:rPr>
        <w:t>. https://doi.org/10.1016/j.cca.2019.10.038.</w:t>
      </w:r>
    </w:p>
    <w:p w14:paraId="1CCDBF2F" w14:textId="77777777" w:rsidR="00CC6090" w:rsidRPr="009E3412" w:rsidRDefault="00CC6090" w:rsidP="00CC6090">
      <w:pPr>
        <w:pStyle w:val="Bibliography"/>
      </w:pPr>
      <w:r w:rsidRPr="009E3412">
        <w:rPr>
          <w:lang w:val="it-IT"/>
        </w:rPr>
        <w:t xml:space="preserve">[21] </w:t>
      </w:r>
      <w:r w:rsidRPr="009E3412">
        <w:rPr>
          <w:lang w:val="it-IT"/>
        </w:rPr>
        <w:tab/>
        <w:t xml:space="preserve">Shah, S.N. </w:t>
      </w:r>
      <w:r w:rsidRPr="009E3412">
        <w:rPr>
          <w:i/>
          <w:iCs/>
          <w:lang w:val="it-IT"/>
        </w:rPr>
        <w:t>et al.</w:t>
      </w:r>
      <w:r w:rsidRPr="009E3412">
        <w:rPr>
          <w:lang w:val="it-IT"/>
        </w:rPr>
        <w:t xml:space="preserve"> </w:t>
      </w:r>
      <w:r w:rsidRPr="009E3412">
        <w:t>(2022). Cerebrovascular damage caused by the gut microbe-derived uraemic toxin p-cresol sulfate is prevented by blockade of the epidermal growth factor receptor. https://doi.org/10.1101/2022.11.12.516113.</w:t>
      </w:r>
    </w:p>
    <w:p w14:paraId="1C2C273F" w14:textId="77777777" w:rsidR="00CC6090" w:rsidRPr="009E3412" w:rsidRDefault="00CC6090" w:rsidP="00CC6090">
      <w:pPr>
        <w:pStyle w:val="Bibliography"/>
        <w:rPr>
          <w:lang w:val="fr-FR"/>
        </w:rPr>
      </w:pPr>
      <w:r w:rsidRPr="009E3412">
        <w:t xml:space="preserve">[22] </w:t>
      </w:r>
      <w:r w:rsidRPr="009E3412">
        <w:tab/>
        <w:t xml:space="preserve">Smith, M.J. </w:t>
      </w:r>
      <w:r w:rsidRPr="009E3412">
        <w:rPr>
          <w:i/>
          <w:iCs/>
        </w:rPr>
        <w:t>et al.</w:t>
      </w:r>
      <w:r w:rsidRPr="009E3412">
        <w:t xml:space="preserve"> (2000). The natural osmolyte trimethylamine N-oxide (TMAO) restores the ability of mutant tau to promote microtubule assembly. </w:t>
      </w:r>
      <w:r w:rsidRPr="009E3412">
        <w:rPr>
          <w:i/>
          <w:iCs/>
          <w:lang w:val="fr-FR"/>
        </w:rPr>
        <w:t>FEBS letters</w:t>
      </w:r>
      <w:r w:rsidRPr="009E3412">
        <w:rPr>
          <w:lang w:val="fr-FR"/>
        </w:rPr>
        <w:t>. https://doi.org/10.1016/s0014-5793(00)02169-4.</w:t>
      </w:r>
    </w:p>
    <w:p w14:paraId="64EA6610" w14:textId="77777777" w:rsidR="00CC6090" w:rsidRPr="009E3412" w:rsidRDefault="00CC6090" w:rsidP="00CC6090">
      <w:pPr>
        <w:pStyle w:val="Bibliography"/>
      </w:pPr>
      <w:r w:rsidRPr="009E3412">
        <w:rPr>
          <w:lang w:val="fr-FR"/>
        </w:rPr>
        <w:t xml:space="preserve">[23] </w:t>
      </w:r>
      <w:r w:rsidRPr="009E3412">
        <w:rPr>
          <w:lang w:val="fr-FR"/>
        </w:rPr>
        <w:tab/>
        <w:t xml:space="preserve">Jena, P.K. </w:t>
      </w:r>
      <w:r w:rsidRPr="009E3412">
        <w:rPr>
          <w:i/>
          <w:iCs/>
          <w:lang w:val="fr-FR"/>
        </w:rPr>
        <w:t>et al.</w:t>
      </w:r>
      <w:r w:rsidRPr="009E3412">
        <w:rPr>
          <w:lang w:val="fr-FR"/>
        </w:rPr>
        <w:t xml:space="preserve"> </w:t>
      </w:r>
      <w:r w:rsidRPr="009E3412">
        <w:t xml:space="preserve">(2018). Dysregulated bile acid synthesis and dysbiosis are implicated in Western diet-induced systemic inflammation, microglial activation, and reduced neuroplasticity. </w:t>
      </w:r>
      <w:r w:rsidRPr="009E3412">
        <w:rPr>
          <w:i/>
          <w:iCs/>
        </w:rPr>
        <w:t>FASEB journal: official publication of the Federation of American Societies for Experimental Biology</w:t>
      </w:r>
      <w:r w:rsidRPr="009E3412">
        <w:t>. https://doi.org/10.1096/fj.201700984RR.</w:t>
      </w:r>
    </w:p>
    <w:p w14:paraId="0F5A6D46" w14:textId="77777777" w:rsidR="00CC6090" w:rsidRPr="009E3412" w:rsidRDefault="00CC6090" w:rsidP="00CC6090">
      <w:pPr>
        <w:pStyle w:val="Bibliography"/>
        <w:rPr>
          <w:lang w:val="it-IT"/>
        </w:rPr>
      </w:pPr>
      <w:r w:rsidRPr="009E3412">
        <w:rPr>
          <w:lang w:val="fr-FR"/>
        </w:rPr>
        <w:t xml:space="preserve">[24] </w:t>
      </w:r>
      <w:r w:rsidRPr="009E3412">
        <w:rPr>
          <w:lang w:val="fr-FR"/>
        </w:rPr>
        <w:tab/>
        <w:t xml:space="preserve">Tran, C.D. </w:t>
      </w:r>
      <w:r w:rsidRPr="009E3412">
        <w:rPr>
          <w:i/>
          <w:iCs/>
          <w:lang w:val="fr-FR"/>
        </w:rPr>
        <w:t>et al.</w:t>
      </w:r>
      <w:r w:rsidRPr="009E3412">
        <w:rPr>
          <w:lang w:val="fr-FR"/>
        </w:rPr>
        <w:t xml:space="preserve"> </w:t>
      </w:r>
      <w:r w:rsidRPr="009E3412">
        <w:t xml:space="preserve">(2015). Gut permeability, its interaction with gut microflora and effects on metabolic health are mediated by the lymphatics system, liver and bile acid. </w:t>
      </w:r>
      <w:r w:rsidRPr="009E3412">
        <w:rPr>
          <w:i/>
          <w:iCs/>
          <w:lang w:val="it-IT"/>
        </w:rPr>
        <w:t>Future Microbiology</w:t>
      </w:r>
      <w:r w:rsidRPr="009E3412">
        <w:rPr>
          <w:lang w:val="it-IT"/>
        </w:rPr>
        <w:t>. https://doi.org/10.2217/FMB.15.54.</w:t>
      </w:r>
    </w:p>
    <w:p w14:paraId="1B1EDAC4" w14:textId="77777777" w:rsidR="00CC6090" w:rsidRPr="009E3412" w:rsidRDefault="00CC6090" w:rsidP="00CC6090">
      <w:pPr>
        <w:pStyle w:val="Bibliography"/>
      </w:pPr>
      <w:r w:rsidRPr="009E3412">
        <w:rPr>
          <w:lang w:val="it-IT"/>
        </w:rPr>
        <w:t xml:space="preserve">[25] </w:t>
      </w:r>
      <w:r w:rsidRPr="009E3412">
        <w:rPr>
          <w:lang w:val="it-IT"/>
        </w:rPr>
        <w:tab/>
        <w:t xml:space="preserve">Azevedo, M.L.V. </w:t>
      </w:r>
      <w:r w:rsidRPr="009E3412">
        <w:rPr>
          <w:i/>
          <w:iCs/>
          <w:lang w:val="it-IT"/>
        </w:rPr>
        <w:t>et al.</w:t>
      </w:r>
      <w:r w:rsidRPr="009E3412">
        <w:rPr>
          <w:lang w:val="it-IT"/>
        </w:rPr>
        <w:t xml:space="preserve"> </w:t>
      </w:r>
      <w:r w:rsidRPr="009E3412">
        <w:t xml:space="preserve">(2016). p-Cresyl sulfate affects the oxidative burst, phagocytosis process, and antigen presentation of monocyte-derived macrophages. </w:t>
      </w:r>
      <w:r w:rsidRPr="009E3412">
        <w:rPr>
          <w:i/>
          <w:iCs/>
        </w:rPr>
        <w:t>Toxicology Letters</w:t>
      </w:r>
      <w:r w:rsidRPr="009E3412">
        <w:t>. https://doi.org/10.1016/j.toxlet.2016.10.006.</w:t>
      </w:r>
    </w:p>
    <w:p w14:paraId="09BB5DDC" w14:textId="77777777" w:rsidR="00CC6090" w:rsidRPr="009E3412" w:rsidRDefault="00CC6090" w:rsidP="00CC6090">
      <w:pPr>
        <w:pStyle w:val="Bibliography"/>
        <w:rPr>
          <w:lang w:val="fr-FR"/>
        </w:rPr>
      </w:pPr>
      <w:r w:rsidRPr="009E3412">
        <w:t xml:space="preserve">[26] </w:t>
      </w:r>
      <w:r w:rsidRPr="009E3412">
        <w:tab/>
        <w:t xml:space="preserve">Edamatsu, T. </w:t>
      </w:r>
      <w:r w:rsidRPr="009E3412">
        <w:rPr>
          <w:i/>
          <w:iCs/>
        </w:rPr>
        <w:t>et al.</w:t>
      </w:r>
      <w:r w:rsidRPr="009E3412">
        <w:t xml:space="preserve"> (2018). Phenyl sulfate, indoxyl sulfate and p-cresyl sulfate decrease glutathione level to render cells vulnerable to oxidative stress in renal tubular cells. </w:t>
      </w:r>
      <w:r w:rsidRPr="009E3412">
        <w:rPr>
          <w:i/>
          <w:iCs/>
          <w:lang w:val="fr-FR"/>
        </w:rPr>
        <w:t>PloS One</w:t>
      </w:r>
      <w:r w:rsidRPr="009E3412">
        <w:rPr>
          <w:lang w:val="fr-FR"/>
        </w:rPr>
        <w:t>. https://doi.org/10.1371/journal.pone.0193342.</w:t>
      </w:r>
    </w:p>
    <w:p w14:paraId="740C6D6D" w14:textId="77777777" w:rsidR="00CC6090" w:rsidRPr="009E3412" w:rsidRDefault="00CC6090" w:rsidP="00CC6090">
      <w:pPr>
        <w:pStyle w:val="Bibliography"/>
        <w:rPr>
          <w:lang w:val="fr-FR"/>
        </w:rPr>
      </w:pPr>
      <w:r w:rsidRPr="009E3412">
        <w:rPr>
          <w:lang w:val="fr-FR"/>
        </w:rPr>
        <w:t xml:space="preserve">[27] </w:t>
      </w:r>
      <w:r w:rsidRPr="009E3412">
        <w:rPr>
          <w:lang w:val="fr-FR"/>
        </w:rPr>
        <w:tab/>
        <w:t xml:space="preserve">Sun, C.-Y. </w:t>
      </w:r>
      <w:r w:rsidRPr="009E3412">
        <w:rPr>
          <w:i/>
          <w:iCs/>
          <w:lang w:val="fr-FR"/>
        </w:rPr>
        <w:t>et al.</w:t>
      </w:r>
      <w:r w:rsidRPr="009E3412">
        <w:rPr>
          <w:lang w:val="fr-FR"/>
        </w:rPr>
        <w:t xml:space="preserve"> </w:t>
      </w:r>
      <w:r w:rsidRPr="009E3412">
        <w:t xml:space="preserve">(2017). Protein-bound uremic toxins impaired mitochondrial dynamics and functions. </w:t>
      </w:r>
      <w:r w:rsidRPr="009E3412">
        <w:rPr>
          <w:i/>
          <w:iCs/>
          <w:lang w:val="fr-FR"/>
        </w:rPr>
        <w:t>Oncotarget</w:t>
      </w:r>
      <w:r w:rsidRPr="009E3412">
        <w:rPr>
          <w:lang w:val="fr-FR"/>
        </w:rPr>
        <w:t>. https://doi.org/10.18632/oncotarget.20773.</w:t>
      </w:r>
    </w:p>
    <w:p w14:paraId="1BCEEAC2" w14:textId="77777777" w:rsidR="00CC6090" w:rsidRPr="009E3412" w:rsidRDefault="00CC6090" w:rsidP="00CC6090">
      <w:pPr>
        <w:pStyle w:val="Bibliography"/>
      </w:pPr>
      <w:r w:rsidRPr="009E3412">
        <w:rPr>
          <w:lang w:val="fr-FR"/>
        </w:rPr>
        <w:t xml:space="preserve">[28] </w:t>
      </w:r>
      <w:r w:rsidRPr="009E3412">
        <w:rPr>
          <w:lang w:val="fr-FR"/>
        </w:rPr>
        <w:tab/>
        <w:t xml:space="preserve">Tang, W.-H. </w:t>
      </w:r>
      <w:r w:rsidRPr="009E3412">
        <w:rPr>
          <w:i/>
          <w:iCs/>
          <w:lang w:val="fr-FR"/>
        </w:rPr>
        <w:t>et al.</w:t>
      </w:r>
      <w:r w:rsidRPr="009E3412">
        <w:rPr>
          <w:lang w:val="fr-FR"/>
        </w:rPr>
        <w:t xml:space="preserve"> </w:t>
      </w:r>
      <w:r w:rsidRPr="009E3412">
        <w:t xml:space="preserve">(2018). Protein-bounded uremic toxin p-cresylsulfate induces vascular permeability alternations. </w:t>
      </w:r>
      <w:r w:rsidRPr="009E3412">
        <w:rPr>
          <w:i/>
          <w:iCs/>
        </w:rPr>
        <w:t>Histochemistry and Cell Biology</w:t>
      </w:r>
      <w:r w:rsidRPr="009E3412">
        <w:t>. https://doi.org/10.1007/s00418-018-1662-0.</w:t>
      </w:r>
    </w:p>
    <w:p w14:paraId="6C10C733" w14:textId="77777777" w:rsidR="00CC6090" w:rsidRPr="009E3412" w:rsidRDefault="00CC6090" w:rsidP="00CC6090">
      <w:pPr>
        <w:pStyle w:val="Bibliography"/>
      </w:pPr>
      <w:r w:rsidRPr="009E3412">
        <w:t xml:space="preserve">[29] </w:t>
      </w:r>
      <w:r w:rsidRPr="009E3412">
        <w:tab/>
        <w:t xml:space="preserve">Flanagan, E. </w:t>
      </w:r>
      <w:r w:rsidRPr="009E3412">
        <w:rPr>
          <w:i/>
          <w:iCs/>
        </w:rPr>
        <w:t>et al.</w:t>
      </w:r>
      <w:r w:rsidRPr="009E3412">
        <w:t xml:space="preserve"> (2022). Chronic Consumption of Cranberries (Vaccinium macrocarpon) for 12 Weeks Improves Episodic Memory and Regional Brain Perfusion in Healthy Older Adults: A Randomised, Placebo-Controlled, Parallel-Groups Feasibility Study. </w:t>
      </w:r>
      <w:r w:rsidRPr="009E3412">
        <w:rPr>
          <w:i/>
          <w:iCs/>
        </w:rPr>
        <w:t>Frontiers in Nutrition</w:t>
      </w:r>
      <w:r w:rsidRPr="009E3412">
        <w:t>.</w:t>
      </w:r>
    </w:p>
    <w:p w14:paraId="5AB6EE9B" w14:textId="77777777" w:rsidR="00CC6090" w:rsidRPr="009E3412" w:rsidRDefault="00CC6090" w:rsidP="00CC6090">
      <w:pPr>
        <w:pStyle w:val="Bibliography"/>
      </w:pPr>
      <w:r w:rsidRPr="009E3412">
        <w:t xml:space="preserve">[30] </w:t>
      </w:r>
      <w:r w:rsidRPr="009E3412">
        <w:tab/>
        <w:t xml:space="preserve">Irvine, M.A. </w:t>
      </w:r>
      <w:r w:rsidRPr="009E3412">
        <w:rPr>
          <w:i/>
          <w:iCs/>
        </w:rPr>
        <w:t>et al.</w:t>
      </w:r>
      <w:r w:rsidRPr="009E3412">
        <w:t xml:space="preserve"> (2018). The Cognitive Ageing, Nutrition and Neurogenesis (CANN) trial: Design and progress. </w:t>
      </w:r>
      <w:r w:rsidRPr="009E3412">
        <w:rPr>
          <w:i/>
          <w:iCs/>
        </w:rPr>
        <w:t>Alzheimer’s &amp; Dementia : Translational Research &amp; Clinical Interventions</w:t>
      </w:r>
      <w:r w:rsidRPr="009E3412">
        <w:t>. https://doi.org/10.1016/j.trci.2018.08.001.</w:t>
      </w:r>
    </w:p>
    <w:p w14:paraId="36EC8C8C" w14:textId="77777777" w:rsidR="00CC6090" w:rsidRPr="009E3412" w:rsidRDefault="00CC6090" w:rsidP="00CC6090">
      <w:pPr>
        <w:pStyle w:val="Bibliography"/>
      </w:pPr>
      <w:r w:rsidRPr="009E3412">
        <w:t xml:space="preserve">[31] </w:t>
      </w:r>
      <w:r w:rsidRPr="009E3412">
        <w:tab/>
        <w:t xml:space="preserve">Nasreddine, Z.S. </w:t>
      </w:r>
      <w:r w:rsidRPr="009E3412">
        <w:rPr>
          <w:i/>
          <w:iCs/>
        </w:rPr>
        <w:t>et al.</w:t>
      </w:r>
      <w:r w:rsidRPr="009E3412">
        <w:t xml:space="preserve"> (2005). The Montreal Cognitive Assessment, MoCA: A Brief Screening Tool For Mild Cognitive Impairment. </w:t>
      </w:r>
      <w:r w:rsidRPr="009E3412">
        <w:rPr>
          <w:i/>
          <w:iCs/>
        </w:rPr>
        <w:t>Journal of the American Geriatrics Society</w:t>
      </w:r>
      <w:r w:rsidRPr="009E3412">
        <w:t>. https://doi.org/10.1111/j.1532-5415.2005.53221.x.</w:t>
      </w:r>
    </w:p>
    <w:p w14:paraId="2BD8A157" w14:textId="77777777" w:rsidR="00CC6090" w:rsidRPr="009E3412" w:rsidRDefault="00CC6090" w:rsidP="00CC6090">
      <w:pPr>
        <w:pStyle w:val="Bibliography"/>
      </w:pPr>
      <w:r w:rsidRPr="009E3412">
        <w:t xml:space="preserve">[32] </w:t>
      </w:r>
      <w:r w:rsidRPr="009E3412">
        <w:tab/>
        <w:t xml:space="preserve">Sheikh, J.I. and Yesavage, J.A. (1986). Geriatric Depression Scale (GDS): Recent evidence and development of a shorter version. </w:t>
      </w:r>
      <w:r w:rsidRPr="009E3412">
        <w:rPr>
          <w:i/>
          <w:iCs/>
        </w:rPr>
        <w:t>Clinical Gerontologist: The Journal of Aging and Mental Health</w:t>
      </w:r>
      <w:r w:rsidRPr="009E3412">
        <w:t>. https://doi.org/10.1300/J018v05n01_09.</w:t>
      </w:r>
    </w:p>
    <w:p w14:paraId="30B24F36" w14:textId="77777777" w:rsidR="00CC6090" w:rsidRPr="009E3412" w:rsidRDefault="00CC6090" w:rsidP="00CC6090">
      <w:pPr>
        <w:pStyle w:val="Bibliography"/>
      </w:pPr>
      <w:r w:rsidRPr="009E3412">
        <w:t xml:space="preserve">[33] </w:t>
      </w:r>
      <w:r w:rsidRPr="009E3412">
        <w:tab/>
        <w:t xml:space="preserve">Woods, S.P. </w:t>
      </w:r>
      <w:r w:rsidRPr="009E3412">
        <w:rPr>
          <w:i/>
          <w:iCs/>
        </w:rPr>
        <w:t>et al.</w:t>
      </w:r>
      <w:r w:rsidRPr="009E3412">
        <w:t xml:space="preserve"> (2006). The California Verbal Learning Test – second edition: Test-retest reliability, practice effects, and reliable change indices for the standard and alternate forms. </w:t>
      </w:r>
      <w:r w:rsidRPr="009E3412">
        <w:rPr>
          <w:i/>
          <w:iCs/>
        </w:rPr>
        <w:t>Archives of Clinical Neuropsychology</w:t>
      </w:r>
      <w:r w:rsidRPr="009E3412">
        <w:t>. https://doi.org/10.1016/j.acn.2006.06.002.</w:t>
      </w:r>
    </w:p>
    <w:p w14:paraId="4395A4D5" w14:textId="77777777" w:rsidR="00CC6090" w:rsidRPr="009E3412" w:rsidRDefault="00CC6090" w:rsidP="00CC6090">
      <w:pPr>
        <w:pStyle w:val="Bibliography"/>
      </w:pPr>
      <w:r w:rsidRPr="009E3412">
        <w:t xml:space="preserve">[34] </w:t>
      </w:r>
      <w:r w:rsidRPr="009E3412">
        <w:tab/>
        <w:t xml:space="preserve">Roth, C. (2011). Boston Naming Test, in </w:t>
      </w:r>
      <w:r w:rsidRPr="009E3412">
        <w:rPr>
          <w:i/>
          <w:iCs/>
        </w:rPr>
        <w:t>Encyclopedia of Clinical Neuropsychology</w:t>
      </w:r>
      <w:r w:rsidRPr="009E3412">
        <w:t xml:space="preserve"> (eds.Kreutzer, J.S. </w:t>
      </w:r>
      <w:r w:rsidRPr="009E3412">
        <w:rPr>
          <w:i/>
          <w:iCs/>
        </w:rPr>
        <w:t>et al.</w:t>
      </w:r>
      <w:r w:rsidRPr="009E3412">
        <w:t>), Springer, New York, NY, pp. 430–433.</w:t>
      </w:r>
    </w:p>
    <w:p w14:paraId="5EE14D87" w14:textId="77777777" w:rsidR="00CC6090" w:rsidRPr="009E3412" w:rsidRDefault="00CC6090" w:rsidP="00CC6090">
      <w:pPr>
        <w:pStyle w:val="Bibliography"/>
      </w:pPr>
      <w:r w:rsidRPr="009E3412">
        <w:t xml:space="preserve">[35] </w:t>
      </w:r>
      <w:r w:rsidRPr="009E3412">
        <w:tab/>
        <w:t xml:space="preserve">Randolph, C. </w:t>
      </w:r>
      <w:r w:rsidRPr="009E3412">
        <w:rPr>
          <w:i/>
          <w:iCs/>
        </w:rPr>
        <w:t>et al.</w:t>
      </w:r>
      <w:r w:rsidRPr="009E3412">
        <w:t xml:space="preserve"> (1998). The Repeatable Battery for the Assessment of Neuropsychological Status (RBANS): preliminary clinical validity. </w:t>
      </w:r>
      <w:r w:rsidRPr="009E3412">
        <w:rPr>
          <w:i/>
          <w:iCs/>
        </w:rPr>
        <w:t>Journal of clinical and experimental neuropsychology</w:t>
      </w:r>
      <w:r w:rsidRPr="009E3412">
        <w:t>. https://doi.org/10.1076/jcen.20.3.310.823.</w:t>
      </w:r>
    </w:p>
    <w:p w14:paraId="04681F32" w14:textId="77777777" w:rsidR="00CC6090" w:rsidRPr="009E3412" w:rsidRDefault="00CC6090" w:rsidP="00CC6090">
      <w:pPr>
        <w:pStyle w:val="Bibliography"/>
      </w:pPr>
      <w:r w:rsidRPr="009E3412">
        <w:lastRenderedPageBreak/>
        <w:t xml:space="preserve">[36] </w:t>
      </w:r>
      <w:r w:rsidRPr="009E3412">
        <w:tab/>
        <w:t>Wechsler, D. (2019). Wechsler Adult Intelligence Scale--Third Edition. https://doi.org/10.1037/t49755-000.</w:t>
      </w:r>
    </w:p>
    <w:p w14:paraId="29816AE7" w14:textId="77777777" w:rsidR="00CC6090" w:rsidRPr="009E3412" w:rsidRDefault="00CC6090" w:rsidP="00CC6090">
      <w:pPr>
        <w:pStyle w:val="Bibliography"/>
      </w:pPr>
      <w:r w:rsidRPr="009E3412">
        <w:t xml:space="preserve">[37] </w:t>
      </w:r>
      <w:r w:rsidRPr="009E3412">
        <w:tab/>
        <w:t xml:space="preserve">Reitan, R.M. (1955). The relation of the Trail Making Test to organic brain damage. </w:t>
      </w:r>
      <w:r w:rsidRPr="009E3412">
        <w:rPr>
          <w:i/>
          <w:iCs/>
        </w:rPr>
        <w:t>Journal of Consulting Psychology</w:t>
      </w:r>
      <w:r w:rsidRPr="009E3412">
        <w:t>. https://doi.org/10.1037/h0044509.</w:t>
      </w:r>
    </w:p>
    <w:p w14:paraId="64EEDA0F" w14:textId="77777777" w:rsidR="00CC6090" w:rsidRPr="009E3412" w:rsidRDefault="00CC6090" w:rsidP="00CC6090">
      <w:pPr>
        <w:pStyle w:val="Bibliography"/>
        <w:rPr>
          <w:lang w:val="fr-FR"/>
        </w:rPr>
      </w:pPr>
      <w:r w:rsidRPr="009E3412">
        <w:t xml:space="preserve">[38] </w:t>
      </w:r>
      <w:r w:rsidRPr="009E3412">
        <w:tab/>
        <w:t xml:space="preserve">Haro, C. </w:t>
      </w:r>
      <w:r w:rsidRPr="009E3412">
        <w:rPr>
          <w:i/>
          <w:iCs/>
        </w:rPr>
        <w:t>et al.</w:t>
      </w:r>
      <w:r w:rsidRPr="009E3412">
        <w:t xml:space="preserve"> (2016). Intestinal Microbiota Is Influenced by Gender and Body Mass Index. </w:t>
      </w:r>
      <w:r w:rsidRPr="009E3412">
        <w:rPr>
          <w:i/>
          <w:iCs/>
          <w:lang w:val="fr-FR"/>
        </w:rPr>
        <w:t>PLOS ONE</w:t>
      </w:r>
      <w:r w:rsidRPr="009E3412">
        <w:rPr>
          <w:lang w:val="fr-FR"/>
        </w:rPr>
        <w:t>. https://doi.org/10.1371/journal.pone.0154090.</w:t>
      </w:r>
    </w:p>
    <w:p w14:paraId="3A306FDB" w14:textId="77777777" w:rsidR="00CC6090" w:rsidRPr="009E3412" w:rsidRDefault="00CC6090" w:rsidP="00CC6090">
      <w:pPr>
        <w:pStyle w:val="Bibliography"/>
        <w:rPr>
          <w:lang w:val="fr-FR"/>
        </w:rPr>
      </w:pPr>
      <w:r w:rsidRPr="009E3412">
        <w:rPr>
          <w:lang w:val="fr-FR"/>
        </w:rPr>
        <w:t xml:space="preserve">[39] </w:t>
      </w:r>
      <w:r w:rsidRPr="009E3412">
        <w:rPr>
          <w:lang w:val="fr-FR"/>
        </w:rPr>
        <w:tab/>
        <w:t xml:space="preserve">Zhang, X. </w:t>
      </w:r>
      <w:r w:rsidRPr="009E3412">
        <w:rPr>
          <w:i/>
          <w:iCs/>
          <w:lang w:val="fr-FR"/>
        </w:rPr>
        <w:t>et al.</w:t>
      </w:r>
      <w:r w:rsidRPr="009E3412">
        <w:rPr>
          <w:lang w:val="fr-FR"/>
        </w:rPr>
        <w:t xml:space="preserve"> </w:t>
      </w:r>
      <w:r w:rsidRPr="009E3412">
        <w:t xml:space="preserve">(2021). Sex- and age-related trajectories of the adult human gut microbiota shared across populations of different ethnicities. </w:t>
      </w:r>
      <w:r w:rsidRPr="009E3412">
        <w:rPr>
          <w:i/>
          <w:iCs/>
          <w:lang w:val="fr-FR"/>
        </w:rPr>
        <w:t>Nature Aging</w:t>
      </w:r>
      <w:r w:rsidRPr="009E3412">
        <w:rPr>
          <w:lang w:val="fr-FR"/>
        </w:rPr>
        <w:t>. https://doi.org/10.1038/s43587-020-00014-2.</w:t>
      </w:r>
    </w:p>
    <w:p w14:paraId="6F3FE871" w14:textId="77777777" w:rsidR="00CC6090" w:rsidRPr="009E3412" w:rsidRDefault="00CC6090" w:rsidP="00CC6090">
      <w:pPr>
        <w:pStyle w:val="Bibliography"/>
      </w:pPr>
      <w:r w:rsidRPr="009E3412">
        <w:rPr>
          <w:lang w:val="fr-FR"/>
        </w:rPr>
        <w:t xml:space="preserve">[40] </w:t>
      </w:r>
      <w:r w:rsidRPr="009E3412">
        <w:rPr>
          <w:lang w:val="fr-FR"/>
        </w:rPr>
        <w:tab/>
        <w:t xml:space="preserve">O’Sullivan, A. </w:t>
      </w:r>
      <w:r w:rsidRPr="009E3412">
        <w:rPr>
          <w:i/>
          <w:iCs/>
          <w:lang w:val="fr-FR"/>
        </w:rPr>
        <w:t>et al.</w:t>
      </w:r>
      <w:r w:rsidRPr="009E3412">
        <w:rPr>
          <w:lang w:val="fr-FR"/>
        </w:rPr>
        <w:t xml:space="preserve"> </w:t>
      </w:r>
      <w:r w:rsidRPr="009E3412">
        <w:t xml:space="preserve">(2011). Dietary intake patterns are reflected in metabolomic profiles: potential role in dietary assessment studies. </w:t>
      </w:r>
      <w:r w:rsidRPr="009E3412">
        <w:rPr>
          <w:i/>
          <w:iCs/>
        </w:rPr>
        <w:t>The American Journal of Clinical Nutrition</w:t>
      </w:r>
      <w:r w:rsidRPr="009E3412">
        <w:t>. https://doi.org/10.3945/ajcn.110.000950.</w:t>
      </w:r>
    </w:p>
    <w:p w14:paraId="01C526A0" w14:textId="77777777" w:rsidR="00CC6090" w:rsidRPr="009E3412" w:rsidRDefault="00CC6090" w:rsidP="00CC6090">
      <w:pPr>
        <w:pStyle w:val="Bibliography"/>
        <w:rPr>
          <w:lang w:val="fr-FR"/>
        </w:rPr>
      </w:pPr>
      <w:r w:rsidRPr="009E3412">
        <w:rPr>
          <w:lang w:val="fr-FR"/>
        </w:rPr>
        <w:t xml:space="preserve">[41] </w:t>
      </w:r>
      <w:r w:rsidRPr="009E3412">
        <w:rPr>
          <w:lang w:val="fr-FR"/>
        </w:rPr>
        <w:tab/>
        <w:t xml:space="preserve">Wagner-Golbs, A. </w:t>
      </w:r>
      <w:r w:rsidRPr="009E3412">
        <w:rPr>
          <w:i/>
          <w:iCs/>
          <w:lang w:val="fr-FR"/>
        </w:rPr>
        <w:t>et al.</w:t>
      </w:r>
      <w:r w:rsidRPr="009E3412">
        <w:rPr>
          <w:lang w:val="fr-FR"/>
        </w:rPr>
        <w:t xml:space="preserve"> </w:t>
      </w:r>
      <w:r w:rsidRPr="009E3412">
        <w:t xml:space="preserve">(2019). Effects of Long-Term Storage at −80 °C on the Human Plasma Metabolome. </w:t>
      </w:r>
      <w:r w:rsidRPr="009E3412">
        <w:rPr>
          <w:i/>
          <w:iCs/>
          <w:lang w:val="fr-FR"/>
        </w:rPr>
        <w:t>Metabolites</w:t>
      </w:r>
      <w:r w:rsidRPr="009E3412">
        <w:rPr>
          <w:lang w:val="fr-FR"/>
        </w:rPr>
        <w:t>. https://doi.org/10.3390/metabo9050099.</w:t>
      </w:r>
    </w:p>
    <w:p w14:paraId="03676713" w14:textId="77777777" w:rsidR="00CC6090" w:rsidRPr="009E3412" w:rsidRDefault="00CC6090" w:rsidP="00CC6090">
      <w:pPr>
        <w:pStyle w:val="Bibliography"/>
      </w:pPr>
      <w:r w:rsidRPr="009E3412">
        <w:rPr>
          <w:lang w:val="fr-FR"/>
        </w:rPr>
        <w:t xml:space="preserve">[42] </w:t>
      </w:r>
      <w:r w:rsidRPr="009E3412">
        <w:rPr>
          <w:lang w:val="fr-FR"/>
        </w:rPr>
        <w:tab/>
        <w:t xml:space="preserve">Spitzer, R.L. </w:t>
      </w:r>
      <w:r w:rsidRPr="009E3412">
        <w:rPr>
          <w:i/>
          <w:iCs/>
          <w:lang w:val="fr-FR"/>
        </w:rPr>
        <w:t>et al.</w:t>
      </w:r>
      <w:r w:rsidRPr="009E3412">
        <w:rPr>
          <w:lang w:val="fr-FR"/>
        </w:rPr>
        <w:t xml:space="preserve"> </w:t>
      </w:r>
      <w:r w:rsidRPr="009E3412">
        <w:t xml:space="preserve">(2006). A Brief Measure for Assessing Generalized Anxiety Disorder: The GAD-7. </w:t>
      </w:r>
      <w:r w:rsidRPr="009E3412">
        <w:rPr>
          <w:i/>
          <w:iCs/>
        </w:rPr>
        <w:t>Archives of Internal Medicine</w:t>
      </w:r>
      <w:r w:rsidRPr="009E3412">
        <w:t>. https://doi.org/10.1001/archinte.166.10.1092.</w:t>
      </w:r>
    </w:p>
    <w:p w14:paraId="30E9F80E" w14:textId="77777777" w:rsidR="00CC6090" w:rsidRPr="009E3412" w:rsidRDefault="00CC6090" w:rsidP="00CC6090">
      <w:pPr>
        <w:pStyle w:val="Bibliography"/>
      </w:pPr>
      <w:r w:rsidRPr="009E3412">
        <w:t xml:space="preserve">[43] </w:t>
      </w:r>
      <w:r w:rsidRPr="009E3412">
        <w:tab/>
        <w:t xml:space="preserve">Hollis, J.L. </w:t>
      </w:r>
      <w:r w:rsidRPr="009E3412">
        <w:rPr>
          <w:i/>
          <w:iCs/>
        </w:rPr>
        <w:t>et al.</w:t>
      </w:r>
      <w:r w:rsidRPr="009E3412">
        <w:t xml:space="preserve"> (2017). Assessing the relative validity of the Scottish Collaborative Group FFQ for measuring dietary intake in adults. </w:t>
      </w:r>
      <w:r w:rsidRPr="009E3412">
        <w:rPr>
          <w:i/>
          <w:iCs/>
        </w:rPr>
        <w:t>Public Health Nutrition</w:t>
      </w:r>
      <w:r w:rsidRPr="009E3412">
        <w:t>. https://doi.org/10.1017/S1368980016002421.</w:t>
      </w:r>
    </w:p>
    <w:p w14:paraId="1ADE0BBE" w14:textId="77777777" w:rsidR="00CC6090" w:rsidRPr="009E3412" w:rsidRDefault="00CC6090" w:rsidP="00CC6090">
      <w:pPr>
        <w:pStyle w:val="Bibliography"/>
      </w:pPr>
      <w:r w:rsidRPr="009E3412">
        <w:t xml:space="preserve">[44] </w:t>
      </w:r>
      <w:r w:rsidRPr="009E3412">
        <w:tab/>
        <w:t xml:space="preserve">Pontifex, M.G. </w:t>
      </w:r>
      <w:r w:rsidRPr="009E3412">
        <w:rPr>
          <w:i/>
          <w:iCs/>
        </w:rPr>
        <w:t>et al.</w:t>
      </w:r>
      <w:r w:rsidRPr="009E3412">
        <w:t xml:space="preserve"> (2022). Saffron extract (Safr’Inside</w:t>
      </w:r>
      <w:r w:rsidRPr="009E3412">
        <w:rPr>
          <w:vertAlign w:val="superscript"/>
        </w:rPr>
        <w:t>TM</w:t>
      </w:r>
      <w:r w:rsidRPr="009E3412">
        <w:t xml:space="preserve">) improves anxiety related behaviour in a mouse model of low-grade inflammation through the modulation of the microbiota and gut derived metabolites. </w:t>
      </w:r>
      <w:r w:rsidRPr="009E3412">
        <w:rPr>
          <w:i/>
          <w:iCs/>
        </w:rPr>
        <w:t>Food &amp; Function</w:t>
      </w:r>
      <w:r w:rsidRPr="009E3412">
        <w:t>. https://doi.org/10.1039/D2FO02739A.</w:t>
      </w:r>
    </w:p>
    <w:p w14:paraId="53753A5F" w14:textId="77777777" w:rsidR="00CC6090" w:rsidRPr="009E3412" w:rsidRDefault="00CC6090" w:rsidP="00CC6090">
      <w:pPr>
        <w:pStyle w:val="Bibliography"/>
      </w:pPr>
      <w:r w:rsidRPr="009E3412">
        <w:t xml:space="preserve">[45] </w:t>
      </w:r>
      <w:r w:rsidRPr="009E3412">
        <w:tab/>
        <w:t xml:space="preserve">Wang, Q. </w:t>
      </w:r>
      <w:r w:rsidRPr="009E3412">
        <w:rPr>
          <w:i/>
          <w:iCs/>
        </w:rPr>
        <w:t>et al.</w:t>
      </w:r>
      <w:r w:rsidRPr="009E3412">
        <w:t xml:space="preserve"> (2007). Naive Bayesian classifier for rapid assignment of rRNA sequences into the new bacterial taxonomy. </w:t>
      </w:r>
      <w:r w:rsidRPr="009E3412">
        <w:rPr>
          <w:i/>
          <w:iCs/>
        </w:rPr>
        <w:t>Applied and Environmental Microbiology</w:t>
      </w:r>
      <w:r w:rsidRPr="009E3412">
        <w:t>. https://doi.org/10.1128/AEM.00062-07.</w:t>
      </w:r>
    </w:p>
    <w:p w14:paraId="534D3580" w14:textId="77777777" w:rsidR="00CC6090" w:rsidRPr="009E3412" w:rsidRDefault="00CC6090" w:rsidP="00CC6090">
      <w:pPr>
        <w:pStyle w:val="Bibliography"/>
      </w:pPr>
      <w:r w:rsidRPr="009E3412">
        <w:t xml:space="preserve">[46] </w:t>
      </w:r>
      <w:r w:rsidRPr="009E3412">
        <w:tab/>
        <w:t xml:space="preserve">Quast, C. </w:t>
      </w:r>
      <w:r w:rsidRPr="009E3412">
        <w:rPr>
          <w:i/>
          <w:iCs/>
        </w:rPr>
        <w:t>et al.</w:t>
      </w:r>
      <w:r w:rsidRPr="009E3412">
        <w:t xml:space="preserve"> (2013). The SILVA ribosomal RNA gene database project: improved data processing and web-based tools. </w:t>
      </w:r>
      <w:r w:rsidRPr="009E3412">
        <w:rPr>
          <w:i/>
          <w:iCs/>
        </w:rPr>
        <w:t>Nucleic Acids Research</w:t>
      </w:r>
      <w:r w:rsidRPr="009E3412">
        <w:t>. https://doi.org/10.1093/nar/gks1219.</w:t>
      </w:r>
    </w:p>
    <w:p w14:paraId="540A4FB5" w14:textId="77777777" w:rsidR="00CC6090" w:rsidRPr="009E3412" w:rsidRDefault="00CC6090" w:rsidP="00CC6090">
      <w:pPr>
        <w:pStyle w:val="Bibliography"/>
        <w:rPr>
          <w:lang w:val="fr-FR"/>
        </w:rPr>
      </w:pPr>
      <w:r w:rsidRPr="009E3412">
        <w:t xml:space="preserve">[47] </w:t>
      </w:r>
      <w:r w:rsidRPr="009E3412">
        <w:tab/>
        <w:t xml:space="preserve">Pang, Z. </w:t>
      </w:r>
      <w:r w:rsidRPr="009E3412">
        <w:rPr>
          <w:i/>
          <w:iCs/>
        </w:rPr>
        <w:t>et al.</w:t>
      </w:r>
      <w:r w:rsidRPr="009E3412">
        <w:t xml:space="preserve"> (2022). Using MetaboAnalyst 5.0 for LC–HRMS spectra processing, multi-omics integration and covariate adjustment of global metabolomics data. </w:t>
      </w:r>
      <w:r w:rsidRPr="009E3412">
        <w:rPr>
          <w:i/>
          <w:iCs/>
          <w:lang w:val="fr-FR"/>
        </w:rPr>
        <w:t>Nature Protocols</w:t>
      </w:r>
      <w:r w:rsidRPr="009E3412">
        <w:rPr>
          <w:lang w:val="fr-FR"/>
        </w:rPr>
        <w:t>. https://doi.org/10.1038/s41596-022-00710-w.</w:t>
      </w:r>
    </w:p>
    <w:p w14:paraId="2AA0B549" w14:textId="77777777" w:rsidR="00CC6090" w:rsidRPr="009E3412" w:rsidRDefault="00CC6090" w:rsidP="00CC6090">
      <w:pPr>
        <w:pStyle w:val="Bibliography"/>
      </w:pPr>
      <w:r w:rsidRPr="009E3412">
        <w:rPr>
          <w:lang w:val="fr-FR"/>
        </w:rPr>
        <w:t xml:space="preserve">[48] </w:t>
      </w:r>
      <w:r w:rsidRPr="009E3412">
        <w:rPr>
          <w:lang w:val="fr-FR"/>
        </w:rPr>
        <w:tab/>
        <w:t xml:space="preserve">Gowda, S. </w:t>
      </w:r>
      <w:r w:rsidRPr="009E3412">
        <w:rPr>
          <w:i/>
          <w:iCs/>
          <w:lang w:val="fr-FR"/>
        </w:rPr>
        <w:t>et al.</w:t>
      </w:r>
      <w:r w:rsidRPr="009E3412">
        <w:rPr>
          <w:lang w:val="fr-FR"/>
        </w:rPr>
        <w:t xml:space="preserve"> </w:t>
      </w:r>
      <w:r w:rsidRPr="009E3412">
        <w:t xml:space="preserve">(2010). Markers of renal function tests. </w:t>
      </w:r>
      <w:r w:rsidRPr="009E3412">
        <w:rPr>
          <w:i/>
          <w:iCs/>
        </w:rPr>
        <w:t>North American Journal of Medical Sciences</w:t>
      </w:r>
      <w:r w:rsidRPr="009E3412">
        <w:t>.</w:t>
      </w:r>
    </w:p>
    <w:p w14:paraId="725785E3" w14:textId="77777777" w:rsidR="00CC6090" w:rsidRPr="009E3412" w:rsidRDefault="00CC6090" w:rsidP="00CC6090">
      <w:pPr>
        <w:pStyle w:val="Bibliography"/>
      </w:pPr>
      <w:r w:rsidRPr="009E3412">
        <w:t xml:space="preserve">[49] </w:t>
      </w:r>
      <w:r w:rsidRPr="009E3412">
        <w:tab/>
        <w:t xml:space="preserve">Williams, A.L. and Hoofnagle, J.H. (1988). Ratio of serum aspartate to alanine aminotransferase in chronic hepatitis. Relationship to cirrhosis. </w:t>
      </w:r>
      <w:r w:rsidRPr="009E3412">
        <w:rPr>
          <w:i/>
          <w:iCs/>
        </w:rPr>
        <w:t>Gastroenterology</w:t>
      </w:r>
      <w:r w:rsidRPr="009E3412">
        <w:t>. https://doi.org/10.1016/s0016-5085(88)80022-2.</w:t>
      </w:r>
    </w:p>
    <w:p w14:paraId="22B84389" w14:textId="77777777" w:rsidR="00CC6090" w:rsidRPr="009E3412" w:rsidRDefault="00CC6090" w:rsidP="00CC6090">
      <w:pPr>
        <w:pStyle w:val="Bibliography"/>
      </w:pPr>
      <w:r w:rsidRPr="009E3412">
        <w:t xml:space="preserve">[50] </w:t>
      </w:r>
      <w:r w:rsidRPr="009E3412">
        <w:tab/>
        <w:t xml:space="preserve">Giannini, E. </w:t>
      </w:r>
      <w:r w:rsidRPr="009E3412">
        <w:rPr>
          <w:i/>
          <w:iCs/>
        </w:rPr>
        <w:t>et al.</w:t>
      </w:r>
      <w:r w:rsidRPr="009E3412">
        <w:t xml:space="preserve"> (1999). Progressive liver functional impairment is associated with an increase in AST/ALT ratio. </w:t>
      </w:r>
      <w:r w:rsidRPr="009E3412">
        <w:rPr>
          <w:i/>
          <w:iCs/>
        </w:rPr>
        <w:t>Digestive Diseases and Sciences</w:t>
      </w:r>
      <w:r w:rsidRPr="009E3412">
        <w:t>. https://doi.org/10.1023/a:1026609231094.</w:t>
      </w:r>
    </w:p>
    <w:p w14:paraId="1203B22B" w14:textId="77777777" w:rsidR="00CC6090" w:rsidRPr="009E3412" w:rsidRDefault="00CC6090" w:rsidP="00CC6090">
      <w:pPr>
        <w:pStyle w:val="Bibliography"/>
      </w:pPr>
      <w:r w:rsidRPr="009E3412">
        <w:t xml:space="preserve">[51] </w:t>
      </w:r>
      <w:r w:rsidRPr="009E3412">
        <w:tab/>
        <w:t xml:space="preserve">Tavassol, Z.H. </w:t>
      </w:r>
      <w:r w:rsidRPr="009E3412">
        <w:rPr>
          <w:i/>
          <w:iCs/>
        </w:rPr>
        <w:t>et al.</w:t>
      </w:r>
      <w:r w:rsidRPr="009E3412">
        <w:t xml:space="preserve"> (2023). Alteration in Gut Microbiota Composition of Older Adults Is Associated with Obesity and Its Indices: A Systematic Review. </w:t>
      </w:r>
      <w:r w:rsidRPr="009E3412">
        <w:rPr>
          <w:i/>
          <w:iCs/>
        </w:rPr>
        <w:t>The Journal of nutrition, health and aging</w:t>
      </w:r>
      <w:r w:rsidRPr="009E3412">
        <w:t>. https://doi.org/10.1007/s12603-023-1988-8.</w:t>
      </w:r>
    </w:p>
    <w:p w14:paraId="32D6D578" w14:textId="77777777" w:rsidR="00CC6090" w:rsidRPr="009E3412" w:rsidRDefault="00CC6090" w:rsidP="00CC6090">
      <w:pPr>
        <w:pStyle w:val="Bibliography"/>
      </w:pPr>
      <w:r w:rsidRPr="009E3412">
        <w:rPr>
          <w:lang w:val="fr-FR"/>
        </w:rPr>
        <w:t xml:space="preserve">[52] </w:t>
      </w:r>
      <w:r w:rsidRPr="009E3412">
        <w:rPr>
          <w:lang w:val="fr-FR"/>
        </w:rPr>
        <w:tab/>
        <w:t xml:space="preserve">Leeming, E.R. </w:t>
      </w:r>
      <w:r w:rsidRPr="009E3412">
        <w:rPr>
          <w:i/>
          <w:iCs/>
          <w:lang w:val="fr-FR"/>
        </w:rPr>
        <w:t>et al.</w:t>
      </w:r>
      <w:r w:rsidRPr="009E3412">
        <w:rPr>
          <w:lang w:val="fr-FR"/>
        </w:rPr>
        <w:t xml:space="preserve"> </w:t>
      </w:r>
      <w:r w:rsidRPr="009E3412">
        <w:t xml:space="preserve">(2019). Effect of Diet on the Gut Microbiota: Rethinking Intervention Duration. </w:t>
      </w:r>
      <w:r w:rsidRPr="009E3412">
        <w:rPr>
          <w:i/>
          <w:iCs/>
        </w:rPr>
        <w:t>Nutrients</w:t>
      </w:r>
      <w:r w:rsidRPr="009E3412">
        <w:t>. https://doi.org/10.3390/nu11122862.</w:t>
      </w:r>
    </w:p>
    <w:p w14:paraId="76C818C2" w14:textId="77777777" w:rsidR="00CC6090" w:rsidRPr="009E3412" w:rsidRDefault="00CC6090" w:rsidP="00CC6090">
      <w:pPr>
        <w:pStyle w:val="Bibliography"/>
      </w:pPr>
      <w:r w:rsidRPr="009E3412">
        <w:t xml:space="preserve">[53] </w:t>
      </w:r>
      <w:r w:rsidRPr="009E3412">
        <w:tab/>
        <w:t xml:space="preserve">Roda, A. </w:t>
      </w:r>
      <w:r w:rsidRPr="009E3412">
        <w:rPr>
          <w:i/>
          <w:iCs/>
        </w:rPr>
        <w:t>et al.</w:t>
      </w:r>
      <w:r w:rsidRPr="009E3412">
        <w:t xml:space="preserve"> (1982). Quantitative aspects of the interaction of bile acids with human serum albumin. </w:t>
      </w:r>
      <w:r w:rsidRPr="009E3412">
        <w:rPr>
          <w:i/>
          <w:iCs/>
        </w:rPr>
        <w:t>Journal of Lipid Research</w:t>
      </w:r>
      <w:r w:rsidRPr="009E3412">
        <w:t>. https://doi.org/10.1016/S0022-2275(20)38147-5.</w:t>
      </w:r>
    </w:p>
    <w:p w14:paraId="756AC535" w14:textId="77777777" w:rsidR="00CC6090" w:rsidRPr="009E3412" w:rsidRDefault="00CC6090" w:rsidP="00CC6090">
      <w:pPr>
        <w:pStyle w:val="Bibliography"/>
        <w:rPr>
          <w:lang w:val="fr-FR"/>
        </w:rPr>
      </w:pPr>
      <w:r w:rsidRPr="009E3412">
        <w:t xml:space="preserve">[54] </w:t>
      </w:r>
      <w:r w:rsidRPr="009E3412">
        <w:tab/>
        <w:t xml:space="preserve">van der Made, T.K. </w:t>
      </w:r>
      <w:r w:rsidRPr="009E3412">
        <w:rPr>
          <w:i/>
          <w:iCs/>
        </w:rPr>
        <w:t>et al.</w:t>
      </w:r>
      <w:r w:rsidRPr="009E3412">
        <w:t xml:space="preserve"> (2019). Quantitative Translation of Microfluidic Transporter in Vitro Data to in Vivo Reveals Impaired Albumin-Facilitated Indoxyl Sulfate Secretion in Chronic Kidney Disease. </w:t>
      </w:r>
      <w:r w:rsidRPr="009E3412">
        <w:rPr>
          <w:i/>
          <w:iCs/>
          <w:lang w:val="fr-FR"/>
        </w:rPr>
        <w:t>Molecular Pharmaceutics</w:t>
      </w:r>
      <w:r w:rsidRPr="009E3412">
        <w:rPr>
          <w:lang w:val="fr-FR"/>
        </w:rPr>
        <w:t>. https://doi.org/10.1021/acs.molpharmaceut.9b00681.</w:t>
      </w:r>
    </w:p>
    <w:p w14:paraId="1C1C707A" w14:textId="77777777" w:rsidR="00CC6090" w:rsidRPr="009E3412" w:rsidRDefault="00CC6090" w:rsidP="00CC6090">
      <w:pPr>
        <w:pStyle w:val="Bibliography"/>
      </w:pPr>
      <w:r w:rsidRPr="009E3412">
        <w:rPr>
          <w:lang w:val="fr-FR"/>
        </w:rPr>
        <w:lastRenderedPageBreak/>
        <w:t xml:space="preserve">[55] </w:t>
      </w:r>
      <w:r w:rsidRPr="009E3412">
        <w:rPr>
          <w:lang w:val="fr-FR"/>
        </w:rPr>
        <w:tab/>
        <w:t xml:space="preserve">Bammens, B. </w:t>
      </w:r>
      <w:r w:rsidRPr="009E3412">
        <w:rPr>
          <w:i/>
          <w:iCs/>
          <w:lang w:val="fr-FR"/>
        </w:rPr>
        <w:t>et al.</w:t>
      </w:r>
      <w:r w:rsidRPr="009E3412">
        <w:rPr>
          <w:lang w:val="fr-FR"/>
        </w:rPr>
        <w:t xml:space="preserve"> </w:t>
      </w:r>
      <w:r w:rsidRPr="009E3412">
        <w:t xml:space="preserve">(2006). Free serum concentrations of the protein-bound retention solute </w:t>
      </w:r>
      <w:r w:rsidRPr="009E3412">
        <w:rPr>
          <w:i/>
          <w:iCs/>
        </w:rPr>
        <w:t>p</w:t>
      </w:r>
      <w:r w:rsidRPr="009E3412">
        <w:t xml:space="preserve">-cresol predict mortality in hemodialysis patients. </w:t>
      </w:r>
      <w:r w:rsidRPr="009E3412">
        <w:rPr>
          <w:i/>
          <w:iCs/>
        </w:rPr>
        <w:t>Kidney International</w:t>
      </w:r>
      <w:r w:rsidRPr="009E3412">
        <w:t>. https://doi.org/10.1038/sj.ki.5000115.</w:t>
      </w:r>
    </w:p>
    <w:p w14:paraId="0A13B34B" w14:textId="77777777" w:rsidR="00CC6090" w:rsidRPr="009E3412" w:rsidRDefault="00CC6090" w:rsidP="00CC6090">
      <w:pPr>
        <w:pStyle w:val="Bibliography"/>
      </w:pPr>
      <w:r w:rsidRPr="009E3412">
        <w:t xml:space="preserve">[56] </w:t>
      </w:r>
      <w:r w:rsidRPr="009E3412">
        <w:tab/>
        <w:t xml:space="preserve">Srinath, A. </w:t>
      </w:r>
      <w:r w:rsidRPr="009E3412">
        <w:rPr>
          <w:i/>
          <w:iCs/>
        </w:rPr>
        <w:t>et al.</w:t>
      </w:r>
      <w:r w:rsidRPr="009E3412">
        <w:t xml:space="preserve"> (2023). Plasma metabolites with mechanistic and clinical links to the neurovascular disease cavernous angioma. </w:t>
      </w:r>
      <w:r w:rsidRPr="009E3412">
        <w:rPr>
          <w:i/>
          <w:iCs/>
        </w:rPr>
        <w:t>Communications Medicine</w:t>
      </w:r>
      <w:r w:rsidRPr="009E3412">
        <w:t>. https://doi.org/10.1038/s43856-023-00265-1.</w:t>
      </w:r>
    </w:p>
    <w:p w14:paraId="30D1F5DA" w14:textId="77777777" w:rsidR="00CC6090" w:rsidRPr="009E3412" w:rsidRDefault="00CC6090" w:rsidP="00CC6090">
      <w:pPr>
        <w:pStyle w:val="Bibliography"/>
      </w:pPr>
      <w:r w:rsidRPr="009E3412">
        <w:t xml:space="preserve">[57] </w:t>
      </w:r>
      <w:r w:rsidRPr="009E3412">
        <w:tab/>
        <w:t xml:space="preserve">Berger, A. and Kiefer, M. (2021). Comparison of Different Response Time Outlier Exclusion Methods: A Simulation Study. </w:t>
      </w:r>
      <w:r w:rsidRPr="009E3412">
        <w:rPr>
          <w:i/>
          <w:iCs/>
        </w:rPr>
        <w:t>Frontiers in Psychology</w:t>
      </w:r>
      <w:r w:rsidRPr="009E3412">
        <w:t>. https://doi.org/10.3389/fpsyg.2021.675558.</w:t>
      </w:r>
    </w:p>
    <w:p w14:paraId="01D1691E" w14:textId="77777777" w:rsidR="00CC6090" w:rsidRPr="009E3412" w:rsidRDefault="00CC6090" w:rsidP="00CC6090">
      <w:pPr>
        <w:pStyle w:val="Bibliography"/>
      </w:pPr>
      <w:r w:rsidRPr="009E3412">
        <w:t xml:space="preserve">[58] </w:t>
      </w:r>
      <w:r w:rsidRPr="009E3412">
        <w:tab/>
        <w:t xml:space="preserve">Liaw, A. and Wiener, M. (2001). Classification and Regression by RandomForest. </w:t>
      </w:r>
      <w:r w:rsidRPr="009E3412">
        <w:rPr>
          <w:i/>
          <w:iCs/>
        </w:rPr>
        <w:t>Forest</w:t>
      </w:r>
      <w:r w:rsidRPr="009E3412">
        <w:t>.</w:t>
      </w:r>
    </w:p>
    <w:p w14:paraId="59BA4ADC" w14:textId="77777777" w:rsidR="00CC6090" w:rsidRPr="009E3412" w:rsidRDefault="00CC6090" w:rsidP="00CC6090">
      <w:pPr>
        <w:pStyle w:val="Bibliography"/>
      </w:pPr>
      <w:r w:rsidRPr="009E3412">
        <w:t xml:space="preserve">[59] </w:t>
      </w:r>
      <w:r w:rsidRPr="009E3412">
        <w:tab/>
        <w:t xml:space="preserve">Calle, M.L. and Urrea, V. (2011). Letter to the editor: Stability of Random Forest importance measures. </w:t>
      </w:r>
      <w:r w:rsidRPr="009E3412">
        <w:rPr>
          <w:i/>
          <w:iCs/>
        </w:rPr>
        <w:t>Briefings in Bioinformatics</w:t>
      </w:r>
      <w:r w:rsidRPr="009E3412">
        <w:t>. https://doi.org/10.1093/bib/bbq011.</w:t>
      </w:r>
    </w:p>
    <w:p w14:paraId="5AD6C525" w14:textId="77777777" w:rsidR="00CC6090" w:rsidRPr="009E3412" w:rsidRDefault="00CC6090" w:rsidP="00CC6090">
      <w:pPr>
        <w:pStyle w:val="Bibliography"/>
      </w:pPr>
      <w:r w:rsidRPr="009E3412">
        <w:t xml:space="preserve">[60] </w:t>
      </w:r>
      <w:r w:rsidRPr="009E3412">
        <w:tab/>
        <w:t xml:space="preserve">Wang, R. (2012). AdaBoost for Feature Selection, Classification and Its Relation with SVM, A Review. </w:t>
      </w:r>
      <w:r w:rsidRPr="009E3412">
        <w:rPr>
          <w:i/>
          <w:iCs/>
        </w:rPr>
        <w:t>Physics Procedia</w:t>
      </w:r>
      <w:r w:rsidRPr="009E3412">
        <w:t>. https://doi.org/10.1016/j.phpro.2012.03.160.</w:t>
      </w:r>
    </w:p>
    <w:p w14:paraId="7C560A82" w14:textId="77777777" w:rsidR="00CC6090" w:rsidRPr="009E3412" w:rsidRDefault="00CC6090" w:rsidP="00CC6090">
      <w:pPr>
        <w:pStyle w:val="Bibliography"/>
      </w:pPr>
      <w:r w:rsidRPr="009E3412">
        <w:t xml:space="preserve">[61] </w:t>
      </w:r>
      <w:r w:rsidRPr="009E3412">
        <w:tab/>
        <w:t xml:space="preserve">Rish, I. (2001). An Empirical Study of the Naïve Bayes Classifier. </w:t>
      </w:r>
      <w:r w:rsidRPr="009E3412">
        <w:rPr>
          <w:i/>
          <w:iCs/>
        </w:rPr>
        <w:t>IJCAI 2001 Work Empir Methods Artif Intell</w:t>
      </w:r>
      <w:r w:rsidRPr="009E3412">
        <w:t>.</w:t>
      </w:r>
    </w:p>
    <w:p w14:paraId="0BDE16EA" w14:textId="77777777" w:rsidR="00CC6090" w:rsidRPr="009E3412" w:rsidRDefault="00CC6090" w:rsidP="00CC6090">
      <w:pPr>
        <w:pStyle w:val="Bibliography"/>
      </w:pPr>
      <w:r w:rsidRPr="009E3412">
        <w:t xml:space="preserve">[62] </w:t>
      </w:r>
      <w:r w:rsidRPr="009E3412">
        <w:tab/>
        <w:t xml:space="preserve">Hwang, I.K. </w:t>
      </w:r>
      <w:r w:rsidRPr="009E3412">
        <w:rPr>
          <w:i/>
          <w:iCs/>
        </w:rPr>
        <w:t>et al.</w:t>
      </w:r>
      <w:r w:rsidRPr="009E3412">
        <w:t xml:space="preserve"> (2009). Indole-3-propionic acid attenuates neuronal damage and oxidative stress in the ischemic hippocampus. </w:t>
      </w:r>
      <w:r w:rsidRPr="009E3412">
        <w:rPr>
          <w:i/>
          <w:iCs/>
        </w:rPr>
        <w:t>Journal of Neuroscience Research</w:t>
      </w:r>
      <w:r w:rsidRPr="009E3412">
        <w:t>. https://doi.org/10.1002/jnr.22030.</w:t>
      </w:r>
    </w:p>
    <w:p w14:paraId="6221C1E2" w14:textId="77777777" w:rsidR="00CC6090" w:rsidRPr="009E3412" w:rsidRDefault="00CC6090" w:rsidP="00CC6090">
      <w:pPr>
        <w:pStyle w:val="Bibliography"/>
      </w:pPr>
      <w:r w:rsidRPr="009E3412">
        <w:t xml:space="preserve">[63] </w:t>
      </w:r>
      <w:r w:rsidRPr="009E3412">
        <w:tab/>
        <w:t xml:space="preserve">Blusztajn, J.K. </w:t>
      </w:r>
      <w:r w:rsidRPr="009E3412">
        <w:rPr>
          <w:i/>
          <w:iCs/>
        </w:rPr>
        <w:t>et al.</w:t>
      </w:r>
      <w:r w:rsidRPr="009E3412">
        <w:t xml:space="preserve"> (2017). Neuroprotective Actions of Dietary Choline. </w:t>
      </w:r>
      <w:r w:rsidRPr="009E3412">
        <w:rPr>
          <w:i/>
          <w:iCs/>
        </w:rPr>
        <w:t>Nutrients</w:t>
      </w:r>
      <w:r w:rsidRPr="009E3412">
        <w:t>. https://doi.org/10.3390/nu9080815.</w:t>
      </w:r>
    </w:p>
    <w:p w14:paraId="4417E1C1" w14:textId="77777777" w:rsidR="00CC6090" w:rsidRPr="009E3412" w:rsidRDefault="00CC6090" w:rsidP="00CC6090">
      <w:pPr>
        <w:pStyle w:val="Bibliography"/>
      </w:pPr>
      <w:r w:rsidRPr="009E3412">
        <w:t xml:space="preserve">[64] </w:t>
      </w:r>
      <w:r w:rsidRPr="009E3412">
        <w:tab/>
        <w:t xml:space="preserve">Klein, C. </w:t>
      </w:r>
      <w:r w:rsidRPr="009E3412">
        <w:rPr>
          <w:i/>
          <w:iCs/>
        </w:rPr>
        <w:t>et al.</w:t>
      </w:r>
      <w:r w:rsidRPr="009E3412">
        <w:t xml:space="preserve"> (2018). 5-HIAA induces neprilysin to ameliorate pathophysiology and symptoms in a mouse model for Alzheimer’s disease. </w:t>
      </w:r>
      <w:r w:rsidRPr="009E3412">
        <w:rPr>
          <w:i/>
          <w:iCs/>
        </w:rPr>
        <w:t>Acta Neuropathologica Communications</w:t>
      </w:r>
      <w:r w:rsidRPr="009E3412">
        <w:t>. https://doi.org/10.1186/s40478-018-0640-z.</w:t>
      </w:r>
    </w:p>
    <w:p w14:paraId="633C7D1B" w14:textId="77777777" w:rsidR="00CC6090" w:rsidRPr="009E3412" w:rsidRDefault="00CC6090" w:rsidP="00CC6090">
      <w:pPr>
        <w:pStyle w:val="Bibliography"/>
      </w:pPr>
      <w:r w:rsidRPr="009E3412">
        <w:t xml:space="preserve">[65] </w:t>
      </w:r>
      <w:r w:rsidRPr="009E3412">
        <w:tab/>
        <w:t xml:space="preserve">Leong, S.C. and Sirich, T.L. (2016). Indoxyl Sulfate—Review of Toxicity and Therapeutic Strategies. </w:t>
      </w:r>
      <w:r w:rsidRPr="009E3412">
        <w:rPr>
          <w:i/>
          <w:iCs/>
        </w:rPr>
        <w:t>Toxins</w:t>
      </w:r>
      <w:r w:rsidRPr="009E3412">
        <w:t>. https://doi.org/10.3390/toxins8120358.</w:t>
      </w:r>
    </w:p>
    <w:p w14:paraId="22986667" w14:textId="77777777" w:rsidR="00CC6090" w:rsidRPr="009E3412" w:rsidRDefault="00CC6090" w:rsidP="00CC6090">
      <w:pPr>
        <w:pStyle w:val="Bibliography"/>
      </w:pPr>
      <w:r w:rsidRPr="009E3412">
        <w:t xml:space="preserve">[66] </w:t>
      </w:r>
      <w:r w:rsidRPr="009E3412">
        <w:tab/>
        <w:t xml:space="preserve">Sheng, C. </w:t>
      </w:r>
      <w:r w:rsidRPr="009E3412">
        <w:rPr>
          <w:i/>
          <w:iCs/>
        </w:rPr>
        <w:t>et al.</w:t>
      </w:r>
      <w:r w:rsidRPr="009E3412">
        <w:t xml:space="preserve"> (2021). Altered Gut Microbiota in Adults with Subjective Cognitive Decline: The SILCODE Study. </w:t>
      </w:r>
      <w:r w:rsidRPr="009E3412">
        <w:rPr>
          <w:i/>
          <w:iCs/>
        </w:rPr>
        <w:t>Journal of Alzheimer’s disease: JAD</w:t>
      </w:r>
      <w:r w:rsidRPr="009E3412">
        <w:t>. https://doi.org/10.3233/JAD-210259.</w:t>
      </w:r>
    </w:p>
    <w:p w14:paraId="4B9D3EFB" w14:textId="77777777" w:rsidR="00CC6090" w:rsidRPr="009E3412" w:rsidRDefault="00CC6090" w:rsidP="00CC6090">
      <w:pPr>
        <w:pStyle w:val="Bibliography"/>
      </w:pPr>
      <w:r w:rsidRPr="009E3412">
        <w:t xml:space="preserve">[67] </w:t>
      </w:r>
      <w:r w:rsidRPr="009E3412">
        <w:tab/>
        <w:t xml:space="preserve">Chen, G. </w:t>
      </w:r>
      <w:r w:rsidRPr="009E3412">
        <w:rPr>
          <w:i/>
          <w:iCs/>
        </w:rPr>
        <w:t>et al.</w:t>
      </w:r>
      <w:r w:rsidRPr="009E3412">
        <w:t xml:space="preserve"> (2023). Gut microbiome characteristics in subjective cognitive decline, mild cognitive impairment and Alzheimer’s disease: a systematic review and meta-analysis. </w:t>
      </w:r>
      <w:r w:rsidRPr="009E3412">
        <w:rPr>
          <w:i/>
          <w:iCs/>
        </w:rPr>
        <w:t>European Journal of Neurology</w:t>
      </w:r>
      <w:r w:rsidRPr="009E3412">
        <w:t>. https://doi.org/10.1111/ene.15961.</w:t>
      </w:r>
    </w:p>
    <w:p w14:paraId="6A85FA8C" w14:textId="77777777" w:rsidR="00CC6090" w:rsidRPr="009E3412" w:rsidRDefault="00CC6090" w:rsidP="00CC6090">
      <w:pPr>
        <w:pStyle w:val="Bibliography"/>
      </w:pPr>
      <w:r w:rsidRPr="009E3412">
        <w:t xml:space="preserve">[68] </w:t>
      </w:r>
      <w:r w:rsidRPr="009E3412">
        <w:tab/>
        <w:t xml:space="preserve">Wang, X. </w:t>
      </w:r>
      <w:r w:rsidRPr="009E3412">
        <w:rPr>
          <w:i/>
          <w:iCs/>
        </w:rPr>
        <w:t>et al.</w:t>
      </w:r>
      <w:r w:rsidRPr="009E3412">
        <w:t xml:space="preserve"> (2023). Uncovering heterogeneous cognitive trajectories in mild cognitive impairment: a data-driven approach. </w:t>
      </w:r>
      <w:r w:rsidRPr="009E3412">
        <w:rPr>
          <w:i/>
          <w:iCs/>
        </w:rPr>
        <w:t>Alzheimer’s Research &amp; Therapy</w:t>
      </w:r>
      <w:r w:rsidRPr="009E3412">
        <w:t>. https://doi.org/10.1186/s13195-023-01205-w.</w:t>
      </w:r>
    </w:p>
    <w:p w14:paraId="30E9C51F" w14:textId="77777777" w:rsidR="00CC6090" w:rsidRPr="009E3412" w:rsidRDefault="00CC6090" w:rsidP="00CC6090">
      <w:pPr>
        <w:pStyle w:val="Bibliography"/>
      </w:pPr>
      <w:r w:rsidRPr="009E3412">
        <w:t xml:space="preserve">[69] </w:t>
      </w:r>
      <w:r w:rsidRPr="009E3412">
        <w:tab/>
        <w:t xml:space="preserve">Ueda, A. </w:t>
      </w:r>
      <w:r w:rsidRPr="009E3412">
        <w:rPr>
          <w:i/>
          <w:iCs/>
        </w:rPr>
        <w:t>et al.</w:t>
      </w:r>
      <w:r w:rsidRPr="009E3412">
        <w:t xml:space="preserve"> (2021). Identification of Faecalibacterium prausnitzii strains for gut microbiome-based intervention in Alzheimer’s-type dementia. </w:t>
      </w:r>
      <w:r w:rsidRPr="009E3412">
        <w:rPr>
          <w:i/>
          <w:iCs/>
        </w:rPr>
        <w:t>Cell Reports Medicine</w:t>
      </w:r>
      <w:r w:rsidRPr="009E3412">
        <w:t>. https://doi.org/10.1016/j.xcrm.2021.100398.</w:t>
      </w:r>
    </w:p>
    <w:p w14:paraId="133BFE32" w14:textId="77777777" w:rsidR="00CC6090" w:rsidRPr="009E3412" w:rsidRDefault="00CC6090" w:rsidP="00CC6090">
      <w:pPr>
        <w:pStyle w:val="Bibliography"/>
      </w:pPr>
      <w:r w:rsidRPr="009E3412">
        <w:t xml:space="preserve">[70] </w:t>
      </w:r>
      <w:r w:rsidRPr="009E3412">
        <w:tab/>
        <w:t xml:space="preserve">Nagpal, R. </w:t>
      </w:r>
      <w:r w:rsidRPr="009E3412">
        <w:rPr>
          <w:i/>
          <w:iCs/>
        </w:rPr>
        <w:t>et al.</w:t>
      </w:r>
      <w:r w:rsidRPr="009E3412">
        <w:t xml:space="preserve"> (2019). Modified Mediterranean-ketogenic diet modulates gut microbiome and short-chain fatty acids in association with Alzheimer’s disease markers in subjects with mild cognitive impairment. </w:t>
      </w:r>
      <w:r w:rsidRPr="009E3412">
        <w:rPr>
          <w:i/>
          <w:iCs/>
        </w:rPr>
        <w:t>EBioMedicine</w:t>
      </w:r>
      <w:r w:rsidRPr="009E3412">
        <w:t>. https://doi.org/10.1016/j.ebiom.2019.08.032.</w:t>
      </w:r>
    </w:p>
    <w:p w14:paraId="7F938606" w14:textId="77777777" w:rsidR="00CC6090" w:rsidRPr="009E3412" w:rsidRDefault="00CC6090" w:rsidP="00CC6090">
      <w:pPr>
        <w:pStyle w:val="Bibliography"/>
      </w:pPr>
      <w:r w:rsidRPr="009E3412">
        <w:t xml:space="preserve">[71] </w:t>
      </w:r>
      <w:r w:rsidRPr="009E3412">
        <w:tab/>
        <w:t xml:space="preserve">Reisberg, B. </w:t>
      </w:r>
      <w:r w:rsidRPr="009E3412">
        <w:rPr>
          <w:i/>
          <w:iCs/>
        </w:rPr>
        <w:t>et al.</w:t>
      </w:r>
      <w:r w:rsidRPr="009E3412">
        <w:t xml:space="preserve"> (2010). Outcome over seven years of healthy adults with and without subjective cognitive impairment. </w:t>
      </w:r>
      <w:r w:rsidRPr="009E3412">
        <w:rPr>
          <w:i/>
          <w:iCs/>
        </w:rPr>
        <w:t>Alzheimer’s &amp; dementia : the journal of the Alzheimer’s Association</w:t>
      </w:r>
      <w:r w:rsidRPr="009E3412">
        <w:t>. https://doi.org/10.1016/j.jalz.2009.10.002.</w:t>
      </w:r>
    </w:p>
    <w:p w14:paraId="5989876B" w14:textId="77777777" w:rsidR="00CC6090" w:rsidRPr="009E3412" w:rsidRDefault="00CC6090" w:rsidP="00CC6090">
      <w:pPr>
        <w:pStyle w:val="Bibliography"/>
      </w:pPr>
      <w:r w:rsidRPr="009E3412">
        <w:rPr>
          <w:lang w:val="fr-FR"/>
        </w:rPr>
        <w:t xml:space="preserve">[72] </w:t>
      </w:r>
      <w:r w:rsidRPr="009E3412">
        <w:rPr>
          <w:lang w:val="fr-FR"/>
        </w:rPr>
        <w:tab/>
        <w:t xml:space="preserve">Vogt, N.M. </w:t>
      </w:r>
      <w:r w:rsidRPr="009E3412">
        <w:rPr>
          <w:i/>
          <w:iCs/>
          <w:lang w:val="fr-FR"/>
        </w:rPr>
        <w:t>et al.</w:t>
      </w:r>
      <w:r w:rsidRPr="009E3412">
        <w:rPr>
          <w:lang w:val="fr-FR"/>
        </w:rPr>
        <w:t xml:space="preserve"> </w:t>
      </w:r>
      <w:r w:rsidRPr="009E3412">
        <w:t xml:space="preserve">(2017). Gut microbiome alterations in Alzheimer’s disease. </w:t>
      </w:r>
      <w:r w:rsidRPr="009E3412">
        <w:rPr>
          <w:i/>
          <w:iCs/>
        </w:rPr>
        <w:t>Scientific Reports</w:t>
      </w:r>
      <w:r w:rsidRPr="009E3412">
        <w:t>. https://doi.org/10.1038/s41598-017-13601-y.</w:t>
      </w:r>
    </w:p>
    <w:p w14:paraId="0C1CFBCD" w14:textId="77777777" w:rsidR="00CC6090" w:rsidRPr="009E3412" w:rsidRDefault="00CC6090" w:rsidP="00CC6090">
      <w:pPr>
        <w:pStyle w:val="Bibliography"/>
      </w:pPr>
      <w:r w:rsidRPr="009E3412">
        <w:t xml:space="preserve">[73] </w:t>
      </w:r>
      <w:r w:rsidRPr="009E3412">
        <w:tab/>
        <w:t xml:space="preserve">Yang, J. </w:t>
      </w:r>
      <w:r w:rsidRPr="009E3412">
        <w:rPr>
          <w:i/>
          <w:iCs/>
        </w:rPr>
        <w:t>et al.</w:t>
      </w:r>
      <w:r w:rsidRPr="009E3412">
        <w:t xml:space="preserve"> (2023). Dysregulation of Ruminococcaceae and Megamonas could be predictive markers for rapid progression of mild cognitive impairment. </w:t>
      </w:r>
      <w:r w:rsidRPr="009E3412">
        <w:rPr>
          <w:i/>
          <w:iCs/>
        </w:rPr>
        <w:t>Microbial Pathogenesis</w:t>
      </w:r>
      <w:r w:rsidRPr="009E3412">
        <w:t>. https://doi.org/10.1016/j.micpath.2023.106272.</w:t>
      </w:r>
    </w:p>
    <w:p w14:paraId="4EF4987A" w14:textId="77777777" w:rsidR="00CC6090" w:rsidRPr="009E3412" w:rsidRDefault="00CC6090" w:rsidP="00CC6090">
      <w:pPr>
        <w:pStyle w:val="Bibliography"/>
      </w:pPr>
      <w:r w:rsidRPr="009E3412">
        <w:t xml:space="preserve">[74] </w:t>
      </w:r>
      <w:r w:rsidRPr="009E3412">
        <w:tab/>
        <w:t xml:space="preserve">Xu, H. </w:t>
      </w:r>
      <w:r w:rsidRPr="009E3412">
        <w:rPr>
          <w:i/>
          <w:iCs/>
        </w:rPr>
        <w:t>et al.</w:t>
      </w:r>
      <w:r w:rsidRPr="009E3412">
        <w:t xml:space="preserve"> (2024). Gut microbiota and epigenetic age acceleration: a bi-directional Mendelian randomization study. </w:t>
      </w:r>
      <w:r w:rsidRPr="009E3412">
        <w:rPr>
          <w:i/>
          <w:iCs/>
        </w:rPr>
        <w:t>Aging Clinical and Experimental Research</w:t>
      </w:r>
      <w:r w:rsidRPr="009E3412">
        <w:t>. https://doi.org/10.1007/s40520-024-02877-6.</w:t>
      </w:r>
    </w:p>
    <w:p w14:paraId="188A5238" w14:textId="77777777" w:rsidR="00CC6090" w:rsidRPr="009E3412" w:rsidRDefault="00CC6090" w:rsidP="00CC6090">
      <w:pPr>
        <w:pStyle w:val="Bibliography"/>
        <w:rPr>
          <w:lang w:val="fr-FR"/>
        </w:rPr>
      </w:pPr>
      <w:r w:rsidRPr="009E3412">
        <w:lastRenderedPageBreak/>
        <w:t xml:space="preserve">[75] </w:t>
      </w:r>
      <w:r w:rsidRPr="009E3412">
        <w:tab/>
        <w:t xml:space="preserve">Dekkers, K.F. </w:t>
      </w:r>
      <w:r w:rsidRPr="009E3412">
        <w:rPr>
          <w:i/>
          <w:iCs/>
        </w:rPr>
        <w:t>et al.</w:t>
      </w:r>
      <w:r w:rsidRPr="009E3412">
        <w:t xml:space="preserve"> (2022). An online atlas of human plasma metabolite signatures of gut microbiome composition. </w:t>
      </w:r>
      <w:r w:rsidRPr="009E3412">
        <w:rPr>
          <w:i/>
          <w:iCs/>
          <w:lang w:val="fr-FR"/>
        </w:rPr>
        <w:t>Nature Communications</w:t>
      </w:r>
      <w:r w:rsidRPr="009E3412">
        <w:rPr>
          <w:lang w:val="fr-FR"/>
        </w:rPr>
        <w:t>. https://doi.org/10.1038/s41467-022-33050-0.</w:t>
      </w:r>
    </w:p>
    <w:p w14:paraId="0D80F647" w14:textId="77777777" w:rsidR="00CC6090" w:rsidRPr="009E3412" w:rsidRDefault="00CC6090" w:rsidP="00CC6090">
      <w:pPr>
        <w:pStyle w:val="Bibliography"/>
      </w:pPr>
      <w:r w:rsidRPr="009E3412">
        <w:rPr>
          <w:lang w:val="fr-FR"/>
        </w:rPr>
        <w:t xml:space="preserve">[76] </w:t>
      </w:r>
      <w:r w:rsidRPr="009E3412">
        <w:rPr>
          <w:lang w:val="fr-FR"/>
        </w:rPr>
        <w:tab/>
        <w:t xml:space="preserve">Simfukwe, C. </w:t>
      </w:r>
      <w:r w:rsidRPr="009E3412">
        <w:rPr>
          <w:i/>
          <w:iCs/>
          <w:lang w:val="fr-FR"/>
        </w:rPr>
        <w:t>et al.</w:t>
      </w:r>
      <w:r w:rsidRPr="009E3412">
        <w:rPr>
          <w:lang w:val="fr-FR"/>
        </w:rPr>
        <w:t xml:space="preserve"> </w:t>
      </w:r>
      <w:r w:rsidRPr="009E3412">
        <w:t xml:space="preserve">(2023). CNN for a Regression Machine Learning Algorithm for Predicting Cognitive Impairment Using qEEG. </w:t>
      </w:r>
      <w:r w:rsidRPr="009E3412">
        <w:rPr>
          <w:i/>
          <w:iCs/>
        </w:rPr>
        <w:t>Neuropsychiatric Disease and Treatment</w:t>
      </w:r>
      <w:r w:rsidRPr="009E3412">
        <w:t>. https://doi.org/10.2147/NDT.S404528.</w:t>
      </w:r>
    </w:p>
    <w:p w14:paraId="2774C3A8" w14:textId="77777777" w:rsidR="00CC6090" w:rsidRPr="009E3412" w:rsidRDefault="00CC6090" w:rsidP="00CC6090">
      <w:pPr>
        <w:pStyle w:val="Bibliography"/>
      </w:pPr>
      <w:r w:rsidRPr="009E3412">
        <w:t xml:space="preserve">[77] </w:t>
      </w:r>
      <w:r w:rsidRPr="009E3412">
        <w:tab/>
        <w:t xml:space="preserve">Subramanyam Rallabandi, V.P. and Seetharaman, K. (2023). Deep learning-based classification of healthy aging controls, mild cognitive impairment and Alzheimer’s disease using fusion of MRI-PET imaging. </w:t>
      </w:r>
      <w:r w:rsidRPr="009E3412">
        <w:rPr>
          <w:i/>
          <w:iCs/>
        </w:rPr>
        <w:t>Biomedical Signal Processing and Control</w:t>
      </w:r>
      <w:r w:rsidRPr="009E3412">
        <w:t>. https://doi.org/10.1016/j.bspc.2022.104312.</w:t>
      </w:r>
    </w:p>
    <w:p w14:paraId="4582D0E8" w14:textId="77777777" w:rsidR="00CC6090" w:rsidRPr="009E3412" w:rsidRDefault="00CC6090" w:rsidP="00CC6090">
      <w:pPr>
        <w:pStyle w:val="Bibliography"/>
      </w:pPr>
      <w:r w:rsidRPr="009E3412">
        <w:t xml:space="preserve">[78] </w:t>
      </w:r>
      <w:r w:rsidRPr="009E3412">
        <w:tab/>
        <w:t xml:space="preserve">Zubrikhina, M.O. </w:t>
      </w:r>
      <w:r w:rsidRPr="009E3412">
        <w:rPr>
          <w:i/>
          <w:iCs/>
        </w:rPr>
        <w:t>et al.</w:t>
      </w:r>
      <w:r w:rsidRPr="009E3412">
        <w:t xml:space="preserve"> (2023). Machine learning approaches to mild cognitive impairment detection based on structural MRI data and morphometric features. </w:t>
      </w:r>
      <w:r w:rsidRPr="009E3412">
        <w:rPr>
          <w:i/>
          <w:iCs/>
        </w:rPr>
        <w:t>Cognitive Systems Research</w:t>
      </w:r>
      <w:r w:rsidRPr="009E3412">
        <w:t>. https://doi.org/10.1016/j.cogsys.2022.12.005.</w:t>
      </w:r>
    </w:p>
    <w:p w14:paraId="46953C0F" w14:textId="77777777" w:rsidR="00CC6090" w:rsidRPr="009E3412" w:rsidRDefault="00CC6090" w:rsidP="00CC6090">
      <w:pPr>
        <w:pStyle w:val="Bibliography"/>
        <w:rPr>
          <w:lang w:val="fr-FR"/>
        </w:rPr>
      </w:pPr>
      <w:r w:rsidRPr="009E3412">
        <w:t xml:space="preserve">[79] </w:t>
      </w:r>
      <w:r w:rsidRPr="009E3412">
        <w:tab/>
        <w:t xml:space="preserve">Tong, T. </w:t>
      </w:r>
      <w:r w:rsidRPr="009E3412">
        <w:rPr>
          <w:i/>
          <w:iCs/>
        </w:rPr>
        <w:t>et al.</w:t>
      </w:r>
      <w:r w:rsidRPr="009E3412">
        <w:t xml:space="preserve"> (2017). Multi-modal classification of Alzheimer’s disease using nonlinear graph fusion. </w:t>
      </w:r>
      <w:r w:rsidRPr="009E3412">
        <w:rPr>
          <w:i/>
          <w:iCs/>
          <w:lang w:val="fr-FR"/>
        </w:rPr>
        <w:t>Pattern Recognition</w:t>
      </w:r>
      <w:r w:rsidRPr="009E3412">
        <w:rPr>
          <w:lang w:val="fr-FR"/>
        </w:rPr>
        <w:t>. https://doi.org/10.1016/j.patcog.2016.10.009.</w:t>
      </w:r>
    </w:p>
    <w:p w14:paraId="662DD4E0" w14:textId="77777777" w:rsidR="00CC6090" w:rsidRPr="009E3412" w:rsidRDefault="00CC6090" w:rsidP="00CC6090">
      <w:pPr>
        <w:pStyle w:val="Bibliography"/>
      </w:pPr>
      <w:r w:rsidRPr="009E3412">
        <w:rPr>
          <w:lang w:val="fr-FR"/>
        </w:rPr>
        <w:t xml:space="preserve">[80] </w:t>
      </w:r>
      <w:r w:rsidRPr="009E3412">
        <w:rPr>
          <w:lang w:val="fr-FR"/>
        </w:rPr>
        <w:tab/>
        <w:t xml:space="preserve">Purser, J.L. </w:t>
      </w:r>
      <w:r w:rsidRPr="009E3412">
        <w:rPr>
          <w:i/>
          <w:iCs/>
          <w:lang w:val="fr-FR"/>
        </w:rPr>
        <w:t>et al.</w:t>
      </w:r>
      <w:r w:rsidRPr="009E3412">
        <w:rPr>
          <w:lang w:val="fr-FR"/>
        </w:rPr>
        <w:t xml:space="preserve"> </w:t>
      </w:r>
      <w:r w:rsidRPr="009E3412">
        <w:t xml:space="preserve">(2006). Memory complaint is not necessary for diagnosis of mild cognitive impairment and does not predict 10-year trajectories of functional disability, word recall, or short portable mental status questionnaire limitations. </w:t>
      </w:r>
      <w:r w:rsidRPr="009E3412">
        <w:rPr>
          <w:i/>
          <w:iCs/>
        </w:rPr>
        <w:t>Journal of the American Geriatrics Society</w:t>
      </w:r>
      <w:r w:rsidRPr="009E3412">
        <w:t>. https://doi.org/10.1111/j.1532-5415.2005.00589.x.</w:t>
      </w:r>
    </w:p>
    <w:p w14:paraId="074C95E1" w14:textId="77777777" w:rsidR="00CC6090" w:rsidRPr="009E3412" w:rsidRDefault="00CC6090" w:rsidP="00CC6090">
      <w:pPr>
        <w:pStyle w:val="Bibliography"/>
      </w:pPr>
      <w:r w:rsidRPr="009E3412">
        <w:rPr>
          <w:lang w:val="fr-FR"/>
        </w:rPr>
        <w:t xml:space="preserve">[81] </w:t>
      </w:r>
      <w:r w:rsidRPr="009E3412">
        <w:rPr>
          <w:lang w:val="fr-FR"/>
        </w:rPr>
        <w:tab/>
        <w:t xml:space="preserve">Geerlings, M.I. </w:t>
      </w:r>
      <w:r w:rsidRPr="009E3412">
        <w:rPr>
          <w:i/>
          <w:iCs/>
          <w:lang w:val="fr-FR"/>
        </w:rPr>
        <w:t>et al.</w:t>
      </w:r>
      <w:r w:rsidRPr="009E3412">
        <w:rPr>
          <w:lang w:val="fr-FR"/>
        </w:rPr>
        <w:t xml:space="preserve"> </w:t>
      </w:r>
      <w:r w:rsidRPr="009E3412">
        <w:t xml:space="preserve">(1999). Association between memory complaints and incident Alzheimer’s disease in elderly people with normal baseline cognition. </w:t>
      </w:r>
      <w:r w:rsidRPr="009E3412">
        <w:rPr>
          <w:i/>
          <w:iCs/>
        </w:rPr>
        <w:t>The American Journal of Psychiatry</w:t>
      </w:r>
      <w:r w:rsidRPr="009E3412">
        <w:t>. https://doi.org/10.1176/ajp.156.4.531.</w:t>
      </w:r>
    </w:p>
    <w:p w14:paraId="201E9FEC" w14:textId="77777777" w:rsidR="00CC6090" w:rsidRPr="009E3412" w:rsidRDefault="00CC6090" w:rsidP="00CC6090">
      <w:pPr>
        <w:pStyle w:val="Bibliography"/>
      </w:pPr>
      <w:r w:rsidRPr="009E3412">
        <w:t xml:space="preserve">[82] </w:t>
      </w:r>
      <w:r w:rsidRPr="009E3412">
        <w:tab/>
        <w:t xml:space="preserve">Playdon, M.C. </w:t>
      </w:r>
      <w:r w:rsidRPr="009E3412">
        <w:rPr>
          <w:i/>
          <w:iCs/>
        </w:rPr>
        <w:t>et al.</w:t>
      </w:r>
      <w:r w:rsidRPr="009E3412">
        <w:t xml:space="preserve"> (2016). Comparing metabolite profiles of habitual diet in serum and urine. </w:t>
      </w:r>
      <w:r w:rsidRPr="009E3412">
        <w:rPr>
          <w:i/>
          <w:iCs/>
        </w:rPr>
        <w:t>The American Journal of Clinical Nutrition</w:t>
      </w:r>
      <w:r w:rsidRPr="009E3412">
        <w:t>. https://doi.org/10.3945/ajcn.116.135301.</w:t>
      </w:r>
    </w:p>
    <w:p w14:paraId="51E9E9A4" w14:textId="77777777" w:rsidR="00CC6090" w:rsidRPr="009E3412" w:rsidRDefault="00CC6090" w:rsidP="00CC6090">
      <w:pPr>
        <w:pStyle w:val="Bibliography"/>
      </w:pPr>
      <w:r w:rsidRPr="009E3412">
        <w:rPr>
          <w:lang w:val="fr-FR"/>
        </w:rPr>
        <w:t xml:space="preserve">[83] </w:t>
      </w:r>
      <w:r w:rsidRPr="009E3412">
        <w:rPr>
          <w:lang w:val="fr-FR"/>
        </w:rPr>
        <w:tab/>
        <w:t xml:space="preserve">Bendheim, P.E. </w:t>
      </w:r>
      <w:r w:rsidRPr="009E3412">
        <w:rPr>
          <w:i/>
          <w:iCs/>
          <w:lang w:val="fr-FR"/>
        </w:rPr>
        <w:t>et al.</w:t>
      </w:r>
      <w:r w:rsidRPr="009E3412">
        <w:rPr>
          <w:lang w:val="fr-FR"/>
        </w:rPr>
        <w:t xml:space="preserve"> </w:t>
      </w:r>
      <w:r w:rsidRPr="009E3412">
        <w:t xml:space="preserve">(2002). Development of indole-3-propionic acid (OXIGON) for Alzheimer’s disease. </w:t>
      </w:r>
      <w:r w:rsidRPr="009E3412">
        <w:rPr>
          <w:i/>
          <w:iCs/>
        </w:rPr>
        <w:t>Journal of molecular neuroscience: MN</w:t>
      </w:r>
      <w:r w:rsidRPr="009E3412">
        <w:t>. https://doi.org/10.1007/s12031-002-0036-0.</w:t>
      </w:r>
    </w:p>
    <w:p w14:paraId="15B5084E" w14:textId="77777777" w:rsidR="00CC6090" w:rsidRPr="009E3412" w:rsidRDefault="00CC6090" w:rsidP="00CC6090">
      <w:pPr>
        <w:pStyle w:val="Bibliography"/>
      </w:pPr>
      <w:r w:rsidRPr="009E3412">
        <w:t xml:space="preserve">[84] </w:t>
      </w:r>
      <w:r w:rsidRPr="009E3412">
        <w:tab/>
        <w:t xml:space="preserve">Chyan, Y.J. </w:t>
      </w:r>
      <w:r w:rsidRPr="009E3412">
        <w:rPr>
          <w:i/>
          <w:iCs/>
        </w:rPr>
        <w:t>et al.</w:t>
      </w:r>
      <w:r w:rsidRPr="009E3412">
        <w:t xml:space="preserve"> (1999). Potent neuroprotective properties against the Alzheimer beta-amyloid by an endogenous melatonin-related indole structure, indole-3-propionic acid. </w:t>
      </w:r>
      <w:r w:rsidRPr="009E3412">
        <w:rPr>
          <w:i/>
          <w:iCs/>
        </w:rPr>
        <w:t>The Journal of Biological Chemistry</w:t>
      </w:r>
      <w:r w:rsidRPr="009E3412">
        <w:t>. https://doi.org/10.1074/jbc.274.31.21937.</w:t>
      </w:r>
    </w:p>
    <w:p w14:paraId="5D0C5600" w14:textId="77777777" w:rsidR="00CC6090" w:rsidRPr="009E3412" w:rsidRDefault="00CC6090" w:rsidP="00CC6090">
      <w:pPr>
        <w:pStyle w:val="Bibliography"/>
      </w:pPr>
      <w:r w:rsidRPr="009E3412">
        <w:t xml:space="preserve">[85] </w:t>
      </w:r>
      <w:r w:rsidRPr="009E3412">
        <w:tab/>
        <w:t xml:space="preserve">Cheng, X. and van Breemen, R.B. (2005). Mass spectrometry-based screening for inhibitors of beta-amyloid protein aggregation. </w:t>
      </w:r>
      <w:r w:rsidRPr="009E3412">
        <w:rPr>
          <w:i/>
          <w:iCs/>
        </w:rPr>
        <w:t>Analytical Chemistry</w:t>
      </w:r>
      <w:r w:rsidRPr="009E3412">
        <w:t>. https://doi.org/10.1021/ac050556a.</w:t>
      </w:r>
    </w:p>
    <w:p w14:paraId="3D4C2AA6" w14:textId="77777777" w:rsidR="00CC6090" w:rsidRPr="009E3412" w:rsidRDefault="00CC6090" w:rsidP="00CC6090">
      <w:pPr>
        <w:pStyle w:val="Bibliography"/>
        <w:rPr>
          <w:lang w:val="fr-FR"/>
        </w:rPr>
      </w:pPr>
      <w:r w:rsidRPr="009E3412">
        <w:t xml:space="preserve">[86] </w:t>
      </w:r>
      <w:r w:rsidRPr="009E3412">
        <w:tab/>
        <w:t xml:space="preserve">Kim, C.-S. </w:t>
      </w:r>
      <w:r w:rsidRPr="009E3412">
        <w:rPr>
          <w:i/>
          <w:iCs/>
        </w:rPr>
        <w:t>et al.</w:t>
      </w:r>
      <w:r w:rsidRPr="009E3412">
        <w:t xml:space="preserve"> (2023). Gut microbiota indole-3-propionic acid mediates neuroprotective effect of probiotic consumption in healthy elderly: A randomized, double-blind, placebo-controlled, multicenter trial and in vitro study. </w:t>
      </w:r>
      <w:r w:rsidRPr="009E3412">
        <w:rPr>
          <w:i/>
          <w:iCs/>
          <w:lang w:val="fr-FR"/>
        </w:rPr>
        <w:t>Clinical Nutrition</w:t>
      </w:r>
      <w:r w:rsidRPr="009E3412">
        <w:rPr>
          <w:lang w:val="fr-FR"/>
        </w:rPr>
        <w:t>. https://doi.org/10.1016/j.clnu.2023.04.001.</w:t>
      </w:r>
    </w:p>
    <w:p w14:paraId="2E0CE451" w14:textId="77777777" w:rsidR="00CC6090" w:rsidRPr="009E3412" w:rsidRDefault="00CC6090" w:rsidP="00CC6090">
      <w:pPr>
        <w:pStyle w:val="Bibliography"/>
      </w:pPr>
      <w:r w:rsidRPr="009E3412">
        <w:rPr>
          <w:lang w:val="fr-FR"/>
        </w:rPr>
        <w:t xml:space="preserve">[87] </w:t>
      </w:r>
      <w:r w:rsidRPr="009E3412">
        <w:rPr>
          <w:lang w:val="fr-FR"/>
        </w:rPr>
        <w:tab/>
        <w:t xml:space="preserve">Rothhammer, V. </w:t>
      </w:r>
      <w:r w:rsidRPr="009E3412">
        <w:rPr>
          <w:i/>
          <w:iCs/>
          <w:lang w:val="fr-FR"/>
        </w:rPr>
        <w:t>et al.</w:t>
      </w:r>
      <w:r w:rsidRPr="009E3412">
        <w:rPr>
          <w:lang w:val="fr-FR"/>
        </w:rPr>
        <w:t xml:space="preserve"> </w:t>
      </w:r>
      <w:r w:rsidRPr="009E3412">
        <w:t xml:space="preserve">(2016). Type I interferons and microbial metabolites of tryptophan modulate astrocyte activity and central nervous system inflammation via the aryl hydrocarbon receptor. </w:t>
      </w:r>
      <w:r w:rsidRPr="009E3412">
        <w:rPr>
          <w:i/>
          <w:iCs/>
        </w:rPr>
        <w:t>Nature Medicine</w:t>
      </w:r>
      <w:r w:rsidRPr="009E3412">
        <w:t>. https://doi.org/10.1038/nm.4106.</w:t>
      </w:r>
    </w:p>
    <w:p w14:paraId="3F9FD23D" w14:textId="77777777" w:rsidR="00CC6090" w:rsidRPr="009E3412" w:rsidRDefault="00CC6090" w:rsidP="00CC6090">
      <w:pPr>
        <w:pStyle w:val="Bibliography"/>
      </w:pPr>
      <w:r w:rsidRPr="009E3412">
        <w:t xml:space="preserve">[88] </w:t>
      </w:r>
      <w:r w:rsidRPr="009E3412">
        <w:tab/>
        <w:t xml:space="preserve">Garcez, M.L. </w:t>
      </w:r>
      <w:r w:rsidRPr="009E3412">
        <w:rPr>
          <w:i/>
          <w:iCs/>
        </w:rPr>
        <w:t>et al.</w:t>
      </w:r>
      <w:r w:rsidRPr="009E3412">
        <w:t xml:space="preserve"> (2020). Sodium Butyrate and Indole-3-propionic Acid Prevent the Increase of Cytokines and Kynurenine Levels in LPS-induced Human Primary Astrocytes. </w:t>
      </w:r>
      <w:r w:rsidRPr="009E3412">
        <w:rPr>
          <w:i/>
          <w:iCs/>
        </w:rPr>
        <w:t>International Journal of Tryptophan Research : IJTR</w:t>
      </w:r>
      <w:r w:rsidRPr="009E3412">
        <w:t>. https://doi.org/10.1177/1178646920978404.</w:t>
      </w:r>
    </w:p>
    <w:p w14:paraId="71514DB1" w14:textId="77777777" w:rsidR="00CC6090" w:rsidRPr="009E3412" w:rsidRDefault="00CC6090" w:rsidP="00CC6090">
      <w:pPr>
        <w:pStyle w:val="Bibliography"/>
      </w:pPr>
      <w:r w:rsidRPr="009E3412">
        <w:t xml:space="preserve">[89] </w:t>
      </w:r>
      <w:r w:rsidRPr="009E3412">
        <w:tab/>
        <w:t xml:space="preserve">Gao, J. </w:t>
      </w:r>
      <w:r w:rsidRPr="009E3412">
        <w:rPr>
          <w:i/>
          <w:iCs/>
        </w:rPr>
        <w:t>et al.</w:t>
      </w:r>
      <w:r w:rsidRPr="009E3412">
        <w:t xml:space="preserve"> (2021). The Association of Fried Meat Consumption With the Gut Microbiota and Fecal Metabolites and Its Impact on Glucose Homoeostasis, Intestinal Endotoxin Levels, and Systemic Inflammation: A Randomized Controlled-Feeding Trial. </w:t>
      </w:r>
      <w:r w:rsidRPr="009E3412">
        <w:rPr>
          <w:i/>
          <w:iCs/>
        </w:rPr>
        <w:t>Diabetes Care</w:t>
      </w:r>
      <w:r w:rsidRPr="009E3412">
        <w:t>. https://doi.org/10.2337/dc21-0099.</w:t>
      </w:r>
    </w:p>
    <w:p w14:paraId="571E6FD8" w14:textId="77777777" w:rsidR="00CC6090" w:rsidRPr="009E3412" w:rsidRDefault="00CC6090" w:rsidP="00CC6090">
      <w:pPr>
        <w:pStyle w:val="Bibliography"/>
      </w:pPr>
      <w:r w:rsidRPr="009E3412">
        <w:t xml:space="preserve">[90] </w:t>
      </w:r>
      <w:r w:rsidRPr="009E3412">
        <w:tab/>
        <w:t xml:space="preserve">Terry, N. and Margolis, K.G. (2017). Serotonergic Mechanisms Regulating the GI Tract: Experimental Evidence and Therapeutic Relevance. </w:t>
      </w:r>
      <w:r w:rsidRPr="009E3412">
        <w:rPr>
          <w:i/>
          <w:iCs/>
        </w:rPr>
        <w:t>Handbook of experimental pharmacology</w:t>
      </w:r>
      <w:r w:rsidRPr="009E3412">
        <w:t>. https://doi.org/10.1007/164_2016_103.</w:t>
      </w:r>
    </w:p>
    <w:p w14:paraId="45B584B7" w14:textId="77777777" w:rsidR="00CC6090" w:rsidRPr="009E3412" w:rsidRDefault="00CC6090" w:rsidP="00CC6090">
      <w:pPr>
        <w:pStyle w:val="Bibliography"/>
      </w:pPr>
      <w:r w:rsidRPr="009E3412">
        <w:lastRenderedPageBreak/>
        <w:t xml:space="preserve">[91] </w:t>
      </w:r>
      <w:r w:rsidRPr="009E3412">
        <w:tab/>
        <w:t xml:space="preserve">Rao, M. and Gershon, M.D. (2016). The bowel and beyond: the enteric nervous system in neurological disorders. </w:t>
      </w:r>
      <w:r w:rsidRPr="009E3412">
        <w:rPr>
          <w:i/>
          <w:iCs/>
        </w:rPr>
        <w:t>Nature Reviews. Gastroenterology &amp; Hepatology</w:t>
      </w:r>
      <w:r w:rsidRPr="009E3412">
        <w:t>. https://doi.org/10.1038/nrgastro.2016.107.</w:t>
      </w:r>
    </w:p>
    <w:p w14:paraId="5FB132C0" w14:textId="77777777" w:rsidR="00CC6090" w:rsidRPr="009E3412" w:rsidRDefault="00CC6090" w:rsidP="00CC6090">
      <w:pPr>
        <w:pStyle w:val="Bibliography"/>
      </w:pPr>
      <w:r w:rsidRPr="009E3412">
        <w:t xml:space="preserve">[92] </w:t>
      </w:r>
      <w:r w:rsidRPr="009E3412">
        <w:tab/>
        <w:t xml:space="preserve">Chalazonitis, A. and Rao, M. (2018). Enteric nervous system manifestations of neurodegenerative disease. </w:t>
      </w:r>
      <w:r w:rsidRPr="009E3412">
        <w:rPr>
          <w:i/>
          <w:iCs/>
        </w:rPr>
        <w:t>Brain Research</w:t>
      </w:r>
      <w:r w:rsidRPr="009E3412">
        <w:t>. https://doi.org/10.1016/j.brainres.2018.01.011.</w:t>
      </w:r>
    </w:p>
    <w:p w14:paraId="2BF4DA86" w14:textId="77777777" w:rsidR="00CC6090" w:rsidRPr="009E3412" w:rsidRDefault="00CC6090" w:rsidP="00CC6090">
      <w:pPr>
        <w:pStyle w:val="Bibliography"/>
      </w:pPr>
      <w:r w:rsidRPr="009E3412">
        <w:t xml:space="preserve">[93] </w:t>
      </w:r>
      <w:r w:rsidRPr="009E3412">
        <w:tab/>
        <w:t xml:space="preserve">Willette, A.A. </w:t>
      </w:r>
      <w:r w:rsidRPr="009E3412">
        <w:rPr>
          <w:i/>
          <w:iCs/>
        </w:rPr>
        <w:t>et al.</w:t>
      </w:r>
      <w:r w:rsidRPr="009E3412">
        <w:t xml:space="preserve"> (2021). Inflammation, Negative Affect, and Amyloid Burden in Alzheimer’s Disease: Insights from the Kynurenine Pathway. </w:t>
      </w:r>
      <w:r w:rsidRPr="009E3412">
        <w:rPr>
          <w:i/>
          <w:iCs/>
        </w:rPr>
        <w:t>Brain, behavior, and immunity</w:t>
      </w:r>
      <w:r w:rsidRPr="009E3412">
        <w:t>. https://doi.org/10.1016/j.bbi.2021.03.019.</w:t>
      </w:r>
    </w:p>
    <w:p w14:paraId="6B701A4C" w14:textId="77777777" w:rsidR="00CC6090" w:rsidRPr="009E3412" w:rsidRDefault="00CC6090" w:rsidP="00CC6090">
      <w:pPr>
        <w:pStyle w:val="Bibliography"/>
        <w:rPr>
          <w:lang w:val="it-IT"/>
        </w:rPr>
      </w:pPr>
      <w:r w:rsidRPr="009E3412">
        <w:t xml:space="preserve">[94] </w:t>
      </w:r>
      <w:r w:rsidRPr="009E3412">
        <w:tab/>
        <w:t xml:space="preserve">Franco, Á. de O. </w:t>
      </w:r>
      <w:r w:rsidRPr="009E3412">
        <w:rPr>
          <w:i/>
          <w:iCs/>
        </w:rPr>
        <w:t>et al.</w:t>
      </w:r>
      <w:r w:rsidRPr="009E3412">
        <w:t xml:space="preserve"> (2019). The specific impact of uremic toxins upon cognitive domains: a review. </w:t>
      </w:r>
      <w:r w:rsidRPr="009E3412">
        <w:rPr>
          <w:i/>
          <w:iCs/>
          <w:lang w:val="it-IT"/>
        </w:rPr>
        <w:t>Jornal Brasileiro de Nefrologia</w:t>
      </w:r>
      <w:r w:rsidRPr="009E3412">
        <w:rPr>
          <w:lang w:val="it-IT"/>
        </w:rPr>
        <w:t>. https://doi.org/10.1590/2175-8239-JBN-2018-0033.</w:t>
      </w:r>
    </w:p>
    <w:p w14:paraId="46ADCAB9" w14:textId="77777777" w:rsidR="00CC6090" w:rsidRPr="009E3412" w:rsidRDefault="00CC6090" w:rsidP="00CC6090">
      <w:pPr>
        <w:pStyle w:val="Bibliography"/>
      </w:pPr>
      <w:r w:rsidRPr="009E3412">
        <w:rPr>
          <w:lang w:val="it-IT"/>
        </w:rPr>
        <w:t xml:space="preserve">[95] </w:t>
      </w:r>
      <w:r w:rsidRPr="009E3412">
        <w:rPr>
          <w:lang w:val="it-IT"/>
        </w:rPr>
        <w:tab/>
        <w:t xml:space="preserve">Iwata, K. </w:t>
      </w:r>
      <w:r w:rsidRPr="009E3412">
        <w:rPr>
          <w:i/>
          <w:iCs/>
          <w:lang w:val="it-IT"/>
        </w:rPr>
        <w:t>et al.</w:t>
      </w:r>
      <w:r w:rsidRPr="009E3412">
        <w:rPr>
          <w:lang w:val="it-IT"/>
        </w:rPr>
        <w:t xml:space="preserve"> </w:t>
      </w:r>
      <w:r w:rsidRPr="009E3412">
        <w:t xml:space="preserve">(2007). Involvement of indoxyl sulfate in renal and central nervous system toxicities during cisplatin-induced acute renal failure. </w:t>
      </w:r>
      <w:r w:rsidRPr="009E3412">
        <w:rPr>
          <w:i/>
          <w:iCs/>
        </w:rPr>
        <w:t>Pharmaceutical Research</w:t>
      </w:r>
      <w:r w:rsidRPr="009E3412">
        <w:t>. https://doi.org/10.1007/s11095-006-9183-2.</w:t>
      </w:r>
    </w:p>
    <w:p w14:paraId="1446F174" w14:textId="77777777" w:rsidR="00CC6090" w:rsidRPr="009E3412" w:rsidRDefault="00CC6090" w:rsidP="00CC6090">
      <w:pPr>
        <w:pStyle w:val="Bibliography"/>
        <w:rPr>
          <w:lang w:val="fr-FR"/>
        </w:rPr>
      </w:pPr>
      <w:r w:rsidRPr="009E3412">
        <w:t xml:space="preserve">[96] </w:t>
      </w:r>
      <w:r w:rsidRPr="009E3412">
        <w:tab/>
        <w:t xml:space="preserve">Hou, Y.-C. </w:t>
      </w:r>
      <w:r w:rsidRPr="009E3412">
        <w:rPr>
          <w:i/>
          <w:iCs/>
        </w:rPr>
        <w:t>et al.</w:t>
      </w:r>
      <w:r w:rsidRPr="009E3412">
        <w:t xml:space="preserve"> (2021). Serum albumin and indoxyl sulfate were predictive of cognitive impairment via amyloid beta and tauopathy, respectively, in end-stage renal disease patients. </w:t>
      </w:r>
      <w:r w:rsidRPr="009E3412">
        <w:rPr>
          <w:i/>
          <w:iCs/>
          <w:lang w:val="fr-FR"/>
        </w:rPr>
        <w:t>Alzheimer’s &amp; Dementia</w:t>
      </w:r>
      <w:r w:rsidRPr="009E3412">
        <w:rPr>
          <w:lang w:val="fr-FR"/>
        </w:rPr>
        <w:t>. https://doi.org/10.1002/alz.053921.</w:t>
      </w:r>
    </w:p>
    <w:p w14:paraId="00A9A53E" w14:textId="77777777" w:rsidR="00CC6090" w:rsidRPr="009E3412" w:rsidRDefault="00CC6090" w:rsidP="00CC6090">
      <w:pPr>
        <w:pStyle w:val="Bibliography"/>
      </w:pPr>
      <w:r w:rsidRPr="009E3412">
        <w:rPr>
          <w:lang w:val="fr-FR"/>
        </w:rPr>
        <w:t xml:space="preserve">[97] </w:t>
      </w:r>
      <w:r w:rsidRPr="009E3412">
        <w:rPr>
          <w:lang w:val="fr-FR"/>
        </w:rPr>
        <w:tab/>
        <w:t xml:space="preserve">Zheng, L.J. </w:t>
      </w:r>
      <w:r w:rsidRPr="009E3412">
        <w:rPr>
          <w:i/>
          <w:iCs/>
          <w:lang w:val="fr-FR"/>
        </w:rPr>
        <w:t>et al.</w:t>
      </w:r>
      <w:r w:rsidRPr="009E3412">
        <w:rPr>
          <w:lang w:val="fr-FR"/>
        </w:rPr>
        <w:t xml:space="preserve"> </w:t>
      </w:r>
      <w:r w:rsidRPr="009E3412">
        <w:t xml:space="preserve">(2020). Gut dysbiosis-influence on amygdala-based functional activity in patients with end stage renal disease: a preliminary study. </w:t>
      </w:r>
      <w:r w:rsidRPr="009E3412">
        <w:rPr>
          <w:i/>
          <w:iCs/>
        </w:rPr>
        <w:t>Brain Imaging and Behavior</w:t>
      </w:r>
      <w:r w:rsidRPr="009E3412">
        <w:t>. https://doi.org/10.1007/s11682-019-00223-3.</w:t>
      </w:r>
    </w:p>
    <w:p w14:paraId="0734F48C" w14:textId="77777777" w:rsidR="00CC6090" w:rsidRPr="009E3412" w:rsidRDefault="00CC6090" w:rsidP="00CC6090">
      <w:pPr>
        <w:pStyle w:val="Bibliography"/>
        <w:rPr>
          <w:lang w:val="fr-FR"/>
        </w:rPr>
      </w:pPr>
      <w:r w:rsidRPr="009E3412">
        <w:t xml:space="preserve">[98] </w:t>
      </w:r>
      <w:r w:rsidRPr="009E3412">
        <w:tab/>
        <w:t xml:space="preserve">Kaur, H. </w:t>
      </w:r>
      <w:r w:rsidRPr="009E3412">
        <w:rPr>
          <w:i/>
          <w:iCs/>
        </w:rPr>
        <w:t>et al.</w:t>
      </w:r>
      <w:r w:rsidRPr="009E3412">
        <w:t xml:space="preserve"> (2019). Tryptophan Metabolism by Gut Microbiome and Gut-Brain-Axis: An in silico Analysis. </w:t>
      </w:r>
      <w:r w:rsidRPr="009E3412">
        <w:rPr>
          <w:i/>
          <w:iCs/>
          <w:lang w:val="fr-FR"/>
        </w:rPr>
        <w:t>Frontiers in Neuroscience</w:t>
      </w:r>
      <w:r w:rsidRPr="009E3412">
        <w:rPr>
          <w:lang w:val="fr-FR"/>
        </w:rPr>
        <w:t>. https://doi.org/10.3389/fnins.2019.01365.</w:t>
      </w:r>
    </w:p>
    <w:p w14:paraId="15965B1B" w14:textId="77777777" w:rsidR="00CC6090" w:rsidRPr="009E3412" w:rsidRDefault="00CC6090" w:rsidP="00CC6090">
      <w:pPr>
        <w:pStyle w:val="Bibliography"/>
        <w:rPr>
          <w:lang w:val="fr-FR"/>
        </w:rPr>
      </w:pPr>
      <w:r w:rsidRPr="009E3412">
        <w:rPr>
          <w:lang w:val="fr-FR"/>
        </w:rPr>
        <w:t xml:space="preserve">[99] </w:t>
      </w:r>
      <w:r w:rsidRPr="009E3412">
        <w:rPr>
          <w:lang w:val="fr-FR"/>
        </w:rPr>
        <w:tab/>
        <w:t xml:space="preserve">Saraf, M.K. </w:t>
      </w:r>
      <w:r w:rsidRPr="009E3412">
        <w:rPr>
          <w:i/>
          <w:iCs/>
          <w:lang w:val="fr-FR"/>
        </w:rPr>
        <w:t>et al.</w:t>
      </w:r>
      <w:r w:rsidRPr="009E3412">
        <w:rPr>
          <w:lang w:val="fr-FR"/>
        </w:rPr>
        <w:t xml:space="preserve"> </w:t>
      </w:r>
      <w:r w:rsidRPr="009E3412">
        <w:t xml:space="preserve">(2017). Formula diet driven microbiota shifts tryptophan metabolism from serotonin to tryptamine in neonatal porcine colon. </w:t>
      </w:r>
      <w:r w:rsidRPr="009E3412">
        <w:rPr>
          <w:i/>
          <w:iCs/>
          <w:lang w:val="fr-FR"/>
        </w:rPr>
        <w:t>Microbiome</w:t>
      </w:r>
      <w:r w:rsidRPr="009E3412">
        <w:rPr>
          <w:lang w:val="fr-FR"/>
        </w:rPr>
        <w:t>. https://doi.org/10.1186/s40168-017-0297-z.</w:t>
      </w:r>
    </w:p>
    <w:p w14:paraId="4431DB49" w14:textId="77777777" w:rsidR="00CC6090" w:rsidRPr="009E3412" w:rsidRDefault="00CC6090" w:rsidP="00CC6090">
      <w:pPr>
        <w:pStyle w:val="Bibliography"/>
      </w:pPr>
      <w:r w:rsidRPr="009E3412">
        <w:rPr>
          <w:lang w:val="fr-FR"/>
        </w:rPr>
        <w:t xml:space="preserve">[100] </w:t>
      </w:r>
      <w:r w:rsidRPr="009E3412">
        <w:rPr>
          <w:lang w:val="fr-FR"/>
        </w:rPr>
        <w:tab/>
        <w:t xml:space="preserve">Hahn, B. </w:t>
      </w:r>
      <w:r w:rsidRPr="009E3412">
        <w:rPr>
          <w:i/>
          <w:iCs/>
          <w:lang w:val="fr-FR"/>
        </w:rPr>
        <w:t>et al.</w:t>
      </w:r>
      <w:r w:rsidRPr="009E3412">
        <w:rPr>
          <w:lang w:val="fr-FR"/>
        </w:rPr>
        <w:t xml:space="preserve"> </w:t>
      </w:r>
      <w:r w:rsidRPr="009E3412">
        <w:t xml:space="preserve">(2018). Prenatal kynurenine treatment in rats causes schizophrenia-like broad monitoring deficits in adulthood. </w:t>
      </w:r>
      <w:r w:rsidRPr="009E3412">
        <w:rPr>
          <w:i/>
          <w:iCs/>
        </w:rPr>
        <w:t>Psychopharmacology</w:t>
      </w:r>
      <w:r w:rsidRPr="009E3412">
        <w:t>. https://doi.org/10.1007/s00213-017-4780-9.</w:t>
      </w:r>
    </w:p>
    <w:p w14:paraId="47B651C1" w14:textId="77777777" w:rsidR="00CC6090" w:rsidRPr="009E3412" w:rsidRDefault="00CC6090" w:rsidP="00CC6090">
      <w:pPr>
        <w:pStyle w:val="Bibliography"/>
      </w:pPr>
      <w:r w:rsidRPr="009E3412">
        <w:t xml:space="preserve">[101] </w:t>
      </w:r>
      <w:r w:rsidRPr="009E3412">
        <w:tab/>
        <w:t xml:space="preserve">Pocivavsek, A. </w:t>
      </w:r>
      <w:r w:rsidRPr="009E3412">
        <w:rPr>
          <w:i/>
          <w:iCs/>
        </w:rPr>
        <w:t>et al.</w:t>
      </w:r>
      <w:r w:rsidRPr="009E3412">
        <w:t xml:space="preserve"> (2011). Fluctuations in endogenous kynurenic acid control hippocampal glutamate and memory. </w:t>
      </w:r>
      <w:r w:rsidRPr="009E3412">
        <w:rPr>
          <w:i/>
          <w:iCs/>
        </w:rPr>
        <w:t>Neuropsychopharmacology : official publication of the American College of Neuropsychopharmacology</w:t>
      </w:r>
      <w:r w:rsidRPr="009E3412">
        <w:t>. https://doi.org/10.1038/npp.2011.127.</w:t>
      </w:r>
    </w:p>
    <w:p w14:paraId="386B2D2F" w14:textId="77777777" w:rsidR="00CC6090" w:rsidRPr="009E3412" w:rsidRDefault="00CC6090" w:rsidP="00CC6090">
      <w:pPr>
        <w:pStyle w:val="Bibliography"/>
        <w:rPr>
          <w:lang w:val="fr-FR"/>
        </w:rPr>
      </w:pPr>
      <w:r w:rsidRPr="009E3412">
        <w:t xml:space="preserve">[102] </w:t>
      </w:r>
      <w:r w:rsidRPr="009E3412">
        <w:tab/>
        <w:t xml:space="preserve">Fazio, F. </w:t>
      </w:r>
      <w:r w:rsidRPr="009E3412">
        <w:rPr>
          <w:i/>
          <w:iCs/>
        </w:rPr>
        <w:t>et al.</w:t>
      </w:r>
      <w:r w:rsidRPr="009E3412">
        <w:t xml:space="preserve"> (2015). Xanthurenic Acid Activates mGlu2/3 Metabotropic Glutamate Receptors and is a Potential Trait Marker for Schizophrenia. </w:t>
      </w:r>
      <w:r w:rsidRPr="009E3412">
        <w:rPr>
          <w:i/>
          <w:iCs/>
          <w:lang w:val="fr-FR"/>
        </w:rPr>
        <w:t>Scientific Reports</w:t>
      </w:r>
      <w:r w:rsidRPr="009E3412">
        <w:rPr>
          <w:lang w:val="fr-FR"/>
        </w:rPr>
        <w:t>. https://doi.org/10.1038/srep17799.</w:t>
      </w:r>
    </w:p>
    <w:p w14:paraId="02B13646" w14:textId="77777777" w:rsidR="00CC6090" w:rsidRPr="009E3412" w:rsidRDefault="00CC6090" w:rsidP="00CC6090">
      <w:pPr>
        <w:pStyle w:val="Bibliography"/>
      </w:pPr>
      <w:r w:rsidRPr="009E3412">
        <w:rPr>
          <w:lang w:val="fr-FR"/>
        </w:rPr>
        <w:t xml:space="preserve">[103] </w:t>
      </w:r>
      <w:r w:rsidRPr="009E3412">
        <w:rPr>
          <w:lang w:val="fr-FR"/>
        </w:rPr>
        <w:tab/>
        <w:t xml:space="preserve">Chiappelli, J. </w:t>
      </w:r>
      <w:r w:rsidRPr="009E3412">
        <w:rPr>
          <w:i/>
          <w:iCs/>
          <w:lang w:val="fr-FR"/>
        </w:rPr>
        <w:t>et al.</w:t>
      </w:r>
      <w:r w:rsidRPr="009E3412">
        <w:rPr>
          <w:lang w:val="fr-FR"/>
        </w:rPr>
        <w:t xml:space="preserve"> </w:t>
      </w:r>
      <w:r w:rsidRPr="009E3412">
        <w:t xml:space="preserve">(2014). Stress-induced increase in kynurenic acid as a potential biomarker for patients with schizophrenia and distress intolerance. </w:t>
      </w:r>
      <w:r w:rsidRPr="009E3412">
        <w:rPr>
          <w:i/>
          <w:iCs/>
        </w:rPr>
        <w:t>JAMA psychiatry</w:t>
      </w:r>
      <w:r w:rsidRPr="009E3412">
        <w:t>. https://doi.org/10.1001/jamapsychiatry.2014.243.</w:t>
      </w:r>
    </w:p>
    <w:p w14:paraId="637BD8DE" w14:textId="77777777" w:rsidR="00CC6090" w:rsidRPr="009E3412" w:rsidRDefault="00CC6090" w:rsidP="00CC6090">
      <w:pPr>
        <w:pStyle w:val="Bibliography"/>
      </w:pPr>
      <w:r w:rsidRPr="009E3412">
        <w:t xml:space="preserve">[104] </w:t>
      </w:r>
      <w:r w:rsidRPr="009E3412">
        <w:tab/>
        <w:t xml:space="preserve">Stone, T.W. and Darlington, L.G. (2013). The kynurenine pathway as a therapeutic target in cognitive and neurodegenerative disorders. </w:t>
      </w:r>
      <w:r w:rsidRPr="009E3412">
        <w:rPr>
          <w:i/>
          <w:iCs/>
        </w:rPr>
        <w:t>British Journal of Pharmacology</w:t>
      </w:r>
      <w:r w:rsidRPr="009E3412">
        <w:t>. https://doi.org/10.1111/bph.12230.</w:t>
      </w:r>
    </w:p>
    <w:p w14:paraId="213BBAC2" w14:textId="77777777" w:rsidR="00CC6090" w:rsidRPr="009E3412" w:rsidRDefault="00CC6090" w:rsidP="00CC6090">
      <w:pPr>
        <w:pStyle w:val="Bibliography"/>
        <w:rPr>
          <w:lang w:val="fr-FR"/>
        </w:rPr>
      </w:pPr>
      <w:r w:rsidRPr="009E3412">
        <w:t xml:space="preserve">[105] </w:t>
      </w:r>
      <w:r w:rsidRPr="009E3412">
        <w:tab/>
        <w:t xml:space="preserve">Fujigaki, H. </w:t>
      </w:r>
      <w:r w:rsidRPr="009E3412">
        <w:rPr>
          <w:i/>
          <w:iCs/>
        </w:rPr>
        <w:t>et al.</w:t>
      </w:r>
      <w:r w:rsidRPr="009E3412">
        <w:t xml:space="preserve"> (2017). L-Tryptophan-kynurenine pathway enzymes are therapeutic target for neuropsychiatric diseases: Focus on cell type differences. </w:t>
      </w:r>
      <w:r w:rsidRPr="009E3412">
        <w:rPr>
          <w:i/>
          <w:iCs/>
          <w:lang w:val="fr-FR"/>
        </w:rPr>
        <w:t>Neuropharmacology</w:t>
      </w:r>
      <w:r w:rsidRPr="009E3412">
        <w:rPr>
          <w:lang w:val="fr-FR"/>
        </w:rPr>
        <w:t>. https://doi.org/10.1016/j.neuropharm.2016.01.011.</w:t>
      </w:r>
    </w:p>
    <w:p w14:paraId="0B78637F" w14:textId="77777777" w:rsidR="00CC6090" w:rsidRPr="009E3412" w:rsidRDefault="00CC6090" w:rsidP="00CC6090">
      <w:pPr>
        <w:pStyle w:val="Bibliography"/>
        <w:rPr>
          <w:lang w:val="it-IT"/>
        </w:rPr>
      </w:pPr>
      <w:r w:rsidRPr="009E3412">
        <w:rPr>
          <w:lang w:val="fr-FR"/>
        </w:rPr>
        <w:t xml:space="preserve">[106] </w:t>
      </w:r>
      <w:r w:rsidRPr="009E3412">
        <w:rPr>
          <w:lang w:val="fr-FR"/>
        </w:rPr>
        <w:tab/>
        <w:t xml:space="preserve">Marrugo-Ramírez, J. </w:t>
      </w:r>
      <w:r w:rsidRPr="009E3412">
        <w:rPr>
          <w:i/>
          <w:iCs/>
          <w:lang w:val="fr-FR"/>
        </w:rPr>
        <w:t>et al.</w:t>
      </w:r>
      <w:r w:rsidRPr="009E3412">
        <w:rPr>
          <w:lang w:val="fr-FR"/>
        </w:rPr>
        <w:t xml:space="preserve"> </w:t>
      </w:r>
      <w:r w:rsidRPr="009E3412">
        <w:t xml:space="preserve">(2021). Kynurenic Acid Electrochemical Immunosensor: Blood-Based Diagnosis of Alzheimer’s Disease. </w:t>
      </w:r>
      <w:r w:rsidRPr="009E3412">
        <w:rPr>
          <w:i/>
          <w:iCs/>
          <w:lang w:val="it-IT"/>
        </w:rPr>
        <w:t>Biosensors</w:t>
      </w:r>
      <w:r w:rsidRPr="009E3412">
        <w:rPr>
          <w:lang w:val="it-IT"/>
        </w:rPr>
        <w:t>. https://doi.org/10.3390/bios11010020.</w:t>
      </w:r>
    </w:p>
    <w:p w14:paraId="248DA966" w14:textId="77777777" w:rsidR="00CC6090" w:rsidRPr="009E3412" w:rsidRDefault="00CC6090" w:rsidP="00CC6090">
      <w:pPr>
        <w:pStyle w:val="Bibliography"/>
        <w:rPr>
          <w:lang w:val="fr-FR"/>
        </w:rPr>
      </w:pPr>
      <w:r w:rsidRPr="009E3412">
        <w:rPr>
          <w:lang w:val="it-IT"/>
        </w:rPr>
        <w:t xml:space="preserve">[107] </w:t>
      </w:r>
      <w:r w:rsidRPr="009E3412">
        <w:rPr>
          <w:lang w:val="it-IT"/>
        </w:rPr>
        <w:tab/>
        <w:t xml:space="preserve">Zeisel, S.H. and da Costa, K.-A. (2009). </w:t>
      </w:r>
      <w:r w:rsidRPr="009E3412">
        <w:t xml:space="preserve">Choline: An Essential Nutrient for Public Health. </w:t>
      </w:r>
      <w:r w:rsidRPr="009E3412">
        <w:rPr>
          <w:i/>
          <w:iCs/>
          <w:lang w:val="fr-FR"/>
        </w:rPr>
        <w:t>Nutrition reviews</w:t>
      </w:r>
      <w:r w:rsidRPr="009E3412">
        <w:rPr>
          <w:lang w:val="fr-FR"/>
        </w:rPr>
        <w:t>. https://doi.org/10.1111/j.1753-4887.2009.00246.x.</w:t>
      </w:r>
    </w:p>
    <w:p w14:paraId="69A8729D" w14:textId="77777777" w:rsidR="00CC6090" w:rsidRPr="009E3412" w:rsidRDefault="00CC6090" w:rsidP="00CC6090">
      <w:pPr>
        <w:pStyle w:val="Bibliography"/>
      </w:pPr>
      <w:r w:rsidRPr="009E3412">
        <w:rPr>
          <w:lang w:val="fr-FR"/>
        </w:rPr>
        <w:t xml:space="preserve">[108] </w:t>
      </w:r>
      <w:r w:rsidRPr="009E3412">
        <w:rPr>
          <w:lang w:val="fr-FR"/>
        </w:rPr>
        <w:tab/>
        <w:t xml:space="preserve">Dave, N. </w:t>
      </w:r>
      <w:r w:rsidRPr="009E3412">
        <w:rPr>
          <w:i/>
          <w:iCs/>
          <w:lang w:val="fr-FR"/>
        </w:rPr>
        <w:t>et al.</w:t>
      </w:r>
      <w:r w:rsidRPr="009E3412">
        <w:rPr>
          <w:lang w:val="fr-FR"/>
        </w:rPr>
        <w:t xml:space="preserve"> </w:t>
      </w:r>
      <w:r w:rsidRPr="009E3412">
        <w:t xml:space="preserve">(2023). Dietary choline intake is necessary to prevent systems-wide organ pathology and reduce Alzheimer’s disease hallmarks. </w:t>
      </w:r>
      <w:r w:rsidRPr="009E3412">
        <w:rPr>
          <w:i/>
          <w:iCs/>
        </w:rPr>
        <w:t>Aging Cell</w:t>
      </w:r>
      <w:r w:rsidRPr="009E3412">
        <w:t>. https://doi.org/10.1111/acel.13775.</w:t>
      </w:r>
    </w:p>
    <w:p w14:paraId="7E41D297" w14:textId="77777777" w:rsidR="00CC6090" w:rsidRPr="009E3412" w:rsidRDefault="00CC6090" w:rsidP="00CC6090">
      <w:pPr>
        <w:pStyle w:val="Bibliography"/>
      </w:pPr>
      <w:r w:rsidRPr="009E3412">
        <w:lastRenderedPageBreak/>
        <w:t xml:space="preserve">[109] </w:t>
      </w:r>
      <w:r w:rsidRPr="009E3412">
        <w:tab/>
        <w:t xml:space="preserve">Wurtman, R.J. </w:t>
      </w:r>
      <w:r w:rsidRPr="009E3412">
        <w:rPr>
          <w:i/>
          <w:iCs/>
        </w:rPr>
        <w:t>et al.</w:t>
      </w:r>
      <w:r w:rsidRPr="009E3412">
        <w:t xml:space="preserve"> (2009). Choline and Its Products Acetylcholine and Phosphatidylcholine, in </w:t>
      </w:r>
      <w:r w:rsidRPr="009E3412">
        <w:rPr>
          <w:i/>
          <w:iCs/>
        </w:rPr>
        <w:t>Handbook of Neurochemistry and Molecular Neurobiology: Neural Lipids</w:t>
      </w:r>
      <w:r w:rsidRPr="009E3412">
        <w:t xml:space="preserve"> (eds.Lajtha, A. </w:t>
      </w:r>
      <w:r w:rsidRPr="009E3412">
        <w:rPr>
          <w:i/>
          <w:iCs/>
        </w:rPr>
        <w:t>et al.</w:t>
      </w:r>
      <w:r w:rsidRPr="009E3412">
        <w:t>), Springer US, Boston, MA, pp. 443–501.</w:t>
      </w:r>
    </w:p>
    <w:p w14:paraId="3E38D7BA" w14:textId="77777777" w:rsidR="00CC6090" w:rsidRPr="009E3412" w:rsidRDefault="00CC6090" w:rsidP="00CC6090">
      <w:pPr>
        <w:pStyle w:val="Bibliography"/>
      </w:pPr>
      <w:r w:rsidRPr="009E3412">
        <w:t xml:space="preserve">[110] </w:t>
      </w:r>
      <w:r w:rsidRPr="009E3412">
        <w:tab/>
        <w:t xml:space="preserve">Poly, C. </w:t>
      </w:r>
      <w:r w:rsidRPr="009E3412">
        <w:rPr>
          <w:i/>
          <w:iCs/>
        </w:rPr>
        <w:t>et al.</w:t>
      </w:r>
      <w:r w:rsidRPr="009E3412">
        <w:t xml:space="preserve"> (2011). The relation of dietary choline to cognitive performance and white-matter hyperintensity in the Framingham Offspring Cohort1234. </w:t>
      </w:r>
      <w:r w:rsidRPr="009E3412">
        <w:rPr>
          <w:i/>
          <w:iCs/>
        </w:rPr>
        <w:t>The American Journal of Clinical Nutrition</w:t>
      </w:r>
      <w:r w:rsidRPr="009E3412">
        <w:t>. https://doi.org/10.3945/ajcn.110.008938.</w:t>
      </w:r>
    </w:p>
    <w:p w14:paraId="25B8D190" w14:textId="77777777" w:rsidR="00CC6090" w:rsidRPr="009E3412" w:rsidRDefault="00CC6090" w:rsidP="00CC6090">
      <w:pPr>
        <w:pStyle w:val="Bibliography"/>
      </w:pPr>
      <w:r w:rsidRPr="009E3412">
        <w:t xml:space="preserve">[111] </w:t>
      </w:r>
      <w:r w:rsidRPr="009E3412">
        <w:tab/>
        <w:t xml:space="preserve">Cai, Y.-Y. </w:t>
      </w:r>
      <w:r w:rsidRPr="009E3412">
        <w:rPr>
          <w:i/>
          <w:iCs/>
        </w:rPr>
        <w:t>et al.</w:t>
      </w:r>
      <w:r w:rsidRPr="009E3412">
        <w:t xml:space="preserve"> (2022). Integrated metagenomics identifies a crucial role for trimethylamine-producing Lachnoclostridium in promoting atherosclerosis. </w:t>
      </w:r>
      <w:r w:rsidRPr="009E3412">
        <w:rPr>
          <w:i/>
          <w:iCs/>
        </w:rPr>
        <w:t>npj Biofilms and Microbiomes</w:t>
      </w:r>
      <w:r w:rsidRPr="009E3412">
        <w:t>. https://doi.org/10.1038/s41522-022-00273-4.</w:t>
      </w:r>
    </w:p>
    <w:p w14:paraId="70F87A30" w14:textId="79F281F1" w:rsidR="00313D65" w:rsidRPr="009E3412" w:rsidRDefault="00F5504E" w:rsidP="00313D65">
      <w:pPr>
        <w:jc w:val="both"/>
        <w:rPr>
          <w:rFonts w:ascii="Times New Roman" w:eastAsia="Times New Roman" w:hAnsi="Times New Roman" w:cs="Times New Roman"/>
        </w:rPr>
      </w:pPr>
      <w:r w:rsidRPr="009E3412">
        <w:rPr>
          <w:rFonts w:ascii="Times New Roman" w:eastAsia="Times New Roman" w:hAnsi="Times New Roman" w:cs="Times New Roman"/>
        </w:rPr>
        <w:fldChar w:fldCharType="end"/>
      </w:r>
      <w:r w:rsidR="00313D65" w:rsidRPr="009E3412">
        <w:rPr>
          <w:rFonts w:ascii="Times New Roman" w:eastAsia="Times New Roman" w:hAnsi="Times New Roman" w:cs="Times New Roman"/>
        </w:rPr>
        <w:br w:type="page"/>
      </w:r>
    </w:p>
    <w:p w14:paraId="5ABFB3B5" w14:textId="354360FD" w:rsidR="003677DB" w:rsidRPr="009E3412" w:rsidRDefault="00FB3471" w:rsidP="00313D65">
      <w:pPr>
        <w:jc w:val="both"/>
        <w:rPr>
          <w:rFonts w:ascii="Times New Roman" w:eastAsia="Times New Roman" w:hAnsi="Times New Roman" w:cs="Times New Roman"/>
          <w:kern w:val="24"/>
        </w:rPr>
      </w:pPr>
      <w:r w:rsidRPr="009E3412">
        <w:rPr>
          <w:rFonts w:ascii="Times New Roman" w:eastAsia="Times New Roman" w:hAnsi="Times New Roman" w:cs="Times New Roman"/>
          <w:b/>
          <w:bCs/>
          <w:kern w:val="24"/>
        </w:rPr>
        <w:lastRenderedPageBreak/>
        <w:t xml:space="preserve">Table </w:t>
      </w:r>
      <w:r w:rsidRPr="009E3412">
        <w:rPr>
          <w:rFonts w:ascii="Times New Roman" w:eastAsia="Times New Roman" w:hAnsi="Times New Roman" w:cs="Times New Roman"/>
          <w:b/>
          <w:bCs/>
          <w:kern w:val="24"/>
        </w:rPr>
        <w:fldChar w:fldCharType="begin"/>
      </w:r>
      <w:r w:rsidRPr="009E3412">
        <w:rPr>
          <w:rFonts w:ascii="Times New Roman" w:eastAsia="Times New Roman" w:hAnsi="Times New Roman" w:cs="Times New Roman"/>
          <w:b/>
          <w:bCs/>
          <w:kern w:val="24"/>
        </w:rPr>
        <w:instrText xml:space="preserve"> SEQ Table \* ARABIC </w:instrText>
      </w:r>
      <w:r w:rsidRPr="009E3412">
        <w:rPr>
          <w:rFonts w:ascii="Times New Roman" w:eastAsia="Times New Roman" w:hAnsi="Times New Roman" w:cs="Times New Roman"/>
          <w:b/>
          <w:bCs/>
          <w:kern w:val="24"/>
        </w:rPr>
        <w:fldChar w:fldCharType="separate"/>
      </w:r>
      <w:r w:rsidRPr="009E3412">
        <w:rPr>
          <w:rFonts w:ascii="Times New Roman" w:eastAsia="Times New Roman" w:hAnsi="Times New Roman" w:cs="Times New Roman"/>
          <w:b/>
          <w:bCs/>
          <w:kern w:val="24"/>
        </w:rPr>
        <w:t>1</w:t>
      </w:r>
      <w:r w:rsidRPr="009E3412">
        <w:rPr>
          <w:rFonts w:ascii="Times New Roman" w:eastAsia="Times New Roman" w:hAnsi="Times New Roman" w:cs="Times New Roman"/>
          <w:b/>
          <w:bCs/>
          <w:kern w:val="24"/>
        </w:rPr>
        <w:fldChar w:fldCharType="end"/>
      </w:r>
      <w:r w:rsidRPr="009E3412">
        <w:rPr>
          <w:rFonts w:ascii="Times New Roman" w:eastAsia="Times New Roman" w:hAnsi="Times New Roman" w:cs="Times New Roman"/>
          <w:kern w:val="24"/>
        </w:rPr>
        <w:t xml:space="preserve">: </w:t>
      </w:r>
      <w:r w:rsidRPr="009E3412">
        <w:rPr>
          <w:rFonts w:ascii="Times New Roman" w:eastAsia="Times New Roman" w:hAnsi="Times New Roman" w:cs="Times New Roman"/>
          <w:b/>
          <w:bCs/>
          <w:kern w:val="24"/>
        </w:rPr>
        <w:t>Baseline characteristics of the participants</w:t>
      </w:r>
      <w:r w:rsidRPr="009E3412">
        <w:rPr>
          <w:rFonts w:ascii="Times New Roman" w:eastAsia="Times New Roman" w:hAnsi="Times New Roman" w:cs="Times New Roman"/>
          <w:kern w:val="24"/>
        </w:rPr>
        <w:t>. Mean (SD). P-value calculated using one-way ANOVA. Significant values at p&lt;0.05 are in bold. SCI: subjective cognitive impairment, MCI: mild cognitive impairment, TMT: Trail Making Test A or B.  Bold p-values represent p&lt;0.05.</w:t>
      </w:r>
    </w:p>
    <w:p w14:paraId="7DB49FE5" w14:textId="77777777" w:rsidR="00F53345" w:rsidRPr="009E3412" w:rsidRDefault="00F53345" w:rsidP="00442441">
      <w:pPr>
        <w:spacing w:after="0" w:line="240" w:lineRule="auto"/>
        <w:jc w:val="both"/>
        <w:rPr>
          <w:rFonts w:ascii="Times New Roman" w:eastAsia="Times New Roman" w:hAnsi="Times New Roman" w:cs="Times New Roman"/>
          <w:kern w:val="24"/>
        </w:rPr>
      </w:pPr>
    </w:p>
    <w:tbl>
      <w:tblPr>
        <w:tblStyle w:val="2"/>
        <w:tblW w:w="5576" w:type="pct"/>
        <w:tblInd w:w="-512" w:type="dxa"/>
        <w:tblLook w:val="04A0" w:firstRow="1" w:lastRow="0" w:firstColumn="1" w:lastColumn="0" w:noHBand="0" w:noVBand="1"/>
      </w:tblPr>
      <w:tblGrid>
        <w:gridCol w:w="2700"/>
        <w:gridCol w:w="1415"/>
        <w:gridCol w:w="1274"/>
        <w:gridCol w:w="1274"/>
        <w:gridCol w:w="852"/>
        <w:gridCol w:w="2551"/>
      </w:tblGrid>
      <w:tr w:rsidR="009E3412" w:rsidRPr="009E3412" w14:paraId="38890499" w14:textId="77777777" w:rsidTr="00635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1" w:type="pct"/>
            <w:tcBorders>
              <w:top w:val="single" w:sz="8" w:space="0" w:color="auto"/>
            </w:tcBorders>
          </w:tcPr>
          <w:p w14:paraId="5D8D7582" w14:textId="77777777" w:rsidR="00A644EC" w:rsidRPr="009E3412" w:rsidRDefault="00A644EC" w:rsidP="0063599C">
            <w:pPr>
              <w:rPr>
                <w:rFonts w:ascii="Times New Roman" w:eastAsia="Times New Roman" w:hAnsi="Times New Roman" w:cs="Times New Roman"/>
                <w:kern w:val="24"/>
              </w:rPr>
            </w:pPr>
          </w:p>
        </w:tc>
        <w:tc>
          <w:tcPr>
            <w:tcW w:w="703" w:type="pct"/>
            <w:tcBorders>
              <w:top w:val="single" w:sz="8" w:space="0" w:color="auto"/>
            </w:tcBorders>
          </w:tcPr>
          <w:p w14:paraId="16E1DAA4" w14:textId="77777777" w:rsidR="00A644EC" w:rsidRPr="009E3412" w:rsidRDefault="00A644EC" w:rsidP="006359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E3412">
              <w:rPr>
                <w:rFonts w:ascii="Times New Roman" w:hAnsi="Times New Roman" w:cs="Times New Roman"/>
              </w:rPr>
              <w:t>Control</w:t>
            </w:r>
          </w:p>
          <w:p w14:paraId="718D73F5" w14:textId="77777777" w:rsidR="00A644EC" w:rsidRPr="009E3412" w:rsidRDefault="00A644EC" w:rsidP="006359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E3412">
              <w:rPr>
                <w:rFonts w:ascii="Times New Roman" w:hAnsi="Times New Roman" w:cs="Times New Roman"/>
              </w:rPr>
              <w:t>(</w:t>
            </w:r>
            <w:r w:rsidRPr="009E3412">
              <w:rPr>
                <w:rFonts w:ascii="Times New Roman" w:hAnsi="Times New Roman" w:cs="Times New Roman"/>
                <w:i/>
                <w:iCs/>
              </w:rPr>
              <w:t>n</w:t>
            </w:r>
            <w:r w:rsidRPr="009E3412">
              <w:rPr>
                <w:rFonts w:ascii="Times New Roman" w:hAnsi="Times New Roman" w:cs="Times New Roman"/>
              </w:rPr>
              <w:t>=50)</w:t>
            </w:r>
          </w:p>
        </w:tc>
        <w:tc>
          <w:tcPr>
            <w:tcW w:w="633" w:type="pct"/>
            <w:tcBorders>
              <w:top w:val="single" w:sz="8" w:space="0" w:color="auto"/>
            </w:tcBorders>
          </w:tcPr>
          <w:p w14:paraId="5AA6688D" w14:textId="77777777" w:rsidR="00A644EC" w:rsidRPr="009E3412" w:rsidRDefault="00A644EC" w:rsidP="006359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E3412">
              <w:rPr>
                <w:rFonts w:ascii="Times New Roman" w:hAnsi="Times New Roman" w:cs="Times New Roman"/>
              </w:rPr>
              <w:t>SCI</w:t>
            </w:r>
          </w:p>
          <w:p w14:paraId="3D05CE74" w14:textId="77777777" w:rsidR="00A644EC" w:rsidRPr="009E3412" w:rsidRDefault="00A644EC" w:rsidP="0063599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w:t>
            </w:r>
            <w:r w:rsidRPr="009E3412">
              <w:rPr>
                <w:rFonts w:ascii="Times New Roman" w:hAnsi="Times New Roman" w:cs="Times New Roman"/>
                <w:i/>
                <w:iCs/>
              </w:rPr>
              <w:t>n</w:t>
            </w:r>
            <w:r w:rsidRPr="009E3412">
              <w:rPr>
                <w:rFonts w:ascii="Times New Roman" w:hAnsi="Times New Roman" w:cs="Times New Roman"/>
              </w:rPr>
              <w:t>=50)</w:t>
            </w:r>
          </w:p>
        </w:tc>
        <w:tc>
          <w:tcPr>
            <w:tcW w:w="633" w:type="pct"/>
            <w:tcBorders>
              <w:top w:val="single" w:sz="8" w:space="0" w:color="auto"/>
            </w:tcBorders>
          </w:tcPr>
          <w:p w14:paraId="22CDFAD4" w14:textId="77777777" w:rsidR="00A644EC" w:rsidRPr="009E3412" w:rsidRDefault="00A644EC" w:rsidP="006359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E3412">
              <w:rPr>
                <w:rFonts w:ascii="Times New Roman" w:hAnsi="Times New Roman" w:cs="Times New Roman"/>
              </w:rPr>
              <w:t>MCI</w:t>
            </w:r>
          </w:p>
          <w:p w14:paraId="531C63D1" w14:textId="77777777" w:rsidR="00A644EC" w:rsidRPr="009E3412" w:rsidRDefault="00A644EC" w:rsidP="0063599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w:t>
            </w:r>
            <w:r w:rsidRPr="009E3412">
              <w:rPr>
                <w:rFonts w:ascii="Times New Roman" w:hAnsi="Times New Roman" w:cs="Times New Roman"/>
                <w:i/>
                <w:iCs/>
              </w:rPr>
              <w:t>n</w:t>
            </w:r>
            <w:r w:rsidRPr="009E3412">
              <w:rPr>
                <w:rFonts w:ascii="Times New Roman" w:hAnsi="Times New Roman" w:cs="Times New Roman"/>
              </w:rPr>
              <w:t>=50)</w:t>
            </w:r>
          </w:p>
        </w:tc>
        <w:tc>
          <w:tcPr>
            <w:tcW w:w="423" w:type="pct"/>
            <w:tcBorders>
              <w:top w:val="single" w:sz="8" w:space="0" w:color="auto"/>
            </w:tcBorders>
          </w:tcPr>
          <w:p w14:paraId="032E29BD" w14:textId="77777777" w:rsidR="00A644EC" w:rsidRPr="009E3412" w:rsidRDefault="00A644EC" w:rsidP="0063599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P-value</w:t>
            </w:r>
          </w:p>
        </w:tc>
        <w:tc>
          <w:tcPr>
            <w:tcW w:w="1267" w:type="pct"/>
            <w:tcBorders>
              <w:top w:val="single" w:sz="8" w:space="0" w:color="auto"/>
            </w:tcBorders>
          </w:tcPr>
          <w:p w14:paraId="1D03DEDA" w14:textId="77777777" w:rsidR="00A644EC" w:rsidRPr="009E3412" w:rsidRDefault="00A644EC" w:rsidP="006359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Post Hoc Tukey’s Test</w:t>
            </w:r>
          </w:p>
        </w:tc>
      </w:tr>
      <w:tr w:rsidR="009E3412" w:rsidRPr="009E3412" w14:paraId="7D123D60"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7B824349"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hAnsi="Times New Roman" w:cs="Times New Roman"/>
                <w:b w:val="0"/>
                <w:bCs/>
              </w:rPr>
              <w:t>Sex, M/ F (%F)</w:t>
            </w:r>
          </w:p>
        </w:tc>
        <w:tc>
          <w:tcPr>
            <w:tcW w:w="703" w:type="pct"/>
          </w:tcPr>
          <w:p w14:paraId="4F5C425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23/27 (54)</w:t>
            </w:r>
          </w:p>
        </w:tc>
        <w:tc>
          <w:tcPr>
            <w:tcW w:w="633" w:type="pct"/>
          </w:tcPr>
          <w:p w14:paraId="21695F4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23/27 (54)</w:t>
            </w:r>
          </w:p>
        </w:tc>
        <w:tc>
          <w:tcPr>
            <w:tcW w:w="633" w:type="pct"/>
          </w:tcPr>
          <w:p w14:paraId="627889D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23/27 (54)</w:t>
            </w:r>
          </w:p>
        </w:tc>
        <w:tc>
          <w:tcPr>
            <w:tcW w:w="423" w:type="pct"/>
          </w:tcPr>
          <w:p w14:paraId="454E0581"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eastAsia="Times New Roman" w:hAnsi="Times New Roman" w:cs="Times New Roman"/>
              </w:rPr>
              <w:t>-</w:t>
            </w:r>
          </w:p>
        </w:tc>
        <w:tc>
          <w:tcPr>
            <w:tcW w:w="1267" w:type="pct"/>
          </w:tcPr>
          <w:p w14:paraId="5D36095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14373041"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3FC99119"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hAnsi="Times New Roman" w:cs="Times New Roman"/>
                <w:b w:val="0"/>
                <w:bCs/>
              </w:rPr>
              <w:t>Age (years)</w:t>
            </w:r>
          </w:p>
        </w:tc>
        <w:tc>
          <w:tcPr>
            <w:tcW w:w="703" w:type="pct"/>
          </w:tcPr>
          <w:p w14:paraId="32D0446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65.6 (5.3)</w:t>
            </w:r>
          </w:p>
        </w:tc>
        <w:tc>
          <w:tcPr>
            <w:tcW w:w="633" w:type="pct"/>
          </w:tcPr>
          <w:p w14:paraId="7ADDC2F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65.5 (6.1)</w:t>
            </w:r>
          </w:p>
        </w:tc>
        <w:tc>
          <w:tcPr>
            <w:tcW w:w="633" w:type="pct"/>
          </w:tcPr>
          <w:p w14:paraId="288E695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65.5 (5.8)</w:t>
            </w:r>
          </w:p>
        </w:tc>
        <w:tc>
          <w:tcPr>
            <w:tcW w:w="423" w:type="pct"/>
          </w:tcPr>
          <w:p w14:paraId="7A6CB53A"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eastAsia="Times New Roman" w:hAnsi="Times New Roman" w:cs="Times New Roman"/>
              </w:rPr>
              <w:t>0.999</w:t>
            </w:r>
          </w:p>
        </w:tc>
        <w:tc>
          <w:tcPr>
            <w:tcW w:w="1267" w:type="pct"/>
          </w:tcPr>
          <w:p w14:paraId="377164D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303004A3"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2442E968"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hAnsi="Times New Roman" w:cs="Times New Roman"/>
                <w:b w:val="0"/>
                <w:bCs/>
              </w:rPr>
              <w:t>BMI (kg/m</w:t>
            </w:r>
            <w:r w:rsidRPr="009E3412">
              <w:rPr>
                <w:rFonts w:ascii="Times New Roman" w:hAnsi="Times New Roman" w:cs="Times New Roman"/>
                <w:b w:val="0"/>
                <w:bCs/>
                <w:vertAlign w:val="superscript"/>
              </w:rPr>
              <w:t>2</w:t>
            </w:r>
            <w:r w:rsidRPr="009E3412">
              <w:rPr>
                <w:rFonts w:ascii="Times New Roman" w:hAnsi="Times New Roman" w:cs="Times New Roman"/>
                <w:b w:val="0"/>
                <w:bCs/>
              </w:rPr>
              <w:t>)</w:t>
            </w:r>
          </w:p>
        </w:tc>
        <w:tc>
          <w:tcPr>
            <w:tcW w:w="703" w:type="pct"/>
          </w:tcPr>
          <w:p w14:paraId="360112A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25.1 (3.1)</w:t>
            </w:r>
          </w:p>
        </w:tc>
        <w:tc>
          <w:tcPr>
            <w:tcW w:w="633" w:type="pct"/>
          </w:tcPr>
          <w:p w14:paraId="62362CCB"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25.0 (2.9)</w:t>
            </w:r>
          </w:p>
        </w:tc>
        <w:tc>
          <w:tcPr>
            <w:tcW w:w="633" w:type="pct"/>
          </w:tcPr>
          <w:p w14:paraId="53615F8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25.0 (2.8)</w:t>
            </w:r>
          </w:p>
        </w:tc>
        <w:tc>
          <w:tcPr>
            <w:tcW w:w="423" w:type="pct"/>
          </w:tcPr>
          <w:p w14:paraId="599BB56F"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eastAsia="Times New Roman" w:hAnsi="Times New Roman" w:cs="Times New Roman"/>
              </w:rPr>
              <w:t>0.993</w:t>
            </w:r>
          </w:p>
        </w:tc>
        <w:tc>
          <w:tcPr>
            <w:tcW w:w="1267" w:type="pct"/>
          </w:tcPr>
          <w:p w14:paraId="458C3DEA"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4C13A5F7"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3D2EB7C2"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hAnsi="Times New Roman" w:cs="Times New Roman"/>
                <w:b w:val="0"/>
                <w:bCs/>
              </w:rPr>
              <w:t>Education (years)</w:t>
            </w:r>
          </w:p>
        </w:tc>
        <w:tc>
          <w:tcPr>
            <w:tcW w:w="703" w:type="pct"/>
          </w:tcPr>
          <w:p w14:paraId="444C5F73"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14.4 (2.6)</w:t>
            </w:r>
          </w:p>
        </w:tc>
        <w:tc>
          <w:tcPr>
            <w:tcW w:w="633" w:type="pct"/>
          </w:tcPr>
          <w:p w14:paraId="40F68DA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14.6 (4.0)</w:t>
            </w:r>
          </w:p>
        </w:tc>
        <w:tc>
          <w:tcPr>
            <w:tcW w:w="633" w:type="pct"/>
          </w:tcPr>
          <w:p w14:paraId="4DA609F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14.6 (3.9)</w:t>
            </w:r>
          </w:p>
        </w:tc>
        <w:tc>
          <w:tcPr>
            <w:tcW w:w="423" w:type="pct"/>
          </w:tcPr>
          <w:p w14:paraId="75D8A2E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eastAsia="Times New Roman" w:hAnsi="Times New Roman" w:cs="Times New Roman"/>
              </w:rPr>
              <w:t>0.968</w:t>
            </w:r>
          </w:p>
        </w:tc>
        <w:tc>
          <w:tcPr>
            <w:tcW w:w="1267" w:type="pct"/>
          </w:tcPr>
          <w:p w14:paraId="12EDE916"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788735B5"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28D2DEAE"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hAnsi="Times New Roman" w:cs="Times New Roman"/>
                <w:b w:val="0"/>
                <w:bCs/>
              </w:rPr>
              <w:t xml:space="preserve">% </w:t>
            </w:r>
            <w:r w:rsidRPr="009E3412">
              <w:rPr>
                <w:rFonts w:ascii="Times New Roman" w:hAnsi="Times New Roman" w:cs="Times New Roman"/>
                <w:b w:val="0"/>
                <w:bCs/>
                <w:i/>
                <w:iCs/>
              </w:rPr>
              <w:t>APOE4</w:t>
            </w:r>
          </w:p>
        </w:tc>
        <w:tc>
          <w:tcPr>
            <w:tcW w:w="703" w:type="pct"/>
          </w:tcPr>
          <w:p w14:paraId="3CB58CE8"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18</w:t>
            </w:r>
          </w:p>
        </w:tc>
        <w:tc>
          <w:tcPr>
            <w:tcW w:w="633" w:type="pct"/>
          </w:tcPr>
          <w:p w14:paraId="1BEB7600"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26</w:t>
            </w:r>
          </w:p>
        </w:tc>
        <w:tc>
          <w:tcPr>
            <w:tcW w:w="633" w:type="pct"/>
          </w:tcPr>
          <w:p w14:paraId="331AB00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38</w:t>
            </w:r>
          </w:p>
        </w:tc>
        <w:tc>
          <w:tcPr>
            <w:tcW w:w="423" w:type="pct"/>
          </w:tcPr>
          <w:p w14:paraId="21E0923B"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eastAsia="Times New Roman" w:hAnsi="Times New Roman" w:cs="Times New Roman"/>
              </w:rPr>
              <w:t>0.079</w:t>
            </w:r>
          </w:p>
        </w:tc>
        <w:tc>
          <w:tcPr>
            <w:tcW w:w="1267" w:type="pct"/>
          </w:tcPr>
          <w:p w14:paraId="3F569B0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6D3908DB"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762467D9" w14:textId="77777777" w:rsidR="00A644EC" w:rsidRPr="009E3412" w:rsidRDefault="00A644EC" w:rsidP="0063599C">
            <w:pPr>
              <w:rPr>
                <w:rFonts w:ascii="Times New Roman" w:eastAsia="Times New Roman" w:hAnsi="Times New Roman" w:cs="Times New Roman"/>
                <w:kern w:val="24"/>
              </w:rPr>
            </w:pPr>
          </w:p>
        </w:tc>
        <w:tc>
          <w:tcPr>
            <w:tcW w:w="703" w:type="pct"/>
          </w:tcPr>
          <w:p w14:paraId="6DB0DCDA"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633" w:type="pct"/>
          </w:tcPr>
          <w:p w14:paraId="35157C20"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633" w:type="pct"/>
          </w:tcPr>
          <w:p w14:paraId="1447A4E1"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423" w:type="pct"/>
          </w:tcPr>
          <w:p w14:paraId="1B8D09A2"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1267" w:type="pct"/>
          </w:tcPr>
          <w:p w14:paraId="0CB740A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r>
      <w:tr w:rsidR="009E3412" w:rsidRPr="009E3412" w14:paraId="39DAE385"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4015BBDC" w14:textId="77777777" w:rsidR="00A644EC" w:rsidRPr="009E3412" w:rsidRDefault="00A644EC" w:rsidP="0063599C">
            <w:pPr>
              <w:rPr>
                <w:rFonts w:ascii="Times New Roman" w:eastAsia="Times New Roman" w:hAnsi="Times New Roman" w:cs="Times New Roman"/>
                <w:kern w:val="24"/>
              </w:rPr>
            </w:pPr>
            <w:r w:rsidRPr="009E3412">
              <w:rPr>
                <w:rFonts w:ascii="Times New Roman" w:eastAsia="Times New Roman" w:hAnsi="Times New Roman" w:cs="Times New Roman"/>
                <w:kern w:val="24"/>
              </w:rPr>
              <w:t>Cognitive tests</w:t>
            </w:r>
          </w:p>
        </w:tc>
        <w:tc>
          <w:tcPr>
            <w:tcW w:w="703" w:type="pct"/>
          </w:tcPr>
          <w:p w14:paraId="1CD4BBF8"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633" w:type="pct"/>
          </w:tcPr>
          <w:p w14:paraId="283BD2CA"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633" w:type="pct"/>
          </w:tcPr>
          <w:p w14:paraId="1A1263FB"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423" w:type="pct"/>
          </w:tcPr>
          <w:p w14:paraId="4E924A6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1267" w:type="pct"/>
          </w:tcPr>
          <w:p w14:paraId="5D3E4B48"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r>
      <w:tr w:rsidR="009E3412" w:rsidRPr="009E3412" w14:paraId="08DF37CA"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1D574168"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eastAsia="Times New Roman" w:hAnsi="Times New Roman" w:cs="Times New Roman"/>
                <w:b w:val="0"/>
                <w:bCs/>
                <w:kern w:val="24"/>
              </w:rPr>
              <w:t>TMT A</w:t>
            </w:r>
          </w:p>
        </w:tc>
        <w:tc>
          <w:tcPr>
            <w:tcW w:w="703" w:type="pct"/>
          </w:tcPr>
          <w:p w14:paraId="3774EF53"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30.7 (6.2)</w:t>
            </w:r>
          </w:p>
        </w:tc>
        <w:tc>
          <w:tcPr>
            <w:tcW w:w="633" w:type="pct"/>
          </w:tcPr>
          <w:p w14:paraId="1C0E1401"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29.3 (8.1)</w:t>
            </w:r>
          </w:p>
        </w:tc>
        <w:tc>
          <w:tcPr>
            <w:tcW w:w="633" w:type="pct"/>
          </w:tcPr>
          <w:p w14:paraId="63221D76"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33.3 (12.1)</w:t>
            </w:r>
          </w:p>
        </w:tc>
        <w:tc>
          <w:tcPr>
            <w:tcW w:w="423" w:type="pct"/>
          </w:tcPr>
          <w:p w14:paraId="2ED1336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0.088</w:t>
            </w:r>
          </w:p>
        </w:tc>
        <w:tc>
          <w:tcPr>
            <w:tcW w:w="1267" w:type="pct"/>
          </w:tcPr>
          <w:p w14:paraId="2AAEA43B"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133CB783"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766BF761"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eastAsia="Times New Roman" w:hAnsi="Times New Roman" w:cs="Times New Roman"/>
                <w:b w:val="0"/>
                <w:bCs/>
                <w:kern w:val="24"/>
              </w:rPr>
              <w:t>TMT B</w:t>
            </w:r>
          </w:p>
        </w:tc>
        <w:tc>
          <w:tcPr>
            <w:tcW w:w="703" w:type="pct"/>
          </w:tcPr>
          <w:p w14:paraId="26FE2A8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66.4 (20.4)</w:t>
            </w:r>
          </w:p>
        </w:tc>
        <w:tc>
          <w:tcPr>
            <w:tcW w:w="633" w:type="pct"/>
          </w:tcPr>
          <w:p w14:paraId="7FB1E18A"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62.3 (16.5)</w:t>
            </w:r>
          </w:p>
        </w:tc>
        <w:tc>
          <w:tcPr>
            <w:tcW w:w="633" w:type="pct"/>
          </w:tcPr>
          <w:p w14:paraId="6626784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74.9 (27.3)</w:t>
            </w:r>
          </w:p>
        </w:tc>
        <w:tc>
          <w:tcPr>
            <w:tcW w:w="423" w:type="pct"/>
          </w:tcPr>
          <w:p w14:paraId="6CE1DD8A"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E3412">
              <w:rPr>
                <w:rFonts w:ascii="Times New Roman" w:eastAsia="Times New Roman" w:hAnsi="Times New Roman" w:cs="Times New Roman"/>
                <w:b/>
                <w:bCs/>
              </w:rPr>
              <w:t>0.015</w:t>
            </w:r>
          </w:p>
        </w:tc>
        <w:tc>
          <w:tcPr>
            <w:tcW w:w="1267" w:type="pct"/>
          </w:tcPr>
          <w:p w14:paraId="2FFCE07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SCI &lt; MCI (p= 0.012)</w:t>
            </w:r>
          </w:p>
        </w:tc>
      </w:tr>
      <w:tr w:rsidR="009E3412" w:rsidRPr="009E3412" w14:paraId="032A7306"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1B58D47D"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eastAsia="Times New Roman" w:hAnsi="Times New Roman" w:cs="Times New Roman"/>
                <w:b w:val="0"/>
                <w:bCs/>
                <w:kern w:val="24"/>
              </w:rPr>
              <w:t>Digit Span Forwards</w:t>
            </w:r>
          </w:p>
        </w:tc>
        <w:tc>
          <w:tcPr>
            <w:tcW w:w="703" w:type="pct"/>
          </w:tcPr>
          <w:p w14:paraId="39DC8638"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11.1 (2.2)</w:t>
            </w:r>
          </w:p>
        </w:tc>
        <w:tc>
          <w:tcPr>
            <w:tcW w:w="633" w:type="pct"/>
          </w:tcPr>
          <w:p w14:paraId="5C15DEC5"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11.2 (1.8)</w:t>
            </w:r>
          </w:p>
        </w:tc>
        <w:tc>
          <w:tcPr>
            <w:tcW w:w="633" w:type="pct"/>
          </w:tcPr>
          <w:p w14:paraId="4E100FE5"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10.5 (2.6)</w:t>
            </w:r>
          </w:p>
        </w:tc>
        <w:tc>
          <w:tcPr>
            <w:tcW w:w="423" w:type="pct"/>
          </w:tcPr>
          <w:p w14:paraId="593EA659"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0.211</w:t>
            </w:r>
          </w:p>
        </w:tc>
        <w:tc>
          <w:tcPr>
            <w:tcW w:w="1267" w:type="pct"/>
          </w:tcPr>
          <w:p w14:paraId="53807C39"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070E2DA3"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0E8B5844"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Digit Span Backwards</w:t>
            </w:r>
          </w:p>
        </w:tc>
        <w:tc>
          <w:tcPr>
            <w:tcW w:w="703" w:type="pct"/>
          </w:tcPr>
          <w:p w14:paraId="12C5ED31"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7.7 (2.0)</w:t>
            </w:r>
          </w:p>
        </w:tc>
        <w:tc>
          <w:tcPr>
            <w:tcW w:w="633" w:type="pct"/>
          </w:tcPr>
          <w:p w14:paraId="4E293C07"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7.2 (1.8)</w:t>
            </w:r>
          </w:p>
        </w:tc>
        <w:tc>
          <w:tcPr>
            <w:tcW w:w="633" w:type="pct"/>
          </w:tcPr>
          <w:p w14:paraId="1EF0C079"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6.5 (2.1)</w:t>
            </w:r>
          </w:p>
        </w:tc>
        <w:tc>
          <w:tcPr>
            <w:tcW w:w="423" w:type="pct"/>
          </w:tcPr>
          <w:p w14:paraId="151492F7"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E3412">
              <w:rPr>
                <w:rFonts w:ascii="Times New Roman" w:eastAsia="Times New Roman" w:hAnsi="Times New Roman" w:cs="Times New Roman"/>
                <w:b/>
                <w:bCs/>
              </w:rPr>
              <w:t>0.011</w:t>
            </w:r>
          </w:p>
        </w:tc>
        <w:tc>
          <w:tcPr>
            <w:tcW w:w="1267" w:type="pct"/>
          </w:tcPr>
          <w:p w14:paraId="5156B943"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E3412">
              <w:rPr>
                <w:rFonts w:ascii="Times New Roman" w:eastAsia="Times New Roman" w:hAnsi="Times New Roman" w:cs="Times New Roman"/>
              </w:rPr>
              <w:t>Control &gt; MCI (p= 0.008)</w:t>
            </w:r>
          </w:p>
        </w:tc>
      </w:tr>
      <w:tr w:rsidR="009E3412" w:rsidRPr="009E3412" w14:paraId="4894D830"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45F98814"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hAnsi="Times New Roman" w:cs="Times New Roman"/>
                <w:b w:val="0"/>
                <w:bCs/>
              </w:rPr>
              <w:t>Digit Span Total</w:t>
            </w:r>
          </w:p>
        </w:tc>
        <w:tc>
          <w:tcPr>
            <w:tcW w:w="703" w:type="pct"/>
          </w:tcPr>
          <w:p w14:paraId="10E63425"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18.8 (3.8)</w:t>
            </w:r>
          </w:p>
        </w:tc>
        <w:tc>
          <w:tcPr>
            <w:tcW w:w="633" w:type="pct"/>
          </w:tcPr>
          <w:p w14:paraId="6A6B30DA"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18.4 (3.0)</w:t>
            </w:r>
          </w:p>
        </w:tc>
        <w:tc>
          <w:tcPr>
            <w:tcW w:w="633" w:type="pct"/>
          </w:tcPr>
          <w:p w14:paraId="2D3E0AF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17.0 (4.2)</w:t>
            </w:r>
          </w:p>
        </w:tc>
        <w:tc>
          <w:tcPr>
            <w:tcW w:w="423" w:type="pct"/>
          </w:tcPr>
          <w:p w14:paraId="4038660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eastAsia="Times New Roman" w:hAnsi="Times New Roman" w:cs="Times New Roman"/>
                <w:b/>
                <w:bCs/>
              </w:rPr>
              <w:t>0.039</w:t>
            </w:r>
          </w:p>
        </w:tc>
        <w:tc>
          <w:tcPr>
            <w:tcW w:w="1267" w:type="pct"/>
          </w:tcPr>
          <w:p w14:paraId="4EAFC7E7"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Control &gt; MCI (p= 0.043)</w:t>
            </w:r>
          </w:p>
        </w:tc>
      </w:tr>
      <w:tr w:rsidR="009E3412" w:rsidRPr="009E3412" w14:paraId="0B59D5BD"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1136792A" w14:textId="77777777" w:rsidR="00A644EC" w:rsidRPr="009E3412" w:rsidRDefault="00A644EC" w:rsidP="0063599C">
            <w:pPr>
              <w:rPr>
                <w:rFonts w:ascii="Times New Roman" w:eastAsia="Times New Roman" w:hAnsi="Times New Roman" w:cs="Times New Roman"/>
                <w:kern w:val="24"/>
              </w:rPr>
            </w:pPr>
          </w:p>
        </w:tc>
        <w:tc>
          <w:tcPr>
            <w:tcW w:w="703" w:type="pct"/>
          </w:tcPr>
          <w:p w14:paraId="71D2FDE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633" w:type="pct"/>
          </w:tcPr>
          <w:p w14:paraId="46643361"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633" w:type="pct"/>
          </w:tcPr>
          <w:p w14:paraId="0D13F8C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423" w:type="pct"/>
          </w:tcPr>
          <w:p w14:paraId="523B3997"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1267" w:type="pct"/>
          </w:tcPr>
          <w:p w14:paraId="451D2D26"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r>
      <w:tr w:rsidR="009E3412" w:rsidRPr="009E3412" w14:paraId="6C2F6E3E"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1069595A" w14:textId="77777777" w:rsidR="00A644EC" w:rsidRPr="009E3412" w:rsidRDefault="00A644EC" w:rsidP="0063599C">
            <w:pPr>
              <w:rPr>
                <w:rFonts w:ascii="Times New Roman" w:eastAsia="Times New Roman" w:hAnsi="Times New Roman" w:cs="Times New Roman"/>
                <w:kern w:val="24"/>
              </w:rPr>
            </w:pPr>
            <w:r w:rsidRPr="009E3412">
              <w:rPr>
                <w:rFonts w:ascii="Times New Roman" w:eastAsia="Times New Roman" w:hAnsi="Times New Roman" w:cs="Times New Roman"/>
                <w:kern w:val="24"/>
              </w:rPr>
              <w:t>Biochemistry</w:t>
            </w:r>
          </w:p>
        </w:tc>
        <w:tc>
          <w:tcPr>
            <w:tcW w:w="703" w:type="pct"/>
          </w:tcPr>
          <w:p w14:paraId="3495932F"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633" w:type="pct"/>
          </w:tcPr>
          <w:p w14:paraId="693C4278"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633" w:type="pct"/>
          </w:tcPr>
          <w:p w14:paraId="47CEF1F9"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423" w:type="pct"/>
          </w:tcPr>
          <w:p w14:paraId="6925CB60"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c>
          <w:tcPr>
            <w:tcW w:w="1267" w:type="pct"/>
          </w:tcPr>
          <w:p w14:paraId="69F80D9F"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p>
        </w:tc>
      </w:tr>
      <w:tr w:rsidR="009E3412" w:rsidRPr="009E3412" w14:paraId="405CDB91"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72A5266C"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Creatinine (µmol/L)</w:t>
            </w:r>
          </w:p>
        </w:tc>
        <w:tc>
          <w:tcPr>
            <w:tcW w:w="703" w:type="pct"/>
          </w:tcPr>
          <w:p w14:paraId="44BFFEA3"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73.90 (13.5)</w:t>
            </w:r>
          </w:p>
        </w:tc>
        <w:tc>
          <w:tcPr>
            <w:tcW w:w="633" w:type="pct"/>
          </w:tcPr>
          <w:p w14:paraId="1498815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72.5 (12.3)</w:t>
            </w:r>
          </w:p>
        </w:tc>
        <w:tc>
          <w:tcPr>
            <w:tcW w:w="633" w:type="pct"/>
          </w:tcPr>
          <w:p w14:paraId="39A7B7EF"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73.5 (14.1)</w:t>
            </w:r>
          </w:p>
        </w:tc>
        <w:tc>
          <w:tcPr>
            <w:tcW w:w="423" w:type="pct"/>
          </w:tcPr>
          <w:p w14:paraId="72481BEB"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0.871</w:t>
            </w:r>
          </w:p>
        </w:tc>
        <w:tc>
          <w:tcPr>
            <w:tcW w:w="1267" w:type="pct"/>
          </w:tcPr>
          <w:p w14:paraId="53640D3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53EB92B2"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45600D90"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Albumin (g/L)</w:t>
            </w:r>
          </w:p>
        </w:tc>
        <w:tc>
          <w:tcPr>
            <w:tcW w:w="703" w:type="pct"/>
          </w:tcPr>
          <w:p w14:paraId="10F51685"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40.4 (2.4)</w:t>
            </w:r>
          </w:p>
        </w:tc>
        <w:tc>
          <w:tcPr>
            <w:tcW w:w="633" w:type="pct"/>
          </w:tcPr>
          <w:p w14:paraId="256DB18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30.0 (2.4)</w:t>
            </w:r>
          </w:p>
        </w:tc>
        <w:tc>
          <w:tcPr>
            <w:tcW w:w="633" w:type="pct"/>
          </w:tcPr>
          <w:p w14:paraId="7C4141C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39.4 (2.3)</w:t>
            </w:r>
          </w:p>
        </w:tc>
        <w:tc>
          <w:tcPr>
            <w:tcW w:w="423" w:type="pct"/>
          </w:tcPr>
          <w:p w14:paraId="6E84EA58"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E3412">
              <w:rPr>
                <w:rFonts w:ascii="Times New Roman" w:eastAsia="Times New Roman" w:hAnsi="Times New Roman" w:cs="Times New Roman"/>
                <w:b/>
                <w:bCs/>
              </w:rPr>
              <w:t>&lt;0.001</w:t>
            </w:r>
          </w:p>
        </w:tc>
        <w:tc>
          <w:tcPr>
            <w:tcW w:w="1267" w:type="pct"/>
          </w:tcPr>
          <w:p w14:paraId="7C1F32C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t-IT"/>
              </w:rPr>
            </w:pPr>
            <w:r w:rsidRPr="009E3412">
              <w:rPr>
                <w:rFonts w:ascii="Times New Roman" w:eastAsia="Times New Roman" w:hAnsi="Times New Roman" w:cs="Times New Roman"/>
                <w:lang w:val="it-IT"/>
              </w:rPr>
              <w:t>Control &gt; SCI (p &lt; 0.0001); SCI &gt; MCI (p= 0.010)</w:t>
            </w:r>
          </w:p>
        </w:tc>
      </w:tr>
      <w:tr w:rsidR="009E3412" w:rsidRPr="009E3412" w14:paraId="1E560DB5"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0F679C7F"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Bilirubin (µmol/L)</w:t>
            </w:r>
          </w:p>
        </w:tc>
        <w:tc>
          <w:tcPr>
            <w:tcW w:w="703" w:type="pct"/>
          </w:tcPr>
          <w:p w14:paraId="14EB61D9"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12.8 (4.7)</w:t>
            </w:r>
          </w:p>
        </w:tc>
        <w:tc>
          <w:tcPr>
            <w:tcW w:w="633" w:type="pct"/>
          </w:tcPr>
          <w:p w14:paraId="25156DAB"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8.9 (5.1)</w:t>
            </w:r>
          </w:p>
        </w:tc>
        <w:tc>
          <w:tcPr>
            <w:tcW w:w="633" w:type="pct"/>
          </w:tcPr>
          <w:p w14:paraId="421CF690"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9.1 (4.4)</w:t>
            </w:r>
          </w:p>
        </w:tc>
        <w:tc>
          <w:tcPr>
            <w:tcW w:w="423" w:type="pct"/>
          </w:tcPr>
          <w:p w14:paraId="6C2BCA0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E3412">
              <w:rPr>
                <w:rFonts w:ascii="Times New Roman" w:eastAsia="Times New Roman" w:hAnsi="Times New Roman" w:cs="Times New Roman"/>
                <w:b/>
                <w:bCs/>
              </w:rPr>
              <w:t>&lt;0.001</w:t>
            </w:r>
          </w:p>
        </w:tc>
        <w:tc>
          <w:tcPr>
            <w:tcW w:w="1267" w:type="pct"/>
          </w:tcPr>
          <w:p w14:paraId="66F34975"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Control &gt; SCI (p &lt; 0.001); Control &gt; MCI (p = 0.001)</w:t>
            </w:r>
          </w:p>
        </w:tc>
      </w:tr>
      <w:tr w:rsidR="009E3412" w:rsidRPr="009E3412" w14:paraId="2B00924C"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6658AA6C"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AST (µL)</w:t>
            </w:r>
          </w:p>
        </w:tc>
        <w:tc>
          <w:tcPr>
            <w:tcW w:w="703" w:type="pct"/>
          </w:tcPr>
          <w:p w14:paraId="728EF0F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21.7 (3.9)</w:t>
            </w:r>
          </w:p>
        </w:tc>
        <w:tc>
          <w:tcPr>
            <w:tcW w:w="633" w:type="pct"/>
          </w:tcPr>
          <w:p w14:paraId="70BFE822"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20.6 (5.9)</w:t>
            </w:r>
          </w:p>
        </w:tc>
        <w:tc>
          <w:tcPr>
            <w:tcW w:w="633" w:type="pct"/>
          </w:tcPr>
          <w:p w14:paraId="0D395279"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24.0 (13.1)</w:t>
            </w:r>
          </w:p>
        </w:tc>
        <w:tc>
          <w:tcPr>
            <w:tcW w:w="423" w:type="pct"/>
          </w:tcPr>
          <w:p w14:paraId="6B1D91A5"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0.141</w:t>
            </w:r>
          </w:p>
        </w:tc>
        <w:tc>
          <w:tcPr>
            <w:tcW w:w="1267" w:type="pct"/>
          </w:tcPr>
          <w:p w14:paraId="68694ECA"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06687840"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4FF92B33"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ALT (µL)</w:t>
            </w:r>
          </w:p>
        </w:tc>
        <w:tc>
          <w:tcPr>
            <w:tcW w:w="703" w:type="pct"/>
          </w:tcPr>
          <w:p w14:paraId="24FB2935"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16.9 (5.4)</w:t>
            </w:r>
          </w:p>
        </w:tc>
        <w:tc>
          <w:tcPr>
            <w:tcW w:w="633" w:type="pct"/>
          </w:tcPr>
          <w:p w14:paraId="52689C63"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16.7 (9.0)</w:t>
            </w:r>
          </w:p>
        </w:tc>
        <w:tc>
          <w:tcPr>
            <w:tcW w:w="633" w:type="pct"/>
          </w:tcPr>
          <w:p w14:paraId="12445C68"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18.3 (11.3)</w:t>
            </w:r>
          </w:p>
        </w:tc>
        <w:tc>
          <w:tcPr>
            <w:tcW w:w="423" w:type="pct"/>
          </w:tcPr>
          <w:p w14:paraId="6399BE79"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0.621</w:t>
            </w:r>
          </w:p>
        </w:tc>
        <w:tc>
          <w:tcPr>
            <w:tcW w:w="1267" w:type="pct"/>
          </w:tcPr>
          <w:p w14:paraId="1C2D06B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4C4A4351"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70D9DED4"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AST/ALT</w:t>
            </w:r>
          </w:p>
        </w:tc>
        <w:tc>
          <w:tcPr>
            <w:tcW w:w="703" w:type="pct"/>
          </w:tcPr>
          <w:p w14:paraId="714651F7"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1.4 (0.3)</w:t>
            </w:r>
          </w:p>
        </w:tc>
        <w:tc>
          <w:tcPr>
            <w:tcW w:w="633" w:type="pct"/>
          </w:tcPr>
          <w:p w14:paraId="31C360C0"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1.4 (0.4)</w:t>
            </w:r>
          </w:p>
        </w:tc>
        <w:tc>
          <w:tcPr>
            <w:tcW w:w="633" w:type="pct"/>
          </w:tcPr>
          <w:p w14:paraId="2F636E82"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1.4 (0.4)</w:t>
            </w:r>
          </w:p>
        </w:tc>
        <w:tc>
          <w:tcPr>
            <w:tcW w:w="423" w:type="pct"/>
          </w:tcPr>
          <w:p w14:paraId="1493330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0.548</w:t>
            </w:r>
          </w:p>
        </w:tc>
        <w:tc>
          <w:tcPr>
            <w:tcW w:w="1267" w:type="pct"/>
          </w:tcPr>
          <w:p w14:paraId="6E18E65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077BAF60"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580569D8"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Fasting Glucose (mmol/L)</w:t>
            </w:r>
          </w:p>
        </w:tc>
        <w:tc>
          <w:tcPr>
            <w:tcW w:w="703" w:type="pct"/>
          </w:tcPr>
          <w:p w14:paraId="62BA6121"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4.8 (0.4)</w:t>
            </w:r>
          </w:p>
        </w:tc>
        <w:tc>
          <w:tcPr>
            <w:tcW w:w="633" w:type="pct"/>
          </w:tcPr>
          <w:p w14:paraId="232D0AC7"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5.0 (0.5)</w:t>
            </w:r>
          </w:p>
        </w:tc>
        <w:tc>
          <w:tcPr>
            <w:tcW w:w="633" w:type="pct"/>
          </w:tcPr>
          <w:p w14:paraId="12033B54"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5.3 (1.0)</w:t>
            </w:r>
          </w:p>
        </w:tc>
        <w:tc>
          <w:tcPr>
            <w:tcW w:w="423" w:type="pct"/>
          </w:tcPr>
          <w:p w14:paraId="2107C07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E3412">
              <w:rPr>
                <w:rFonts w:ascii="Times New Roman" w:eastAsia="Times New Roman" w:hAnsi="Times New Roman" w:cs="Times New Roman"/>
                <w:b/>
                <w:bCs/>
              </w:rPr>
              <w:t>&lt;0.001</w:t>
            </w:r>
          </w:p>
        </w:tc>
        <w:tc>
          <w:tcPr>
            <w:tcW w:w="1267" w:type="pct"/>
          </w:tcPr>
          <w:p w14:paraId="41702D03"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Control &lt; MCI (p&lt; 0.001)</w:t>
            </w:r>
          </w:p>
        </w:tc>
      </w:tr>
      <w:tr w:rsidR="009E3412" w:rsidRPr="009E3412" w14:paraId="26005851"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2F039CD7"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Triglyceride (mmol/L)</w:t>
            </w:r>
          </w:p>
        </w:tc>
        <w:tc>
          <w:tcPr>
            <w:tcW w:w="703" w:type="pct"/>
          </w:tcPr>
          <w:p w14:paraId="38A4A8F7"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1.1 (0.5)</w:t>
            </w:r>
          </w:p>
        </w:tc>
        <w:tc>
          <w:tcPr>
            <w:tcW w:w="633" w:type="pct"/>
          </w:tcPr>
          <w:p w14:paraId="1FF2E2C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1.1 (0.4)</w:t>
            </w:r>
          </w:p>
        </w:tc>
        <w:tc>
          <w:tcPr>
            <w:tcW w:w="633" w:type="pct"/>
          </w:tcPr>
          <w:p w14:paraId="43F3887F"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1.2 (0.5)</w:t>
            </w:r>
          </w:p>
        </w:tc>
        <w:tc>
          <w:tcPr>
            <w:tcW w:w="423" w:type="pct"/>
          </w:tcPr>
          <w:p w14:paraId="70C8488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0.368</w:t>
            </w:r>
          </w:p>
        </w:tc>
        <w:tc>
          <w:tcPr>
            <w:tcW w:w="1267" w:type="pct"/>
          </w:tcPr>
          <w:p w14:paraId="4E942FF3"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27781AE1"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7648E980"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Cholesterol (mmol/L)</w:t>
            </w:r>
          </w:p>
        </w:tc>
        <w:tc>
          <w:tcPr>
            <w:tcW w:w="703" w:type="pct"/>
          </w:tcPr>
          <w:p w14:paraId="6632B7A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5.6 (1.1)</w:t>
            </w:r>
          </w:p>
        </w:tc>
        <w:tc>
          <w:tcPr>
            <w:tcW w:w="633" w:type="pct"/>
          </w:tcPr>
          <w:p w14:paraId="42BD6281"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5.2 (1.1)</w:t>
            </w:r>
          </w:p>
        </w:tc>
        <w:tc>
          <w:tcPr>
            <w:tcW w:w="633" w:type="pct"/>
          </w:tcPr>
          <w:p w14:paraId="7678D5F6"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5.2 (1.0)</w:t>
            </w:r>
          </w:p>
        </w:tc>
        <w:tc>
          <w:tcPr>
            <w:tcW w:w="423" w:type="pct"/>
          </w:tcPr>
          <w:p w14:paraId="14B53C2D"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0.174</w:t>
            </w:r>
          </w:p>
        </w:tc>
        <w:tc>
          <w:tcPr>
            <w:tcW w:w="1267" w:type="pct"/>
          </w:tcPr>
          <w:p w14:paraId="07D23CE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27BA38C1"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45ABE7DB" w14:textId="77777777" w:rsidR="00A644EC" w:rsidRPr="009E3412" w:rsidRDefault="00A644EC" w:rsidP="0063599C">
            <w:pPr>
              <w:rPr>
                <w:rFonts w:ascii="Times New Roman" w:hAnsi="Times New Roman" w:cs="Times New Roman"/>
                <w:b w:val="0"/>
                <w:bCs/>
              </w:rPr>
            </w:pPr>
            <w:r w:rsidRPr="009E3412">
              <w:rPr>
                <w:rFonts w:ascii="Times New Roman" w:hAnsi="Times New Roman" w:cs="Times New Roman"/>
                <w:b w:val="0"/>
                <w:bCs/>
              </w:rPr>
              <w:t>HDL Cholesterol (mmol/L)</w:t>
            </w:r>
          </w:p>
        </w:tc>
        <w:tc>
          <w:tcPr>
            <w:tcW w:w="703" w:type="pct"/>
          </w:tcPr>
          <w:p w14:paraId="6EEA8649"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1.6 (0.4)</w:t>
            </w:r>
          </w:p>
        </w:tc>
        <w:tc>
          <w:tcPr>
            <w:tcW w:w="633" w:type="pct"/>
          </w:tcPr>
          <w:p w14:paraId="362E9488"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1.5 (0.5)</w:t>
            </w:r>
          </w:p>
        </w:tc>
        <w:tc>
          <w:tcPr>
            <w:tcW w:w="633" w:type="pct"/>
          </w:tcPr>
          <w:p w14:paraId="3405028B"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412">
              <w:rPr>
                <w:rFonts w:ascii="Times New Roman" w:hAnsi="Times New Roman" w:cs="Times New Roman"/>
              </w:rPr>
              <w:t>1.5 (0.4)</w:t>
            </w:r>
          </w:p>
        </w:tc>
        <w:tc>
          <w:tcPr>
            <w:tcW w:w="423" w:type="pct"/>
          </w:tcPr>
          <w:p w14:paraId="3F3F5FDE"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0.297</w:t>
            </w:r>
          </w:p>
        </w:tc>
        <w:tc>
          <w:tcPr>
            <w:tcW w:w="1267" w:type="pct"/>
          </w:tcPr>
          <w:p w14:paraId="7D4DAB86"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r w:rsidR="009E3412" w:rsidRPr="009E3412" w14:paraId="443414F2" w14:textId="77777777" w:rsidTr="0063599C">
        <w:tc>
          <w:tcPr>
            <w:cnfStyle w:val="001000000000" w:firstRow="0" w:lastRow="0" w:firstColumn="1" w:lastColumn="0" w:oddVBand="0" w:evenVBand="0" w:oddHBand="0" w:evenHBand="0" w:firstRowFirstColumn="0" w:firstRowLastColumn="0" w:lastRowFirstColumn="0" w:lastRowLastColumn="0"/>
            <w:tcW w:w="1341" w:type="pct"/>
          </w:tcPr>
          <w:p w14:paraId="2E200E5E" w14:textId="77777777" w:rsidR="00A644EC" w:rsidRPr="009E3412" w:rsidRDefault="00A644EC" w:rsidP="0063599C">
            <w:pPr>
              <w:rPr>
                <w:rFonts w:ascii="Times New Roman" w:eastAsia="Times New Roman" w:hAnsi="Times New Roman" w:cs="Times New Roman"/>
                <w:b w:val="0"/>
                <w:bCs/>
                <w:kern w:val="24"/>
              </w:rPr>
            </w:pPr>
            <w:r w:rsidRPr="009E3412">
              <w:rPr>
                <w:rFonts w:ascii="Times New Roman" w:hAnsi="Times New Roman" w:cs="Times New Roman"/>
                <w:b w:val="0"/>
                <w:bCs/>
              </w:rPr>
              <w:t>LDL Cholesterol (mmol/L)</w:t>
            </w:r>
          </w:p>
        </w:tc>
        <w:tc>
          <w:tcPr>
            <w:tcW w:w="703" w:type="pct"/>
          </w:tcPr>
          <w:p w14:paraId="1ED40637"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3.4 (0.1)</w:t>
            </w:r>
          </w:p>
        </w:tc>
        <w:tc>
          <w:tcPr>
            <w:tcW w:w="633" w:type="pct"/>
          </w:tcPr>
          <w:p w14:paraId="46FF2C32"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3.2 (0.9)</w:t>
            </w:r>
          </w:p>
        </w:tc>
        <w:tc>
          <w:tcPr>
            <w:tcW w:w="633" w:type="pct"/>
          </w:tcPr>
          <w:p w14:paraId="464F4731"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hAnsi="Times New Roman" w:cs="Times New Roman"/>
              </w:rPr>
              <w:t>3.1 (0.8)</w:t>
            </w:r>
          </w:p>
        </w:tc>
        <w:tc>
          <w:tcPr>
            <w:tcW w:w="423" w:type="pct"/>
          </w:tcPr>
          <w:p w14:paraId="6A6AF226"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rPr>
            </w:pPr>
            <w:r w:rsidRPr="009E3412">
              <w:rPr>
                <w:rFonts w:ascii="Times New Roman" w:eastAsia="Times New Roman" w:hAnsi="Times New Roman" w:cs="Times New Roman"/>
              </w:rPr>
              <w:t>0.182</w:t>
            </w:r>
          </w:p>
        </w:tc>
        <w:tc>
          <w:tcPr>
            <w:tcW w:w="1267" w:type="pct"/>
          </w:tcPr>
          <w:p w14:paraId="23D8835C" w14:textId="77777777" w:rsidR="00A644EC" w:rsidRPr="009E3412" w:rsidRDefault="00A644EC" w:rsidP="00635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3412">
              <w:rPr>
                <w:rFonts w:ascii="Times New Roman" w:eastAsia="Times New Roman" w:hAnsi="Times New Roman" w:cs="Times New Roman"/>
              </w:rPr>
              <w:t>-</w:t>
            </w:r>
          </w:p>
        </w:tc>
      </w:tr>
    </w:tbl>
    <w:p w14:paraId="27B4B684" w14:textId="77777777" w:rsidR="00F53345" w:rsidRPr="009E3412" w:rsidRDefault="00F53345" w:rsidP="00442441">
      <w:pPr>
        <w:spacing w:after="0" w:line="240" w:lineRule="auto"/>
        <w:jc w:val="both"/>
        <w:rPr>
          <w:rFonts w:ascii="Times New Roman" w:eastAsia="Times New Roman" w:hAnsi="Times New Roman" w:cs="Times New Roman"/>
          <w:kern w:val="24"/>
        </w:rPr>
      </w:pPr>
    </w:p>
    <w:p w14:paraId="01133ABC" w14:textId="77777777" w:rsidR="00FB3471" w:rsidRPr="009E3412" w:rsidRDefault="00FB3471" w:rsidP="004B0E44">
      <w:pPr>
        <w:pStyle w:val="NoSpacing"/>
        <w:sectPr w:rsidR="00FB3471" w:rsidRPr="009E3412" w:rsidSect="001B1503">
          <w:pgSz w:w="11906" w:h="16838" w:code="9"/>
          <w:pgMar w:top="1440" w:right="1440" w:bottom="1440" w:left="1440" w:header="708" w:footer="708" w:gutter="0"/>
          <w:lnNumType w:countBy="1" w:restart="continuous"/>
          <w:pgNumType w:start="1"/>
          <w:cols w:space="720"/>
          <w:docGrid w:linePitch="299"/>
        </w:sectPr>
      </w:pPr>
    </w:p>
    <w:p w14:paraId="5E6C7B75" w14:textId="5B0C5CBF" w:rsidR="00FB3471" w:rsidRPr="009E3412" w:rsidRDefault="00FB3471" w:rsidP="00FB3471">
      <w:pPr>
        <w:spacing w:after="0" w:line="240" w:lineRule="auto"/>
        <w:jc w:val="both"/>
        <w:rPr>
          <w:rFonts w:ascii="Times New Roman" w:eastAsia="Times New Roman" w:hAnsi="Times New Roman" w:cs="Times New Roman"/>
          <w:kern w:val="24"/>
        </w:rPr>
      </w:pPr>
      <w:r w:rsidRPr="009E3412">
        <w:rPr>
          <w:rFonts w:ascii="Times New Roman" w:eastAsia="Times New Roman" w:hAnsi="Times New Roman" w:cs="Times New Roman"/>
          <w:b/>
          <w:bCs/>
          <w:kern w:val="24"/>
        </w:rPr>
        <w:lastRenderedPageBreak/>
        <w:t xml:space="preserve">Table </w:t>
      </w:r>
      <w:r w:rsidRPr="009E3412">
        <w:rPr>
          <w:rFonts w:ascii="Times New Roman" w:eastAsia="Times New Roman" w:hAnsi="Times New Roman" w:cs="Times New Roman"/>
          <w:b/>
          <w:bCs/>
          <w:kern w:val="24"/>
        </w:rPr>
        <w:fldChar w:fldCharType="begin"/>
      </w:r>
      <w:r w:rsidRPr="009E3412">
        <w:rPr>
          <w:rFonts w:ascii="Times New Roman" w:eastAsia="Times New Roman" w:hAnsi="Times New Roman" w:cs="Times New Roman"/>
          <w:b/>
          <w:bCs/>
          <w:kern w:val="24"/>
        </w:rPr>
        <w:instrText xml:space="preserve"> SEQ Table \* ARABIC </w:instrText>
      </w:r>
      <w:r w:rsidRPr="009E3412">
        <w:rPr>
          <w:rFonts w:ascii="Times New Roman" w:eastAsia="Times New Roman" w:hAnsi="Times New Roman" w:cs="Times New Roman"/>
          <w:b/>
          <w:bCs/>
          <w:kern w:val="24"/>
        </w:rPr>
        <w:fldChar w:fldCharType="separate"/>
      </w:r>
      <w:r w:rsidRPr="009E3412">
        <w:rPr>
          <w:rFonts w:ascii="Times New Roman" w:eastAsia="Times New Roman" w:hAnsi="Times New Roman" w:cs="Times New Roman"/>
          <w:b/>
          <w:bCs/>
          <w:kern w:val="24"/>
        </w:rPr>
        <w:t>2</w:t>
      </w:r>
      <w:r w:rsidRPr="009E3412">
        <w:rPr>
          <w:rFonts w:ascii="Times New Roman" w:eastAsia="Times New Roman" w:hAnsi="Times New Roman" w:cs="Times New Roman"/>
          <w:b/>
          <w:bCs/>
          <w:kern w:val="24"/>
        </w:rPr>
        <w:fldChar w:fldCharType="end"/>
      </w:r>
      <w:r w:rsidRPr="009E3412">
        <w:rPr>
          <w:rFonts w:ascii="Times New Roman" w:eastAsia="Times New Roman" w:hAnsi="Times New Roman" w:cs="Times New Roman"/>
          <w:b/>
          <w:bCs/>
          <w:kern w:val="24"/>
        </w:rPr>
        <w:t>:</w:t>
      </w:r>
      <w:r w:rsidRPr="009E3412">
        <w:t xml:space="preserve"> </w:t>
      </w:r>
      <w:r w:rsidR="004706C7" w:rsidRPr="009E3412">
        <w:rPr>
          <w:rFonts w:ascii="Times New Roman" w:hAnsi="Times New Roman" w:cs="Times New Roman"/>
        </w:rPr>
        <w:t>M</w:t>
      </w:r>
      <w:r w:rsidRPr="009E3412">
        <w:rPr>
          <w:rFonts w:ascii="Times New Roman" w:eastAsia="Times New Roman" w:hAnsi="Times New Roman" w:cs="Times New Roman"/>
          <w:kern w:val="24"/>
        </w:rPr>
        <w:t xml:space="preserve">ultiple linear regression model (adjusted for age, BMI, </w:t>
      </w:r>
      <w:proofErr w:type="spellStart"/>
      <w:proofErr w:type="gramStart"/>
      <w:r w:rsidR="00EF3405" w:rsidRPr="009E3412">
        <w:rPr>
          <w:rFonts w:ascii="Times New Roman" w:eastAsia="Times New Roman" w:hAnsi="Times New Roman" w:cs="Times New Roman"/>
          <w:kern w:val="24"/>
        </w:rPr>
        <w:t>sex,</w:t>
      </w:r>
      <w:r w:rsidRPr="009E3412">
        <w:rPr>
          <w:rFonts w:ascii="Times New Roman" w:eastAsia="Times New Roman" w:hAnsi="Times New Roman" w:cs="Times New Roman"/>
          <w:kern w:val="24"/>
        </w:rPr>
        <w:t>liver</w:t>
      </w:r>
      <w:proofErr w:type="spellEnd"/>
      <w:proofErr w:type="gramEnd"/>
      <w:r w:rsidRPr="009E3412">
        <w:rPr>
          <w:rFonts w:ascii="Times New Roman" w:eastAsia="Times New Roman" w:hAnsi="Times New Roman" w:cs="Times New Roman"/>
          <w:kern w:val="24"/>
        </w:rPr>
        <w:t xml:space="preserve"> function (AST/ALT ratio), kidney function (creatinine)</w:t>
      </w:r>
      <w:r w:rsidR="00AD6445" w:rsidRPr="009E3412">
        <w:rPr>
          <w:rFonts w:ascii="Times New Roman" w:eastAsia="Times New Roman" w:hAnsi="Times New Roman" w:cs="Times New Roman"/>
          <w:kern w:val="24"/>
        </w:rPr>
        <w:t>, protein-bound transport (albumin),</w:t>
      </w:r>
      <w:r w:rsidRPr="009E3412">
        <w:rPr>
          <w:rFonts w:ascii="Times New Roman" w:eastAsia="Times New Roman" w:hAnsi="Times New Roman" w:cs="Times New Roman"/>
          <w:kern w:val="24"/>
        </w:rPr>
        <w:t xml:space="preserve"> and diet) showing metabolites significantly associated with early cognitive decline. Diet was analysed using hierarchical clustering, ‘Ward’ method, to group individuals with similar dietary patterns. This grouped participants into three dietary groups (low, moderate and high intake of dietary components (Kcal, carbohydrates, fats, protein, water, alcohol, minerals, vitamins). Healthy controls and diet group 2 (moderate intake) were used as reference groups in the model. Bold p-values represent </w:t>
      </w:r>
      <w:r w:rsidRPr="009E3412">
        <w:rPr>
          <w:rFonts w:ascii="Times New Roman" w:eastAsia="Times New Roman" w:hAnsi="Times New Roman" w:cs="Times New Roman"/>
          <w:i/>
          <w:iCs/>
          <w:kern w:val="24"/>
        </w:rPr>
        <w:t>p</w:t>
      </w:r>
      <w:r w:rsidRPr="009E3412">
        <w:rPr>
          <w:rFonts w:ascii="Times New Roman" w:eastAsia="Times New Roman" w:hAnsi="Times New Roman" w:cs="Times New Roman"/>
          <w:kern w:val="24"/>
        </w:rPr>
        <w:t>&lt;0.05</w:t>
      </w:r>
      <w:r w:rsidR="00C85893" w:rsidRPr="009E3412">
        <w:rPr>
          <w:rFonts w:ascii="Times New Roman" w:eastAsia="Times New Roman" w:hAnsi="Times New Roman" w:cs="Times New Roman"/>
          <w:kern w:val="24"/>
        </w:rPr>
        <w:t xml:space="preserve"> </w:t>
      </w:r>
      <w:r w:rsidR="00B73A50" w:rsidRPr="009E3412">
        <w:rPr>
          <w:rFonts w:ascii="Times New Roman" w:eastAsia="Times New Roman" w:hAnsi="Times New Roman" w:cs="Times New Roman"/>
          <w:kern w:val="24"/>
        </w:rPr>
        <w:t>within SCI and MCI</w:t>
      </w:r>
      <w:r w:rsidR="004706C7" w:rsidRPr="009E3412">
        <w:rPr>
          <w:rFonts w:ascii="Times New Roman" w:eastAsia="Times New Roman" w:hAnsi="Times New Roman" w:cs="Times New Roman"/>
          <w:kern w:val="24"/>
        </w:rPr>
        <w:t>.</w:t>
      </w:r>
    </w:p>
    <w:tbl>
      <w:tblPr>
        <w:tblpPr w:leftFromText="180" w:rightFromText="180" w:vertAnchor="text" w:horzAnchor="margin" w:tblpY="177"/>
        <w:tblOverlap w:val="never"/>
        <w:tblW w:w="5081" w:type="pct"/>
        <w:tblCellMar>
          <w:left w:w="0" w:type="dxa"/>
          <w:right w:w="0" w:type="dxa"/>
        </w:tblCellMar>
        <w:tblLook w:val="0420" w:firstRow="1" w:lastRow="0" w:firstColumn="0" w:lastColumn="0" w:noHBand="0" w:noVBand="1"/>
      </w:tblPr>
      <w:tblGrid>
        <w:gridCol w:w="1246"/>
        <w:gridCol w:w="745"/>
        <w:gridCol w:w="748"/>
        <w:gridCol w:w="578"/>
        <w:gridCol w:w="479"/>
        <w:gridCol w:w="847"/>
        <w:gridCol w:w="748"/>
        <w:gridCol w:w="578"/>
        <w:gridCol w:w="581"/>
        <w:gridCol w:w="748"/>
        <w:gridCol w:w="768"/>
        <w:gridCol w:w="499"/>
        <w:gridCol w:w="499"/>
        <w:gridCol w:w="748"/>
        <w:gridCol w:w="748"/>
        <w:gridCol w:w="479"/>
        <w:gridCol w:w="481"/>
        <w:gridCol w:w="748"/>
        <w:gridCol w:w="748"/>
        <w:gridCol w:w="589"/>
        <w:gridCol w:w="559"/>
      </w:tblGrid>
      <w:tr w:rsidR="009E3412" w:rsidRPr="009E3412" w14:paraId="26AE2714" w14:textId="77777777" w:rsidTr="00735FDF">
        <w:trPr>
          <w:trHeight w:val="101"/>
        </w:trPr>
        <w:tc>
          <w:tcPr>
            <w:tcW w:w="441" w:type="pct"/>
            <w:tcBorders>
              <w:top w:val="single" w:sz="8" w:space="0" w:color="000000"/>
              <w:left w:val="single" w:sz="8" w:space="0" w:color="000000"/>
              <w:bottom w:val="single" w:sz="8" w:space="0" w:color="FFFFFF"/>
              <w:right w:val="single" w:sz="8" w:space="0" w:color="000000"/>
            </w:tcBorders>
            <w:tcMar>
              <w:top w:w="72" w:type="dxa"/>
              <w:left w:w="144" w:type="dxa"/>
              <w:bottom w:w="72" w:type="dxa"/>
              <w:right w:w="144" w:type="dxa"/>
            </w:tcMar>
            <w:hideMark/>
          </w:tcPr>
          <w:p w14:paraId="30498076" w14:textId="77777777" w:rsidR="00735FDF" w:rsidRPr="009E3412" w:rsidRDefault="00735FDF" w:rsidP="00735FDF">
            <w:pPr>
              <w:spacing w:after="0" w:line="240" w:lineRule="auto"/>
              <w:rPr>
                <w:rFonts w:ascii="Times New Roman" w:eastAsia="Times New Roman" w:hAnsi="Times New Roman" w:cs="Times New Roman"/>
                <w:b/>
                <w:bCs/>
                <w:sz w:val="17"/>
                <w:szCs w:val="17"/>
              </w:rPr>
            </w:pPr>
          </w:p>
        </w:tc>
        <w:tc>
          <w:tcPr>
            <w:tcW w:w="4559" w:type="pct"/>
            <w:gridSpan w:val="20"/>
            <w:tcBorders>
              <w:top w:val="single" w:sz="8" w:space="0" w:color="000000"/>
              <w:left w:val="single" w:sz="8" w:space="0" w:color="000000"/>
              <w:bottom w:val="single" w:sz="8" w:space="0" w:color="000000"/>
              <w:right w:val="single" w:sz="8" w:space="0" w:color="000000"/>
            </w:tcBorders>
          </w:tcPr>
          <w:p w14:paraId="0ED1EE43"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eastAsia="Times New Roman" w:hAnsi="Times New Roman" w:cs="Times New Roman"/>
                <w:b/>
                <w:bCs/>
                <w:kern w:val="24"/>
                <w:sz w:val="17"/>
                <w:szCs w:val="17"/>
              </w:rPr>
              <w:t>Metabolite</w:t>
            </w:r>
          </w:p>
        </w:tc>
      </w:tr>
      <w:tr w:rsidR="009E3412" w:rsidRPr="009E3412" w14:paraId="478B1216" w14:textId="77777777" w:rsidTr="00735FDF">
        <w:trPr>
          <w:trHeight w:val="364"/>
        </w:trPr>
        <w:tc>
          <w:tcPr>
            <w:tcW w:w="441" w:type="pct"/>
            <w:vMerge w:val="restart"/>
            <w:tcBorders>
              <w:top w:val="single" w:sz="8" w:space="0" w:color="FFFFFF"/>
              <w:left w:val="single" w:sz="8" w:space="0" w:color="000000"/>
              <w:right w:val="single" w:sz="8" w:space="0" w:color="000000"/>
            </w:tcBorders>
            <w:tcMar>
              <w:top w:w="72" w:type="dxa"/>
              <w:left w:w="144" w:type="dxa"/>
              <w:bottom w:w="72" w:type="dxa"/>
              <w:right w:w="144" w:type="dxa"/>
            </w:tcMar>
            <w:hideMark/>
          </w:tcPr>
          <w:p w14:paraId="021E0096"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Explanatory Variable</w:t>
            </w:r>
          </w:p>
        </w:tc>
        <w:tc>
          <w:tcPr>
            <w:tcW w:w="903"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09378F"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eastAsia="Times New Roman" w:hAnsi="Times New Roman" w:cs="Times New Roman"/>
                <w:b/>
                <w:bCs/>
                <w:kern w:val="24"/>
                <w:sz w:val="17"/>
                <w:szCs w:val="17"/>
              </w:rPr>
              <w:t xml:space="preserve">Indoxyl </w:t>
            </w:r>
            <w:proofErr w:type="spellStart"/>
            <w:r w:rsidRPr="009E3412">
              <w:rPr>
                <w:rFonts w:ascii="Times New Roman" w:eastAsia="Times New Roman" w:hAnsi="Times New Roman" w:cs="Times New Roman"/>
                <w:b/>
                <w:bCs/>
                <w:kern w:val="24"/>
                <w:sz w:val="17"/>
                <w:szCs w:val="17"/>
              </w:rPr>
              <w:t>Sulfate</w:t>
            </w:r>
            <w:proofErr w:type="spellEnd"/>
          </w:p>
        </w:tc>
        <w:tc>
          <w:tcPr>
            <w:tcW w:w="97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A54438"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eastAsia="Times New Roman" w:hAnsi="Times New Roman" w:cs="Times New Roman"/>
                <w:b/>
                <w:bCs/>
                <w:kern w:val="24"/>
                <w:sz w:val="17"/>
                <w:szCs w:val="17"/>
              </w:rPr>
              <w:t>Choline</w:t>
            </w:r>
          </w:p>
        </w:tc>
        <w:tc>
          <w:tcPr>
            <w:tcW w:w="871"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36C599"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eastAsia="Times New Roman" w:hAnsi="Times New Roman" w:cs="Times New Roman"/>
                <w:b/>
                <w:bCs/>
                <w:kern w:val="24"/>
                <w:sz w:val="17"/>
                <w:szCs w:val="17"/>
              </w:rPr>
              <w:t>5-Hydroxyindole Acetic Acid</w:t>
            </w:r>
          </w:p>
        </w:tc>
        <w:tc>
          <w:tcPr>
            <w:tcW w:w="871"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4773B2"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eastAsia="Times New Roman" w:hAnsi="Times New Roman" w:cs="Times New Roman"/>
                <w:b/>
                <w:bCs/>
                <w:kern w:val="24"/>
                <w:sz w:val="17"/>
                <w:szCs w:val="17"/>
              </w:rPr>
              <w:t>Indole Propionic Acid</w:t>
            </w:r>
          </w:p>
        </w:tc>
        <w:tc>
          <w:tcPr>
            <w:tcW w:w="937"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2E554B"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eastAsia="Times New Roman" w:hAnsi="Times New Roman" w:cs="Times New Roman"/>
                <w:b/>
                <w:bCs/>
                <w:kern w:val="24"/>
                <w:sz w:val="17"/>
                <w:szCs w:val="17"/>
              </w:rPr>
              <w:t>Kynurenic Acid</w:t>
            </w:r>
          </w:p>
        </w:tc>
      </w:tr>
      <w:tr w:rsidR="009E3412" w:rsidRPr="009E3412" w14:paraId="1D19A83B" w14:textId="77777777" w:rsidTr="00735FDF">
        <w:trPr>
          <w:trHeight w:val="347"/>
        </w:trPr>
        <w:tc>
          <w:tcPr>
            <w:tcW w:w="441" w:type="pct"/>
            <w:vMerge/>
            <w:tcBorders>
              <w:left w:val="single" w:sz="8" w:space="0" w:color="000000"/>
              <w:right w:val="single" w:sz="8" w:space="0" w:color="000000"/>
            </w:tcBorders>
            <w:vAlign w:val="center"/>
            <w:hideMark/>
          </w:tcPr>
          <w:p w14:paraId="3D41A8F0" w14:textId="77777777" w:rsidR="00735FDF" w:rsidRPr="009E3412" w:rsidRDefault="00735FDF" w:rsidP="00735FDF">
            <w:pPr>
              <w:spacing w:after="0" w:line="240" w:lineRule="auto"/>
              <w:rPr>
                <w:rFonts w:ascii="Times New Roman" w:eastAsia="Times New Roman" w:hAnsi="Times New Roman" w:cs="Times New Roman"/>
                <w:b/>
                <w:bCs/>
                <w:sz w:val="17"/>
                <w:szCs w:val="17"/>
              </w:rPr>
            </w:pPr>
          </w:p>
        </w:tc>
        <w:tc>
          <w:tcPr>
            <w:tcW w:w="264" w:type="pct"/>
            <w:vMerge w:val="restart"/>
            <w:tcBorders>
              <w:top w:val="single" w:sz="8" w:space="0" w:color="000000"/>
              <w:left w:val="single" w:sz="8" w:space="0" w:color="000000"/>
              <w:right w:val="single" w:sz="8" w:space="0" w:color="FFFFFF"/>
            </w:tcBorders>
            <w:tcMar>
              <w:top w:w="72" w:type="dxa"/>
              <w:left w:w="144" w:type="dxa"/>
              <w:bottom w:w="72" w:type="dxa"/>
              <w:right w:w="144" w:type="dxa"/>
            </w:tcMar>
            <w:hideMark/>
          </w:tcPr>
          <w:p w14:paraId="1AFADBF4"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Beta</w:t>
            </w:r>
          </w:p>
        </w:tc>
        <w:tc>
          <w:tcPr>
            <w:tcW w:w="265" w:type="pct"/>
            <w:vMerge w:val="restart"/>
            <w:tcBorders>
              <w:top w:val="single" w:sz="8" w:space="0" w:color="000000"/>
              <w:left w:val="single" w:sz="8" w:space="0" w:color="FFFFFF"/>
              <w:right w:val="single" w:sz="8" w:space="0" w:color="000000"/>
            </w:tcBorders>
            <w:tcMar>
              <w:top w:w="72" w:type="dxa"/>
              <w:left w:w="144" w:type="dxa"/>
              <w:bottom w:w="72" w:type="dxa"/>
              <w:right w:w="144" w:type="dxa"/>
            </w:tcMar>
            <w:hideMark/>
          </w:tcPr>
          <w:p w14:paraId="24D4CE2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P-value</w:t>
            </w:r>
          </w:p>
        </w:tc>
        <w:tc>
          <w:tcPr>
            <w:tcW w:w="375" w:type="pct"/>
            <w:gridSpan w:val="2"/>
            <w:tcBorders>
              <w:top w:val="single" w:sz="8" w:space="0" w:color="000000"/>
              <w:left w:val="single" w:sz="8" w:space="0" w:color="000000"/>
              <w:bottom w:val="single" w:sz="4" w:space="0" w:color="auto"/>
              <w:right w:val="single" w:sz="8" w:space="0" w:color="FFFFFF"/>
            </w:tcBorders>
          </w:tcPr>
          <w:p w14:paraId="12F6401C"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95% CI</w:t>
            </w:r>
          </w:p>
          <w:p w14:paraId="0C0628A6"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300" w:type="pct"/>
            <w:vMerge w:val="restart"/>
            <w:tcBorders>
              <w:top w:val="single" w:sz="8" w:space="0" w:color="000000"/>
              <w:left w:val="single" w:sz="8" w:space="0" w:color="000000"/>
              <w:right w:val="single" w:sz="8" w:space="0" w:color="FFFFFF"/>
            </w:tcBorders>
            <w:tcMar>
              <w:top w:w="72" w:type="dxa"/>
              <w:left w:w="144" w:type="dxa"/>
              <w:bottom w:w="72" w:type="dxa"/>
              <w:right w:w="144" w:type="dxa"/>
            </w:tcMar>
            <w:hideMark/>
          </w:tcPr>
          <w:p w14:paraId="63521DCD"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Beta</w:t>
            </w:r>
          </w:p>
        </w:tc>
        <w:tc>
          <w:tcPr>
            <w:tcW w:w="265" w:type="pct"/>
            <w:vMerge w:val="restart"/>
            <w:tcBorders>
              <w:top w:val="single" w:sz="8" w:space="0" w:color="000000"/>
              <w:left w:val="single" w:sz="8" w:space="0" w:color="FFFFFF"/>
              <w:right w:val="single" w:sz="8" w:space="0" w:color="000000"/>
            </w:tcBorders>
            <w:tcMar>
              <w:top w:w="72" w:type="dxa"/>
              <w:left w:w="144" w:type="dxa"/>
              <w:bottom w:w="72" w:type="dxa"/>
              <w:right w:w="144" w:type="dxa"/>
            </w:tcMar>
            <w:hideMark/>
          </w:tcPr>
          <w:p w14:paraId="604E35D6"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P-value</w:t>
            </w:r>
          </w:p>
        </w:tc>
        <w:tc>
          <w:tcPr>
            <w:tcW w:w="411" w:type="pct"/>
            <w:gridSpan w:val="2"/>
            <w:tcBorders>
              <w:top w:val="single" w:sz="8" w:space="0" w:color="000000"/>
              <w:left w:val="single" w:sz="8" w:space="0" w:color="000000"/>
              <w:right w:val="single" w:sz="8" w:space="0" w:color="FFFFFF"/>
            </w:tcBorders>
          </w:tcPr>
          <w:p w14:paraId="33742FF4"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95% CI</w:t>
            </w:r>
          </w:p>
        </w:tc>
        <w:tc>
          <w:tcPr>
            <w:tcW w:w="265" w:type="pct"/>
            <w:vMerge w:val="restart"/>
            <w:tcBorders>
              <w:top w:val="single" w:sz="8" w:space="0" w:color="000000"/>
              <w:left w:val="single" w:sz="8" w:space="0" w:color="000000"/>
              <w:right w:val="single" w:sz="8" w:space="0" w:color="FFFFFF"/>
            </w:tcBorders>
            <w:tcMar>
              <w:top w:w="72" w:type="dxa"/>
              <w:left w:w="144" w:type="dxa"/>
              <w:bottom w:w="72" w:type="dxa"/>
              <w:right w:w="144" w:type="dxa"/>
            </w:tcMar>
            <w:hideMark/>
          </w:tcPr>
          <w:p w14:paraId="0B607BF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Beta</w:t>
            </w:r>
          </w:p>
        </w:tc>
        <w:tc>
          <w:tcPr>
            <w:tcW w:w="265" w:type="pct"/>
            <w:vMerge w:val="restart"/>
            <w:tcBorders>
              <w:top w:val="single" w:sz="8" w:space="0" w:color="000000"/>
              <w:left w:val="single" w:sz="8" w:space="0" w:color="FFFFFF"/>
              <w:right w:val="single" w:sz="8" w:space="0" w:color="000000"/>
            </w:tcBorders>
            <w:tcMar>
              <w:top w:w="72" w:type="dxa"/>
              <w:left w:w="144" w:type="dxa"/>
              <w:bottom w:w="72" w:type="dxa"/>
              <w:right w:w="144" w:type="dxa"/>
            </w:tcMar>
            <w:hideMark/>
          </w:tcPr>
          <w:p w14:paraId="0F812BF2"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P-value</w:t>
            </w:r>
          </w:p>
        </w:tc>
        <w:tc>
          <w:tcPr>
            <w:tcW w:w="341" w:type="pct"/>
            <w:gridSpan w:val="2"/>
            <w:tcBorders>
              <w:top w:val="single" w:sz="8" w:space="0" w:color="000000"/>
              <w:left w:val="single" w:sz="8" w:space="0" w:color="000000"/>
              <w:right w:val="single" w:sz="8" w:space="0" w:color="000000"/>
            </w:tcBorders>
          </w:tcPr>
          <w:p w14:paraId="697F9BA2"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95% CI</w:t>
            </w:r>
          </w:p>
        </w:tc>
        <w:tc>
          <w:tcPr>
            <w:tcW w:w="265" w:type="pct"/>
            <w:vMerge w:val="restart"/>
            <w:tcBorders>
              <w:top w:val="single" w:sz="8" w:space="0" w:color="000000"/>
              <w:left w:val="single" w:sz="8" w:space="0" w:color="000000"/>
              <w:right w:val="single" w:sz="8" w:space="0" w:color="FFFFFF"/>
            </w:tcBorders>
            <w:tcMar>
              <w:top w:w="72" w:type="dxa"/>
              <w:left w:w="144" w:type="dxa"/>
              <w:bottom w:w="72" w:type="dxa"/>
              <w:right w:w="144" w:type="dxa"/>
            </w:tcMar>
            <w:hideMark/>
          </w:tcPr>
          <w:p w14:paraId="5F8282F2"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Beta</w:t>
            </w:r>
          </w:p>
        </w:tc>
        <w:tc>
          <w:tcPr>
            <w:tcW w:w="265" w:type="pct"/>
            <w:vMerge w:val="restart"/>
            <w:tcBorders>
              <w:top w:val="single" w:sz="8" w:space="0" w:color="000000"/>
              <w:left w:val="single" w:sz="8" w:space="0" w:color="FFFFFF"/>
              <w:right w:val="single" w:sz="8" w:space="0" w:color="000000"/>
            </w:tcBorders>
            <w:tcMar>
              <w:top w:w="72" w:type="dxa"/>
              <w:left w:w="144" w:type="dxa"/>
              <w:bottom w:w="72" w:type="dxa"/>
              <w:right w:w="144" w:type="dxa"/>
            </w:tcMar>
            <w:hideMark/>
          </w:tcPr>
          <w:p w14:paraId="2CE669BD"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P-value</w:t>
            </w:r>
          </w:p>
        </w:tc>
        <w:tc>
          <w:tcPr>
            <w:tcW w:w="341" w:type="pct"/>
            <w:gridSpan w:val="2"/>
            <w:tcBorders>
              <w:top w:val="single" w:sz="8" w:space="0" w:color="000000"/>
              <w:left w:val="single" w:sz="8" w:space="0" w:color="000000"/>
              <w:bottom w:val="single" w:sz="8" w:space="0" w:color="auto"/>
              <w:right w:val="single" w:sz="8" w:space="0" w:color="000000"/>
            </w:tcBorders>
          </w:tcPr>
          <w:p w14:paraId="1E7339C0"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95% CI</w:t>
            </w:r>
          </w:p>
        </w:tc>
        <w:tc>
          <w:tcPr>
            <w:tcW w:w="265" w:type="pct"/>
            <w:vMerge w:val="restart"/>
            <w:tcBorders>
              <w:top w:val="single" w:sz="8" w:space="0" w:color="000000"/>
              <w:left w:val="single" w:sz="8" w:space="0" w:color="000000"/>
              <w:right w:val="single" w:sz="8" w:space="0" w:color="FFFFFF"/>
            </w:tcBorders>
            <w:tcMar>
              <w:top w:w="72" w:type="dxa"/>
              <w:left w:w="144" w:type="dxa"/>
              <w:bottom w:w="72" w:type="dxa"/>
              <w:right w:w="144" w:type="dxa"/>
            </w:tcMar>
            <w:hideMark/>
          </w:tcPr>
          <w:p w14:paraId="457B362B"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Beta</w:t>
            </w:r>
          </w:p>
        </w:tc>
        <w:tc>
          <w:tcPr>
            <w:tcW w:w="265" w:type="pct"/>
            <w:vMerge w:val="restart"/>
            <w:tcBorders>
              <w:top w:val="single" w:sz="8" w:space="0" w:color="000000"/>
              <w:left w:val="single" w:sz="8" w:space="0" w:color="FFFFFF"/>
              <w:right w:val="single" w:sz="8" w:space="0" w:color="000000"/>
            </w:tcBorders>
            <w:tcMar>
              <w:top w:w="72" w:type="dxa"/>
              <w:left w:w="144" w:type="dxa"/>
              <w:bottom w:w="72" w:type="dxa"/>
              <w:right w:w="144" w:type="dxa"/>
            </w:tcMar>
            <w:hideMark/>
          </w:tcPr>
          <w:p w14:paraId="22D9EB09"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eastAsia="Times New Roman" w:hAnsi="Times New Roman" w:cs="Times New Roman"/>
                <w:i/>
                <w:iCs/>
                <w:kern w:val="24"/>
                <w:sz w:val="17"/>
                <w:szCs w:val="17"/>
              </w:rPr>
              <w:t>P-value</w:t>
            </w:r>
          </w:p>
        </w:tc>
        <w:tc>
          <w:tcPr>
            <w:tcW w:w="407" w:type="pct"/>
            <w:gridSpan w:val="2"/>
            <w:tcBorders>
              <w:top w:val="single" w:sz="8" w:space="0" w:color="000000"/>
              <w:left w:val="single" w:sz="8" w:space="0" w:color="FFFFFF"/>
              <w:bottom w:val="single" w:sz="8" w:space="0" w:color="auto"/>
              <w:right w:val="single" w:sz="8" w:space="0" w:color="000000"/>
            </w:tcBorders>
          </w:tcPr>
          <w:p w14:paraId="1D1A82D3"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95% CI</w:t>
            </w:r>
          </w:p>
        </w:tc>
      </w:tr>
      <w:tr w:rsidR="009E3412" w:rsidRPr="009E3412" w14:paraId="1DEBB858" w14:textId="77777777" w:rsidTr="00735FDF">
        <w:trPr>
          <w:trHeight w:val="275"/>
        </w:trPr>
        <w:tc>
          <w:tcPr>
            <w:tcW w:w="441" w:type="pct"/>
            <w:vMerge/>
            <w:tcBorders>
              <w:left w:val="single" w:sz="8" w:space="0" w:color="000000"/>
              <w:bottom w:val="single" w:sz="8" w:space="0" w:color="000000"/>
              <w:right w:val="single" w:sz="8" w:space="0" w:color="000000"/>
            </w:tcBorders>
            <w:vAlign w:val="center"/>
          </w:tcPr>
          <w:p w14:paraId="7C578F29" w14:textId="77777777" w:rsidR="00735FDF" w:rsidRPr="009E3412" w:rsidRDefault="00735FDF" w:rsidP="00735FDF">
            <w:pPr>
              <w:spacing w:after="0" w:line="240" w:lineRule="auto"/>
              <w:rPr>
                <w:rFonts w:ascii="Times New Roman" w:eastAsia="Times New Roman" w:hAnsi="Times New Roman" w:cs="Times New Roman"/>
                <w:b/>
                <w:bCs/>
                <w:sz w:val="17"/>
                <w:szCs w:val="17"/>
              </w:rPr>
            </w:pPr>
          </w:p>
        </w:tc>
        <w:tc>
          <w:tcPr>
            <w:tcW w:w="264" w:type="pct"/>
            <w:vMerge/>
            <w:tcBorders>
              <w:left w:val="single" w:sz="8" w:space="0" w:color="000000"/>
              <w:bottom w:val="single" w:sz="8" w:space="0" w:color="000000"/>
              <w:right w:val="single" w:sz="8" w:space="0" w:color="FFFFFF"/>
            </w:tcBorders>
            <w:tcMar>
              <w:top w:w="72" w:type="dxa"/>
              <w:left w:w="144" w:type="dxa"/>
              <w:bottom w:w="72" w:type="dxa"/>
              <w:right w:w="144" w:type="dxa"/>
            </w:tcMar>
          </w:tcPr>
          <w:p w14:paraId="461C0CC8"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265" w:type="pct"/>
            <w:vMerge/>
            <w:tcBorders>
              <w:left w:val="single" w:sz="8" w:space="0" w:color="FFFFFF"/>
              <w:bottom w:val="single" w:sz="8" w:space="0" w:color="000000"/>
              <w:right w:val="single" w:sz="8" w:space="0" w:color="000000"/>
            </w:tcBorders>
            <w:tcMar>
              <w:top w:w="72" w:type="dxa"/>
              <w:left w:w="144" w:type="dxa"/>
              <w:bottom w:w="72" w:type="dxa"/>
              <w:right w:w="144" w:type="dxa"/>
            </w:tcMar>
          </w:tcPr>
          <w:p w14:paraId="3D233C48"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205" w:type="pct"/>
            <w:tcBorders>
              <w:top w:val="single" w:sz="8" w:space="0" w:color="auto"/>
              <w:left w:val="single" w:sz="8" w:space="0" w:color="000000"/>
              <w:bottom w:val="single" w:sz="8" w:space="0" w:color="000000"/>
              <w:right w:val="single" w:sz="8" w:space="0" w:color="FFFFFF"/>
            </w:tcBorders>
          </w:tcPr>
          <w:p w14:paraId="0BCC7804"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Low</w:t>
            </w:r>
          </w:p>
        </w:tc>
        <w:tc>
          <w:tcPr>
            <w:tcW w:w="170" w:type="pct"/>
            <w:tcBorders>
              <w:top w:val="single" w:sz="8" w:space="0" w:color="auto"/>
              <w:left w:val="single" w:sz="8" w:space="0" w:color="000000"/>
              <w:bottom w:val="single" w:sz="8" w:space="0" w:color="000000"/>
              <w:right w:val="single" w:sz="8" w:space="0" w:color="FFFFFF"/>
            </w:tcBorders>
          </w:tcPr>
          <w:p w14:paraId="3E24ED79"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High</w:t>
            </w:r>
          </w:p>
        </w:tc>
        <w:tc>
          <w:tcPr>
            <w:tcW w:w="300" w:type="pct"/>
            <w:vMerge/>
            <w:tcBorders>
              <w:left w:val="single" w:sz="8" w:space="0" w:color="000000"/>
              <w:bottom w:val="single" w:sz="8" w:space="0" w:color="000000"/>
              <w:right w:val="single" w:sz="8" w:space="0" w:color="FFFFFF"/>
            </w:tcBorders>
            <w:tcMar>
              <w:top w:w="72" w:type="dxa"/>
              <w:left w:w="144" w:type="dxa"/>
              <w:bottom w:w="72" w:type="dxa"/>
              <w:right w:w="144" w:type="dxa"/>
            </w:tcMar>
          </w:tcPr>
          <w:p w14:paraId="29B70164"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265" w:type="pct"/>
            <w:vMerge/>
            <w:tcBorders>
              <w:left w:val="single" w:sz="8" w:space="0" w:color="FFFFFF"/>
              <w:bottom w:val="single" w:sz="8" w:space="0" w:color="000000"/>
              <w:right w:val="single" w:sz="8" w:space="0" w:color="000000"/>
            </w:tcBorders>
            <w:tcMar>
              <w:top w:w="72" w:type="dxa"/>
              <w:left w:w="144" w:type="dxa"/>
              <w:bottom w:w="72" w:type="dxa"/>
              <w:right w:w="144" w:type="dxa"/>
            </w:tcMar>
          </w:tcPr>
          <w:p w14:paraId="6CBD2946"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205" w:type="pct"/>
            <w:tcBorders>
              <w:top w:val="single" w:sz="8" w:space="0" w:color="000000"/>
              <w:left w:val="single" w:sz="8" w:space="0" w:color="000000"/>
              <w:bottom w:val="single" w:sz="8" w:space="0" w:color="000000"/>
              <w:right w:val="single" w:sz="8" w:space="0" w:color="FFFFFF"/>
            </w:tcBorders>
          </w:tcPr>
          <w:p w14:paraId="2FE55B5E"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Low</w:t>
            </w:r>
          </w:p>
        </w:tc>
        <w:tc>
          <w:tcPr>
            <w:tcW w:w="206" w:type="pct"/>
            <w:tcBorders>
              <w:top w:val="single" w:sz="8" w:space="0" w:color="000000"/>
              <w:left w:val="single" w:sz="8" w:space="0" w:color="000000"/>
              <w:bottom w:val="single" w:sz="8" w:space="0" w:color="000000"/>
              <w:right w:val="single" w:sz="8" w:space="0" w:color="FFFFFF"/>
            </w:tcBorders>
          </w:tcPr>
          <w:p w14:paraId="0CEEDF39"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High</w:t>
            </w:r>
          </w:p>
        </w:tc>
        <w:tc>
          <w:tcPr>
            <w:tcW w:w="265" w:type="pct"/>
            <w:vMerge/>
            <w:tcBorders>
              <w:left w:val="single" w:sz="8" w:space="0" w:color="000000"/>
              <w:bottom w:val="single" w:sz="8" w:space="0" w:color="000000"/>
              <w:right w:val="single" w:sz="8" w:space="0" w:color="FFFFFF"/>
            </w:tcBorders>
            <w:tcMar>
              <w:top w:w="72" w:type="dxa"/>
              <w:left w:w="144" w:type="dxa"/>
              <w:bottom w:w="72" w:type="dxa"/>
              <w:right w:w="144" w:type="dxa"/>
            </w:tcMar>
          </w:tcPr>
          <w:p w14:paraId="42F6386B"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265" w:type="pct"/>
            <w:vMerge/>
            <w:tcBorders>
              <w:top w:val="single" w:sz="8" w:space="0" w:color="auto"/>
              <w:left w:val="single" w:sz="8" w:space="0" w:color="FFFFFF"/>
              <w:bottom w:val="single" w:sz="8" w:space="0" w:color="000000"/>
              <w:right w:val="single" w:sz="8" w:space="0" w:color="000000"/>
            </w:tcBorders>
            <w:tcMar>
              <w:top w:w="72" w:type="dxa"/>
              <w:left w:w="144" w:type="dxa"/>
              <w:bottom w:w="72" w:type="dxa"/>
              <w:right w:w="144" w:type="dxa"/>
            </w:tcMar>
          </w:tcPr>
          <w:p w14:paraId="7ADF28E0"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170" w:type="pct"/>
            <w:tcBorders>
              <w:top w:val="single" w:sz="8" w:space="0" w:color="auto"/>
              <w:left w:val="single" w:sz="8" w:space="0" w:color="000000"/>
              <w:bottom w:val="single" w:sz="8" w:space="0" w:color="000000"/>
              <w:right w:val="single" w:sz="8" w:space="0" w:color="000000"/>
            </w:tcBorders>
          </w:tcPr>
          <w:p w14:paraId="5E300891"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Low</w:t>
            </w:r>
          </w:p>
        </w:tc>
        <w:tc>
          <w:tcPr>
            <w:tcW w:w="171" w:type="pct"/>
            <w:tcBorders>
              <w:top w:val="single" w:sz="8" w:space="0" w:color="auto"/>
              <w:left w:val="single" w:sz="8" w:space="0" w:color="000000"/>
              <w:bottom w:val="single" w:sz="8" w:space="0" w:color="000000"/>
              <w:right w:val="single" w:sz="8" w:space="0" w:color="000000"/>
            </w:tcBorders>
          </w:tcPr>
          <w:p w14:paraId="73C591CB"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High</w:t>
            </w:r>
          </w:p>
        </w:tc>
        <w:tc>
          <w:tcPr>
            <w:tcW w:w="265" w:type="pct"/>
            <w:vMerge/>
            <w:tcBorders>
              <w:left w:val="single" w:sz="8" w:space="0" w:color="000000"/>
              <w:bottom w:val="single" w:sz="8" w:space="0" w:color="000000"/>
              <w:right w:val="single" w:sz="8" w:space="0" w:color="FFFFFF"/>
            </w:tcBorders>
            <w:tcMar>
              <w:top w:w="72" w:type="dxa"/>
              <w:left w:w="144" w:type="dxa"/>
              <w:bottom w:w="72" w:type="dxa"/>
              <w:right w:w="144" w:type="dxa"/>
            </w:tcMar>
          </w:tcPr>
          <w:p w14:paraId="7D7700E5"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265" w:type="pct"/>
            <w:vMerge/>
            <w:tcBorders>
              <w:left w:val="single" w:sz="8" w:space="0" w:color="FFFFFF"/>
              <w:bottom w:val="single" w:sz="8" w:space="0" w:color="000000"/>
              <w:right w:val="single" w:sz="8" w:space="0" w:color="000000"/>
            </w:tcBorders>
            <w:tcMar>
              <w:top w:w="72" w:type="dxa"/>
              <w:left w:w="144" w:type="dxa"/>
              <w:bottom w:w="72" w:type="dxa"/>
              <w:right w:w="144" w:type="dxa"/>
            </w:tcMar>
          </w:tcPr>
          <w:p w14:paraId="596A3D9D"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170" w:type="pct"/>
            <w:tcBorders>
              <w:top w:val="single" w:sz="8" w:space="0" w:color="auto"/>
              <w:left w:val="single" w:sz="8" w:space="0" w:color="000000"/>
              <w:bottom w:val="single" w:sz="8" w:space="0" w:color="000000"/>
              <w:right w:val="single" w:sz="8" w:space="0" w:color="000000"/>
            </w:tcBorders>
          </w:tcPr>
          <w:p w14:paraId="5BCA8394"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Low</w:t>
            </w:r>
          </w:p>
        </w:tc>
        <w:tc>
          <w:tcPr>
            <w:tcW w:w="171" w:type="pct"/>
            <w:tcBorders>
              <w:top w:val="single" w:sz="8" w:space="0" w:color="auto"/>
              <w:left w:val="single" w:sz="8" w:space="0" w:color="000000"/>
              <w:bottom w:val="single" w:sz="8" w:space="0" w:color="000000"/>
              <w:right w:val="single" w:sz="8" w:space="0" w:color="000000"/>
            </w:tcBorders>
          </w:tcPr>
          <w:p w14:paraId="0326B2EA"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High</w:t>
            </w:r>
          </w:p>
        </w:tc>
        <w:tc>
          <w:tcPr>
            <w:tcW w:w="265" w:type="pct"/>
            <w:vMerge/>
            <w:tcBorders>
              <w:left w:val="single" w:sz="8" w:space="0" w:color="000000"/>
              <w:bottom w:val="single" w:sz="8" w:space="0" w:color="000000"/>
              <w:right w:val="single" w:sz="8" w:space="0" w:color="FFFFFF"/>
            </w:tcBorders>
            <w:tcMar>
              <w:top w:w="72" w:type="dxa"/>
              <w:left w:w="144" w:type="dxa"/>
              <w:bottom w:w="72" w:type="dxa"/>
              <w:right w:w="144" w:type="dxa"/>
            </w:tcMar>
          </w:tcPr>
          <w:p w14:paraId="7EAA6EEE"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265" w:type="pct"/>
            <w:vMerge/>
            <w:tcBorders>
              <w:left w:val="single" w:sz="8" w:space="0" w:color="FFFFFF"/>
              <w:bottom w:val="single" w:sz="8" w:space="0" w:color="000000"/>
              <w:right w:val="single" w:sz="8" w:space="0" w:color="000000"/>
            </w:tcBorders>
            <w:tcMar>
              <w:top w:w="72" w:type="dxa"/>
              <w:left w:w="144" w:type="dxa"/>
              <w:bottom w:w="72" w:type="dxa"/>
              <w:right w:w="144" w:type="dxa"/>
            </w:tcMar>
          </w:tcPr>
          <w:p w14:paraId="6B6E9BF1"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p>
        </w:tc>
        <w:tc>
          <w:tcPr>
            <w:tcW w:w="209" w:type="pct"/>
            <w:tcBorders>
              <w:top w:val="single" w:sz="8" w:space="0" w:color="auto"/>
              <w:left w:val="single" w:sz="8" w:space="0" w:color="FFFFFF"/>
              <w:bottom w:val="single" w:sz="8" w:space="0" w:color="000000"/>
              <w:right w:val="single" w:sz="8" w:space="0" w:color="000000"/>
            </w:tcBorders>
          </w:tcPr>
          <w:p w14:paraId="0D616AA9"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Low</w:t>
            </w:r>
          </w:p>
        </w:tc>
        <w:tc>
          <w:tcPr>
            <w:tcW w:w="198" w:type="pct"/>
            <w:tcBorders>
              <w:top w:val="single" w:sz="8" w:space="0" w:color="auto"/>
              <w:left w:val="single" w:sz="8" w:space="0" w:color="FFFFFF"/>
              <w:bottom w:val="single" w:sz="8" w:space="0" w:color="000000"/>
              <w:right w:val="single" w:sz="8" w:space="0" w:color="000000"/>
            </w:tcBorders>
          </w:tcPr>
          <w:p w14:paraId="6D457D7B" w14:textId="77777777" w:rsidR="00735FDF" w:rsidRPr="009E3412" w:rsidRDefault="00735FDF" w:rsidP="00735FDF">
            <w:pPr>
              <w:spacing w:after="0" w:line="240" w:lineRule="auto"/>
              <w:jc w:val="center"/>
              <w:rPr>
                <w:rFonts w:ascii="Times New Roman" w:eastAsia="Times New Roman" w:hAnsi="Times New Roman" w:cs="Times New Roman"/>
                <w:i/>
                <w:iCs/>
                <w:kern w:val="24"/>
                <w:sz w:val="17"/>
                <w:szCs w:val="17"/>
              </w:rPr>
            </w:pPr>
            <w:r w:rsidRPr="009E3412">
              <w:rPr>
                <w:rFonts w:ascii="Times New Roman" w:eastAsia="Times New Roman" w:hAnsi="Times New Roman" w:cs="Times New Roman"/>
                <w:i/>
                <w:iCs/>
                <w:kern w:val="24"/>
                <w:sz w:val="17"/>
                <w:szCs w:val="17"/>
              </w:rPr>
              <w:t>High</w:t>
            </w:r>
          </w:p>
        </w:tc>
      </w:tr>
      <w:tr w:rsidR="009E3412" w:rsidRPr="009E3412" w14:paraId="62C6BE36" w14:textId="77777777" w:rsidTr="00735FDF">
        <w:trPr>
          <w:trHeight w:val="368"/>
        </w:trPr>
        <w:tc>
          <w:tcPr>
            <w:tcW w:w="441" w:type="pc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770BC7BB"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Constant</w:t>
            </w:r>
          </w:p>
        </w:tc>
        <w:tc>
          <w:tcPr>
            <w:tcW w:w="264" w:type="pct"/>
            <w:tcBorders>
              <w:top w:val="single" w:sz="8" w:space="0" w:color="000000"/>
              <w:left w:val="single" w:sz="8" w:space="0" w:color="000000"/>
              <w:right w:val="single" w:sz="8" w:space="0" w:color="FFFFFF"/>
            </w:tcBorders>
            <w:tcMar>
              <w:top w:w="72" w:type="dxa"/>
              <w:left w:w="144" w:type="dxa"/>
              <w:bottom w:w="72" w:type="dxa"/>
              <w:right w:w="144" w:type="dxa"/>
            </w:tcMar>
            <w:vAlign w:val="center"/>
          </w:tcPr>
          <w:p w14:paraId="19FA40E1"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-3.913</w:t>
            </w:r>
          </w:p>
        </w:tc>
        <w:tc>
          <w:tcPr>
            <w:tcW w:w="265" w:type="pct"/>
            <w:tcBorders>
              <w:top w:val="single" w:sz="8" w:space="0" w:color="000000"/>
              <w:left w:val="single" w:sz="8" w:space="0" w:color="FFFFFF"/>
              <w:right w:val="single" w:sz="8" w:space="0" w:color="000000"/>
            </w:tcBorders>
            <w:tcMar>
              <w:top w:w="72" w:type="dxa"/>
              <w:left w:w="144" w:type="dxa"/>
              <w:bottom w:w="72" w:type="dxa"/>
              <w:right w:w="144" w:type="dxa"/>
            </w:tcMar>
            <w:vAlign w:val="center"/>
          </w:tcPr>
          <w:p w14:paraId="3097B99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0.471</w:t>
            </w:r>
          </w:p>
        </w:tc>
        <w:tc>
          <w:tcPr>
            <w:tcW w:w="205" w:type="pct"/>
            <w:tcBorders>
              <w:top w:val="single" w:sz="8" w:space="0" w:color="000000"/>
              <w:left w:val="single" w:sz="8" w:space="0" w:color="000000"/>
              <w:right w:val="single" w:sz="8" w:space="0" w:color="000000"/>
            </w:tcBorders>
            <w:vAlign w:val="center"/>
          </w:tcPr>
          <w:p w14:paraId="47B815D2"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-14.617</w:t>
            </w:r>
          </w:p>
        </w:tc>
        <w:tc>
          <w:tcPr>
            <w:tcW w:w="170" w:type="pct"/>
            <w:tcBorders>
              <w:top w:val="single" w:sz="8" w:space="0" w:color="000000"/>
              <w:left w:val="single" w:sz="8" w:space="0" w:color="000000"/>
              <w:right w:val="single" w:sz="8" w:space="0" w:color="FFFFFF"/>
            </w:tcBorders>
            <w:vAlign w:val="center"/>
          </w:tcPr>
          <w:p w14:paraId="7C2A0110"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6.791</w:t>
            </w:r>
          </w:p>
        </w:tc>
        <w:tc>
          <w:tcPr>
            <w:tcW w:w="300" w:type="pct"/>
            <w:tcBorders>
              <w:top w:val="single" w:sz="8" w:space="0" w:color="000000"/>
              <w:left w:val="single" w:sz="8" w:space="0" w:color="000000"/>
              <w:right w:val="single" w:sz="8" w:space="0" w:color="FFFFFF"/>
            </w:tcBorders>
            <w:tcMar>
              <w:top w:w="72" w:type="dxa"/>
              <w:left w:w="144" w:type="dxa"/>
              <w:bottom w:w="72" w:type="dxa"/>
              <w:right w:w="144" w:type="dxa"/>
            </w:tcMar>
            <w:vAlign w:val="center"/>
          </w:tcPr>
          <w:p w14:paraId="7277B29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26.460</w:t>
            </w:r>
          </w:p>
        </w:tc>
        <w:tc>
          <w:tcPr>
            <w:tcW w:w="265" w:type="pct"/>
            <w:tcBorders>
              <w:top w:val="single" w:sz="8" w:space="0" w:color="000000"/>
              <w:left w:val="single" w:sz="8" w:space="0" w:color="FFFFFF"/>
              <w:right w:val="single" w:sz="8" w:space="0" w:color="000000"/>
            </w:tcBorders>
            <w:tcMar>
              <w:top w:w="72" w:type="dxa"/>
              <w:left w:w="144" w:type="dxa"/>
              <w:bottom w:w="72" w:type="dxa"/>
              <w:right w:w="144" w:type="dxa"/>
            </w:tcMar>
            <w:vAlign w:val="center"/>
          </w:tcPr>
          <w:p w14:paraId="750BBE72"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sz w:val="17"/>
                <w:szCs w:val="17"/>
              </w:rPr>
              <w:t>0.162</w:t>
            </w:r>
          </w:p>
        </w:tc>
        <w:tc>
          <w:tcPr>
            <w:tcW w:w="205" w:type="pct"/>
            <w:tcBorders>
              <w:top w:val="single" w:sz="8" w:space="0" w:color="000000"/>
              <w:left w:val="single" w:sz="8" w:space="0" w:color="000000"/>
              <w:right w:val="single" w:sz="8" w:space="0" w:color="000000"/>
            </w:tcBorders>
            <w:vAlign w:val="center"/>
          </w:tcPr>
          <w:p w14:paraId="5E960908"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-10.714</w:t>
            </w:r>
          </w:p>
        </w:tc>
        <w:tc>
          <w:tcPr>
            <w:tcW w:w="206" w:type="pct"/>
            <w:tcBorders>
              <w:top w:val="single" w:sz="8" w:space="0" w:color="000000"/>
              <w:left w:val="single" w:sz="8" w:space="0" w:color="000000"/>
              <w:right w:val="single" w:sz="8" w:space="0" w:color="FFFFFF"/>
            </w:tcBorders>
            <w:vAlign w:val="center"/>
          </w:tcPr>
          <w:p w14:paraId="3CE56E38"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63.635</w:t>
            </w:r>
          </w:p>
        </w:tc>
        <w:tc>
          <w:tcPr>
            <w:tcW w:w="265" w:type="pct"/>
            <w:tcBorders>
              <w:top w:val="single" w:sz="8" w:space="0" w:color="000000"/>
              <w:left w:val="single" w:sz="8" w:space="0" w:color="000000"/>
              <w:right w:val="single" w:sz="8" w:space="0" w:color="FFFFFF"/>
            </w:tcBorders>
            <w:tcMar>
              <w:top w:w="72" w:type="dxa"/>
              <w:left w:w="144" w:type="dxa"/>
              <w:bottom w:w="72" w:type="dxa"/>
              <w:right w:w="144" w:type="dxa"/>
            </w:tcMar>
            <w:vAlign w:val="center"/>
          </w:tcPr>
          <w:p w14:paraId="48C22CE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0.147</w:t>
            </w:r>
          </w:p>
        </w:tc>
        <w:tc>
          <w:tcPr>
            <w:tcW w:w="265" w:type="pct"/>
            <w:tcBorders>
              <w:top w:val="single" w:sz="8" w:space="0" w:color="000000"/>
              <w:left w:val="single" w:sz="8" w:space="0" w:color="FFFFFF"/>
              <w:right w:val="single" w:sz="8" w:space="0" w:color="000000"/>
            </w:tcBorders>
            <w:tcMar>
              <w:top w:w="72" w:type="dxa"/>
              <w:left w:w="144" w:type="dxa"/>
              <w:bottom w:w="72" w:type="dxa"/>
              <w:right w:w="144" w:type="dxa"/>
            </w:tcMar>
            <w:vAlign w:val="center"/>
          </w:tcPr>
          <w:p w14:paraId="5C41ED4A"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sz w:val="17"/>
                <w:szCs w:val="17"/>
              </w:rPr>
              <w:t>0.006</w:t>
            </w:r>
          </w:p>
        </w:tc>
        <w:tc>
          <w:tcPr>
            <w:tcW w:w="170" w:type="pct"/>
            <w:tcBorders>
              <w:top w:val="single" w:sz="8" w:space="0" w:color="000000"/>
              <w:left w:val="single" w:sz="8" w:space="0" w:color="000000"/>
              <w:right w:val="single" w:sz="8" w:space="0" w:color="000000"/>
            </w:tcBorders>
            <w:vAlign w:val="center"/>
          </w:tcPr>
          <w:p w14:paraId="68391961"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0.044</w:t>
            </w:r>
          </w:p>
        </w:tc>
        <w:tc>
          <w:tcPr>
            <w:tcW w:w="171" w:type="pct"/>
            <w:tcBorders>
              <w:top w:val="single" w:sz="8" w:space="0" w:color="000000"/>
              <w:left w:val="single" w:sz="8" w:space="0" w:color="000000"/>
              <w:right w:val="single" w:sz="8" w:space="0" w:color="000000"/>
            </w:tcBorders>
            <w:vAlign w:val="center"/>
          </w:tcPr>
          <w:p w14:paraId="718F94D9"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0.250</w:t>
            </w:r>
          </w:p>
        </w:tc>
        <w:tc>
          <w:tcPr>
            <w:tcW w:w="265" w:type="pct"/>
            <w:tcBorders>
              <w:top w:val="single" w:sz="8" w:space="0" w:color="000000"/>
              <w:left w:val="single" w:sz="8" w:space="0" w:color="000000"/>
              <w:right w:val="single" w:sz="8" w:space="0" w:color="FFFFFF"/>
            </w:tcBorders>
            <w:tcMar>
              <w:top w:w="72" w:type="dxa"/>
              <w:left w:w="144" w:type="dxa"/>
              <w:bottom w:w="72" w:type="dxa"/>
              <w:right w:w="144" w:type="dxa"/>
            </w:tcMar>
            <w:vAlign w:val="center"/>
          </w:tcPr>
          <w:p w14:paraId="2C4E374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4.047</w:t>
            </w:r>
          </w:p>
        </w:tc>
        <w:tc>
          <w:tcPr>
            <w:tcW w:w="265" w:type="pct"/>
            <w:tcBorders>
              <w:top w:val="single" w:sz="8" w:space="0" w:color="000000"/>
              <w:left w:val="single" w:sz="8" w:space="0" w:color="FFFFFF"/>
              <w:right w:val="single" w:sz="8" w:space="0" w:color="000000"/>
            </w:tcBorders>
            <w:tcMar>
              <w:top w:w="72" w:type="dxa"/>
              <w:left w:w="144" w:type="dxa"/>
              <w:bottom w:w="72" w:type="dxa"/>
              <w:right w:w="144" w:type="dxa"/>
            </w:tcMar>
            <w:vAlign w:val="center"/>
          </w:tcPr>
          <w:p w14:paraId="4FAB6EBE"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sz w:val="17"/>
                <w:szCs w:val="17"/>
              </w:rPr>
              <w:t>0.085</w:t>
            </w:r>
          </w:p>
        </w:tc>
        <w:tc>
          <w:tcPr>
            <w:tcW w:w="170" w:type="pct"/>
            <w:tcBorders>
              <w:top w:val="single" w:sz="8" w:space="0" w:color="000000"/>
              <w:left w:val="single" w:sz="8" w:space="0" w:color="000000"/>
              <w:right w:val="single" w:sz="8" w:space="0" w:color="000000"/>
            </w:tcBorders>
            <w:vAlign w:val="center"/>
          </w:tcPr>
          <w:p w14:paraId="7EC4419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-0.570</w:t>
            </w:r>
          </w:p>
        </w:tc>
        <w:tc>
          <w:tcPr>
            <w:tcW w:w="171" w:type="pct"/>
            <w:tcBorders>
              <w:top w:val="single" w:sz="8" w:space="0" w:color="000000"/>
              <w:left w:val="single" w:sz="8" w:space="0" w:color="000000"/>
              <w:right w:val="single" w:sz="8" w:space="0" w:color="auto"/>
            </w:tcBorders>
            <w:vAlign w:val="center"/>
          </w:tcPr>
          <w:p w14:paraId="4A154480"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8.665</w:t>
            </w:r>
          </w:p>
        </w:tc>
        <w:tc>
          <w:tcPr>
            <w:tcW w:w="265" w:type="pct"/>
            <w:tcBorders>
              <w:top w:val="single" w:sz="8" w:space="0" w:color="000000"/>
              <w:left w:val="single" w:sz="8" w:space="0" w:color="auto"/>
              <w:right w:val="single" w:sz="8" w:space="0" w:color="FFFFFF"/>
            </w:tcBorders>
            <w:tcMar>
              <w:top w:w="72" w:type="dxa"/>
              <w:left w:w="144" w:type="dxa"/>
              <w:bottom w:w="72" w:type="dxa"/>
              <w:right w:w="144" w:type="dxa"/>
            </w:tcMar>
            <w:vAlign w:val="center"/>
          </w:tcPr>
          <w:p w14:paraId="2CF1CC13"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0.028</w:t>
            </w:r>
          </w:p>
        </w:tc>
        <w:tc>
          <w:tcPr>
            <w:tcW w:w="265" w:type="pct"/>
            <w:tcBorders>
              <w:top w:val="single" w:sz="8" w:space="0" w:color="000000"/>
              <w:left w:val="single" w:sz="8" w:space="0" w:color="FFFFFF"/>
              <w:right w:val="single" w:sz="8" w:space="0" w:color="000000"/>
            </w:tcBorders>
            <w:tcMar>
              <w:top w:w="72" w:type="dxa"/>
              <w:left w:w="144" w:type="dxa"/>
              <w:bottom w:w="72" w:type="dxa"/>
              <w:right w:w="144" w:type="dxa"/>
            </w:tcMar>
            <w:vAlign w:val="center"/>
          </w:tcPr>
          <w:p w14:paraId="532ECC1E"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0.483</w:t>
            </w:r>
          </w:p>
        </w:tc>
        <w:tc>
          <w:tcPr>
            <w:tcW w:w="209" w:type="pct"/>
            <w:tcBorders>
              <w:top w:val="single" w:sz="8" w:space="0" w:color="000000"/>
              <w:left w:val="single" w:sz="8" w:space="0" w:color="FFFFFF"/>
              <w:right w:val="single" w:sz="8" w:space="0" w:color="000000"/>
            </w:tcBorders>
            <w:vAlign w:val="center"/>
          </w:tcPr>
          <w:p w14:paraId="45598539"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-0.050</w:t>
            </w:r>
          </w:p>
        </w:tc>
        <w:tc>
          <w:tcPr>
            <w:tcW w:w="198" w:type="pct"/>
            <w:tcBorders>
              <w:top w:val="single" w:sz="8" w:space="0" w:color="000000"/>
              <w:left w:val="single" w:sz="8" w:space="0" w:color="FFFFFF"/>
              <w:right w:val="single" w:sz="8" w:space="0" w:color="000000"/>
            </w:tcBorders>
            <w:vAlign w:val="center"/>
          </w:tcPr>
          <w:p w14:paraId="1658ABE2"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0.105</w:t>
            </w:r>
          </w:p>
        </w:tc>
      </w:tr>
      <w:tr w:rsidR="009E3412" w:rsidRPr="009E3412" w14:paraId="666203DE"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hideMark/>
          </w:tcPr>
          <w:p w14:paraId="7D7C17E6"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Age</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1CADBD2E"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0.068</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503F5378"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0.070</w:t>
            </w:r>
          </w:p>
        </w:tc>
        <w:tc>
          <w:tcPr>
            <w:tcW w:w="205" w:type="pct"/>
            <w:tcBorders>
              <w:left w:val="single" w:sz="8" w:space="0" w:color="000000"/>
              <w:right w:val="single" w:sz="8" w:space="0" w:color="000000"/>
            </w:tcBorders>
            <w:vAlign w:val="center"/>
          </w:tcPr>
          <w:p w14:paraId="2872008E"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-0.006</w:t>
            </w:r>
          </w:p>
        </w:tc>
        <w:tc>
          <w:tcPr>
            <w:tcW w:w="170" w:type="pct"/>
            <w:tcBorders>
              <w:left w:val="single" w:sz="8" w:space="0" w:color="000000"/>
              <w:right w:val="single" w:sz="8" w:space="0" w:color="FFFFFF"/>
            </w:tcBorders>
            <w:vAlign w:val="center"/>
          </w:tcPr>
          <w:p w14:paraId="388C18E2"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0.142</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71A37303"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0.115</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26801CE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0.378</w:t>
            </w:r>
          </w:p>
        </w:tc>
        <w:tc>
          <w:tcPr>
            <w:tcW w:w="205" w:type="pct"/>
            <w:tcBorders>
              <w:left w:val="single" w:sz="8" w:space="0" w:color="000000"/>
              <w:right w:val="single" w:sz="8" w:space="0" w:color="000000"/>
            </w:tcBorders>
            <w:vAlign w:val="center"/>
          </w:tcPr>
          <w:p w14:paraId="1BE253B1"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-0.142</w:t>
            </w:r>
          </w:p>
        </w:tc>
        <w:tc>
          <w:tcPr>
            <w:tcW w:w="206" w:type="pct"/>
            <w:tcBorders>
              <w:left w:val="single" w:sz="8" w:space="0" w:color="000000"/>
              <w:right w:val="single" w:sz="8" w:space="0" w:color="FFFFFF"/>
            </w:tcBorders>
            <w:vAlign w:val="center"/>
          </w:tcPr>
          <w:p w14:paraId="54B16B7E"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0.371</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35759179"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0.001</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7A5A9A7B"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sz w:val="17"/>
                <w:szCs w:val="17"/>
              </w:rPr>
              <w:t>0.080</w:t>
            </w:r>
          </w:p>
        </w:tc>
        <w:tc>
          <w:tcPr>
            <w:tcW w:w="170" w:type="pct"/>
            <w:tcBorders>
              <w:left w:val="single" w:sz="8" w:space="0" w:color="000000"/>
              <w:right w:val="single" w:sz="8" w:space="0" w:color="000000"/>
            </w:tcBorders>
            <w:vAlign w:val="center"/>
          </w:tcPr>
          <w:p w14:paraId="00E5647D"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&lt;0.001</w:t>
            </w:r>
          </w:p>
        </w:tc>
        <w:tc>
          <w:tcPr>
            <w:tcW w:w="171" w:type="pct"/>
            <w:tcBorders>
              <w:left w:val="single" w:sz="8" w:space="0" w:color="000000"/>
              <w:right w:val="single" w:sz="8" w:space="0" w:color="000000"/>
            </w:tcBorders>
            <w:vAlign w:val="center"/>
          </w:tcPr>
          <w:p w14:paraId="7B4CB000"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0.001</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4808F0B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-0.008</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1A07F733"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0.627</w:t>
            </w:r>
          </w:p>
        </w:tc>
        <w:tc>
          <w:tcPr>
            <w:tcW w:w="170" w:type="pct"/>
            <w:tcBorders>
              <w:left w:val="single" w:sz="8" w:space="0" w:color="000000"/>
              <w:right w:val="single" w:sz="8" w:space="0" w:color="000000"/>
            </w:tcBorders>
            <w:vAlign w:val="center"/>
          </w:tcPr>
          <w:p w14:paraId="3EA31B05"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-0.040</w:t>
            </w:r>
          </w:p>
        </w:tc>
        <w:tc>
          <w:tcPr>
            <w:tcW w:w="171" w:type="pct"/>
            <w:tcBorders>
              <w:left w:val="single" w:sz="8" w:space="0" w:color="000000"/>
              <w:right w:val="single" w:sz="8" w:space="0" w:color="auto"/>
            </w:tcBorders>
            <w:vAlign w:val="center"/>
          </w:tcPr>
          <w:p w14:paraId="12507133"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0.024</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331377F6"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0.000</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CEDE852"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0.546</w:t>
            </w:r>
          </w:p>
        </w:tc>
        <w:tc>
          <w:tcPr>
            <w:tcW w:w="209" w:type="pct"/>
            <w:tcBorders>
              <w:left w:val="single" w:sz="8" w:space="0" w:color="FFFFFF"/>
              <w:right w:val="single" w:sz="8" w:space="0" w:color="000000"/>
            </w:tcBorders>
            <w:vAlign w:val="center"/>
          </w:tcPr>
          <w:p w14:paraId="1DF63E00"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-0.009</w:t>
            </w:r>
          </w:p>
        </w:tc>
        <w:tc>
          <w:tcPr>
            <w:tcW w:w="198" w:type="pct"/>
            <w:tcBorders>
              <w:left w:val="single" w:sz="8" w:space="0" w:color="FFFFFF"/>
              <w:right w:val="single" w:sz="8" w:space="0" w:color="000000"/>
            </w:tcBorders>
            <w:vAlign w:val="center"/>
          </w:tcPr>
          <w:p w14:paraId="0AB53FEC"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0.005</w:t>
            </w:r>
          </w:p>
        </w:tc>
      </w:tr>
      <w:tr w:rsidR="009E3412" w:rsidRPr="009E3412" w14:paraId="1A4B4F4A"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hideMark/>
          </w:tcPr>
          <w:p w14:paraId="593B5242"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BMI</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53CF9C6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0.104</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5EB0AB08"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0.181</w:t>
            </w:r>
          </w:p>
        </w:tc>
        <w:tc>
          <w:tcPr>
            <w:tcW w:w="205" w:type="pct"/>
            <w:tcBorders>
              <w:left w:val="single" w:sz="8" w:space="0" w:color="000000"/>
              <w:right w:val="single" w:sz="8" w:space="0" w:color="000000"/>
            </w:tcBorders>
            <w:vAlign w:val="center"/>
          </w:tcPr>
          <w:p w14:paraId="3A9E3CE8"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-0.049</w:t>
            </w:r>
          </w:p>
        </w:tc>
        <w:tc>
          <w:tcPr>
            <w:tcW w:w="170" w:type="pct"/>
            <w:tcBorders>
              <w:left w:val="single" w:sz="8" w:space="0" w:color="000000"/>
              <w:right w:val="single" w:sz="8" w:space="0" w:color="FFFFFF"/>
            </w:tcBorders>
            <w:vAlign w:val="center"/>
          </w:tcPr>
          <w:p w14:paraId="63935271"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0.257</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25CEA1CD"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-0.287</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3220CC5"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0.288</w:t>
            </w:r>
          </w:p>
        </w:tc>
        <w:tc>
          <w:tcPr>
            <w:tcW w:w="205" w:type="pct"/>
            <w:tcBorders>
              <w:left w:val="single" w:sz="8" w:space="0" w:color="000000"/>
              <w:right w:val="single" w:sz="8" w:space="0" w:color="000000"/>
            </w:tcBorders>
            <w:vAlign w:val="center"/>
          </w:tcPr>
          <w:p w14:paraId="4C508622"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-0.817</w:t>
            </w:r>
          </w:p>
        </w:tc>
        <w:tc>
          <w:tcPr>
            <w:tcW w:w="206" w:type="pct"/>
            <w:tcBorders>
              <w:left w:val="single" w:sz="8" w:space="0" w:color="000000"/>
              <w:right w:val="single" w:sz="8" w:space="0" w:color="FFFFFF"/>
            </w:tcBorders>
            <w:vAlign w:val="center"/>
          </w:tcPr>
          <w:p w14:paraId="48369268"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0.244</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709B7845"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-0.001</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1761DCC4"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0.137</w:t>
            </w:r>
          </w:p>
        </w:tc>
        <w:tc>
          <w:tcPr>
            <w:tcW w:w="170" w:type="pct"/>
            <w:tcBorders>
              <w:left w:val="single" w:sz="8" w:space="0" w:color="000000"/>
              <w:right w:val="single" w:sz="8" w:space="0" w:color="000000"/>
            </w:tcBorders>
            <w:vAlign w:val="center"/>
          </w:tcPr>
          <w:p w14:paraId="205EFBAF"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-0.003</w:t>
            </w:r>
          </w:p>
        </w:tc>
        <w:tc>
          <w:tcPr>
            <w:tcW w:w="171" w:type="pct"/>
            <w:tcBorders>
              <w:left w:val="single" w:sz="8" w:space="0" w:color="000000"/>
              <w:right w:val="single" w:sz="8" w:space="0" w:color="000000"/>
            </w:tcBorders>
            <w:vAlign w:val="center"/>
          </w:tcPr>
          <w:p w14:paraId="76EA300E"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&lt;0.001</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11426DDE"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-0.042</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3C7D9CF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0.210</w:t>
            </w:r>
          </w:p>
        </w:tc>
        <w:tc>
          <w:tcPr>
            <w:tcW w:w="170" w:type="pct"/>
            <w:tcBorders>
              <w:left w:val="single" w:sz="8" w:space="0" w:color="000000"/>
              <w:right w:val="single" w:sz="8" w:space="0" w:color="000000"/>
            </w:tcBorders>
            <w:vAlign w:val="center"/>
          </w:tcPr>
          <w:p w14:paraId="39FB75DD"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-0.108</w:t>
            </w:r>
          </w:p>
        </w:tc>
        <w:tc>
          <w:tcPr>
            <w:tcW w:w="171" w:type="pct"/>
            <w:tcBorders>
              <w:left w:val="single" w:sz="8" w:space="0" w:color="000000"/>
              <w:right w:val="single" w:sz="8" w:space="0" w:color="auto"/>
            </w:tcBorders>
            <w:vAlign w:val="center"/>
          </w:tcPr>
          <w:p w14:paraId="7EE579B8"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0.024</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447B9143"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0.001</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53809646"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sz w:val="17"/>
                <w:szCs w:val="17"/>
              </w:rPr>
              <w:t>0.030</w:t>
            </w:r>
          </w:p>
        </w:tc>
        <w:tc>
          <w:tcPr>
            <w:tcW w:w="209" w:type="pct"/>
            <w:tcBorders>
              <w:left w:val="single" w:sz="8" w:space="0" w:color="FFFFFF"/>
              <w:right w:val="single" w:sz="8" w:space="0" w:color="000000"/>
            </w:tcBorders>
            <w:vAlign w:val="center"/>
          </w:tcPr>
          <w:p w14:paraId="0711DA98"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-0.013</w:t>
            </w:r>
          </w:p>
        </w:tc>
        <w:tc>
          <w:tcPr>
            <w:tcW w:w="198" w:type="pct"/>
            <w:tcBorders>
              <w:left w:val="single" w:sz="8" w:space="0" w:color="FFFFFF"/>
              <w:right w:val="single" w:sz="8" w:space="0" w:color="000000"/>
            </w:tcBorders>
            <w:vAlign w:val="center"/>
          </w:tcPr>
          <w:p w14:paraId="52FBA08E"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0.005</w:t>
            </w:r>
          </w:p>
        </w:tc>
      </w:tr>
      <w:tr w:rsidR="009E3412" w:rsidRPr="009E3412" w14:paraId="45959173"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tcPr>
          <w:p w14:paraId="562D8C58"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eastAsia="Times New Roman" w:hAnsi="Times New Roman" w:cs="Times New Roman"/>
                <w:b/>
                <w:bCs/>
                <w:kern w:val="24"/>
                <w:sz w:val="17"/>
                <w:szCs w:val="17"/>
              </w:rPr>
              <w:t>Sex</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2C6DEA3B"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-1.268</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FBFA03E"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0.022</w:t>
            </w:r>
          </w:p>
        </w:tc>
        <w:tc>
          <w:tcPr>
            <w:tcW w:w="205" w:type="pct"/>
            <w:tcBorders>
              <w:left w:val="single" w:sz="8" w:space="0" w:color="000000"/>
              <w:right w:val="single" w:sz="8" w:space="0" w:color="000000"/>
            </w:tcBorders>
            <w:vAlign w:val="center"/>
          </w:tcPr>
          <w:p w14:paraId="457336F3"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-2.354</w:t>
            </w:r>
          </w:p>
        </w:tc>
        <w:tc>
          <w:tcPr>
            <w:tcW w:w="170" w:type="pct"/>
            <w:tcBorders>
              <w:left w:val="single" w:sz="8" w:space="0" w:color="000000"/>
              <w:right w:val="single" w:sz="8" w:space="0" w:color="FFFFFF"/>
            </w:tcBorders>
            <w:vAlign w:val="center"/>
          </w:tcPr>
          <w:p w14:paraId="700FEC9B"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-0.182</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2DF4D877"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-1.298</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25212546"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0.497</w:t>
            </w:r>
          </w:p>
        </w:tc>
        <w:tc>
          <w:tcPr>
            <w:tcW w:w="205" w:type="pct"/>
            <w:tcBorders>
              <w:left w:val="single" w:sz="8" w:space="0" w:color="000000"/>
              <w:right w:val="single" w:sz="8" w:space="0" w:color="000000"/>
            </w:tcBorders>
            <w:vAlign w:val="center"/>
          </w:tcPr>
          <w:p w14:paraId="039FB252"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-5.070</w:t>
            </w:r>
          </w:p>
        </w:tc>
        <w:tc>
          <w:tcPr>
            <w:tcW w:w="206" w:type="pct"/>
            <w:tcBorders>
              <w:left w:val="single" w:sz="8" w:space="0" w:color="000000"/>
              <w:right w:val="single" w:sz="8" w:space="0" w:color="FFFFFF"/>
            </w:tcBorders>
            <w:vAlign w:val="center"/>
          </w:tcPr>
          <w:p w14:paraId="208896A2"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2.474</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33078A16"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-0.013</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4349418A"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0.016</w:t>
            </w:r>
          </w:p>
        </w:tc>
        <w:tc>
          <w:tcPr>
            <w:tcW w:w="170" w:type="pct"/>
            <w:tcBorders>
              <w:left w:val="single" w:sz="8" w:space="0" w:color="000000"/>
              <w:right w:val="single" w:sz="8" w:space="0" w:color="000000"/>
            </w:tcBorders>
            <w:vAlign w:val="center"/>
          </w:tcPr>
          <w:p w14:paraId="6C6412E9"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-0.023</w:t>
            </w:r>
          </w:p>
        </w:tc>
        <w:tc>
          <w:tcPr>
            <w:tcW w:w="171" w:type="pct"/>
            <w:tcBorders>
              <w:left w:val="single" w:sz="8" w:space="0" w:color="000000"/>
              <w:right w:val="single" w:sz="8" w:space="0" w:color="000000"/>
            </w:tcBorders>
            <w:vAlign w:val="center"/>
          </w:tcPr>
          <w:p w14:paraId="5636754C"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-0.002</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023EB9CF"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0.364</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3B6ADB78"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0.126</w:t>
            </w:r>
          </w:p>
        </w:tc>
        <w:tc>
          <w:tcPr>
            <w:tcW w:w="170" w:type="pct"/>
            <w:tcBorders>
              <w:left w:val="single" w:sz="8" w:space="0" w:color="000000"/>
              <w:right w:val="single" w:sz="8" w:space="0" w:color="000000"/>
            </w:tcBorders>
            <w:vAlign w:val="center"/>
          </w:tcPr>
          <w:p w14:paraId="0D7256F4"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-0.104</w:t>
            </w:r>
          </w:p>
        </w:tc>
        <w:tc>
          <w:tcPr>
            <w:tcW w:w="171" w:type="pct"/>
            <w:tcBorders>
              <w:left w:val="single" w:sz="8" w:space="0" w:color="000000"/>
              <w:right w:val="single" w:sz="8" w:space="0" w:color="auto"/>
            </w:tcBorders>
            <w:vAlign w:val="center"/>
          </w:tcPr>
          <w:p w14:paraId="767E7646"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0.833</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6C8C5F00"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-0.006</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602581B4" w14:textId="77777777" w:rsidR="00735FDF" w:rsidRPr="009E3412" w:rsidRDefault="00735FDF" w:rsidP="00735FDF">
            <w:pPr>
              <w:spacing w:after="0" w:line="240" w:lineRule="auto"/>
              <w:jc w:val="center"/>
              <w:rPr>
                <w:rFonts w:ascii="Times New Roman" w:hAnsi="Times New Roman" w:cs="Times New Roman"/>
                <w:b/>
                <w:bCs/>
                <w:sz w:val="17"/>
                <w:szCs w:val="17"/>
              </w:rPr>
            </w:pPr>
            <w:r w:rsidRPr="009E3412">
              <w:rPr>
                <w:rFonts w:ascii="Times New Roman" w:hAnsi="Times New Roman" w:cs="Times New Roman"/>
                <w:sz w:val="17"/>
                <w:szCs w:val="17"/>
              </w:rPr>
              <w:t>0.135</w:t>
            </w:r>
          </w:p>
        </w:tc>
        <w:tc>
          <w:tcPr>
            <w:tcW w:w="209" w:type="pct"/>
            <w:tcBorders>
              <w:left w:val="single" w:sz="8" w:space="0" w:color="FFFFFF"/>
              <w:right w:val="single" w:sz="8" w:space="0" w:color="000000"/>
            </w:tcBorders>
            <w:vAlign w:val="center"/>
          </w:tcPr>
          <w:p w14:paraId="19EDB63A"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-0.001</w:t>
            </w:r>
          </w:p>
        </w:tc>
        <w:tc>
          <w:tcPr>
            <w:tcW w:w="198" w:type="pct"/>
            <w:tcBorders>
              <w:left w:val="single" w:sz="8" w:space="0" w:color="FFFFFF"/>
              <w:right w:val="single" w:sz="8" w:space="0" w:color="000000"/>
            </w:tcBorders>
            <w:vAlign w:val="center"/>
          </w:tcPr>
          <w:p w14:paraId="4F748EC2"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&lt;0.001</w:t>
            </w:r>
          </w:p>
        </w:tc>
      </w:tr>
      <w:tr w:rsidR="009E3412" w:rsidRPr="009E3412" w14:paraId="5940367B"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tcPr>
          <w:p w14:paraId="15F9D4FA"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eastAsia="Times New Roman" w:hAnsi="Times New Roman" w:cs="Times New Roman"/>
                <w:b/>
                <w:bCs/>
                <w:kern w:val="24"/>
                <w:sz w:val="17"/>
                <w:szCs w:val="17"/>
              </w:rPr>
              <w:t>Albumin</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2C6C3963"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-0.032</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4EE25824"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0.724</w:t>
            </w:r>
          </w:p>
        </w:tc>
        <w:tc>
          <w:tcPr>
            <w:tcW w:w="205" w:type="pct"/>
            <w:tcBorders>
              <w:left w:val="single" w:sz="8" w:space="0" w:color="000000"/>
              <w:right w:val="single" w:sz="8" w:space="0" w:color="000000"/>
            </w:tcBorders>
            <w:vAlign w:val="center"/>
          </w:tcPr>
          <w:p w14:paraId="5C5C3A5D"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-0.211</w:t>
            </w:r>
          </w:p>
        </w:tc>
        <w:tc>
          <w:tcPr>
            <w:tcW w:w="170" w:type="pct"/>
            <w:tcBorders>
              <w:left w:val="single" w:sz="8" w:space="0" w:color="000000"/>
              <w:right w:val="single" w:sz="8" w:space="0" w:color="FFFFFF"/>
            </w:tcBorders>
            <w:vAlign w:val="center"/>
          </w:tcPr>
          <w:p w14:paraId="5937E118"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0.147</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4FC3315B"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0.005</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E494F85"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0.986</w:t>
            </w:r>
          </w:p>
        </w:tc>
        <w:tc>
          <w:tcPr>
            <w:tcW w:w="205" w:type="pct"/>
            <w:tcBorders>
              <w:left w:val="single" w:sz="8" w:space="0" w:color="000000"/>
              <w:right w:val="single" w:sz="8" w:space="0" w:color="000000"/>
            </w:tcBorders>
            <w:vAlign w:val="center"/>
          </w:tcPr>
          <w:p w14:paraId="2D7C6487"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-0.617</w:t>
            </w:r>
          </w:p>
        </w:tc>
        <w:tc>
          <w:tcPr>
            <w:tcW w:w="206" w:type="pct"/>
            <w:tcBorders>
              <w:left w:val="single" w:sz="8" w:space="0" w:color="000000"/>
              <w:right w:val="single" w:sz="8" w:space="0" w:color="FFFFFF"/>
            </w:tcBorders>
            <w:vAlign w:val="center"/>
          </w:tcPr>
          <w:p w14:paraId="18296643"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0.627</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0744DC4E"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-0.002</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77C44625"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0.023</w:t>
            </w:r>
          </w:p>
        </w:tc>
        <w:tc>
          <w:tcPr>
            <w:tcW w:w="170" w:type="pct"/>
            <w:tcBorders>
              <w:left w:val="single" w:sz="8" w:space="0" w:color="000000"/>
              <w:right w:val="single" w:sz="8" w:space="0" w:color="000000"/>
            </w:tcBorders>
            <w:vAlign w:val="center"/>
          </w:tcPr>
          <w:p w14:paraId="3FC3E0EB"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-0.004</w:t>
            </w:r>
          </w:p>
        </w:tc>
        <w:tc>
          <w:tcPr>
            <w:tcW w:w="171" w:type="pct"/>
            <w:tcBorders>
              <w:left w:val="single" w:sz="8" w:space="0" w:color="000000"/>
              <w:right w:val="single" w:sz="8" w:space="0" w:color="000000"/>
            </w:tcBorders>
            <w:vAlign w:val="center"/>
          </w:tcPr>
          <w:p w14:paraId="58986B5D"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0.000</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6A5BC060"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-0.011</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5CF00ACD"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0.783</w:t>
            </w:r>
          </w:p>
        </w:tc>
        <w:tc>
          <w:tcPr>
            <w:tcW w:w="170" w:type="pct"/>
            <w:tcBorders>
              <w:left w:val="single" w:sz="8" w:space="0" w:color="000000"/>
              <w:right w:val="single" w:sz="8" w:space="0" w:color="000000"/>
            </w:tcBorders>
            <w:vAlign w:val="center"/>
          </w:tcPr>
          <w:p w14:paraId="7FDB31D6"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-0.088</w:t>
            </w:r>
          </w:p>
        </w:tc>
        <w:tc>
          <w:tcPr>
            <w:tcW w:w="171" w:type="pct"/>
            <w:tcBorders>
              <w:left w:val="single" w:sz="8" w:space="0" w:color="000000"/>
              <w:right w:val="single" w:sz="8" w:space="0" w:color="auto"/>
            </w:tcBorders>
            <w:vAlign w:val="center"/>
          </w:tcPr>
          <w:p w14:paraId="1713D701"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0.066</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6F2C095E"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-0.001</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7704A59" w14:textId="77777777" w:rsidR="00735FDF" w:rsidRPr="009E3412" w:rsidRDefault="00735FDF" w:rsidP="00735FDF">
            <w:pPr>
              <w:spacing w:after="0" w:line="240" w:lineRule="auto"/>
              <w:jc w:val="center"/>
              <w:rPr>
                <w:rFonts w:ascii="Times New Roman" w:hAnsi="Times New Roman" w:cs="Times New Roman"/>
                <w:b/>
                <w:bCs/>
                <w:sz w:val="17"/>
                <w:szCs w:val="17"/>
              </w:rPr>
            </w:pPr>
            <w:r w:rsidRPr="009E3412">
              <w:rPr>
                <w:rFonts w:ascii="Times New Roman" w:hAnsi="Times New Roman" w:cs="Times New Roman"/>
                <w:sz w:val="17"/>
                <w:szCs w:val="17"/>
              </w:rPr>
              <w:t>0.371</w:t>
            </w:r>
          </w:p>
        </w:tc>
        <w:tc>
          <w:tcPr>
            <w:tcW w:w="209" w:type="pct"/>
            <w:tcBorders>
              <w:left w:val="single" w:sz="8" w:space="0" w:color="FFFFFF"/>
              <w:right w:val="single" w:sz="8" w:space="0" w:color="000000"/>
            </w:tcBorders>
            <w:vAlign w:val="center"/>
          </w:tcPr>
          <w:p w14:paraId="79E0DAB9"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&lt;0.001</w:t>
            </w:r>
          </w:p>
        </w:tc>
        <w:tc>
          <w:tcPr>
            <w:tcW w:w="198" w:type="pct"/>
            <w:tcBorders>
              <w:left w:val="single" w:sz="8" w:space="0" w:color="FFFFFF"/>
              <w:right w:val="single" w:sz="8" w:space="0" w:color="000000"/>
            </w:tcBorders>
            <w:vAlign w:val="center"/>
          </w:tcPr>
          <w:p w14:paraId="4233D35C" w14:textId="77777777" w:rsidR="00735FDF" w:rsidRPr="009E3412" w:rsidRDefault="00735FDF" w:rsidP="00735FDF">
            <w:pPr>
              <w:spacing w:after="0" w:line="240" w:lineRule="auto"/>
              <w:jc w:val="center"/>
              <w:rPr>
                <w:rFonts w:ascii="Times New Roman" w:hAnsi="Times New Roman" w:cs="Times New Roman"/>
                <w:sz w:val="17"/>
                <w:szCs w:val="17"/>
              </w:rPr>
            </w:pPr>
            <w:r w:rsidRPr="009E3412">
              <w:rPr>
                <w:rFonts w:ascii="Times New Roman" w:hAnsi="Times New Roman" w:cs="Times New Roman"/>
                <w:sz w:val="17"/>
                <w:szCs w:val="17"/>
              </w:rPr>
              <w:t>0.002</w:t>
            </w:r>
          </w:p>
        </w:tc>
      </w:tr>
      <w:tr w:rsidR="009E3412" w:rsidRPr="009E3412" w14:paraId="75C03D9B"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tcPr>
          <w:p w14:paraId="0F76E028"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hAnsi="Times New Roman" w:cs="Times New Roman"/>
                <w:b/>
                <w:bCs/>
                <w:sz w:val="17"/>
                <w:szCs w:val="17"/>
              </w:rPr>
              <w:t>Creatinine</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5E821F58"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0.065</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40F95161"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hAnsi="Times New Roman" w:cs="Times New Roman"/>
                <w:sz w:val="17"/>
                <w:szCs w:val="17"/>
              </w:rPr>
              <w:t>0.001</w:t>
            </w:r>
          </w:p>
        </w:tc>
        <w:tc>
          <w:tcPr>
            <w:tcW w:w="205" w:type="pct"/>
            <w:tcBorders>
              <w:left w:val="single" w:sz="8" w:space="0" w:color="000000"/>
              <w:right w:val="single" w:sz="8" w:space="0" w:color="000000"/>
            </w:tcBorders>
            <w:vAlign w:val="center"/>
          </w:tcPr>
          <w:p w14:paraId="37B3CAFC"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0.027</w:t>
            </w:r>
          </w:p>
        </w:tc>
        <w:tc>
          <w:tcPr>
            <w:tcW w:w="170" w:type="pct"/>
            <w:tcBorders>
              <w:left w:val="single" w:sz="8" w:space="0" w:color="000000"/>
              <w:right w:val="single" w:sz="8" w:space="0" w:color="FFFFFF"/>
            </w:tcBorders>
            <w:vAlign w:val="center"/>
          </w:tcPr>
          <w:p w14:paraId="077EE9BC"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0.103</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2AD99003"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0.129</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77769E33"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0.054</w:t>
            </w:r>
          </w:p>
        </w:tc>
        <w:tc>
          <w:tcPr>
            <w:tcW w:w="205" w:type="pct"/>
            <w:tcBorders>
              <w:left w:val="single" w:sz="8" w:space="0" w:color="000000"/>
              <w:right w:val="single" w:sz="8" w:space="0" w:color="000000"/>
            </w:tcBorders>
            <w:vAlign w:val="center"/>
          </w:tcPr>
          <w:p w14:paraId="1CA005F0"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-0.002</w:t>
            </w:r>
          </w:p>
        </w:tc>
        <w:tc>
          <w:tcPr>
            <w:tcW w:w="206" w:type="pct"/>
            <w:tcBorders>
              <w:left w:val="single" w:sz="8" w:space="0" w:color="000000"/>
              <w:right w:val="single" w:sz="8" w:space="0" w:color="FFFFFF"/>
            </w:tcBorders>
            <w:vAlign w:val="center"/>
          </w:tcPr>
          <w:p w14:paraId="421081F5"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0.261</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0E566F92"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0.000</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2502E62B"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0.626</w:t>
            </w:r>
          </w:p>
        </w:tc>
        <w:tc>
          <w:tcPr>
            <w:tcW w:w="170" w:type="pct"/>
            <w:tcBorders>
              <w:left w:val="single" w:sz="8" w:space="0" w:color="000000"/>
              <w:right w:val="single" w:sz="8" w:space="0" w:color="000000"/>
            </w:tcBorders>
            <w:vAlign w:val="center"/>
          </w:tcPr>
          <w:p w14:paraId="7B44C6F3"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0.000</w:t>
            </w:r>
          </w:p>
        </w:tc>
        <w:tc>
          <w:tcPr>
            <w:tcW w:w="171" w:type="pct"/>
            <w:tcBorders>
              <w:left w:val="single" w:sz="8" w:space="0" w:color="000000"/>
              <w:right w:val="single" w:sz="8" w:space="0" w:color="000000"/>
            </w:tcBorders>
            <w:vAlign w:val="center"/>
          </w:tcPr>
          <w:p w14:paraId="1891557C"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0.000</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1A893D9B"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-0.006</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1E0D28B2"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0.437</w:t>
            </w:r>
          </w:p>
        </w:tc>
        <w:tc>
          <w:tcPr>
            <w:tcW w:w="170" w:type="pct"/>
            <w:tcBorders>
              <w:left w:val="single" w:sz="8" w:space="0" w:color="000000"/>
              <w:right w:val="single" w:sz="8" w:space="0" w:color="000000"/>
            </w:tcBorders>
            <w:vAlign w:val="center"/>
          </w:tcPr>
          <w:p w14:paraId="79DEEFC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-0.023</w:t>
            </w:r>
          </w:p>
        </w:tc>
        <w:tc>
          <w:tcPr>
            <w:tcW w:w="171" w:type="pct"/>
            <w:tcBorders>
              <w:left w:val="single" w:sz="8" w:space="0" w:color="000000"/>
              <w:right w:val="single" w:sz="8" w:space="0" w:color="auto"/>
            </w:tcBorders>
            <w:vAlign w:val="center"/>
          </w:tcPr>
          <w:p w14:paraId="78A1B18E"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0.010</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6E2595F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0.001</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32F7D910"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hAnsi="Times New Roman" w:cs="Times New Roman"/>
                <w:sz w:val="17"/>
                <w:szCs w:val="17"/>
              </w:rPr>
              <w:t>0.000</w:t>
            </w:r>
          </w:p>
        </w:tc>
        <w:tc>
          <w:tcPr>
            <w:tcW w:w="209" w:type="pct"/>
            <w:tcBorders>
              <w:left w:val="single" w:sz="8" w:space="0" w:color="FFFFFF"/>
              <w:right w:val="single" w:sz="8" w:space="0" w:color="000000"/>
            </w:tcBorders>
            <w:vAlign w:val="center"/>
          </w:tcPr>
          <w:p w14:paraId="694EFFAB"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-0.014</w:t>
            </w:r>
          </w:p>
        </w:tc>
        <w:tc>
          <w:tcPr>
            <w:tcW w:w="198" w:type="pct"/>
            <w:tcBorders>
              <w:left w:val="single" w:sz="8" w:space="0" w:color="FFFFFF"/>
              <w:right w:val="single" w:sz="8" w:space="0" w:color="000000"/>
            </w:tcBorders>
            <w:vAlign w:val="center"/>
          </w:tcPr>
          <w:p w14:paraId="16B3408E"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0.002</w:t>
            </w:r>
          </w:p>
        </w:tc>
      </w:tr>
      <w:tr w:rsidR="009E3412" w:rsidRPr="009E3412" w14:paraId="488C852C"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tcPr>
          <w:p w14:paraId="6B086216"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hAnsi="Times New Roman" w:cs="Times New Roman"/>
                <w:b/>
                <w:bCs/>
                <w:sz w:val="17"/>
                <w:szCs w:val="17"/>
              </w:rPr>
              <w:t>AST/ALT</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3BA7CCB8"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-1.717</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2F6589E2"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hAnsi="Times New Roman" w:cs="Times New Roman"/>
                <w:sz w:val="17"/>
                <w:szCs w:val="17"/>
              </w:rPr>
              <w:t>0.003</w:t>
            </w:r>
          </w:p>
        </w:tc>
        <w:tc>
          <w:tcPr>
            <w:tcW w:w="205" w:type="pct"/>
            <w:tcBorders>
              <w:left w:val="single" w:sz="8" w:space="0" w:color="000000"/>
              <w:right w:val="single" w:sz="8" w:space="0" w:color="000000"/>
            </w:tcBorders>
            <w:vAlign w:val="center"/>
          </w:tcPr>
          <w:p w14:paraId="6567712D"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-2.860</w:t>
            </w:r>
          </w:p>
        </w:tc>
        <w:tc>
          <w:tcPr>
            <w:tcW w:w="170" w:type="pct"/>
            <w:tcBorders>
              <w:left w:val="single" w:sz="8" w:space="0" w:color="000000"/>
              <w:right w:val="single" w:sz="8" w:space="0" w:color="FFFFFF"/>
            </w:tcBorders>
            <w:vAlign w:val="center"/>
          </w:tcPr>
          <w:p w14:paraId="4C6DAF87"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-0.574</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26F3A244"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0.776</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6BA4C478"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0.699</w:t>
            </w:r>
          </w:p>
        </w:tc>
        <w:tc>
          <w:tcPr>
            <w:tcW w:w="205" w:type="pct"/>
            <w:tcBorders>
              <w:left w:val="single" w:sz="8" w:space="0" w:color="000000"/>
              <w:right w:val="single" w:sz="8" w:space="0" w:color="000000"/>
            </w:tcBorders>
            <w:vAlign w:val="center"/>
          </w:tcPr>
          <w:p w14:paraId="2B123185"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-3.192</w:t>
            </w:r>
          </w:p>
        </w:tc>
        <w:tc>
          <w:tcPr>
            <w:tcW w:w="206" w:type="pct"/>
            <w:tcBorders>
              <w:left w:val="single" w:sz="8" w:space="0" w:color="000000"/>
              <w:right w:val="single" w:sz="8" w:space="0" w:color="FFFFFF"/>
            </w:tcBorders>
            <w:vAlign w:val="center"/>
          </w:tcPr>
          <w:p w14:paraId="740293F4"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4.745</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21F2F346"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-0.006</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06B932F"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0.322</w:t>
            </w:r>
          </w:p>
        </w:tc>
        <w:tc>
          <w:tcPr>
            <w:tcW w:w="170" w:type="pct"/>
            <w:tcBorders>
              <w:left w:val="single" w:sz="8" w:space="0" w:color="000000"/>
              <w:right w:val="single" w:sz="8" w:space="0" w:color="000000"/>
            </w:tcBorders>
            <w:vAlign w:val="center"/>
          </w:tcPr>
          <w:p w14:paraId="39FA21E1"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-0.017</w:t>
            </w:r>
          </w:p>
        </w:tc>
        <w:tc>
          <w:tcPr>
            <w:tcW w:w="171" w:type="pct"/>
            <w:tcBorders>
              <w:left w:val="single" w:sz="8" w:space="0" w:color="000000"/>
              <w:right w:val="single" w:sz="8" w:space="0" w:color="000000"/>
            </w:tcBorders>
            <w:vAlign w:val="center"/>
          </w:tcPr>
          <w:p w14:paraId="4BF28A3B"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0.005</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32ADE867"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0.226</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54B991A1"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0.366</w:t>
            </w:r>
          </w:p>
        </w:tc>
        <w:tc>
          <w:tcPr>
            <w:tcW w:w="170" w:type="pct"/>
            <w:tcBorders>
              <w:left w:val="single" w:sz="8" w:space="0" w:color="000000"/>
              <w:right w:val="single" w:sz="8" w:space="0" w:color="000000"/>
            </w:tcBorders>
            <w:vAlign w:val="center"/>
          </w:tcPr>
          <w:p w14:paraId="6E14C200"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-0.267</w:t>
            </w:r>
          </w:p>
        </w:tc>
        <w:tc>
          <w:tcPr>
            <w:tcW w:w="171" w:type="pct"/>
            <w:tcBorders>
              <w:left w:val="single" w:sz="8" w:space="0" w:color="000000"/>
              <w:right w:val="single" w:sz="8" w:space="0" w:color="auto"/>
            </w:tcBorders>
            <w:vAlign w:val="center"/>
          </w:tcPr>
          <w:p w14:paraId="2D636526"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0.719</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592C330D"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-0.009</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FAF682C" w14:textId="77777777" w:rsidR="00735FDF" w:rsidRPr="009E3412" w:rsidRDefault="00735FDF" w:rsidP="00735FDF">
            <w:pPr>
              <w:spacing w:after="0" w:line="240" w:lineRule="auto"/>
              <w:jc w:val="center"/>
              <w:rPr>
                <w:rFonts w:ascii="Times New Roman" w:eastAsia="Times New Roman" w:hAnsi="Times New Roman" w:cs="Times New Roman"/>
                <w:b/>
                <w:bCs/>
                <w:kern w:val="24"/>
                <w:sz w:val="17"/>
                <w:szCs w:val="17"/>
              </w:rPr>
            </w:pPr>
            <w:r w:rsidRPr="009E3412">
              <w:rPr>
                <w:rFonts w:ascii="Times New Roman" w:hAnsi="Times New Roman" w:cs="Times New Roman"/>
                <w:sz w:val="17"/>
                <w:szCs w:val="17"/>
              </w:rPr>
              <w:t>0.029</w:t>
            </w:r>
          </w:p>
        </w:tc>
        <w:tc>
          <w:tcPr>
            <w:tcW w:w="209" w:type="pct"/>
            <w:tcBorders>
              <w:left w:val="single" w:sz="8" w:space="0" w:color="FFFFFF"/>
              <w:right w:val="single" w:sz="8" w:space="0" w:color="000000"/>
            </w:tcBorders>
            <w:vAlign w:val="center"/>
          </w:tcPr>
          <w:p w14:paraId="573C096B"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-0.002</w:t>
            </w:r>
          </w:p>
        </w:tc>
        <w:tc>
          <w:tcPr>
            <w:tcW w:w="198" w:type="pct"/>
            <w:tcBorders>
              <w:left w:val="single" w:sz="8" w:space="0" w:color="FFFFFF"/>
              <w:right w:val="single" w:sz="8" w:space="0" w:color="000000"/>
            </w:tcBorders>
            <w:vAlign w:val="center"/>
          </w:tcPr>
          <w:p w14:paraId="354238DF"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0.001</w:t>
            </w:r>
          </w:p>
        </w:tc>
      </w:tr>
      <w:tr w:rsidR="009E3412" w:rsidRPr="009E3412" w14:paraId="12DAF11A"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hideMark/>
          </w:tcPr>
          <w:p w14:paraId="51DDD1BC"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Diet Group 1</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45C3F09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0.257</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8F19BC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0.599</w:t>
            </w:r>
          </w:p>
        </w:tc>
        <w:tc>
          <w:tcPr>
            <w:tcW w:w="205" w:type="pct"/>
            <w:tcBorders>
              <w:left w:val="single" w:sz="8" w:space="0" w:color="000000"/>
              <w:right w:val="single" w:sz="8" w:space="0" w:color="000000"/>
            </w:tcBorders>
            <w:vAlign w:val="center"/>
          </w:tcPr>
          <w:p w14:paraId="37F23A13"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-0.707</w:t>
            </w:r>
          </w:p>
        </w:tc>
        <w:tc>
          <w:tcPr>
            <w:tcW w:w="170" w:type="pct"/>
            <w:tcBorders>
              <w:left w:val="single" w:sz="8" w:space="0" w:color="000000"/>
              <w:right w:val="single" w:sz="8" w:space="0" w:color="FFFFFF"/>
            </w:tcBorders>
            <w:vAlign w:val="center"/>
          </w:tcPr>
          <w:p w14:paraId="62AAAC63"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1.221</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48A448B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0.945</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6186DD96"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0.578</w:t>
            </w:r>
          </w:p>
        </w:tc>
        <w:tc>
          <w:tcPr>
            <w:tcW w:w="205" w:type="pct"/>
            <w:tcBorders>
              <w:left w:val="single" w:sz="8" w:space="0" w:color="000000"/>
              <w:right w:val="single" w:sz="8" w:space="0" w:color="000000"/>
            </w:tcBorders>
            <w:vAlign w:val="center"/>
          </w:tcPr>
          <w:p w14:paraId="0DEFB16A"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-2.404</w:t>
            </w:r>
          </w:p>
        </w:tc>
        <w:tc>
          <w:tcPr>
            <w:tcW w:w="206" w:type="pct"/>
            <w:tcBorders>
              <w:left w:val="single" w:sz="8" w:space="0" w:color="000000"/>
              <w:right w:val="single" w:sz="8" w:space="0" w:color="FFFFFF"/>
            </w:tcBorders>
            <w:vAlign w:val="center"/>
          </w:tcPr>
          <w:p w14:paraId="3F75F4E4"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4.294</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2B40B050"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-0.005</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6BB8AC99"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0.303</w:t>
            </w:r>
          </w:p>
        </w:tc>
        <w:tc>
          <w:tcPr>
            <w:tcW w:w="170" w:type="pct"/>
            <w:tcBorders>
              <w:left w:val="single" w:sz="8" w:space="0" w:color="000000"/>
              <w:right w:val="single" w:sz="8" w:space="0" w:color="000000"/>
            </w:tcBorders>
            <w:vAlign w:val="center"/>
          </w:tcPr>
          <w:p w14:paraId="26C26AFC"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-0.014</w:t>
            </w:r>
          </w:p>
        </w:tc>
        <w:tc>
          <w:tcPr>
            <w:tcW w:w="171" w:type="pct"/>
            <w:tcBorders>
              <w:left w:val="single" w:sz="8" w:space="0" w:color="000000"/>
              <w:right w:val="single" w:sz="8" w:space="0" w:color="000000"/>
            </w:tcBorders>
            <w:vAlign w:val="center"/>
          </w:tcPr>
          <w:p w14:paraId="0B8F13B3"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0.004</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0AF37ED1"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0.224</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3A54C1A9"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0.289</w:t>
            </w:r>
          </w:p>
        </w:tc>
        <w:tc>
          <w:tcPr>
            <w:tcW w:w="170" w:type="pct"/>
            <w:tcBorders>
              <w:left w:val="single" w:sz="8" w:space="0" w:color="000000"/>
              <w:right w:val="single" w:sz="8" w:space="0" w:color="000000"/>
            </w:tcBorders>
            <w:vAlign w:val="center"/>
          </w:tcPr>
          <w:p w14:paraId="609650E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-0.192</w:t>
            </w:r>
          </w:p>
        </w:tc>
        <w:tc>
          <w:tcPr>
            <w:tcW w:w="171" w:type="pct"/>
            <w:tcBorders>
              <w:left w:val="single" w:sz="8" w:space="0" w:color="000000"/>
              <w:right w:val="single" w:sz="8" w:space="0" w:color="auto"/>
            </w:tcBorders>
            <w:vAlign w:val="center"/>
          </w:tcPr>
          <w:p w14:paraId="01AA85F6"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0.640</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05E1F242"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-0.002</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481770D2"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0.517</w:t>
            </w:r>
          </w:p>
        </w:tc>
        <w:tc>
          <w:tcPr>
            <w:tcW w:w="209" w:type="pct"/>
            <w:tcBorders>
              <w:left w:val="single" w:sz="8" w:space="0" w:color="FFFFFF"/>
              <w:right w:val="single" w:sz="8" w:space="0" w:color="000000"/>
            </w:tcBorders>
            <w:vAlign w:val="center"/>
          </w:tcPr>
          <w:p w14:paraId="46500484"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&lt;0.001</w:t>
            </w:r>
          </w:p>
        </w:tc>
        <w:tc>
          <w:tcPr>
            <w:tcW w:w="198" w:type="pct"/>
            <w:tcBorders>
              <w:left w:val="single" w:sz="8" w:space="0" w:color="FFFFFF"/>
              <w:right w:val="single" w:sz="8" w:space="0" w:color="000000"/>
            </w:tcBorders>
            <w:vAlign w:val="center"/>
          </w:tcPr>
          <w:p w14:paraId="06CA1D83"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0.001</w:t>
            </w:r>
          </w:p>
        </w:tc>
      </w:tr>
      <w:tr w:rsidR="009E3412" w:rsidRPr="009E3412" w14:paraId="76094157"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hideMark/>
          </w:tcPr>
          <w:p w14:paraId="746022FF"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Diet Group 3</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272B8574"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0.001</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4BAB6D82"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0.999</w:t>
            </w:r>
          </w:p>
        </w:tc>
        <w:tc>
          <w:tcPr>
            <w:tcW w:w="205" w:type="pct"/>
            <w:tcBorders>
              <w:left w:val="single" w:sz="8" w:space="0" w:color="000000"/>
              <w:right w:val="single" w:sz="8" w:space="0" w:color="000000"/>
            </w:tcBorders>
            <w:vAlign w:val="center"/>
          </w:tcPr>
          <w:p w14:paraId="0A95012D"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-1.233</w:t>
            </w:r>
          </w:p>
        </w:tc>
        <w:tc>
          <w:tcPr>
            <w:tcW w:w="170" w:type="pct"/>
            <w:tcBorders>
              <w:left w:val="single" w:sz="8" w:space="0" w:color="000000"/>
              <w:right w:val="single" w:sz="8" w:space="0" w:color="FFFFFF"/>
            </w:tcBorders>
            <w:vAlign w:val="center"/>
          </w:tcPr>
          <w:p w14:paraId="115AD2DF"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1.235</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64587F5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-0.901</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321A0DA4"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0.678</w:t>
            </w:r>
          </w:p>
        </w:tc>
        <w:tc>
          <w:tcPr>
            <w:tcW w:w="205" w:type="pct"/>
            <w:tcBorders>
              <w:left w:val="single" w:sz="8" w:space="0" w:color="000000"/>
              <w:right w:val="single" w:sz="8" w:space="0" w:color="000000"/>
            </w:tcBorders>
            <w:vAlign w:val="center"/>
          </w:tcPr>
          <w:p w14:paraId="2C8A08A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-5.186</w:t>
            </w:r>
          </w:p>
        </w:tc>
        <w:tc>
          <w:tcPr>
            <w:tcW w:w="206" w:type="pct"/>
            <w:tcBorders>
              <w:left w:val="single" w:sz="8" w:space="0" w:color="000000"/>
              <w:right w:val="single" w:sz="8" w:space="0" w:color="FFFFFF"/>
            </w:tcBorders>
            <w:vAlign w:val="center"/>
          </w:tcPr>
          <w:p w14:paraId="467B7BE3"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3.385</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0A4C7F4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0.002</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33BC3331"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0.692</w:t>
            </w:r>
          </w:p>
        </w:tc>
        <w:tc>
          <w:tcPr>
            <w:tcW w:w="170" w:type="pct"/>
            <w:tcBorders>
              <w:left w:val="single" w:sz="8" w:space="0" w:color="000000"/>
              <w:right w:val="single" w:sz="8" w:space="0" w:color="000000"/>
            </w:tcBorders>
            <w:vAlign w:val="center"/>
          </w:tcPr>
          <w:p w14:paraId="5604BB90"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-0.009</w:t>
            </w:r>
          </w:p>
        </w:tc>
        <w:tc>
          <w:tcPr>
            <w:tcW w:w="171" w:type="pct"/>
            <w:tcBorders>
              <w:left w:val="single" w:sz="8" w:space="0" w:color="000000"/>
              <w:right w:val="single" w:sz="8" w:space="0" w:color="000000"/>
            </w:tcBorders>
            <w:vAlign w:val="center"/>
          </w:tcPr>
          <w:p w14:paraId="0E9C5836"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0.014</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1EF0BB61"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0.217</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14512EB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0.423</w:t>
            </w:r>
          </w:p>
        </w:tc>
        <w:tc>
          <w:tcPr>
            <w:tcW w:w="170" w:type="pct"/>
            <w:tcBorders>
              <w:left w:val="single" w:sz="8" w:space="0" w:color="000000"/>
              <w:right w:val="single" w:sz="8" w:space="0" w:color="000000"/>
            </w:tcBorders>
            <w:vAlign w:val="center"/>
          </w:tcPr>
          <w:p w14:paraId="0979D7F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-0.316</w:t>
            </w:r>
          </w:p>
        </w:tc>
        <w:tc>
          <w:tcPr>
            <w:tcW w:w="171" w:type="pct"/>
            <w:tcBorders>
              <w:left w:val="single" w:sz="8" w:space="0" w:color="000000"/>
              <w:right w:val="single" w:sz="8" w:space="0" w:color="auto"/>
            </w:tcBorders>
            <w:vAlign w:val="center"/>
          </w:tcPr>
          <w:p w14:paraId="225F8630"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0.749</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45AB9649"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-0.004</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62B146D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0.416</w:t>
            </w:r>
          </w:p>
        </w:tc>
        <w:tc>
          <w:tcPr>
            <w:tcW w:w="209" w:type="pct"/>
            <w:tcBorders>
              <w:left w:val="single" w:sz="8" w:space="0" w:color="FFFFFF"/>
              <w:right w:val="single" w:sz="8" w:space="0" w:color="000000"/>
            </w:tcBorders>
            <w:vAlign w:val="center"/>
          </w:tcPr>
          <w:p w14:paraId="45F845AE"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-0.017</w:t>
            </w:r>
          </w:p>
        </w:tc>
        <w:tc>
          <w:tcPr>
            <w:tcW w:w="198" w:type="pct"/>
            <w:tcBorders>
              <w:left w:val="single" w:sz="8" w:space="0" w:color="FFFFFF"/>
              <w:right w:val="single" w:sz="8" w:space="0" w:color="000000"/>
            </w:tcBorders>
            <w:vAlign w:val="center"/>
          </w:tcPr>
          <w:p w14:paraId="6096034B"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-0.001</w:t>
            </w:r>
          </w:p>
        </w:tc>
      </w:tr>
      <w:tr w:rsidR="009E3412" w:rsidRPr="009E3412" w14:paraId="3BA21E26" w14:textId="77777777" w:rsidTr="00735FDF">
        <w:trPr>
          <w:trHeight w:val="368"/>
        </w:trPr>
        <w:tc>
          <w:tcPr>
            <w:tcW w:w="441" w:type="pct"/>
            <w:tcBorders>
              <w:left w:val="single" w:sz="8" w:space="0" w:color="000000"/>
              <w:right w:val="single" w:sz="8" w:space="0" w:color="000000"/>
            </w:tcBorders>
            <w:tcMar>
              <w:top w:w="72" w:type="dxa"/>
              <w:left w:w="144" w:type="dxa"/>
              <w:bottom w:w="72" w:type="dxa"/>
              <w:right w:w="144" w:type="dxa"/>
            </w:tcMar>
            <w:vAlign w:val="center"/>
            <w:hideMark/>
          </w:tcPr>
          <w:p w14:paraId="5C1C926D"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SCI</w:t>
            </w:r>
          </w:p>
        </w:tc>
        <w:tc>
          <w:tcPr>
            <w:tcW w:w="264" w:type="pct"/>
            <w:tcBorders>
              <w:left w:val="single" w:sz="8" w:space="0" w:color="000000"/>
              <w:right w:val="single" w:sz="8" w:space="0" w:color="FFFFFF"/>
            </w:tcBorders>
            <w:tcMar>
              <w:top w:w="72" w:type="dxa"/>
              <w:left w:w="144" w:type="dxa"/>
              <w:bottom w:w="72" w:type="dxa"/>
              <w:right w:w="144" w:type="dxa"/>
            </w:tcMar>
            <w:vAlign w:val="center"/>
          </w:tcPr>
          <w:p w14:paraId="4F2A481F"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1.824</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241DB603"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b/>
                <w:bCs/>
                <w:sz w:val="17"/>
                <w:szCs w:val="17"/>
              </w:rPr>
              <w:t>0.001</w:t>
            </w:r>
          </w:p>
        </w:tc>
        <w:tc>
          <w:tcPr>
            <w:tcW w:w="205" w:type="pct"/>
            <w:tcBorders>
              <w:left w:val="single" w:sz="8" w:space="0" w:color="000000"/>
              <w:right w:val="single" w:sz="8" w:space="0" w:color="000000"/>
            </w:tcBorders>
            <w:vAlign w:val="center"/>
          </w:tcPr>
          <w:p w14:paraId="22DC6862"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0.732</w:t>
            </w:r>
          </w:p>
        </w:tc>
        <w:tc>
          <w:tcPr>
            <w:tcW w:w="170" w:type="pct"/>
            <w:tcBorders>
              <w:left w:val="single" w:sz="8" w:space="0" w:color="000000"/>
              <w:right w:val="single" w:sz="8" w:space="0" w:color="FFFFFF"/>
            </w:tcBorders>
            <w:vAlign w:val="center"/>
          </w:tcPr>
          <w:p w14:paraId="7C9D4287"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2.915</w:t>
            </w:r>
          </w:p>
        </w:tc>
        <w:tc>
          <w:tcPr>
            <w:tcW w:w="300" w:type="pct"/>
            <w:tcBorders>
              <w:left w:val="single" w:sz="8" w:space="0" w:color="000000"/>
              <w:right w:val="single" w:sz="8" w:space="0" w:color="FFFFFF"/>
            </w:tcBorders>
            <w:tcMar>
              <w:top w:w="72" w:type="dxa"/>
              <w:left w:w="144" w:type="dxa"/>
              <w:bottom w:w="72" w:type="dxa"/>
              <w:right w:w="144" w:type="dxa"/>
            </w:tcMar>
            <w:vAlign w:val="center"/>
          </w:tcPr>
          <w:p w14:paraId="380E2776"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-5.514</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120C9B6F"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b/>
                <w:bCs/>
                <w:sz w:val="17"/>
                <w:szCs w:val="17"/>
              </w:rPr>
              <w:t>0.005</w:t>
            </w:r>
          </w:p>
        </w:tc>
        <w:tc>
          <w:tcPr>
            <w:tcW w:w="205" w:type="pct"/>
            <w:tcBorders>
              <w:left w:val="single" w:sz="8" w:space="0" w:color="000000"/>
              <w:right w:val="single" w:sz="8" w:space="0" w:color="000000"/>
            </w:tcBorders>
            <w:vAlign w:val="center"/>
          </w:tcPr>
          <w:p w14:paraId="08B3A255"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-9.306</w:t>
            </w:r>
          </w:p>
        </w:tc>
        <w:tc>
          <w:tcPr>
            <w:tcW w:w="206" w:type="pct"/>
            <w:tcBorders>
              <w:left w:val="single" w:sz="8" w:space="0" w:color="000000"/>
              <w:right w:val="single" w:sz="8" w:space="0" w:color="FFFFFF"/>
            </w:tcBorders>
            <w:vAlign w:val="center"/>
          </w:tcPr>
          <w:p w14:paraId="6E674269"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-1.723</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0A6BA471"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-0.019</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5E9044E9"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b/>
                <w:bCs/>
                <w:sz w:val="17"/>
                <w:szCs w:val="17"/>
              </w:rPr>
              <w:t>&lt;0.001</w:t>
            </w:r>
          </w:p>
        </w:tc>
        <w:tc>
          <w:tcPr>
            <w:tcW w:w="170" w:type="pct"/>
            <w:tcBorders>
              <w:left w:val="single" w:sz="8" w:space="0" w:color="000000"/>
              <w:right w:val="single" w:sz="8" w:space="0" w:color="000000"/>
            </w:tcBorders>
            <w:vAlign w:val="center"/>
          </w:tcPr>
          <w:p w14:paraId="5FB091E2"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-0.030</w:t>
            </w:r>
          </w:p>
        </w:tc>
        <w:tc>
          <w:tcPr>
            <w:tcW w:w="171" w:type="pct"/>
            <w:tcBorders>
              <w:left w:val="single" w:sz="8" w:space="0" w:color="000000"/>
              <w:right w:val="single" w:sz="8" w:space="0" w:color="000000"/>
            </w:tcBorders>
            <w:vAlign w:val="center"/>
          </w:tcPr>
          <w:p w14:paraId="13D972E1"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-0.009</w:t>
            </w:r>
          </w:p>
        </w:tc>
        <w:tc>
          <w:tcPr>
            <w:tcW w:w="265" w:type="pct"/>
            <w:tcBorders>
              <w:left w:val="single" w:sz="8" w:space="0" w:color="000000"/>
              <w:right w:val="single" w:sz="8" w:space="0" w:color="FFFFFF"/>
            </w:tcBorders>
            <w:tcMar>
              <w:top w:w="72" w:type="dxa"/>
              <w:left w:w="144" w:type="dxa"/>
              <w:bottom w:w="72" w:type="dxa"/>
              <w:right w:w="144" w:type="dxa"/>
            </w:tcMar>
            <w:vAlign w:val="center"/>
          </w:tcPr>
          <w:p w14:paraId="1818EB2C"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-0.339</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0F02AAC3"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sz w:val="17"/>
                <w:szCs w:val="17"/>
              </w:rPr>
              <w:t>0.157</w:t>
            </w:r>
          </w:p>
        </w:tc>
        <w:tc>
          <w:tcPr>
            <w:tcW w:w="170" w:type="pct"/>
            <w:tcBorders>
              <w:left w:val="single" w:sz="8" w:space="0" w:color="000000"/>
              <w:right w:val="single" w:sz="8" w:space="0" w:color="000000"/>
            </w:tcBorders>
            <w:vAlign w:val="center"/>
          </w:tcPr>
          <w:p w14:paraId="745DC205"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-0.810</w:t>
            </w:r>
          </w:p>
        </w:tc>
        <w:tc>
          <w:tcPr>
            <w:tcW w:w="171" w:type="pct"/>
            <w:tcBorders>
              <w:left w:val="single" w:sz="8" w:space="0" w:color="000000"/>
              <w:right w:val="single" w:sz="8" w:space="0" w:color="auto"/>
            </w:tcBorders>
            <w:vAlign w:val="center"/>
          </w:tcPr>
          <w:p w14:paraId="4BE92916"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0.132</w:t>
            </w:r>
          </w:p>
        </w:tc>
        <w:tc>
          <w:tcPr>
            <w:tcW w:w="265" w:type="pct"/>
            <w:tcBorders>
              <w:left w:val="single" w:sz="8" w:space="0" w:color="auto"/>
              <w:right w:val="single" w:sz="8" w:space="0" w:color="FFFFFF"/>
            </w:tcBorders>
            <w:tcMar>
              <w:top w:w="72" w:type="dxa"/>
              <w:left w:w="144" w:type="dxa"/>
              <w:bottom w:w="72" w:type="dxa"/>
              <w:right w:w="144" w:type="dxa"/>
            </w:tcMar>
            <w:vAlign w:val="center"/>
          </w:tcPr>
          <w:p w14:paraId="4ADA00C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0.007</w:t>
            </w:r>
          </w:p>
        </w:tc>
        <w:tc>
          <w:tcPr>
            <w:tcW w:w="265" w:type="pct"/>
            <w:tcBorders>
              <w:left w:val="single" w:sz="8" w:space="0" w:color="FFFFFF"/>
              <w:right w:val="single" w:sz="8" w:space="0" w:color="000000"/>
            </w:tcBorders>
            <w:tcMar>
              <w:top w:w="72" w:type="dxa"/>
              <w:left w:w="144" w:type="dxa"/>
              <w:bottom w:w="72" w:type="dxa"/>
              <w:right w:w="144" w:type="dxa"/>
            </w:tcMar>
            <w:vAlign w:val="center"/>
          </w:tcPr>
          <w:p w14:paraId="285D3062"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b/>
                <w:bCs/>
                <w:sz w:val="17"/>
                <w:szCs w:val="17"/>
              </w:rPr>
              <w:t>0.047</w:t>
            </w:r>
          </w:p>
        </w:tc>
        <w:tc>
          <w:tcPr>
            <w:tcW w:w="209" w:type="pct"/>
            <w:tcBorders>
              <w:left w:val="single" w:sz="8" w:space="0" w:color="FFFFFF"/>
              <w:right w:val="single" w:sz="8" w:space="0" w:color="000000"/>
            </w:tcBorders>
            <w:vAlign w:val="center"/>
          </w:tcPr>
          <w:p w14:paraId="1A15E1C4"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-0.001</w:t>
            </w:r>
          </w:p>
        </w:tc>
        <w:tc>
          <w:tcPr>
            <w:tcW w:w="198" w:type="pct"/>
            <w:tcBorders>
              <w:left w:val="single" w:sz="8" w:space="0" w:color="FFFFFF"/>
              <w:right w:val="single" w:sz="8" w:space="0" w:color="000000"/>
            </w:tcBorders>
            <w:vAlign w:val="center"/>
          </w:tcPr>
          <w:p w14:paraId="5482DE97"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0.015</w:t>
            </w:r>
          </w:p>
        </w:tc>
      </w:tr>
      <w:tr w:rsidR="009E3412" w:rsidRPr="009E3412" w14:paraId="27FA9167" w14:textId="77777777" w:rsidTr="00735FDF">
        <w:trPr>
          <w:trHeight w:val="368"/>
        </w:trPr>
        <w:tc>
          <w:tcPr>
            <w:tcW w:w="441" w:type="pct"/>
            <w:tcBorders>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6B62BB"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MCI</w:t>
            </w:r>
          </w:p>
        </w:tc>
        <w:tc>
          <w:tcPr>
            <w:tcW w:w="264" w:type="pct"/>
            <w:tcBorders>
              <w:left w:val="single" w:sz="8" w:space="0" w:color="000000"/>
              <w:bottom w:val="single" w:sz="8" w:space="0" w:color="000000"/>
              <w:right w:val="single" w:sz="8" w:space="0" w:color="FFFFFF"/>
            </w:tcBorders>
            <w:tcMar>
              <w:top w:w="72" w:type="dxa"/>
              <w:left w:w="144" w:type="dxa"/>
              <w:bottom w:w="72" w:type="dxa"/>
              <w:right w:w="144" w:type="dxa"/>
            </w:tcMar>
            <w:vAlign w:val="center"/>
          </w:tcPr>
          <w:p w14:paraId="13B7925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1.336</w:t>
            </w:r>
          </w:p>
        </w:tc>
        <w:tc>
          <w:tcPr>
            <w:tcW w:w="265" w:type="pct"/>
            <w:tcBorders>
              <w:left w:val="single" w:sz="8" w:space="0" w:color="FFFFFF"/>
              <w:bottom w:val="single" w:sz="8" w:space="0" w:color="000000"/>
              <w:right w:val="single" w:sz="8" w:space="0" w:color="000000"/>
            </w:tcBorders>
            <w:tcMar>
              <w:top w:w="72" w:type="dxa"/>
              <w:left w:w="144" w:type="dxa"/>
              <w:bottom w:w="72" w:type="dxa"/>
              <w:right w:w="144" w:type="dxa"/>
            </w:tcMar>
            <w:vAlign w:val="center"/>
          </w:tcPr>
          <w:p w14:paraId="04764830"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b/>
                <w:bCs/>
                <w:sz w:val="17"/>
                <w:szCs w:val="17"/>
              </w:rPr>
              <w:t>0.010</w:t>
            </w:r>
          </w:p>
        </w:tc>
        <w:tc>
          <w:tcPr>
            <w:tcW w:w="205" w:type="pct"/>
            <w:tcBorders>
              <w:left w:val="single" w:sz="8" w:space="0" w:color="000000"/>
              <w:bottom w:val="single" w:sz="8" w:space="0" w:color="000000"/>
              <w:right w:val="single" w:sz="8" w:space="0" w:color="000000"/>
            </w:tcBorders>
            <w:vAlign w:val="center"/>
          </w:tcPr>
          <w:p w14:paraId="48BC0379"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0.327</w:t>
            </w:r>
          </w:p>
        </w:tc>
        <w:tc>
          <w:tcPr>
            <w:tcW w:w="170" w:type="pct"/>
            <w:tcBorders>
              <w:left w:val="single" w:sz="8" w:space="0" w:color="000000"/>
              <w:bottom w:val="single" w:sz="8" w:space="0" w:color="000000"/>
              <w:right w:val="single" w:sz="8" w:space="0" w:color="FFFFFF"/>
            </w:tcBorders>
            <w:vAlign w:val="center"/>
          </w:tcPr>
          <w:p w14:paraId="6FDE0EF9"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2.345</w:t>
            </w:r>
          </w:p>
        </w:tc>
        <w:tc>
          <w:tcPr>
            <w:tcW w:w="300" w:type="pct"/>
            <w:tcBorders>
              <w:left w:val="single" w:sz="8" w:space="0" w:color="000000"/>
              <w:bottom w:val="single" w:sz="8" w:space="0" w:color="000000"/>
              <w:right w:val="single" w:sz="8" w:space="0" w:color="FFFFFF"/>
            </w:tcBorders>
            <w:tcMar>
              <w:top w:w="72" w:type="dxa"/>
              <w:left w:w="144" w:type="dxa"/>
              <w:bottom w:w="72" w:type="dxa"/>
              <w:right w:w="144" w:type="dxa"/>
            </w:tcMar>
            <w:vAlign w:val="center"/>
          </w:tcPr>
          <w:p w14:paraId="34F15461"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-5.142</w:t>
            </w:r>
          </w:p>
        </w:tc>
        <w:tc>
          <w:tcPr>
            <w:tcW w:w="265" w:type="pct"/>
            <w:tcBorders>
              <w:left w:val="single" w:sz="8" w:space="0" w:color="FFFFFF"/>
              <w:bottom w:val="single" w:sz="8" w:space="0" w:color="000000"/>
              <w:right w:val="single" w:sz="8" w:space="0" w:color="000000"/>
            </w:tcBorders>
            <w:tcMar>
              <w:top w:w="72" w:type="dxa"/>
              <w:left w:w="144" w:type="dxa"/>
              <w:bottom w:w="72" w:type="dxa"/>
              <w:right w:w="144" w:type="dxa"/>
            </w:tcMar>
            <w:vAlign w:val="center"/>
          </w:tcPr>
          <w:p w14:paraId="293ED2B3"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b/>
                <w:bCs/>
                <w:sz w:val="17"/>
                <w:szCs w:val="17"/>
              </w:rPr>
              <w:t>0.004</w:t>
            </w:r>
          </w:p>
        </w:tc>
        <w:tc>
          <w:tcPr>
            <w:tcW w:w="205" w:type="pct"/>
            <w:tcBorders>
              <w:left w:val="single" w:sz="8" w:space="0" w:color="000000"/>
              <w:bottom w:val="single" w:sz="8" w:space="0" w:color="000000"/>
              <w:right w:val="single" w:sz="8" w:space="0" w:color="000000"/>
            </w:tcBorders>
            <w:vAlign w:val="center"/>
          </w:tcPr>
          <w:p w14:paraId="6A25DF1D"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-8.647</w:t>
            </w:r>
          </w:p>
        </w:tc>
        <w:tc>
          <w:tcPr>
            <w:tcW w:w="206" w:type="pct"/>
            <w:tcBorders>
              <w:left w:val="single" w:sz="8" w:space="0" w:color="000000"/>
              <w:bottom w:val="single" w:sz="8" w:space="0" w:color="000000"/>
              <w:right w:val="single" w:sz="8" w:space="0" w:color="FFFFFF"/>
            </w:tcBorders>
            <w:vAlign w:val="center"/>
          </w:tcPr>
          <w:p w14:paraId="49ED3D51"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-1.638</w:t>
            </w:r>
          </w:p>
        </w:tc>
        <w:tc>
          <w:tcPr>
            <w:tcW w:w="265" w:type="pct"/>
            <w:tcBorders>
              <w:left w:val="single" w:sz="8" w:space="0" w:color="000000"/>
              <w:bottom w:val="single" w:sz="8" w:space="0" w:color="000000"/>
              <w:right w:val="single" w:sz="8" w:space="0" w:color="FFFFFF"/>
            </w:tcBorders>
            <w:tcMar>
              <w:top w:w="72" w:type="dxa"/>
              <w:left w:w="144" w:type="dxa"/>
              <w:bottom w:w="72" w:type="dxa"/>
              <w:right w:w="144" w:type="dxa"/>
            </w:tcMar>
            <w:vAlign w:val="center"/>
          </w:tcPr>
          <w:p w14:paraId="2D5627D7"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-0.021</w:t>
            </w:r>
          </w:p>
        </w:tc>
        <w:tc>
          <w:tcPr>
            <w:tcW w:w="265" w:type="pct"/>
            <w:tcBorders>
              <w:left w:val="single" w:sz="8" w:space="0" w:color="FFFFFF"/>
              <w:bottom w:val="single" w:sz="8" w:space="0" w:color="000000"/>
              <w:right w:val="single" w:sz="8" w:space="0" w:color="000000"/>
            </w:tcBorders>
            <w:tcMar>
              <w:top w:w="72" w:type="dxa"/>
              <w:left w:w="144" w:type="dxa"/>
              <w:bottom w:w="72" w:type="dxa"/>
              <w:right w:w="144" w:type="dxa"/>
            </w:tcMar>
            <w:vAlign w:val="center"/>
          </w:tcPr>
          <w:p w14:paraId="5D432DA8"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b/>
                <w:bCs/>
                <w:sz w:val="17"/>
                <w:szCs w:val="17"/>
              </w:rPr>
              <w:t>&lt;0.001</w:t>
            </w:r>
          </w:p>
        </w:tc>
        <w:tc>
          <w:tcPr>
            <w:tcW w:w="170" w:type="pct"/>
            <w:tcBorders>
              <w:left w:val="single" w:sz="8" w:space="0" w:color="000000"/>
              <w:bottom w:val="single" w:sz="8" w:space="0" w:color="000000"/>
              <w:right w:val="single" w:sz="8" w:space="0" w:color="000000"/>
            </w:tcBorders>
            <w:vAlign w:val="center"/>
          </w:tcPr>
          <w:p w14:paraId="753B7BF7"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-0.030</w:t>
            </w:r>
          </w:p>
        </w:tc>
        <w:tc>
          <w:tcPr>
            <w:tcW w:w="171" w:type="pct"/>
            <w:tcBorders>
              <w:left w:val="single" w:sz="8" w:space="0" w:color="000000"/>
              <w:bottom w:val="single" w:sz="8" w:space="0" w:color="000000"/>
              <w:right w:val="single" w:sz="8" w:space="0" w:color="000000"/>
            </w:tcBorders>
            <w:vAlign w:val="center"/>
          </w:tcPr>
          <w:p w14:paraId="060FAF31"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-0.011</w:t>
            </w:r>
          </w:p>
        </w:tc>
        <w:tc>
          <w:tcPr>
            <w:tcW w:w="265" w:type="pct"/>
            <w:tcBorders>
              <w:left w:val="single" w:sz="8" w:space="0" w:color="000000"/>
              <w:bottom w:val="single" w:sz="8" w:space="0" w:color="000000"/>
              <w:right w:val="single" w:sz="8" w:space="0" w:color="FFFFFF"/>
            </w:tcBorders>
            <w:tcMar>
              <w:top w:w="72" w:type="dxa"/>
              <w:left w:w="144" w:type="dxa"/>
              <w:bottom w:w="72" w:type="dxa"/>
              <w:right w:w="144" w:type="dxa"/>
            </w:tcMar>
            <w:vAlign w:val="center"/>
          </w:tcPr>
          <w:p w14:paraId="22C0930A"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-0.685</w:t>
            </w:r>
          </w:p>
        </w:tc>
        <w:tc>
          <w:tcPr>
            <w:tcW w:w="265" w:type="pct"/>
            <w:tcBorders>
              <w:left w:val="single" w:sz="8" w:space="0" w:color="FFFFFF"/>
              <w:bottom w:val="single" w:sz="8" w:space="0" w:color="000000"/>
              <w:right w:val="single" w:sz="8" w:space="0" w:color="000000"/>
            </w:tcBorders>
            <w:tcMar>
              <w:top w:w="72" w:type="dxa"/>
              <w:left w:w="144" w:type="dxa"/>
              <w:bottom w:w="72" w:type="dxa"/>
              <w:right w:w="144" w:type="dxa"/>
            </w:tcMar>
            <w:vAlign w:val="center"/>
          </w:tcPr>
          <w:p w14:paraId="50D5AEDD"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b/>
                <w:bCs/>
                <w:sz w:val="17"/>
                <w:szCs w:val="17"/>
              </w:rPr>
              <w:t>0.002</w:t>
            </w:r>
          </w:p>
        </w:tc>
        <w:tc>
          <w:tcPr>
            <w:tcW w:w="170" w:type="pct"/>
            <w:tcBorders>
              <w:left w:val="single" w:sz="8" w:space="0" w:color="000000"/>
              <w:bottom w:val="single" w:sz="8" w:space="0" w:color="000000"/>
              <w:right w:val="single" w:sz="8" w:space="0" w:color="000000"/>
            </w:tcBorders>
            <w:vAlign w:val="center"/>
          </w:tcPr>
          <w:p w14:paraId="30A23206"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-1.121</w:t>
            </w:r>
          </w:p>
        </w:tc>
        <w:tc>
          <w:tcPr>
            <w:tcW w:w="171" w:type="pct"/>
            <w:tcBorders>
              <w:left w:val="single" w:sz="8" w:space="0" w:color="000000"/>
              <w:bottom w:val="single" w:sz="8" w:space="0" w:color="000000"/>
              <w:right w:val="single" w:sz="8" w:space="0" w:color="auto"/>
            </w:tcBorders>
            <w:vAlign w:val="center"/>
          </w:tcPr>
          <w:p w14:paraId="5965CC92"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-0.250</w:t>
            </w:r>
          </w:p>
        </w:tc>
        <w:tc>
          <w:tcPr>
            <w:tcW w:w="265" w:type="pct"/>
            <w:tcBorders>
              <w:left w:val="single" w:sz="8" w:space="0" w:color="auto"/>
              <w:bottom w:val="single" w:sz="8" w:space="0" w:color="000000"/>
              <w:right w:val="single" w:sz="8" w:space="0" w:color="FFFFFF"/>
            </w:tcBorders>
            <w:tcMar>
              <w:top w:w="72" w:type="dxa"/>
              <w:left w:w="144" w:type="dxa"/>
              <w:bottom w:w="72" w:type="dxa"/>
              <w:right w:w="144" w:type="dxa"/>
            </w:tcMar>
            <w:vAlign w:val="center"/>
          </w:tcPr>
          <w:p w14:paraId="3165E651" w14:textId="77777777" w:rsidR="00735FDF" w:rsidRPr="009E3412" w:rsidRDefault="00735FDF" w:rsidP="00735FDF">
            <w:pPr>
              <w:spacing w:after="0" w:line="240" w:lineRule="auto"/>
              <w:jc w:val="center"/>
              <w:rPr>
                <w:rFonts w:ascii="Times New Roman" w:eastAsia="Times New Roman" w:hAnsi="Times New Roman" w:cs="Times New Roman"/>
                <w:sz w:val="17"/>
                <w:szCs w:val="17"/>
              </w:rPr>
            </w:pPr>
            <w:r w:rsidRPr="009E3412">
              <w:rPr>
                <w:rFonts w:ascii="Times New Roman" w:hAnsi="Times New Roman" w:cs="Times New Roman"/>
                <w:sz w:val="17"/>
                <w:szCs w:val="17"/>
              </w:rPr>
              <w:t>0.340</w:t>
            </w:r>
          </w:p>
        </w:tc>
        <w:tc>
          <w:tcPr>
            <w:tcW w:w="265" w:type="pct"/>
            <w:tcBorders>
              <w:left w:val="single" w:sz="8" w:space="0" w:color="FFFFFF"/>
              <w:bottom w:val="single" w:sz="8" w:space="0" w:color="000000"/>
              <w:right w:val="single" w:sz="8" w:space="0" w:color="000000"/>
            </w:tcBorders>
            <w:tcMar>
              <w:top w:w="72" w:type="dxa"/>
              <w:left w:w="144" w:type="dxa"/>
              <w:bottom w:w="72" w:type="dxa"/>
              <w:right w:w="144" w:type="dxa"/>
            </w:tcMar>
            <w:vAlign w:val="center"/>
          </w:tcPr>
          <w:p w14:paraId="2D416CC5" w14:textId="77777777"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hAnsi="Times New Roman" w:cs="Times New Roman"/>
                <w:sz w:val="17"/>
                <w:szCs w:val="17"/>
              </w:rPr>
              <w:t>0.735</w:t>
            </w:r>
          </w:p>
        </w:tc>
        <w:tc>
          <w:tcPr>
            <w:tcW w:w="209" w:type="pct"/>
            <w:tcBorders>
              <w:left w:val="single" w:sz="8" w:space="0" w:color="FFFFFF"/>
              <w:bottom w:val="single" w:sz="8" w:space="0" w:color="000000"/>
              <w:right w:val="single" w:sz="8" w:space="0" w:color="000000"/>
            </w:tcBorders>
            <w:vAlign w:val="center"/>
          </w:tcPr>
          <w:p w14:paraId="41F69603"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-0.006</w:t>
            </w:r>
          </w:p>
        </w:tc>
        <w:tc>
          <w:tcPr>
            <w:tcW w:w="198" w:type="pct"/>
            <w:tcBorders>
              <w:left w:val="single" w:sz="8" w:space="0" w:color="FFFFFF"/>
              <w:bottom w:val="single" w:sz="8" w:space="0" w:color="000000"/>
              <w:right w:val="single" w:sz="8" w:space="0" w:color="000000"/>
            </w:tcBorders>
            <w:vAlign w:val="center"/>
          </w:tcPr>
          <w:p w14:paraId="2BE5BFC4"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hAnsi="Times New Roman" w:cs="Times New Roman"/>
                <w:sz w:val="17"/>
                <w:szCs w:val="17"/>
              </w:rPr>
              <w:t>0.009</w:t>
            </w:r>
          </w:p>
        </w:tc>
      </w:tr>
      <w:tr w:rsidR="009E3412" w:rsidRPr="009E3412" w14:paraId="1D74743B" w14:textId="77777777" w:rsidTr="00735FDF">
        <w:trPr>
          <w:trHeight w:val="744"/>
        </w:trPr>
        <w:tc>
          <w:tcPr>
            <w:tcW w:w="4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A8F608" w14:textId="1C3EA4D3" w:rsidR="00735FDF" w:rsidRPr="009E3412" w:rsidRDefault="00735FDF" w:rsidP="00735FDF">
            <w:pPr>
              <w:spacing w:after="0" w:line="240" w:lineRule="auto"/>
              <w:jc w:val="center"/>
              <w:rPr>
                <w:rFonts w:ascii="Times New Roman" w:eastAsia="Times New Roman" w:hAnsi="Times New Roman" w:cs="Times New Roman"/>
                <w:b/>
                <w:bCs/>
                <w:sz w:val="17"/>
                <w:szCs w:val="17"/>
              </w:rPr>
            </w:pPr>
            <w:r w:rsidRPr="009E3412">
              <w:rPr>
                <w:rFonts w:ascii="Times New Roman" w:eastAsia="Times New Roman" w:hAnsi="Times New Roman" w:cs="Times New Roman"/>
                <w:b/>
                <w:bCs/>
                <w:kern w:val="24"/>
                <w:sz w:val="17"/>
                <w:szCs w:val="17"/>
              </w:rPr>
              <w:t>Change in early cognitive decline</w:t>
            </w:r>
          </w:p>
        </w:tc>
        <w:tc>
          <w:tcPr>
            <w:tcW w:w="903"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F3740A"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eastAsia="Times New Roman" w:hAnsi="Times New Roman" w:cs="Times New Roman"/>
                <w:kern w:val="24"/>
                <w:sz w:val="17"/>
                <w:szCs w:val="17"/>
              </w:rPr>
              <w:t>Increased</w:t>
            </w:r>
          </w:p>
        </w:tc>
        <w:tc>
          <w:tcPr>
            <w:tcW w:w="97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B76306"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eastAsia="Times New Roman" w:hAnsi="Times New Roman" w:cs="Times New Roman"/>
                <w:kern w:val="24"/>
                <w:sz w:val="17"/>
                <w:szCs w:val="17"/>
              </w:rPr>
              <w:t>Decreased</w:t>
            </w:r>
          </w:p>
        </w:tc>
        <w:tc>
          <w:tcPr>
            <w:tcW w:w="871"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5EAA47"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eastAsia="Times New Roman" w:hAnsi="Times New Roman" w:cs="Times New Roman"/>
                <w:kern w:val="24"/>
                <w:sz w:val="17"/>
                <w:szCs w:val="17"/>
              </w:rPr>
              <w:t>Decreased</w:t>
            </w:r>
          </w:p>
        </w:tc>
        <w:tc>
          <w:tcPr>
            <w:tcW w:w="871"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B7627A"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eastAsia="Times New Roman" w:hAnsi="Times New Roman" w:cs="Times New Roman"/>
                <w:kern w:val="24"/>
                <w:sz w:val="17"/>
                <w:szCs w:val="17"/>
              </w:rPr>
              <w:t>Decreased</w:t>
            </w:r>
          </w:p>
        </w:tc>
        <w:tc>
          <w:tcPr>
            <w:tcW w:w="937"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499F63" w14:textId="77777777" w:rsidR="00735FDF" w:rsidRPr="009E3412" w:rsidRDefault="00735FDF" w:rsidP="00735FDF">
            <w:pPr>
              <w:spacing w:after="0" w:line="240" w:lineRule="auto"/>
              <w:jc w:val="center"/>
              <w:rPr>
                <w:rFonts w:ascii="Times New Roman" w:eastAsia="Times New Roman" w:hAnsi="Times New Roman" w:cs="Times New Roman"/>
                <w:kern w:val="24"/>
                <w:sz w:val="17"/>
                <w:szCs w:val="17"/>
              </w:rPr>
            </w:pPr>
            <w:r w:rsidRPr="009E3412">
              <w:rPr>
                <w:rFonts w:ascii="Times New Roman" w:eastAsia="Times New Roman" w:hAnsi="Times New Roman" w:cs="Times New Roman"/>
                <w:kern w:val="24"/>
                <w:sz w:val="17"/>
                <w:szCs w:val="17"/>
              </w:rPr>
              <w:t>Increased</w:t>
            </w:r>
          </w:p>
        </w:tc>
      </w:tr>
    </w:tbl>
    <w:p w14:paraId="5A1C46D2" w14:textId="77777777" w:rsidR="00B22A5C" w:rsidRPr="009E3412" w:rsidRDefault="00B22A5C" w:rsidP="00735FDF">
      <w:pPr>
        <w:jc w:val="both"/>
        <w:rPr>
          <w:rFonts w:ascii="Times New Roman" w:eastAsia="Times New Roman" w:hAnsi="Times New Roman" w:cs="Times New Roman"/>
        </w:rPr>
      </w:pPr>
    </w:p>
    <w:sectPr w:rsidR="00B22A5C" w:rsidRPr="009E3412" w:rsidSect="00735FDF">
      <w:pgSz w:w="16838" w:h="11906" w:orient="landscape" w:code="9"/>
      <w:pgMar w:top="567" w:right="1440" w:bottom="1134" w:left="1440" w:header="709" w:footer="709"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0505" w14:textId="77777777" w:rsidR="00AF3C82" w:rsidRDefault="00AF3C82" w:rsidP="00001CC2">
      <w:pPr>
        <w:spacing w:after="0" w:line="240" w:lineRule="auto"/>
      </w:pPr>
      <w:r>
        <w:separator/>
      </w:r>
    </w:p>
  </w:endnote>
  <w:endnote w:type="continuationSeparator" w:id="0">
    <w:p w14:paraId="48404ABC" w14:textId="77777777" w:rsidR="00AF3C82" w:rsidRDefault="00AF3C82" w:rsidP="0000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CE9D" w14:textId="77777777" w:rsidR="00AF3C82" w:rsidRDefault="00AF3C82" w:rsidP="00001CC2">
      <w:pPr>
        <w:spacing w:after="0" w:line="240" w:lineRule="auto"/>
      </w:pPr>
      <w:r>
        <w:separator/>
      </w:r>
    </w:p>
  </w:footnote>
  <w:footnote w:type="continuationSeparator" w:id="0">
    <w:p w14:paraId="741F0409" w14:textId="77777777" w:rsidR="00AF3C82" w:rsidRDefault="00AF3C82" w:rsidP="00001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7A79"/>
    <w:multiLevelType w:val="hybridMultilevel"/>
    <w:tmpl w:val="95545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0513A"/>
    <w:multiLevelType w:val="hybridMultilevel"/>
    <w:tmpl w:val="E5C8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D1DA0"/>
    <w:multiLevelType w:val="hybridMultilevel"/>
    <w:tmpl w:val="5B449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26462"/>
    <w:multiLevelType w:val="multilevel"/>
    <w:tmpl w:val="C3D69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4EE44D6"/>
    <w:multiLevelType w:val="hybridMultilevel"/>
    <w:tmpl w:val="25EC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243F2"/>
    <w:multiLevelType w:val="hybridMultilevel"/>
    <w:tmpl w:val="7BBC5DEE"/>
    <w:lvl w:ilvl="0" w:tplc="1216514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154032">
    <w:abstractNumId w:val="3"/>
  </w:num>
  <w:num w:numId="2" w16cid:durableId="919289106">
    <w:abstractNumId w:val="4"/>
  </w:num>
  <w:num w:numId="3" w16cid:durableId="1759788447">
    <w:abstractNumId w:val="0"/>
  </w:num>
  <w:num w:numId="4" w16cid:durableId="736784578">
    <w:abstractNumId w:val="2"/>
  </w:num>
  <w:num w:numId="5" w16cid:durableId="557664321">
    <w:abstractNumId w:val="1"/>
  </w:num>
  <w:num w:numId="6" w16cid:durableId="1937639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zNzIyMbEwtTQxNzBQ0lEKTi0uzszPAykwMqkFAEPmn88tAAAA"/>
  </w:docVars>
  <w:rsids>
    <w:rsidRoot w:val="00150AD6"/>
    <w:rsid w:val="0000043B"/>
    <w:rsid w:val="00000C19"/>
    <w:rsid w:val="00001125"/>
    <w:rsid w:val="0000159B"/>
    <w:rsid w:val="000019F6"/>
    <w:rsid w:val="00001C9D"/>
    <w:rsid w:val="00001CC2"/>
    <w:rsid w:val="000046CE"/>
    <w:rsid w:val="00005CC2"/>
    <w:rsid w:val="000072CA"/>
    <w:rsid w:val="00007829"/>
    <w:rsid w:val="00007E73"/>
    <w:rsid w:val="000102B4"/>
    <w:rsid w:val="00010AE8"/>
    <w:rsid w:val="00010EF7"/>
    <w:rsid w:val="00013914"/>
    <w:rsid w:val="00013EE7"/>
    <w:rsid w:val="00014348"/>
    <w:rsid w:val="00014981"/>
    <w:rsid w:val="0001595B"/>
    <w:rsid w:val="00016019"/>
    <w:rsid w:val="00016EC5"/>
    <w:rsid w:val="00017407"/>
    <w:rsid w:val="0001754E"/>
    <w:rsid w:val="00020997"/>
    <w:rsid w:val="00021697"/>
    <w:rsid w:val="00022C5C"/>
    <w:rsid w:val="00022DB8"/>
    <w:rsid w:val="00023C11"/>
    <w:rsid w:val="00023D2D"/>
    <w:rsid w:val="00024580"/>
    <w:rsid w:val="00024672"/>
    <w:rsid w:val="00024E67"/>
    <w:rsid w:val="000268CB"/>
    <w:rsid w:val="00026F80"/>
    <w:rsid w:val="000273F7"/>
    <w:rsid w:val="000306CF"/>
    <w:rsid w:val="00030790"/>
    <w:rsid w:val="00031A8E"/>
    <w:rsid w:val="00032B81"/>
    <w:rsid w:val="00033720"/>
    <w:rsid w:val="00033AD5"/>
    <w:rsid w:val="00034FBE"/>
    <w:rsid w:val="00035B58"/>
    <w:rsid w:val="00036D2F"/>
    <w:rsid w:val="00036FC7"/>
    <w:rsid w:val="00037060"/>
    <w:rsid w:val="00040A69"/>
    <w:rsid w:val="00040B19"/>
    <w:rsid w:val="000415AF"/>
    <w:rsid w:val="00041DE5"/>
    <w:rsid w:val="000427DE"/>
    <w:rsid w:val="00043CF7"/>
    <w:rsid w:val="000440FB"/>
    <w:rsid w:val="0004416E"/>
    <w:rsid w:val="000447DE"/>
    <w:rsid w:val="00045267"/>
    <w:rsid w:val="00046224"/>
    <w:rsid w:val="0005075E"/>
    <w:rsid w:val="000512B4"/>
    <w:rsid w:val="000521E3"/>
    <w:rsid w:val="00054249"/>
    <w:rsid w:val="00055BEA"/>
    <w:rsid w:val="00055F28"/>
    <w:rsid w:val="00056723"/>
    <w:rsid w:val="000601A5"/>
    <w:rsid w:val="0006028C"/>
    <w:rsid w:val="000618AB"/>
    <w:rsid w:val="00063FB5"/>
    <w:rsid w:val="000643BE"/>
    <w:rsid w:val="00064834"/>
    <w:rsid w:val="000653D0"/>
    <w:rsid w:val="00066BD2"/>
    <w:rsid w:val="00070BC0"/>
    <w:rsid w:val="0007117A"/>
    <w:rsid w:val="00071580"/>
    <w:rsid w:val="0007362D"/>
    <w:rsid w:val="000748CC"/>
    <w:rsid w:val="00074D8D"/>
    <w:rsid w:val="00075687"/>
    <w:rsid w:val="00075A8E"/>
    <w:rsid w:val="0007638B"/>
    <w:rsid w:val="00077E08"/>
    <w:rsid w:val="000809CA"/>
    <w:rsid w:val="00081D41"/>
    <w:rsid w:val="0008229A"/>
    <w:rsid w:val="000823C4"/>
    <w:rsid w:val="000824CA"/>
    <w:rsid w:val="00082CF9"/>
    <w:rsid w:val="0008417A"/>
    <w:rsid w:val="00084FB7"/>
    <w:rsid w:val="000857B4"/>
    <w:rsid w:val="00086DAA"/>
    <w:rsid w:val="00090AC2"/>
    <w:rsid w:val="00090B4F"/>
    <w:rsid w:val="00090F38"/>
    <w:rsid w:val="0009167D"/>
    <w:rsid w:val="00091A08"/>
    <w:rsid w:val="0009212D"/>
    <w:rsid w:val="00092146"/>
    <w:rsid w:val="00092678"/>
    <w:rsid w:val="00092B63"/>
    <w:rsid w:val="00093299"/>
    <w:rsid w:val="00093950"/>
    <w:rsid w:val="00093BCD"/>
    <w:rsid w:val="00093C5D"/>
    <w:rsid w:val="000940A3"/>
    <w:rsid w:val="0009514C"/>
    <w:rsid w:val="000961A0"/>
    <w:rsid w:val="000964E9"/>
    <w:rsid w:val="00096930"/>
    <w:rsid w:val="000A03BD"/>
    <w:rsid w:val="000A4630"/>
    <w:rsid w:val="000A486B"/>
    <w:rsid w:val="000A4C4A"/>
    <w:rsid w:val="000A4CF1"/>
    <w:rsid w:val="000A55EA"/>
    <w:rsid w:val="000B0B6B"/>
    <w:rsid w:val="000B21AD"/>
    <w:rsid w:val="000B259E"/>
    <w:rsid w:val="000B30F5"/>
    <w:rsid w:val="000B3632"/>
    <w:rsid w:val="000B51E4"/>
    <w:rsid w:val="000B5B73"/>
    <w:rsid w:val="000B6F7C"/>
    <w:rsid w:val="000B7DEA"/>
    <w:rsid w:val="000C0617"/>
    <w:rsid w:val="000C1242"/>
    <w:rsid w:val="000C1451"/>
    <w:rsid w:val="000C22D2"/>
    <w:rsid w:val="000C32A6"/>
    <w:rsid w:val="000C3BF4"/>
    <w:rsid w:val="000C4ABF"/>
    <w:rsid w:val="000C50D5"/>
    <w:rsid w:val="000C59D2"/>
    <w:rsid w:val="000C5A64"/>
    <w:rsid w:val="000C6F6E"/>
    <w:rsid w:val="000D06E8"/>
    <w:rsid w:val="000D1869"/>
    <w:rsid w:val="000D24E5"/>
    <w:rsid w:val="000D2A95"/>
    <w:rsid w:val="000D3BDC"/>
    <w:rsid w:val="000D3DD7"/>
    <w:rsid w:val="000D53C5"/>
    <w:rsid w:val="000D5E99"/>
    <w:rsid w:val="000D6B6E"/>
    <w:rsid w:val="000D6F37"/>
    <w:rsid w:val="000D7478"/>
    <w:rsid w:val="000E0039"/>
    <w:rsid w:val="000E0D8A"/>
    <w:rsid w:val="000E38D7"/>
    <w:rsid w:val="000E3E44"/>
    <w:rsid w:val="000E77C4"/>
    <w:rsid w:val="000F0B7D"/>
    <w:rsid w:val="000F0D64"/>
    <w:rsid w:val="000F148F"/>
    <w:rsid w:val="000F1DB6"/>
    <w:rsid w:val="000F68CB"/>
    <w:rsid w:val="00100671"/>
    <w:rsid w:val="001006A4"/>
    <w:rsid w:val="00100CA9"/>
    <w:rsid w:val="0010124C"/>
    <w:rsid w:val="00101924"/>
    <w:rsid w:val="0010349C"/>
    <w:rsid w:val="00106482"/>
    <w:rsid w:val="00107379"/>
    <w:rsid w:val="001074FC"/>
    <w:rsid w:val="0011053A"/>
    <w:rsid w:val="001109D0"/>
    <w:rsid w:val="001112AD"/>
    <w:rsid w:val="001129D9"/>
    <w:rsid w:val="001146BC"/>
    <w:rsid w:val="001146E9"/>
    <w:rsid w:val="0011493F"/>
    <w:rsid w:val="001156B6"/>
    <w:rsid w:val="00116756"/>
    <w:rsid w:val="00116F7E"/>
    <w:rsid w:val="0012090B"/>
    <w:rsid w:val="00120981"/>
    <w:rsid w:val="00120AA1"/>
    <w:rsid w:val="00120DB3"/>
    <w:rsid w:val="001224B7"/>
    <w:rsid w:val="00123A5E"/>
    <w:rsid w:val="0012471A"/>
    <w:rsid w:val="0012587E"/>
    <w:rsid w:val="001258E8"/>
    <w:rsid w:val="00125B92"/>
    <w:rsid w:val="00125CFA"/>
    <w:rsid w:val="00127039"/>
    <w:rsid w:val="00130352"/>
    <w:rsid w:val="0013096E"/>
    <w:rsid w:val="00130EE5"/>
    <w:rsid w:val="00130F03"/>
    <w:rsid w:val="00131789"/>
    <w:rsid w:val="00131818"/>
    <w:rsid w:val="0013263F"/>
    <w:rsid w:val="00133663"/>
    <w:rsid w:val="001343A1"/>
    <w:rsid w:val="00134D75"/>
    <w:rsid w:val="00135482"/>
    <w:rsid w:val="00136C3C"/>
    <w:rsid w:val="00137009"/>
    <w:rsid w:val="00137467"/>
    <w:rsid w:val="00137A08"/>
    <w:rsid w:val="00140FC5"/>
    <w:rsid w:val="001410D9"/>
    <w:rsid w:val="00141471"/>
    <w:rsid w:val="00141612"/>
    <w:rsid w:val="001421A5"/>
    <w:rsid w:val="00142A3E"/>
    <w:rsid w:val="001434C5"/>
    <w:rsid w:val="001508AF"/>
    <w:rsid w:val="001508FA"/>
    <w:rsid w:val="00150AD6"/>
    <w:rsid w:val="00151A1B"/>
    <w:rsid w:val="00151C7B"/>
    <w:rsid w:val="001549A9"/>
    <w:rsid w:val="00154F3C"/>
    <w:rsid w:val="00154FBD"/>
    <w:rsid w:val="00155B91"/>
    <w:rsid w:val="00155DDC"/>
    <w:rsid w:val="001563A6"/>
    <w:rsid w:val="001579C6"/>
    <w:rsid w:val="00160E7C"/>
    <w:rsid w:val="001611C7"/>
    <w:rsid w:val="00161A8E"/>
    <w:rsid w:val="00161D4C"/>
    <w:rsid w:val="00162CA7"/>
    <w:rsid w:val="001635B9"/>
    <w:rsid w:val="0016458B"/>
    <w:rsid w:val="00164978"/>
    <w:rsid w:val="00165323"/>
    <w:rsid w:val="00167EB5"/>
    <w:rsid w:val="001704FA"/>
    <w:rsid w:val="00171017"/>
    <w:rsid w:val="00171042"/>
    <w:rsid w:val="00172058"/>
    <w:rsid w:val="00172172"/>
    <w:rsid w:val="001727CB"/>
    <w:rsid w:val="00172ABC"/>
    <w:rsid w:val="001734EE"/>
    <w:rsid w:val="00175825"/>
    <w:rsid w:val="00175A2F"/>
    <w:rsid w:val="001774C3"/>
    <w:rsid w:val="00182255"/>
    <w:rsid w:val="0018396C"/>
    <w:rsid w:val="00185781"/>
    <w:rsid w:val="0018625D"/>
    <w:rsid w:val="00186E46"/>
    <w:rsid w:val="00190CC1"/>
    <w:rsid w:val="001911D4"/>
    <w:rsid w:val="0019162C"/>
    <w:rsid w:val="00193213"/>
    <w:rsid w:val="0019322E"/>
    <w:rsid w:val="00193865"/>
    <w:rsid w:val="0019478A"/>
    <w:rsid w:val="0019521D"/>
    <w:rsid w:val="00195B90"/>
    <w:rsid w:val="001979D6"/>
    <w:rsid w:val="001A04F6"/>
    <w:rsid w:val="001A0DCA"/>
    <w:rsid w:val="001A1843"/>
    <w:rsid w:val="001A1BB2"/>
    <w:rsid w:val="001A273D"/>
    <w:rsid w:val="001A2888"/>
    <w:rsid w:val="001A4416"/>
    <w:rsid w:val="001A654E"/>
    <w:rsid w:val="001B0FC9"/>
    <w:rsid w:val="001B1503"/>
    <w:rsid w:val="001B2DD0"/>
    <w:rsid w:val="001B3427"/>
    <w:rsid w:val="001B4134"/>
    <w:rsid w:val="001B42AE"/>
    <w:rsid w:val="001B50AF"/>
    <w:rsid w:val="001B6B84"/>
    <w:rsid w:val="001C0204"/>
    <w:rsid w:val="001C146C"/>
    <w:rsid w:val="001C7031"/>
    <w:rsid w:val="001C706D"/>
    <w:rsid w:val="001C7546"/>
    <w:rsid w:val="001C7AC3"/>
    <w:rsid w:val="001D3769"/>
    <w:rsid w:val="001D42EE"/>
    <w:rsid w:val="001D4598"/>
    <w:rsid w:val="001D53AB"/>
    <w:rsid w:val="001D62B8"/>
    <w:rsid w:val="001D6D45"/>
    <w:rsid w:val="001D7055"/>
    <w:rsid w:val="001D736C"/>
    <w:rsid w:val="001E0F8A"/>
    <w:rsid w:val="001E17AA"/>
    <w:rsid w:val="001E2393"/>
    <w:rsid w:val="001E23D8"/>
    <w:rsid w:val="001E4164"/>
    <w:rsid w:val="001E4348"/>
    <w:rsid w:val="001E4B2A"/>
    <w:rsid w:val="001E7830"/>
    <w:rsid w:val="001E7B8D"/>
    <w:rsid w:val="001F1E4E"/>
    <w:rsid w:val="001F394D"/>
    <w:rsid w:val="001F4792"/>
    <w:rsid w:val="001F5A82"/>
    <w:rsid w:val="001F7C6F"/>
    <w:rsid w:val="00200A44"/>
    <w:rsid w:val="00201CC4"/>
    <w:rsid w:val="002031AA"/>
    <w:rsid w:val="00203539"/>
    <w:rsid w:val="002047C6"/>
    <w:rsid w:val="002053E2"/>
    <w:rsid w:val="00205825"/>
    <w:rsid w:val="00205882"/>
    <w:rsid w:val="00212649"/>
    <w:rsid w:val="00212861"/>
    <w:rsid w:val="00212AC5"/>
    <w:rsid w:val="00212AF7"/>
    <w:rsid w:val="002130A6"/>
    <w:rsid w:val="002131C9"/>
    <w:rsid w:val="00213BAC"/>
    <w:rsid w:val="002159AE"/>
    <w:rsid w:val="00217027"/>
    <w:rsid w:val="00217CFB"/>
    <w:rsid w:val="00220110"/>
    <w:rsid w:val="00220491"/>
    <w:rsid w:val="002220A6"/>
    <w:rsid w:val="00223099"/>
    <w:rsid w:val="00224F0F"/>
    <w:rsid w:val="00224F7E"/>
    <w:rsid w:val="00225E19"/>
    <w:rsid w:val="0022612D"/>
    <w:rsid w:val="002319AA"/>
    <w:rsid w:val="00231A74"/>
    <w:rsid w:val="00234393"/>
    <w:rsid w:val="0023498A"/>
    <w:rsid w:val="00234D2F"/>
    <w:rsid w:val="00235FBC"/>
    <w:rsid w:val="0023668F"/>
    <w:rsid w:val="0023679D"/>
    <w:rsid w:val="00237196"/>
    <w:rsid w:val="00242CAA"/>
    <w:rsid w:val="00243D7C"/>
    <w:rsid w:val="00246A1B"/>
    <w:rsid w:val="00246BF3"/>
    <w:rsid w:val="00247F71"/>
    <w:rsid w:val="00250D8E"/>
    <w:rsid w:val="00251285"/>
    <w:rsid w:val="00251BE3"/>
    <w:rsid w:val="00251E27"/>
    <w:rsid w:val="00251F36"/>
    <w:rsid w:val="002522DA"/>
    <w:rsid w:val="0025276E"/>
    <w:rsid w:val="00253709"/>
    <w:rsid w:val="00254C36"/>
    <w:rsid w:val="00255D8A"/>
    <w:rsid w:val="00256360"/>
    <w:rsid w:val="00260D55"/>
    <w:rsid w:val="00261DF4"/>
    <w:rsid w:val="002622EB"/>
    <w:rsid w:val="002631D0"/>
    <w:rsid w:val="0026335D"/>
    <w:rsid w:val="00263BE7"/>
    <w:rsid w:val="00263F82"/>
    <w:rsid w:val="00263FCC"/>
    <w:rsid w:val="00264108"/>
    <w:rsid w:val="002644C0"/>
    <w:rsid w:val="00265D53"/>
    <w:rsid w:val="0026722E"/>
    <w:rsid w:val="002718EB"/>
    <w:rsid w:val="00271F85"/>
    <w:rsid w:val="00272CE4"/>
    <w:rsid w:val="002733DB"/>
    <w:rsid w:val="002760E2"/>
    <w:rsid w:val="002762A0"/>
    <w:rsid w:val="002811AE"/>
    <w:rsid w:val="0028160C"/>
    <w:rsid w:val="00281645"/>
    <w:rsid w:val="00281E0F"/>
    <w:rsid w:val="00281E4F"/>
    <w:rsid w:val="00283461"/>
    <w:rsid w:val="002838CB"/>
    <w:rsid w:val="00283A8A"/>
    <w:rsid w:val="00283C0F"/>
    <w:rsid w:val="002841C8"/>
    <w:rsid w:val="0028472D"/>
    <w:rsid w:val="00285E67"/>
    <w:rsid w:val="00287A7C"/>
    <w:rsid w:val="00291B0B"/>
    <w:rsid w:val="002925EC"/>
    <w:rsid w:val="0029271F"/>
    <w:rsid w:val="00293E07"/>
    <w:rsid w:val="0029443E"/>
    <w:rsid w:val="00294857"/>
    <w:rsid w:val="00295968"/>
    <w:rsid w:val="002A0498"/>
    <w:rsid w:val="002A14A3"/>
    <w:rsid w:val="002A19B3"/>
    <w:rsid w:val="002A48B6"/>
    <w:rsid w:val="002B0769"/>
    <w:rsid w:val="002B1193"/>
    <w:rsid w:val="002B1F07"/>
    <w:rsid w:val="002B5A7B"/>
    <w:rsid w:val="002B71FE"/>
    <w:rsid w:val="002B72FF"/>
    <w:rsid w:val="002C0935"/>
    <w:rsid w:val="002C09D4"/>
    <w:rsid w:val="002C0C9F"/>
    <w:rsid w:val="002C0E6F"/>
    <w:rsid w:val="002C0F64"/>
    <w:rsid w:val="002C106D"/>
    <w:rsid w:val="002C1134"/>
    <w:rsid w:val="002C1702"/>
    <w:rsid w:val="002C3262"/>
    <w:rsid w:val="002C3532"/>
    <w:rsid w:val="002C423F"/>
    <w:rsid w:val="002C42FB"/>
    <w:rsid w:val="002C4305"/>
    <w:rsid w:val="002C4CFC"/>
    <w:rsid w:val="002C7A02"/>
    <w:rsid w:val="002D17AF"/>
    <w:rsid w:val="002D17CA"/>
    <w:rsid w:val="002D31A0"/>
    <w:rsid w:val="002D4588"/>
    <w:rsid w:val="002D5BF6"/>
    <w:rsid w:val="002D6FB5"/>
    <w:rsid w:val="002E00F0"/>
    <w:rsid w:val="002E049C"/>
    <w:rsid w:val="002E18CD"/>
    <w:rsid w:val="002E37EC"/>
    <w:rsid w:val="002E3905"/>
    <w:rsid w:val="002E44A6"/>
    <w:rsid w:val="002E5AB6"/>
    <w:rsid w:val="002E5C6C"/>
    <w:rsid w:val="002E5E29"/>
    <w:rsid w:val="002E6251"/>
    <w:rsid w:val="002E6322"/>
    <w:rsid w:val="002E676C"/>
    <w:rsid w:val="002F07FE"/>
    <w:rsid w:val="002F2FA4"/>
    <w:rsid w:val="002F39EE"/>
    <w:rsid w:val="002F461E"/>
    <w:rsid w:val="002F51C2"/>
    <w:rsid w:val="002F5348"/>
    <w:rsid w:val="002F59C3"/>
    <w:rsid w:val="002F5DFE"/>
    <w:rsid w:val="00300F53"/>
    <w:rsid w:val="0030218B"/>
    <w:rsid w:val="003021C5"/>
    <w:rsid w:val="0030250B"/>
    <w:rsid w:val="00303025"/>
    <w:rsid w:val="003056EF"/>
    <w:rsid w:val="003057DD"/>
    <w:rsid w:val="00305DAA"/>
    <w:rsid w:val="003061DF"/>
    <w:rsid w:val="00306268"/>
    <w:rsid w:val="0030644F"/>
    <w:rsid w:val="00306CB1"/>
    <w:rsid w:val="00307102"/>
    <w:rsid w:val="00307BA7"/>
    <w:rsid w:val="0031007D"/>
    <w:rsid w:val="00310940"/>
    <w:rsid w:val="00310D0E"/>
    <w:rsid w:val="0031253D"/>
    <w:rsid w:val="003129C4"/>
    <w:rsid w:val="00313D65"/>
    <w:rsid w:val="003143BC"/>
    <w:rsid w:val="0031489E"/>
    <w:rsid w:val="0031592E"/>
    <w:rsid w:val="00316AA3"/>
    <w:rsid w:val="00320B24"/>
    <w:rsid w:val="00321E85"/>
    <w:rsid w:val="003224F6"/>
    <w:rsid w:val="00322818"/>
    <w:rsid w:val="00324441"/>
    <w:rsid w:val="003246AE"/>
    <w:rsid w:val="003249D9"/>
    <w:rsid w:val="00325CF9"/>
    <w:rsid w:val="00326B8C"/>
    <w:rsid w:val="00326FC3"/>
    <w:rsid w:val="0032760A"/>
    <w:rsid w:val="00330CD8"/>
    <w:rsid w:val="003318EB"/>
    <w:rsid w:val="003319F2"/>
    <w:rsid w:val="00331CDF"/>
    <w:rsid w:val="00334F21"/>
    <w:rsid w:val="00337C93"/>
    <w:rsid w:val="00340281"/>
    <w:rsid w:val="003411F9"/>
    <w:rsid w:val="00341420"/>
    <w:rsid w:val="00342797"/>
    <w:rsid w:val="00342E82"/>
    <w:rsid w:val="003431E4"/>
    <w:rsid w:val="00343619"/>
    <w:rsid w:val="00344AAC"/>
    <w:rsid w:val="0034571B"/>
    <w:rsid w:val="00347A8E"/>
    <w:rsid w:val="00347D8C"/>
    <w:rsid w:val="003502BB"/>
    <w:rsid w:val="0035050C"/>
    <w:rsid w:val="00350AAC"/>
    <w:rsid w:val="003526F8"/>
    <w:rsid w:val="00353AFA"/>
    <w:rsid w:val="003540C9"/>
    <w:rsid w:val="00356F52"/>
    <w:rsid w:val="0036160C"/>
    <w:rsid w:val="00361A6C"/>
    <w:rsid w:val="00363AFC"/>
    <w:rsid w:val="00363CB9"/>
    <w:rsid w:val="0036468A"/>
    <w:rsid w:val="00365604"/>
    <w:rsid w:val="00365CB4"/>
    <w:rsid w:val="00365D16"/>
    <w:rsid w:val="00365E03"/>
    <w:rsid w:val="003677DB"/>
    <w:rsid w:val="00371102"/>
    <w:rsid w:val="00373C53"/>
    <w:rsid w:val="00374217"/>
    <w:rsid w:val="00375324"/>
    <w:rsid w:val="003758B8"/>
    <w:rsid w:val="00376746"/>
    <w:rsid w:val="00376B48"/>
    <w:rsid w:val="00377B53"/>
    <w:rsid w:val="003814F9"/>
    <w:rsid w:val="0038179A"/>
    <w:rsid w:val="00382276"/>
    <w:rsid w:val="00383FBD"/>
    <w:rsid w:val="0038411B"/>
    <w:rsid w:val="00384AFF"/>
    <w:rsid w:val="00385099"/>
    <w:rsid w:val="003850D3"/>
    <w:rsid w:val="00386EAA"/>
    <w:rsid w:val="00387387"/>
    <w:rsid w:val="003876B7"/>
    <w:rsid w:val="00387C0C"/>
    <w:rsid w:val="0039139B"/>
    <w:rsid w:val="00391D6A"/>
    <w:rsid w:val="00392A2A"/>
    <w:rsid w:val="00394EEA"/>
    <w:rsid w:val="003953BB"/>
    <w:rsid w:val="00395CFB"/>
    <w:rsid w:val="0039730B"/>
    <w:rsid w:val="003A00ED"/>
    <w:rsid w:val="003A1024"/>
    <w:rsid w:val="003A1752"/>
    <w:rsid w:val="003A178E"/>
    <w:rsid w:val="003A46CC"/>
    <w:rsid w:val="003A4A6A"/>
    <w:rsid w:val="003A50C3"/>
    <w:rsid w:val="003A5FB1"/>
    <w:rsid w:val="003A6605"/>
    <w:rsid w:val="003A79A1"/>
    <w:rsid w:val="003B2CD2"/>
    <w:rsid w:val="003B3E79"/>
    <w:rsid w:val="003B40AB"/>
    <w:rsid w:val="003B45D0"/>
    <w:rsid w:val="003B52C3"/>
    <w:rsid w:val="003B6163"/>
    <w:rsid w:val="003B64BD"/>
    <w:rsid w:val="003B65DA"/>
    <w:rsid w:val="003B7D5F"/>
    <w:rsid w:val="003C0AE8"/>
    <w:rsid w:val="003C0B03"/>
    <w:rsid w:val="003C1936"/>
    <w:rsid w:val="003C2239"/>
    <w:rsid w:val="003C2712"/>
    <w:rsid w:val="003C38AC"/>
    <w:rsid w:val="003C3C0D"/>
    <w:rsid w:val="003C4547"/>
    <w:rsid w:val="003C4B4A"/>
    <w:rsid w:val="003C609C"/>
    <w:rsid w:val="003C7A22"/>
    <w:rsid w:val="003D0C9A"/>
    <w:rsid w:val="003D1134"/>
    <w:rsid w:val="003D14B6"/>
    <w:rsid w:val="003D1E90"/>
    <w:rsid w:val="003D225E"/>
    <w:rsid w:val="003D25E6"/>
    <w:rsid w:val="003D3609"/>
    <w:rsid w:val="003D43C1"/>
    <w:rsid w:val="003D46F7"/>
    <w:rsid w:val="003D6264"/>
    <w:rsid w:val="003D6327"/>
    <w:rsid w:val="003D6B9C"/>
    <w:rsid w:val="003E2140"/>
    <w:rsid w:val="003E2FB5"/>
    <w:rsid w:val="003E5AD6"/>
    <w:rsid w:val="003E7802"/>
    <w:rsid w:val="003F105A"/>
    <w:rsid w:val="003F1241"/>
    <w:rsid w:val="003F2038"/>
    <w:rsid w:val="003F2377"/>
    <w:rsid w:val="003F32B0"/>
    <w:rsid w:val="003F3953"/>
    <w:rsid w:val="003F5870"/>
    <w:rsid w:val="003F594E"/>
    <w:rsid w:val="003F6ADB"/>
    <w:rsid w:val="003F7DAF"/>
    <w:rsid w:val="004007A0"/>
    <w:rsid w:val="00400A26"/>
    <w:rsid w:val="00400A85"/>
    <w:rsid w:val="004016B5"/>
    <w:rsid w:val="0040222B"/>
    <w:rsid w:val="004026DC"/>
    <w:rsid w:val="004039A2"/>
    <w:rsid w:val="004039B6"/>
    <w:rsid w:val="00403CA1"/>
    <w:rsid w:val="004040D8"/>
    <w:rsid w:val="0040518C"/>
    <w:rsid w:val="00405829"/>
    <w:rsid w:val="004071F5"/>
    <w:rsid w:val="004079D8"/>
    <w:rsid w:val="00412027"/>
    <w:rsid w:val="0041272F"/>
    <w:rsid w:val="004138E6"/>
    <w:rsid w:val="00413F0E"/>
    <w:rsid w:val="004151C6"/>
    <w:rsid w:val="00415588"/>
    <w:rsid w:val="0041590A"/>
    <w:rsid w:val="00415A33"/>
    <w:rsid w:val="00415A68"/>
    <w:rsid w:val="00416E71"/>
    <w:rsid w:val="00416EC1"/>
    <w:rsid w:val="0042044F"/>
    <w:rsid w:val="00421E34"/>
    <w:rsid w:val="004244D7"/>
    <w:rsid w:val="00424564"/>
    <w:rsid w:val="004246A8"/>
    <w:rsid w:val="004246F0"/>
    <w:rsid w:val="00426DEE"/>
    <w:rsid w:val="0042769E"/>
    <w:rsid w:val="004309AC"/>
    <w:rsid w:val="00431FFA"/>
    <w:rsid w:val="00432AA5"/>
    <w:rsid w:val="00433760"/>
    <w:rsid w:val="004349CF"/>
    <w:rsid w:val="00435BA6"/>
    <w:rsid w:val="00435EF6"/>
    <w:rsid w:val="00437EC2"/>
    <w:rsid w:val="00440506"/>
    <w:rsid w:val="0044160E"/>
    <w:rsid w:val="00442441"/>
    <w:rsid w:val="004425CC"/>
    <w:rsid w:val="0044263B"/>
    <w:rsid w:val="0044593A"/>
    <w:rsid w:val="00446910"/>
    <w:rsid w:val="00450930"/>
    <w:rsid w:val="0045102F"/>
    <w:rsid w:val="004518EC"/>
    <w:rsid w:val="00451EAA"/>
    <w:rsid w:val="004533A1"/>
    <w:rsid w:val="00454C20"/>
    <w:rsid w:val="0045547D"/>
    <w:rsid w:val="00455D79"/>
    <w:rsid w:val="004600A0"/>
    <w:rsid w:val="00462DAB"/>
    <w:rsid w:val="00463930"/>
    <w:rsid w:val="00463C98"/>
    <w:rsid w:val="00463D35"/>
    <w:rsid w:val="00464B62"/>
    <w:rsid w:val="00466601"/>
    <w:rsid w:val="00466DD5"/>
    <w:rsid w:val="00467417"/>
    <w:rsid w:val="004706C7"/>
    <w:rsid w:val="00471DFD"/>
    <w:rsid w:val="0047404E"/>
    <w:rsid w:val="0047444A"/>
    <w:rsid w:val="004749DD"/>
    <w:rsid w:val="0047732A"/>
    <w:rsid w:val="00477AAA"/>
    <w:rsid w:val="00480977"/>
    <w:rsid w:val="00480BF6"/>
    <w:rsid w:val="004817FA"/>
    <w:rsid w:val="00482122"/>
    <w:rsid w:val="004829D8"/>
    <w:rsid w:val="00483AC4"/>
    <w:rsid w:val="00483D48"/>
    <w:rsid w:val="004843A8"/>
    <w:rsid w:val="0048444E"/>
    <w:rsid w:val="00491B16"/>
    <w:rsid w:val="004929F0"/>
    <w:rsid w:val="00493671"/>
    <w:rsid w:val="00493BC8"/>
    <w:rsid w:val="0049469D"/>
    <w:rsid w:val="00495211"/>
    <w:rsid w:val="004962EB"/>
    <w:rsid w:val="0049699F"/>
    <w:rsid w:val="004972D3"/>
    <w:rsid w:val="004A2564"/>
    <w:rsid w:val="004A2A46"/>
    <w:rsid w:val="004A3CE6"/>
    <w:rsid w:val="004A53DF"/>
    <w:rsid w:val="004A595F"/>
    <w:rsid w:val="004A63AE"/>
    <w:rsid w:val="004A6D95"/>
    <w:rsid w:val="004A6DAC"/>
    <w:rsid w:val="004B0698"/>
    <w:rsid w:val="004B0E44"/>
    <w:rsid w:val="004B1299"/>
    <w:rsid w:val="004B1AC1"/>
    <w:rsid w:val="004B1EC7"/>
    <w:rsid w:val="004B23EB"/>
    <w:rsid w:val="004B2CB3"/>
    <w:rsid w:val="004B3B7F"/>
    <w:rsid w:val="004B3E92"/>
    <w:rsid w:val="004B423E"/>
    <w:rsid w:val="004B47F3"/>
    <w:rsid w:val="004B5326"/>
    <w:rsid w:val="004B5D03"/>
    <w:rsid w:val="004B60A1"/>
    <w:rsid w:val="004B6DD5"/>
    <w:rsid w:val="004C08CD"/>
    <w:rsid w:val="004C1338"/>
    <w:rsid w:val="004C2E4C"/>
    <w:rsid w:val="004C3AC8"/>
    <w:rsid w:val="004C47E8"/>
    <w:rsid w:val="004C49A5"/>
    <w:rsid w:val="004C74A3"/>
    <w:rsid w:val="004C7E1C"/>
    <w:rsid w:val="004D15B5"/>
    <w:rsid w:val="004D1752"/>
    <w:rsid w:val="004D18C4"/>
    <w:rsid w:val="004D29F6"/>
    <w:rsid w:val="004D333B"/>
    <w:rsid w:val="004D42A3"/>
    <w:rsid w:val="004D4C47"/>
    <w:rsid w:val="004D5928"/>
    <w:rsid w:val="004D7046"/>
    <w:rsid w:val="004D7324"/>
    <w:rsid w:val="004E0E2E"/>
    <w:rsid w:val="004E2D03"/>
    <w:rsid w:val="004E510D"/>
    <w:rsid w:val="004E5443"/>
    <w:rsid w:val="004E7BA4"/>
    <w:rsid w:val="004F00EB"/>
    <w:rsid w:val="004F353F"/>
    <w:rsid w:val="004F5E8D"/>
    <w:rsid w:val="004F658F"/>
    <w:rsid w:val="004F7457"/>
    <w:rsid w:val="00501CC6"/>
    <w:rsid w:val="00503C63"/>
    <w:rsid w:val="00504CA7"/>
    <w:rsid w:val="00505B36"/>
    <w:rsid w:val="005062D9"/>
    <w:rsid w:val="005069C9"/>
    <w:rsid w:val="00506B2B"/>
    <w:rsid w:val="00506ED3"/>
    <w:rsid w:val="00507641"/>
    <w:rsid w:val="0050792D"/>
    <w:rsid w:val="00510014"/>
    <w:rsid w:val="00510166"/>
    <w:rsid w:val="00510790"/>
    <w:rsid w:val="005115F2"/>
    <w:rsid w:val="00514C22"/>
    <w:rsid w:val="005164DB"/>
    <w:rsid w:val="00517086"/>
    <w:rsid w:val="005175D7"/>
    <w:rsid w:val="005201E8"/>
    <w:rsid w:val="0052022F"/>
    <w:rsid w:val="00520708"/>
    <w:rsid w:val="00521C20"/>
    <w:rsid w:val="005221AE"/>
    <w:rsid w:val="00523C12"/>
    <w:rsid w:val="00524F83"/>
    <w:rsid w:val="00525AB6"/>
    <w:rsid w:val="0052758F"/>
    <w:rsid w:val="00530102"/>
    <w:rsid w:val="00530D80"/>
    <w:rsid w:val="00532106"/>
    <w:rsid w:val="00532DB1"/>
    <w:rsid w:val="005336D3"/>
    <w:rsid w:val="00533AFE"/>
    <w:rsid w:val="00533F5A"/>
    <w:rsid w:val="005344C0"/>
    <w:rsid w:val="00534896"/>
    <w:rsid w:val="00535AB1"/>
    <w:rsid w:val="00535ACA"/>
    <w:rsid w:val="00537113"/>
    <w:rsid w:val="00537D3C"/>
    <w:rsid w:val="005407B6"/>
    <w:rsid w:val="005408C9"/>
    <w:rsid w:val="005420C3"/>
    <w:rsid w:val="00542E1A"/>
    <w:rsid w:val="00542F64"/>
    <w:rsid w:val="00544859"/>
    <w:rsid w:val="00545496"/>
    <w:rsid w:val="005465A2"/>
    <w:rsid w:val="00546995"/>
    <w:rsid w:val="005475D8"/>
    <w:rsid w:val="00547A08"/>
    <w:rsid w:val="00547AC4"/>
    <w:rsid w:val="00547E38"/>
    <w:rsid w:val="00550022"/>
    <w:rsid w:val="00551103"/>
    <w:rsid w:val="00551B0A"/>
    <w:rsid w:val="005525FB"/>
    <w:rsid w:val="005526E7"/>
    <w:rsid w:val="00553721"/>
    <w:rsid w:val="0055423F"/>
    <w:rsid w:val="0055430F"/>
    <w:rsid w:val="00554B34"/>
    <w:rsid w:val="00555B77"/>
    <w:rsid w:val="005564CC"/>
    <w:rsid w:val="0056220C"/>
    <w:rsid w:val="00562AEC"/>
    <w:rsid w:val="00562DD0"/>
    <w:rsid w:val="00563136"/>
    <w:rsid w:val="005642E2"/>
    <w:rsid w:val="005660DF"/>
    <w:rsid w:val="005677CB"/>
    <w:rsid w:val="00570E02"/>
    <w:rsid w:val="00572277"/>
    <w:rsid w:val="0057249E"/>
    <w:rsid w:val="0057399C"/>
    <w:rsid w:val="00573D38"/>
    <w:rsid w:val="00574AEB"/>
    <w:rsid w:val="00575B8C"/>
    <w:rsid w:val="00582587"/>
    <w:rsid w:val="00582B00"/>
    <w:rsid w:val="00583A80"/>
    <w:rsid w:val="00586473"/>
    <w:rsid w:val="0058746D"/>
    <w:rsid w:val="00590775"/>
    <w:rsid w:val="005908A7"/>
    <w:rsid w:val="00590A35"/>
    <w:rsid w:val="00591521"/>
    <w:rsid w:val="005921F0"/>
    <w:rsid w:val="005927C1"/>
    <w:rsid w:val="00592ADA"/>
    <w:rsid w:val="00592E84"/>
    <w:rsid w:val="005934D5"/>
    <w:rsid w:val="00594751"/>
    <w:rsid w:val="00595E72"/>
    <w:rsid w:val="0059616A"/>
    <w:rsid w:val="00596880"/>
    <w:rsid w:val="00596A54"/>
    <w:rsid w:val="00597406"/>
    <w:rsid w:val="005978A8"/>
    <w:rsid w:val="00597A8B"/>
    <w:rsid w:val="005A0DB4"/>
    <w:rsid w:val="005A0FD4"/>
    <w:rsid w:val="005A1C15"/>
    <w:rsid w:val="005A3333"/>
    <w:rsid w:val="005A376F"/>
    <w:rsid w:val="005A3BC5"/>
    <w:rsid w:val="005A4F28"/>
    <w:rsid w:val="005A668F"/>
    <w:rsid w:val="005A6F46"/>
    <w:rsid w:val="005A738B"/>
    <w:rsid w:val="005A7430"/>
    <w:rsid w:val="005A7AD6"/>
    <w:rsid w:val="005B090A"/>
    <w:rsid w:val="005B0D4E"/>
    <w:rsid w:val="005B1C3D"/>
    <w:rsid w:val="005B1FB2"/>
    <w:rsid w:val="005B24E9"/>
    <w:rsid w:val="005B2EA6"/>
    <w:rsid w:val="005B4C55"/>
    <w:rsid w:val="005B4E1A"/>
    <w:rsid w:val="005B5861"/>
    <w:rsid w:val="005B586F"/>
    <w:rsid w:val="005B5E72"/>
    <w:rsid w:val="005B6C46"/>
    <w:rsid w:val="005B6F06"/>
    <w:rsid w:val="005B7241"/>
    <w:rsid w:val="005B7F5B"/>
    <w:rsid w:val="005C11AF"/>
    <w:rsid w:val="005C1503"/>
    <w:rsid w:val="005C1C90"/>
    <w:rsid w:val="005C558C"/>
    <w:rsid w:val="005D0139"/>
    <w:rsid w:val="005D053F"/>
    <w:rsid w:val="005D3B13"/>
    <w:rsid w:val="005D45E2"/>
    <w:rsid w:val="005D524B"/>
    <w:rsid w:val="005D5754"/>
    <w:rsid w:val="005D5D79"/>
    <w:rsid w:val="005D64E4"/>
    <w:rsid w:val="005D6ACA"/>
    <w:rsid w:val="005D6BE0"/>
    <w:rsid w:val="005D6CF9"/>
    <w:rsid w:val="005D6F05"/>
    <w:rsid w:val="005D70AD"/>
    <w:rsid w:val="005D788E"/>
    <w:rsid w:val="005D7C09"/>
    <w:rsid w:val="005E05FE"/>
    <w:rsid w:val="005E0C35"/>
    <w:rsid w:val="005E0D93"/>
    <w:rsid w:val="005E1EA6"/>
    <w:rsid w:val="005E27F8"/>
    <w:rsid w:val="005E51B8"/>
    <w:rsid w:val="005E5218"/>
    <w:rsid w:val="005E522E"/>
    <w:rsid w:val="005E5370"/>
    <w:rsid w:val="005E5B66"/>
    <w:rsid w:val="005E5D94"/>
    <w:rsid w:val="005E6EA2"/>
    <w:rsid w:val="005E7A1D"/>
    <w:rsid w:val="005F04C8"/>
    <w:rsid w:val="005F0C55"/>
    <w:rsid w:val="005F30A8"/>
    <w:rsid w:val="005F3213"/>
    <w:rsid w:val="005F3F23"/>
    <w:rsid w:val="005F4661"/>
    <w:rsid w:val="005F4919"/>
    <w:rsid w:val="005F4A14"/>
    <w:rsid w:val="005F4CD7"/>
    <w:rsid w:val="005F55D9"/>
    <w:rsid w:val="005F5A12"/>
    <w:rsid w:val="005F6759"/>
    <w:rsid w:val="005F7F4F"/>
    <w:rsid w:val="0060093C"/>
    <w:rsid w:val="00600C2B"/>
    <w:rsid w:val="00600E91"/>
    <w:rsid w:val="00601629"/>
    <w:rsid w:val="00601B79"/>
    <w:rsid w:val="00601DD4"/>
    <w:rsid w:val="00602EE6"/>
    <w:rsid w:val="00603DFF"/>
    <w:rsid w:val="00607E09"/>
    <w:rsid w:val="00610D97"/>
    <w:rsid w:val="006113C3"/>
    <w:rsid w:val="00611A71"/>
    <w:rsid w:val="0061444A"/>
    <w:rsid w:val="00614A09"/>
    <w:rsid w:val="006151BF"/>
    <w:rsid w:val="00616848"/>
    <w:rsid w:val="006172B8"/>
    <w:rsid w:val="006175B2"/>
    <w:rsid w:val="00617A7C"/>
    <w:rsid w:val="00617E60"/>
    <w:rsid w:val="00620737"/>
    <w:rsid w:val="00623A9D"/>
    <w:rsid w:val="0062421C"/>
    <w:rsid w:val="00624F62"/>
    <w:rsid w:val="006258AD"/>
    <w:rsid w:val="006258EF"/>
    <w:rsid w:val="006259FB"/>
    <w:rsid w:val="00626114"/>
    <w:rsid w:val="0062640A"/>
    <w:rsid w:val="006275D7"/>
    <w:rsid w:val="00630A0B"/>
    <w:rsid w:val="00631839"/>
    <w:rsid w:val="00632B55"/>
    <w:rsid w:val="00632CBC"/>
    <w:rsid w:val="00635842"/>
    <w:rsid w:val="006358FA"/>
    <w:rsid w:val="006359C5"/>
    <w:rsid w:val="00636F0F"/>
    <w:rsid w:val="00637A68"/>
    <w:rsid w:val="00640128"/>
    <w:rsid w:val="00640C18"/>
    <w:rsid w:val="00643702"/>
    <w:rsid w:val="006443C6"/>
    <w:rsid w:val="00644DFA"/>
    <w:rsid w:val="00644F7C"/>
    <w:rsid w:val="00646656"/>
    <w:rsid w:val="00647FD8"/>
    <w:rsid w:val="00650F1A"/>
    <w:rsid w:val="0065127D"/>
    <w:rsid w:val="00652AA5"/>
    <w:rsid w:val="00653904"/>
    <w:rsid w:val="0065490A"/>
    <w:rsid w:val="00655721"/>
    <w:rsid w:val="006561E7"/>
    <w:rsid w:val="006568A5"/>
    <w:rsid w:val="006569D9"/>
    <w:rsid w:val="00660964"/>
    <w:rsid w:val="00660DB6"/>
    <w:rsid w:val="006620F8"/>
    <w:rsid w:val="00662A3D"/>
    <w:rsid w:val="00662C02"/>
    <w:rsid w:val="00663FB9"/>
    <w:rsid w:val="00664AAE"/>
    <w:rsid w:val="00665646"/>
    <w:rsid w:val="006662AB"/>
    <w:rsid w:val="00666B16"/>
    <w:rsid w:val="00670277"/>
    <w:rsid w:val="00670C93"/>
    <w:rsid w:val="00671095"/>
    <w:rsid w:val="00671774"/>
    <w:rsid w:val="00671A76"/>
    <w:rsid w:val="00671F74"/>
    <w:rsid w:val="00672503"/>
    <w:rsid w:val="00673118"/>
    <w:rsid w:val="00673457"/>
    <w:rsid w:val="00674CF3"/>
    <w:rsid w:val="006761D3"/>
    <w:rsid w:val="00676618"/>
    <w:rsid w:val="00676E46"/>
    <w:rsid w:val="006808D5"/>
    <w:rsid w:val="006815F5"/>
    <w:rsid w:val="006824E4"/>
    <w:rsid w:val="00682770"/>
    <w:rsid w:val="00684A85"/>
    <w:rsid w:val="006863DA"/>
    <w:rsid w:val="00686595"/>
    <w:rsid w:val="00686948"/>
    <w:rsid w:val="00687AAD"/>
    <w:rsid w:val="00690F53"/>
    <w:rsid w:val="0069108D"/>
    <w:rsid w:val="00691F74"/>
    <w:rsid w:val="006927B4"/>
    <w:rsid w:val="006947E9"/>
    <w:rsid w:val="006A148B"/>
    <w:rsid w:val="006A2486"/>
    <w:rsid w:val="006A2AEB"/>
    <w:rsid w:val="006A2B2C"/>
    <w:rsid w:val="006A2C54"/>
    <w:rsid w:val="006A2E77"/>
    <w:rsid w:val="006A4E48"/>
    <w:rsid w:val="006A5770"/>
    <w:rsid w:val="006B04AF"/>
    <w:rsid w:val="006B103C"/>
    <w:rsid w:val="006B1BAD"/>
    <w:rsid w:val="006B2B17"/>
    <w:rsid w:val="006B5109"/>
    <w:rsid w:val="006B5702"/>
    <w:rsid w:val="006B7B50"/>
    <w:rsid w:val="006C011E"/>
    <w:rsid w:val="006C07D4"/>
    <w:rsid w:val="006C189D"/>
    <w:rsid w:val="006C1B41"/>
    <w:rsid w:val="006C21DD"/>
    <w:rsid w:val="006C23AA"/>
    <w:rsid w:val="006C29A5"/>
    <w:rsid w:val="006C29B1"/>
    <w:rsid w:val="006C3ACB"/>
    <w:rsid w:val="006C459D"/>
    <w:rsid w:val="006D0CB4"/>
    <w:rsid w:val="006D103B"/>
    <w:rsid w:val="006D2D20"/>
    <w:rsid w:val="006D3F63"/>
    <w:rsid w:val="006D525B"/>
    <w:rsid w:val="006D5F88"/>
    <w:rsid w:val="006D628D"/>
    <w:rsid w:val="006D6736"/>
    <w:rsid w:val="006D74D9"/>
    <w:rsid w:val="006D7B45"/>
    <w:rsid w:val="006E177B"/>
    <w:rsid w:val="006E1E24"/>
    <w:rsid w:val="006E205C"/>
    <w:rsid w:val="006E5252"/>
    <w:rsid w:val="006E53AE"/>
    <w:rsid w:val="006E561C"/>
    <w:rsid w:val="006E6E3D"/>
    <w:rsid w:val="006E7287"/>
    <w:rsid w:val="006E731F"/>
    <w:rsid w:val="006E77B9"/>
    <w:rsid w:val="006F1F4D"/>
    <w:rsid w:val="006F523D"/>
    <w:rsid w:val="006F5AD0"/>
    <w:rsid w:val="006F6407"/>
    <w:rsid w:val="006F7733"/>
    <w:rsid w:val="00701349"/>
    <w:rsid w:val="0070140B"/>
    <w:rsid w:val="0070272B"/>
    <w:rsid w:val="00703165"/>
    <w:rsid w:val="007041DC"/>
    <w:rsid w:val="00705CC2"/>
    <w:rsid w:val="00706711"/>
    <w:rsid w:val="00706762"/>
    <w:rsid w:val="00706937"/>
    <w:rsid w:val="007100D7"/>
    <w:rsid w:val="00710EAA"/>
    <w:rsid w:val="007114AE"/>
    <w:rsid w:val="007124A6"/>
    <w:rsid w:val="007129BC"/>
    <w:rsid w:val="00713DAB"/>
    <w:rsid w:val="0071471C"/>
    <w:rsid w:val="00715148"/>
    <w:rsid w:val="007160F5"/>
    <w:rsid w:val="0071682C"/>
    <w:rsid w:val="0071735E"/>
    <w:rsid w:val="00721118"/>
    <w:rsid w:val="007245C5"/>
    <w:rsid w:val="00724AD3"/>
    <w:rsid w:val="00726275"/>
    <w:rsid w:val="00726334"/>
    <w:rsid w:val="00730A29"/>
    <w:rsid w:val="00730D9F"/>
    <w:rsid w:val="00731335"/>
    <w:rsid w:val="00731339"/>
    <w:rsid w:val="00731CF1"/>
    <w:rsid w:val="00733EF7"/>
    <w:rsid w:val="007340B5"/>
    <w:rsid w:val="007355E2"/>
    <w:rsid w:val="00735FDF"/>
    <w:rsid w:val="007428CA"/>
    <w:rsid w:val="00742DA4"/>
    <w:rsid w:val="00743B5B"/>
    <w:rsid w:val="00744617"/>
    <w:rsid w:val="007447E3"/>
    <w:rsid w:val="007465C5"/>
    <w:rsid w:val="00746EAD"/>
    <w:rsid w:val="00747A0C"/>
    <w:rsid w:val="00750ACD"/>
    <w:rsid w:val="00752377"/>
    <w:rsid w:val="00754A9D"/>
    <w:rsid w:val="00754F65"/>
    <w:rsid w:val="00760A15"/>
    <w:rsid w:val="00761542"/>
    <w:rsid w:val="00761F3F"/>
    <w:rsid w:val="0076377A"/>
    <w:rsid w:val="00763A76"/>
    <w:rsid w:val="00764FE0"/>
    <w:rsid w:val="0076504D"/>
    <w:rsid w:val="0076635A"/>
    <w:rsid w:val="00766BEC"/>
    <w:rsid w:val="007675F3"/>
    <w:rsid w:val="007676CD"/>
    <w:rsid w:val="00767D1A"/>
    <w:rsid w:val="00772209"/>
    <w:rsid w:val="007722BA"/>
    <w:rsid w:val="00773C03"/>
    <w:rsid w:val="00773C89"/>
    <w:rsid w:val="00774243"/>
    <w:rsid w:val="00775E16"/>
    <w:rsid w:val="00775E48"/>
    <w:rsid w:val="007803BF"/>
    <w:rsid w:val="00780439"/>
    <w:rsid w:val="00780500"/>
    <w:rsid w:val="00780624"/>
    <w:rsid w:val="00782AF9"/>
    <w:rsid w:val="007837F5"/>
    <w:rsid w:val="00783C59"/>
    <w:rsid w:val="00784D98"/>
    <w:rsid w:val="007856D7"/>
    <w:rsid w:val="0078590C"/>
    <w:rsid w:val="007867F1"/>
    <w:rsid w:val="00786A68"/>
    <w:rsid w:val="0078719D"/>
    <w:rsid w:val="007874A5"/>
    <w:rsid w:val="00787868"/>
    <w:rsid w:val="00787D0F"/>
    <w:rsid w:val="00787EA8"/>
    <w:rsid w:val="00791F21"/>
    <w:rsid w:val="00792C1B"/>
    <w:rsid w:val="00792D32"/>
    <w:rsid w:val="00792FF8"/>
    <w:rsid w:val="007937BF"/>
    <w:rsid w:val="00796640"/>
    <w:rsid w:val="007A3B79"/>
    <w:rsid w:val="007A535E"/>
    <w:rsid w:val="007A55BE"/>
    <w:rsid w:val="007A68C9"/>
    <w:rsid w:val="007A703A"/>
    <w:rsid w:val="007A7B43"/>
    <w:rsid w:val="007A7D95"/>
    <w:rsid w:val="007B027F"/>
    <w:rsid w:val="007B2565"/>
    <w:rsid w:val="007B2EDD"/>
    <w:rsid w:val="007B40A6"/>
    <w:rsid w:val="007B4F38"/>
    <w:rsid w:val="007B559B"/>
    <w:rsid w:val="007B5E73"/>
    <w:rsid w:val="007B61CB"/>
    <w:rsid w:val="007B7C7F"/>
    <w:rsid w:val="007B7F11"/>
    <w:rsid w:val="007C074D"/>
    <w:rsid w:val="007C2DD4"/>
    <w:rsid w:val="007C3111"/>
    <w:rsid w:val="007C34BD"/>
    <w:rsid w:val="007C389E"/>
    <w:rsid w:val="007C5ABA"/>
    <w:rsid w:val="007C7717"/>
    <w:rsid w:val="007D0DB9"/>
    <w:rsid w:val="007D4F0A"/>
    <w:rsid w:val="007D59EE"/>
    <w:rsid w:val="007D718A"/>
    <w:rsid w:val="007D72C5"/>
    <w:rsid w:val="007D75FF"/>
    <w:rsid w:val="007D7AFE"/>
    <w:rsid w:val="007E0275"/>
    <w:rsid w:val="007E126D"/>
    <w:rsid w:val="007E1A52"/>
    <w:rsid w:val="007E4578"/>
    <w:rsid w:val="007E4FF5"/>
    <w:rsid w:val="007E5116"/>
    <w:rsid w:val="007E5497"/>
    <w:rsid w:val="007E5843"/>
    <w:rsid w:val="007E5BCE"/>
    <w:rsid w:val="007E60F7"/>
    <w:rsid w:val="007E6A97"/>
    <w:rsid w:val="007E7123"/>
    <w:rsid w:val="007E775C"/>
    <w:rsid w:val="007E780C"/>
    <w:rsid w:val="007F1B56"/>
    <w:rsid w:val="007F2B80"/>
    <w:rsid w:val="007F3A4A"/>
    <w:rsid w:val="007F43AF"/>
    <w:rsid w:val="007F51A1"/>
    <w:rsid w:val="007F556B"/>
    <w:rsid w:val="007F5B41"/>
    <w:rsid w:val="007F7D78"/>
    <w:rsid w:val="0080139B"/>
    <w:rsid w:val="008016D1"/>
    <w:rsid w:val="0080234B"/>
    <w:rsid w:val="008036E9"/>
    <w:rsid w:val="00803D5E"/>
    <w:rsid w:val="00804E35"/>
    <w:rsid w:val="00805A20"/>
    <w:rsid w:val="00805BF1"/>
    <w:rsid w:val="00806026"/>
    <w:rsid w:val="008061D7"/>
    <w:rsid w:val="00806FDE"/>
    <w:rsid w:val="0080730A"/>
    <w:rsid w:val="00807C15"/>
    <w:rsid w:val="0081105B"/>
    <w:rsid w:val="0081265B"/>
    <w:rsid w:val="00812FA3"/>
    <w:rsid w:val="0081371D"/>
    <w:rsid w:val="00814100"/>
    <w:rsid w:val="0081490E"/>
    <w:rsid w:val="00815A8F"/>
    <w:rsid w:val="0081639A"/>
    <w:rsid w:val="00820898"/>
    <w:rsid w:val="0082156F"/>
    <w:rsid w:val="00821656"/>
    <w:rsid w:val="008250E8"/>
    <w:rsid w:val="00825144"/>
    <w:rsid w:val="0082522C"/>
    <w:rsid w:val="00826283"/>
    <w:rsid w:val="00826B5E"/>
    <w:rsid w:val="00830C52"/>
    <w:rsid w:val="0083102F"/>
    <w:rsid w:val="008313C6"/>
    <w:rsid w:val="008316EB"/>
    <w:rsid w:val="0083189B"/>
    <w:rsid w:val="00833585"/>
    <w:rsid w:val="00835347"/>
    <w:rsid w:val="00837255"/>
    <w:rsid w:val="00837E03"/>
    <w:rsid w:val="008402F8"/>
    <w:rsid w:val="00840A36"/>
    <w:rsid w:val="00841572"/>
    <w:rsid w:val="00841C4E"/>
    <w:rsid w:val="008443A2"/>
    <w:rsid w:val="00847A3F"/>
    <w:rsid w:val="00847DC0"/>
    <w:rsid w:val="008503FD"/>
    <w:rsid w:val="00850A9E"/>
    <w:rsid w:val="00855184"/>
    <w:rsid w:val="008559B8"/>
    <w:rsid w:val="00856E17"/>
    <w:rsid w:val="00857D3E"/>
    <w:rsid w:val="008602C6"/>
    <w:rsid w:val="00862F2E"/>
    <w:rsid w:val="008633A5"/>
    <w:rsid w:val="00865698"/>
    <w:rsid w:val="00865A57"/>
    <w:rsid w:val="00866796"/>
    <w:rsid w:val="00866949"/>
    <w:rsid w:val="00866ABA"/>
    <w:rsid w:val="00866DA6"/>
    <w:rsid w:val="00867F3C"/>
    <w:rsid w:val="008706B9"/>
    <w:rsid w:val="00870E0D"/>
    <w:rsid w:val="0087107A"/>
    <w:rsid w:val="00871A10"/>
    <w:rsid w:val="00871CA6"/>
    <w:rsid w:val="00871DED"/>
    <w:rsid w:val="00872F46"/>
    <w:rsid w:val="008744EF"/>
    <w:rsid w:val="00874577"/>
    <w:rsid w:val="00875ED3"/>
    <w:rsid w:val="008769FA"/>
    <w:rsid w:val="008771E0"/>
    <w:rsid w:val="0087778E"/>
    <w:rsid w:val="00880697"/>
    <w:rsid w:val="00880992"/>
    <w:rsid w:val="00880C64"/>
    <w:rsid w:val="0088109A"/>
    <w:rsid w:val="008811D5"/>
    <w:rsid w:val="0088303D"/>
    <w:rsid w:val="008846D0"/>
    <w:rsid w:val="00885444"/>
    <w:rsid w:val="00885D20"/>
    <w:rsid w:val="00885EB9"/>
    <w:rsid w:val="00887C78"/>
    <w:rsid w:val="0089014F"/>
    <w:rsid w:val="00890576"/>
    <w:rsid w:val="00890C73"/>
    <w:rsid w:val="00896020"/>
    <w:rsid w:val="008963BE"/>
    <w:rsid w:val="00897F88"/>
    <w:rsid w:val="008A002A"/>
    <w:rsid w:val="008A092B"/>
    <w:rsid w:val="008A2356"/>
    <w:rsid w:val="008A3C43"/>
    <w:rsid w:val="008A3E8C"/>
    <w:rsid w:val="008A425F"/>
    <w:rsid w:val="008A561F"/>
    <w:rsid w:val="008A5BA1"/>
    <w:rsid w:val="008A5CF6"/>
    <w:rsid w:val="008A700E"/>
    <w:rsid w:val="008B047D"/>
    <w:rsid w:val="008B1BC1"/>
    <w:rsid w:val="008B39E9"/>
    <w:rsid w:val="008B4B88"/>
    <w:rsid w:val="008B53E1"/>
    <w:rsid w:val="008B57D6"/>
    <w:rsid w:val="008B5C4F"/>
    <w:rsid w:val="008B73E2"/>
    <w:rsid w:val="008B7EA9"/>
    <w:rsid w:val="008C03FD"/>
    <w:rsid w:val="008C061D"/>
    <w:rsid w:val="008C089C"/>
    <w:rsid w:val="008C0A89"/>
    <w:rsid w:val="008C195C"/>
    <w:rsid w:val="008C1C16"/>
    <w:rsid w:val="008C2689"/>
    <w:rsid w:val="008C4C4C"/>
    <w:rsid w:val="008C67A2"/>
    <w:rsid w:val="008C7212"/>
    <w:rsid w:val="008C77B5"/>
    <w:rsid w:val="008D0399"/>
    <w:rsid w:val="008D0BB7"/>
    <w:rsid w:val="008D2027"/>
    <w:rsid w:val="008D292D"/>
    <w:rsid w:val="008D29FC"/>
    <w:rsid w:val="008D2A54"/>
    <w:rsid w:val="008D3043"/>
    <w:rsid w:val="008D4AD6"/>
    <w:rsid w:val="008D641C"/>
    <w:rsid w:val="008D67BB"/>
    <w:rsid w:val="008D67C9"/>
    <w:rsid w:val="008D6E8F"/>
    <w:rsid w:val="008E0D33"/>
    <w:rsid w:val="008E106A"/>
    <w:rsid w:val="008E14F8"/>
    <w:rsid w:val="008E289C"/>
    <w:rsid w:val="008E2A38"/>
    <w:rsid w:val="008E4851"/>
    <w:rsid w:val="008E5B3D"/>
    <w:rsid w:val="008E63A0"/>
    <w:rsid w:val="008F0CA5"/>
    <w:rsid w:val="008F3EAF"/>
    <w:rsid w:val="008F4F55"/>
    <w:rsid w:val="008F5BBF"/>
    <w:rsid w:val="008F6043"/>
    <w:rsid w:val="00900823"/>
    <w:rsid w:val="0090247E"/>
    <w:rsid w:val="00902971"/>
    <w:rsid w:val="00902C5A"/>
    <w:rsid w:val="00902CF6"/>
    <w:rsid w:val="00903406"/>
    <w:rsid w:val="0090390B"/>
    <w:rsid w:val="00903D15"/>
    <w:rsid w:val="0090424D"/>
    <w:rsid w:val="009046E3"/>
    <w:rsid w:val="00906688"/>
    <w:rsid w:val="009072B0"/>
    <w:rsid w:val="0091009A"/>
    <w:rsid w:val="00910392"/>
    <w:rsid w:val="00911512"/>
    <w:rsid w:val="009130A9"/>
    <w:rsid w:val="00915D01"/>
    <w:rsid w:val="0091615D"/>
    <w:rsid w:val="00916473"/>
    <w:rsid w:val="0091698E"/>
    <w:rsid w:val="009173A0"/>
    <w:rsid w:val="0091763D"/>
    <w:rsid w:val="00920766"/>
    <w:rsid w:val="009233D3"/>
    <w:rsid w:val="0092475A"/>
    <w:rsid w:val="009252CC"/>
    <w:rsid w:val="00925DCE"/>
    <w:rsid w:val="00926181"/>
    <w:rsid w:val="00926A33"/>
    <w:rsid w:val="0092761F"/>
    <w:rsid w:val="009277E6"/>
    <w:rsid w:val="009316C6"/>
    <w:rsid w:val="00932251"/>
    <w:rsid w:val="00933139"/>
    <w:rsid w:val="009333CA"/>
    <w:rsid w:val="0093427B"/>
    <w:rsid w:val="0093601A"/>
    <w:rsid w:val="00936987"/>
    <w:rsid w:val="009406BC"/>
    <w:rsid w:val="00942395"/>
    <w:rsid w:val="00942D89"/>
    <w:rsid w:val="00942F19"/>
    <w:rsid w:val="0094551D"/>
    <w:rsid w:val="00946EA5"/>
    <w:rsid w:val="009470BB"/>
    <w:rsid w:val="009470C6"/>
    <w:rsid w:val="009479B5"/>
    <w:rsid w:val="00947A97"/>
    <w:rsid w:val="00947AC5"/>
    <w:rsid w:val="00947B86"/>
    <w:rsid w:val="009502E5"/>
    <w:rsid w:val="009515D8"/>
    <w:rsid w:val="009524DE"/>
    <w:rsid w:val="00952D25"/>
    <w:rsid w:val="00953EC1"/>
    <w:rsid w:val="0095405E"/>
    <w:rsid w:val="0095561A"/>
    <w:rsid w:val="0095642D"/>
    <w:rsid w:val="00960EB1"/>
    <w:rsid w:val="00960F24"/>
    <w:rsid w:val="00961356"/>
    <w:rsid w:val="009621FC"/>
    <w:rsid w:val="00963850"/>
    <w:rsid w:val="00963D2C"/>
    <w:rsid w:val="00966937"/>
    <w:rsid w:val="00966E7B"/>
    <w:rsid w:val="00967AA4"/>
    <w:rsid w:val="00967FB9"/>
    <w:rsid w:val="0097057B"/>
    <w:rsid w:val="0097069B"/>
    <w:rsid w:val="00970AF7"/>
    <w:rsid w:val="00970EA6"/>
    <w:rsid w:val="0097239D"/>
    <w:rsid w:val="00972530"/>
    <w:rsid w:val="00977764"/>
    <w:rsid w:val="00977CE3"/>
    <w:rsid w:val="009802F2"/>
    <w:rsid w:val="00980F9E"/>
    <w:rsid w:val="00982489"/>
    <w:rsid w:val="00983E07"/>
    <w:rsid w:val="00985574"/>
    <w:rsid w:val="00985598"/>
    <w:rsid w:val="00990775"/>
    <w:rsid w:val="00990A44"/>
    <w:rsid w:val="00990E9A"/>
    <w:rsid w:val="00990F3C"/>
    <w:rsid w:val="00991247"/>
    <w:rsid w:val="009924D4"/>
    <w:rsid w:val="00996A0B"/>
    <w:rsid w:val="00997C6C"/>
    <w:rsid w:val="009A0A83"/>
    <w:rsid w:val="009A18A2"/>
    <w:rsid w:val="009A19BD"/>
    <w:rsid w:val="009A212E"/>
    <w:rsid w:val="009A5066"/>
    <w:rsid w:val="009A5519"/>
    <w:rsid w:val="009A58C5"/>
    <w:rsid w:val="009A5EC2"/>
    <w:rsid w:val="009A68DC"/>
    <w:rsid w:val="009A6DDD"/>
    <w:rsid w:val="009A7A37"/>
    <w:rsid w:val="009B14ED"/>
    <w:rsid w:val="009B2F62"/>
    <w:rsid w:val="009B39D2"/>
    <w:rsid w:val="009B3C10"/>
    <w:rsid w:val="009B5F11"/>
    <w:rsid w:val="009B6418"/>
    <w:rsid w:val="009B6F01"/>
    <w:rsid w:val="009B7131"/>
    <w:rsid w:val="009B75BB"/>
    <w:rsid w:val="009B79D0"/>
    <w:rsid w:val="009B7E11"/>
    <w:rsid w:val="009C1F48"/>
    <w:rsid w:val="009C2C21"/>
    <w:rsid w:val="009C2E42"/>
    <w:rsid w:val="009C351F"/>
    <w:rsid w:val="009C4F63"/>
    <w:rsid w:val="009C6FD6"/>
    <w:rsid w:val="009C72BA"/>
    <w:rsid w:val="009D1262"/>
    <w:rsid w:val="009D1A09"/>
    <w:rsid w:val="009D1E8A"/>
    <w:rsid w:val="009D1F93"/>
    <w:rsid w:val="009D2179"/>
    <w:rsid w:val="009D2ECD"/>
    <w:rsid w:val="009D3491"/>
    <w:rsid w:val="009D3C15"/>
    <w:rsid w:val="009D4D7A"/>
    <w:rsid w:val="009D4E0F"/>
    <w:rsid w:val="009D5A72"/>
    <w:rsid w:val="009D690D"/>
    <w:rsid w:val="009D6C22"/>
    <w:rsid w:val="009E02DE"/>
    <w:rsid w:val="009E3412"/>
    <w:rsid w:val="009E501E"/>
    <w:rsid w:val="009E5408"/>
    <w:rsid w:val="009E5617"/>
    <w:rsid w:val="009E6107"/>
    <w:rsid w:val="009E623F"/>
    <w:rsid w:val="009E6874"/>
    <w:rsid w:val="009E6D1D"/>
    <w:rsid w:val="009E7417"/>
    <w:rsid w:val="009E7CC6"/>
    <w:rsid w:val="009F0677"/>
    <w:rsid w:val="009F0CF9"/>
    <w:rsid w:val="009F2AE9"/>
    <w:rsid w:val="009F335E"/>
    <w:rsid w:val="009F3787"/>
    <w:rsid w:val="009F42EB"/>
    <w:rsid w:val="009F46E3"/>
    <w:rsid w:val="009F4843"/>
    <w:rsid w:val="009F6776"/>
    <w:rsid w:val="009F73AA"/>
    <w:rsid w:val="009F7A5F"/>
    <w:rsid w:val="00A005D0"/>
    <w:rsid w:val="00A00C86"/>
    <w:rsid w:val="00A01178"/>
    <w:rsid w:val="00A011A7"/>
    <w:rsid w:val="00A01D43"/>
    <w:rsid w:val="00A06DD7"/>
    <w:rsid w:val="00A07111"/>
    <w:rsid w:val="00A07FDE"/>
    <w:rsid w:val="00A10159"/>
    <w:rsid w:val="00A12FA7"/>
    <w:rsid w:val="00A147B8"/>
    <w:rsid w:val="00A14B76"/>
    <w:rsid w:val="00A15214"/>
    <w:rsid w:val="00A15587"/>
    <w:rsid w:val="00A15D37"/>
    <w:rsid w:val="00A16BF2"/>
    <w:rsid w:val="00A17988"/>
    <w:rsid w:val="00A17E3E"/>
    <w:rsid w:val="00A201FA"/>
    <w:rsid w:val="00A207F7"/>
    <w:rsid w:val="00A239D4"/>
    <w:rsid w:val="00A24006"/>
    <w:rsid w:val="00A24C9D"/>
    <w:rsid w:val="00A25A22"/>
    <w:rsid w:val="00A26B30"/>
    <w:rsid w:val="00A27939"/>
    <w:rsid w:val="00A3080D"/>
    <w:rsid w:val="00A30EE4"/>
    <w:rsid w:val="00A319EC"/>
    <w:rsid w:val="00A3387E"/>
    <w:rsid w:val="00A34643"/>
    <w:rsid w:val="00A36371"/>
    <w:rsid w:val="00A37020"/>
    <w:rsid w:val="00A401D7"/>
    <w:rsid w:val="00A402C8"/>
    <w:rsid w:val="00A40EF3"/>
    <w:rsid w:val="00A41A5A"/>
    <w:rsid w:val="00A41A6B"/>
    <w:rsid w:val="00A42662"/>
    <w:rsid w:val="00A435B0"/>
    <w:rsid w:val="00A43D12"/>
    <w:rsid w:val="00A44B89"/>
    <w:rsid w:val="00A45EC5"/>
    <w:rsid w:val="00A46E8F"/>
    <w:rsid w:val="00A50CA1"/>
    <w:rsid w:val="00A55643"/>
    <w:rsid w:val="00A613D9"/>
    <w:rsid w:val="00A619F8"/>
    <w:rsid w:val="00A61A0F"/>
    <w:rsid w:val="00A623BB"/>
    <w:rsid w:val="00A633C8"/>
    <w:rsid w:val="00A63C94"/>
    <w:rsid w:val="00A640E1"/>
    <w:rsid w:val="00A643C3"/>
    <w:rsid w:val="00A644B3"/>
    <w:rsid w:val="00A644EC"/>
    <w:rsid w:val="00A657B8"/>
    <w:rsid w:val="00A65A8A"/>
    <w:rsid w:val="00A66EAB"/>
    <w:rsid w:val="00A70BCE"/>
    <w:rsid w:val="00A71D06"/>
    <w:rsid w:val="00A7253D"/>
    <w:rsid w:val="00A741B1"/>
    <w:rsid w:val="00A748DA"/>
    <w:rsid w:val="00A75446"/>
    <w:rsid w:val="00A75460"/>
    <w:rsid w:val="00A7636F"/>
    <w:rsid w:val="00A769D6"/>
    <w:rsid w:val="00A77C10"/>
    <w:rsid w:val="00A80233"/>
    <w:rsid w:val="00A817C9"/>
    <w:rsid w:val="00A81B09"/>
    <w:rsid w:val="00A83F88"/>
    <w:rsid w:val="00A84B82"/>
    <w:rsid w:val="00A84D66"/>
    <w:rsid w:val="00A865C3"/>
    <w:rsid w:val="00A86F55"/>
    <w:rsid w:val="00A8703C"/>
    <w:rsid w:val="00A871A5"/>
    <w:rsid w:val="00A87BEC"/>
    <w:rsid w:val="00A90A2C"/>
    <w:rsid w:val="00A91926"/>
    <w:rsid w:val="00A91ADA"/>
    <w:rsid w:val="00A9224B"/>
    <w:rsid w:val="00A92AF5"/>
    <w:rsid w:val="00A92E48"/>
    <w:rsid w:val="00A92EC2"/>
    <w:rsid w:val="00A932EC"/>
    <w:rsid w:val="00A947C3"/>
    <w:rsid w:val="00A94ADB"/>
    <w:rsid w:val="00A95744"/>
    <w:rsid w:val="00A958FE"/>
    <w:rsid w:val="00A95BD2"/>
    <w:rsid w:val="00A95CD5"/>
    <w:rsid w:val="00A96150"/>
    <w:rsid w:val="00AA0B4E"/>
    <w:rsid w:val="00AA0D35"/>
    <w:rsid w:val="00AA11DC"/>
    <w:rsid w:val="00AA2D81"/>
    <w:rsid w:val="00AA3527"/>
    <w:rsid w:val="00AA444B"/>
    <w:rsid w:val="00AA4A90"/>
    <w:rsid w:val="00AA58D2"/>
    <w:rsid w:val="00AA5BD6"/>
    <w:rsid w:val="00AA6275"/>
    <w:rsid w:val="00AA63C1"/>
    <w:rsid w:val="00AA751B"/>
    <w:rsid w:val="00AA7B79"/>
    <w:rsid w:val="00AB13EB"/>
    <w:rsid w:val="00AB18F2"/>
    <w:rsid w:val="00AB3B21"/>
    <w:rsid w:val="00AB4FE9"/>
    <w:rsid w:val="00AB54CF"/>
    <w:rsid w:val="00AB62B2"/>
    <w:rsid w:val="00AC1BDE"/>
    <w:rsid w:val="00AC38C1"/>
    <w:rsid w:val="00AC5B4F"/>
    <w:rsid w:val="00AC5D97"/>
    <w:rsid w:val="00AC5E13"/>
    <w:rsid w:val="00AC62D6"/>
    <w:rsid w:val="00AC6972"/>
    <w:rsid w:val="00AD04E1"/>
    <w:rsid w:val="00AD0707"/>
    <w:rsid w:val="00AD1BD9"/>
    <w:rsid w:val="00AD3CF0"/>
    <w:rsid w:val="00AD6445"/>
    <w:rsid w:val="00AD71D3"/>
    <w:rsid w:val="00AD7A6D"/>
    <w:rsid w:val="00AE0666"/>
    <w:rsid w:val="00AE1C06"/>
    <w:rsid w:val="00AE1FC6"/>
    <w:rsid w:val="00AE2256"/>
    <w:rsid w:val="00AE22F7"/>
    <w:rsid w:val="00AE2C1A"/>
    <w:rsid w:val="00AE2D11"/>
    <w:rsid w:val="00AE397D"/>
    <w:rsid w:val="00AE3DE5"/>
    <w:rsid w:val="00AE46DC"/>
    <w:rsid w:val="00AE58B0"/>
    <w:rsid w:val="00AE5B69"/>
    <w:rsid w:val="00AE66B3"/>
    <w:rsid w:val="00AE6C7D"/>
    <w:rsid w:val="00AE772B"/>
    <w:rsid w:val="00AF19FC"/>
    <w:rsid w:val="00AF2CCC"/>
    <w:rsid w:val="00AF3B81"/>
    <w:rsid w:val="00AF3C07"/>
    <w:rsid w:val="00AF3C82"/>
    <w:rsid w:val="00AF68DE"/>
    <w:rsid w:val="00AF6FE4"/>
    <w:rsid w:val="00AF7280"/>
    <w:rsid w:val="00AF7435"/>
    <w:rsid w:val="00B00ECA"/>
    <w:rsid w:val="00B03056"/>
    <w:rsid w:val="00B04EC8"/>
    <w:rsid w:val="00B052C8"/>
    <w:rsid w:val="00B0683A"/>
    <w:rsid w:val="00B06959"/>
    <w:rsid w:val="00B073CE"/>
    <w:rsid w:val="00B1027F"/>
    <w:rsid w:val="00B113EF"/>
    <w:rsid w:val="00B118F1"/>
    <w:rsid w:val="00B11958"/>
    <w:rsid w:val="00B120DB"/>
    <w:rsid w:val="00B127FA"/>
    <w:rsid w:val="00B1306B"/>
    <w:rsid w:val="00B13337"/>
    <w:rsid w:val="00B13487"/>
    <w:rsid w:val="00B13C7D"/>
    <w:rsid w:val="00B13CD4"/>
    <w:rsid w:val="00B14920"/>
    <w:rsid w:val="00B159EC"/>
    <w:rsid w:val="00B160AB"/>
    <w:rsid w:val="00B17319"/>
    <w:rsid w:val="00B20ABC"/>
    <w:rsid w:val="00B20EBB"/>
    <w:rsid w:val="00B218DB"/>
    <w:rsid w:val="00B21F08"/>
    <w:rsid w:val="00B22523"/>
    <w:rsid w:val="00B226A2"/>
    <w:rsid w:val="00B226E2"/>
    <w:rsid w:val="00B22A5C"/>
    <w:rsid w:val="00B22D32"/>
    <w:rsid w:val="00B23117"/>
    <w:rsid w:val="00B266DE"/>
    <w:rsid w:val="00B267C5"/>
    <w:rsid w:val="00B2722C"/>
    <w:rsid w:val="00B30412"/>
    <w:rsid w:val="00B309ED"/>
    <w:rsid w:val="00B3198A"/>
    <w:rsid w:val="00B32100"/>
    <w:rsid w:val="00B32405"/>
    <w:rsid w:val="00B3306C"/>
    <w:rsid w:val="00B3407E"/>
    <w:rsid w:val="00B34CBA"/>
    <w:rsid w:val="00B34E0E"/>
    <w:rsid w:val="00B34F71"/>
    <w:rsid w:val="00B36A4F"/>
    <w:rsid w:val="00B37EDA"/>
    <w:rsid w:val="00B40FAE"/>
    <w:rsid w:val="00B41033"/>
    <w:rsid w:val="00B423F6"/>
    <w:rsid w:val="00B42815"/>
    <w:rsid w:val="00B429F1"/>
    <w:rsid w:val="00B43D2E"/>
    <w:rsid w:val="00B4788C"/>
    <w:rsid w:val="00B47EAA"/>
    <w:rsid w:val="00B511D4"/>
    <w:rsid w:val="00B51A47"/>
    <w:rsid w:val="00B53D51"/>
    <w:rsid w:val="00B54017"/>
    <w:rsid w:val="00B54879"/>
    <w:rsid w:val="00B54EC9"/>
    <w:rsid w:val="00B54FCD"/>
    <w:rsid w:val="00B560C4"/>
    <w:rsid w:val="00B56449"/>
    <w:rsid w:val="00B56E2C"/>
    <w:rsid w:val="00B6055F"/>
    <w:rsid w:val="00B64A74"/>
    <w:rsid w:val="00B64F50"/>
    <w:rsid w:val="00B65A43"/>
    <w:rsid w:val="00B65DC7"/>
    <w:rsid w:val="00B66393"/>
    <w:rsid w:val="00B67D8E"/>
    <w:rsid w:val="00B70D65"/>
    <w:rsid w:val="00B7176C"/>
    <w:rsid w:val="00B72646"/>
    <w:rsid w:val="00B72B39"/>
    <w:rsid w:val="00B730D3"/>
    <w:rsid w:val="00B733A8"/>
    <w:rsid w:val="00B73A50"/>
    <w:rsid w:val="00B743BC"/>
    <w:rsid w:val="00B74865"/>
    <w:rsid w:val="00B74CA6"/>
    <w:rsid w:val="00B74D2D"/>
    <w:rsid w:val="00B7566B"/>
    <w:rsid w:val="00B756F0"/>
    <w:rsid w:val="00B76887"/>
    <w:rsid w:val="00B772CB"/>
    <w:rsid w:val="00B805BE"/>
    <w:rsid w:val="00B80678"/>
    <w:rsid w:val="00B8139E"/>
    <w:rsid w:val="00B82ECB"/>
    <w:rsid w:val="00B84079"/>
    <w:rsid w:val="00B84FF0"/>
    <w:rsid w:val="00B85CB2"/>
    <w:rsid w:val="00B85F81"/>
    <w:rsid w:val="00B8727D"/>
    <w:rsid w:val="00B87587"/>
    <w:rsid w:val="00B90B20"/>
    <w:rsid w:val="00B916AB"/>
    <w:rsid w:val="00B92FF4"/>
    <w:rsid w:val="00B93927"/>
    <w:rsid w:val="00B9499B"/>
    <w:rsid w:val="00B95306"/>
    <w:rsid w:val="00B95663"/>
    <w:rsid w:val="00B95AC5"/>
    <w:rsid w:val="00B9725A"/>
    <w:rsid w:val="00B97A9A"/>
    <w:rsid w:val="00B97F85"/>
    <w:rsid w:val="00BA0E14"/>
    <w:rsid w:val="00BA1C80"/>
    <w:rsid w:val="00BA1FB1"/>
    <w:rsid w:val="00BA3D8F"/>
    <w:rsid w:val="00BA46A1"/>
    <w:rsid w:val="00BA497A"/>
    <w:rsid w:val="00BA53C4"/>
    <w:rsid w:val="00BA5673"/>
    <w:rsid w:val="00BA7A85"/>
    <w:rsid w:val="00BB036C"/>
    <w:rsid w:val="00BB0E8C"/>
    <w:rsid w:val="00BB1047"/>
    <w:rsid w:val="00BB124F"/>
    <w:rsid w:val="00BB3357"/>
    <w:rsid w:val="00BB3C45"/>
    <w:rsid w:val="00BB428F"/>
    <w:rsid w:val="00BB4861"/>
    <w:rsid w:val="00BB59BA"/>
    <w:rsid w:val="00BB7009"/>
    <w:rsid w:val="00BC07BD"/>
    <w:rsid w:val="00BC0A96"/>
    <w:rsid w:val="00BC1619"/>
    <w:rsid w:val="00BC2000"/>
    <w:rsid w:val="00BC37DF"/>
    <w:rsid w:val="00BC417A"/>
    <w:rsid w:val="00BC4F9F"/>
    <w:rsid w:val="00BC55AF"/>
    <w:rsid w:val="00BC58C1"/>
    <w:rsid w:val="00BC59BC"/>
    <w:rsid w:val="00BD149C"/>
    <w:rsid w:val="00BD2C42"/>
    <w:rsid w:val="00BD4786"/>
    <w:rsid w:val="00BD4B71"/>
    <w:rsid w:val="00BD7F2B"/>
    <w:rsid w:val="00BE0241"/>
    <w:rsid w:val="00BE0A6D"/>
    <w:rsid w:val="00BE31DC"/>
    <w:rsid w:val="00BE3603"/>
    <w:rsid w:val="00BE5C13"/>
    <w:rsid w:val="00BE630B"/>
    <w:rsid w:val="00BE6F6D"/>
    <w:rsid w:val="00BE7B0C"/>
    <w:rsid w:val="00BF032D"/>
    <w:rsid w:val="00BF16C3"/>
    <w:rsid w:val="00BF1F1D"/>
    <w:rsid w:val="00BF33E1"/>
    <w:rsid w:val="00BF38B0"/>
    <w:rsid w:val="00BF3F50"/>
    <w:rsid w:val="00BF58AF"/>
    <w:rsid w:val="00BF5FEC"/>
    <w:rsid w:val="00C00264"/>
    <w:rsid w:val="00C00E2B"/>
    <w:rsid w:val="00C01CA3"/>
    <w:rsid w:val="00C028BC"/>
    <w:rsid w:val="00C037DB"/>
    <w:rsid w:val="00C051E6"/>
    <w:rsid w:val="00C05579"/>
    <w:rsid w:val="00C0570A"/>
    <w:rsid w:val="00C0689F"/>
    <w:rsid w:val="00C11002"/>
    <w:rsid w:val="00C11209"/>
    <w:rsid w:val="00C135FD"/>
    <w:rsid w:val="00C13695"/>
    <w:rsid w:val="00C137A0"/>
    <w:rsid w:val="00C1403F"/>
    <w:rsid w:val="00C1444A"/>
    <w:rsid w:val="00C146AA"/>
    <w:rsid w:val="00C146B3"/>
    <w:rsid w:val="00C147F9"/>
    <w:rsid w:val="00C151B3"/>
    <w:rsid w:val="00C15ACE"/>
    <w:rsid w:val="00C15D94"/>
    <w:rsid w:val="00C16FF3"/>
    <w:rsid w:val="00C177F9"/>
    <w:rsid w:val="00C17C5E"/>
    <w:rsid w:val="00C17D89"/>
    <w:rsid w:val="00C205D7"/>
    <w:rsid w:val="00C20C71"/>
    <w:rsid w:val="00C236AC"/>
    <w:rsid w:val="00C24052"/>
    <w:rsid w:val="00C26E13"/>
    <w:rsid w:val="00C276C0"/>
    <w:rsid w:val="00C30164"/>
    <w:rsid w:val="00C31F7A"/>
    <w:rsid w:val="00C32194"/>
    <w:rsid w:val="00C324F5"/>
    <w:rsid w:val="00C3367B"/>
    <w:rsid w:val="00C343CD"/>
    <w:rsid w:val="00C34479"/>
    <w:rsid w:val="00C347AF"/>
    <w:rsid w:val="00C35E78"/>
    <w:rsid w:val="00C36DB4"/>
    <w:rsid w:val="00C37CB0"/>
    <w:rsid w:val="00C37E26"/>
    <w:rsid w:val="00C41207"/>
    <w:rsid w:val="00C41346"/>
    <w:rsid w:val="00C415B1"/>
    <w:rsid w:val="00C42D55"/>
    <w:rsid w:val="00C44706"/>
    <w:rsid w:val="00C449FE"/>
    <w:rsid w:val="00C4518E"/>
    <w:rsid w:val="00C45921"/>
    <w:rsid w:val="00C45AC9"/>
    <w:rsid w:val="00C46C26"/>
    <w:rsid w:val="00C47549"/>
    <w:rsid w:val="00C47D13"/>
    <w:rsid w:val="00C504D7"/>
    <w:rsid w:val="00C50A93"/>
    <w:rsid w:val="00C50CA1"/>
    <w:rsid w:val="00C51357"/>
    <w:rsid w:val="00C5199B"/>
    <w:rsid w:val="00C52723"/>
    <w:rsid w:val="00C52D04"/>
    <w:rsid w:val="00C52F03"/>
    <w:rsid w:val="00C5606B"/>
    <w:rsid w:val="00C56F1B"/>
    <w:rsid w:val="00C60112"/>
    <w:rsid w:val="00C60B85"/>
    <w:rsid w:val="00C60BA7"/>
    <w:rsid w:val="00C622F7"/>
    <w:rsid w:val="00C64A99"/>
    <w:rsid w:val="00C66C55"/>
    <w:rsid w:val="00C66C5C"/>
    <w:rsid w:val="00C72304"/>
    <w:rsid w:val="00C724D8"/>
    <w:rsid w:val="00C74BAA"/>
    <w:rsid w:val="00C74DB8"/>
    <w:rsid w:val="00C75384"/>
    <w:rsid w:val="00C8027A"/>
    <w:rsid w:val="00C812C6"/>
    <w:rsid w:val="00C82668"/>
    <w:rsid w:val="00C82FC5"/>
    <w:rsid w:val="00C838CB"/>
    <w:rsid w:val="00C83CFC"/>
    <w:rsid w:val="00C83FF6"/>
    <w:rsid w:val="00C8459F"/>
    <w:rsid w:val="00C8566A"/>
    <w:rsid w:val="00C85893"/>
    <w:rsid w:val="00C869EB"/>
    <w:rsid w:val="00C86AB0"/>
    <w:rsid w:val="00C909B2"/>
    <w:rsid w:val="00C90A24"/>
    <w:rsid w:val="00C92982"/>
    <w:rsid w:val="00C92F0B"/>
    <w:rsid w:val="00C947EA"/>
    <w:rsid w:val="00C95BBE"/>
    <w:rsid w:val="00C97A72"/>
    <w:rsid w:val="00C97F27"/>
    <w:rsid w:val="00CA11A4"/>
    <w:rsid w:val="00CA4DCB"/>
    <w:rsid w:val="00CA558A"/>
    <w:rsid w:val="00CA5A26"/>
    <w:rsid w:val="00CA5FD2"/>
    <w:rsid w:val="00CA7B86"/>
    <w:rsid w:val="00CB00E3"/>
    <w:rsid w:val="00CB0C04"/>
    <w:rsid w:val="00CB28A9"/>
    <w:rsid w:val="00CB344E"/>
    <w:rsid w:val="00CB488A"/>
    <w:rsid w:val="00CB5BAC"/>
    <w:rsid w:val="00CB5C49"/>
    <w:rsid w:val="00CB632B"/>
    <w:rsid w:val="00CB7667"/>
    <w:rsid w:val="00CC0130"/>
    <w:rsid w:val="00CC06DA"/>
    <w:rsid w:val="00CC4C5E"/>
    <w:rsid w:val="00CC5C4D"/>
    <w:rsid w:val="00CC6090"/>
    <w:rsid w:val="00CC6385"/>
    <w:rsid w:val="00CC7BCD"/>
    <w:rsid w:val="00CD0883"/>
    <w:rsid w:val="00CD21D5"/>
    <w:rsid w:val="00CD3CA9"/>
    <w:rsid w:val="00CD3DA1"/>
    <w:rsid w:val="00CD3FCD"/>
    <w:rsid w:val="00CD44A2"/>
    <w:rsid w:val="00CD4D57"/>
    <w:rsid w:val="00CD6D89"/>
    <w:rsid w:val="00CD78D2"/>
    <w:rsid w:val="00CE001D"/>
    <w:rsid w:val="00CE0CEC"/>
    <w:rsid w:val="00CE10EE"/>
    <w:rsid w:val="00CE28EA"/>
    <w:rsid w:val="00CE37E7"/>
    <w:rsid w:val="00CE3957"/>
    <w:rsid w:val="00CE556B"/>
    <w:rsid w:val="00CE6A54"/>
    <w:rsid w:val="00CE77BA"/>
    <w:rsid w:val="00CF2282"/>
    <w:rsid w:val="00CF3166"/>
    <w:rsid w:val="00CF3F84"/>
    <w:rsid w:val="00CF4EE0"/>
    <w:rsid w:val="00CF51CD"/>
    <w:rsid w:val="00CF5A1F"/>
    <w:rsid w:val="00CF5F13"/>
    <w:rsid w:val="00CF6BCE"/>
    <w:rsid w:val="00CF7F5B"/>
    <w:rsid w:val="00D01781"/>
    <w:rsid w:val="00D0228D"/>
    <w:rsid w:val="00D02431"/>
    <w:rsid w:val="00D02B0D"/>
    <w:rsid w:val="00D02F43"/>
    <w:rsid w:val="00D035AD"/>
    <w:rsid w:val="00D037AA"/>
    <w:rsid w:val="00D04DC5"/>
    <w:rsid w:val="00D06BC3"/>
    <w:rsid w:val="00D07B51"/>
    <w:rsid w:val="00D07DA0"/>
    <w:rsid w:val="00D112A8"/>
    <w:rsid w:val="00D114FE"/>
    <w:rsid w:val="00D12695"/>
    <w:rsid w:val="00D140B3"/>
    <w:rsid w:val="00D14A17"/>
    <w:rsid w:val="00D14F57"/>
    <w:rsid w:val="00D164AB"/>
    <w:rsid w:val="00D169DD"/>
    <w:rsid w:val="00D16DD3"/>
    <w:rsid w:val="00D20409"/>
    <w:rsid w:val="00D20C95"/>
    <w:rsid w:val="00D23CC8"/>
    <w:rsid w:val="00D24C30"/>
    <w:rsid w:val="00D2632E"/>
    <w:rsid w:val="00D274A3"/>
    <w:rsid w:val="00D2774F"/>
    <w:rsid w:val="00D27928"/>
    <w:rsid w:val="00D27C44"/>
    <w:rsid w:val="00D301DA"/>
    <w:rsid w:val="00D3198D"/>
    <w:rsid w:val="00D32482"/>
    <w:rsid w:val="00D334DD"/>
    <w:rsid w:val="00D33613"/>
    <w:rsid w:val="00D33912"/>
    <w:rsid w:val="00D33DEA"/>
    <w:rsid w:val="00D35D67"/>
    <w:rsid w:val="00D40802"/>
    <w:rsid w:val="00D42D27"/>
    <w:rsid w:val="00D446D7"/>
    <w:rsid w:val="00D45198"/>
    <w:rsid w:val="00D462AE"/>
    <w:rsid w:val="00D47F89"/>
    <w:rsid w:val="00D52A4E"/>
    <w:rsid w:val="00D52DDE"/>
    <w:rsid w:val="00D52FB6"/>
    <w:rsid w:val="00D5421A"/>
    <w:rsid w:val="00D545E5"/>
    <w:rsid w:val="00D60F66"/>
    <w:rsid w:val="00D61DE6"/>
    <w:rsid w:val="00D62322"/>
    <w:rsid w:val="00D6309E"/>
    <w:rsid w:val="00D6523D"/>
    <w:rsid w:val="00D657D9"/>
    <w:rsid w:val="00D65DB2"/>
    <w:rsid w:val="00D6621B"/>
    <w:rsid w:val="00D6683D"/>
    <w:rsid w:val="00D66935"/>
    <w:rsid w:val="00D67EAD"/>
    <w:rsid w:val="00D7216D"/>
    <w:rsid w:val="00D747D0"/>
    <w:rsid w:val="00D752A0"/>
    <w:rsid w:val="00D80054"/>
    <w:rsid w:val="00D80B8A"/>
    <w:rsid w:val="00D81222"/>
    <w:rsid w:val="00D823FD"/>
    <w:rsid w:val="00D825E1"/>
    <w:rsid w:val="00D826F3"/>
    <w:rsid w:val="00D82E12"/>
    <w:rsid w:val="00D8317B"/>
    <w:rsid w:val="00D834B1"/>
    <w:rsid w:val="00D836F9"/>
    <w:rsid w:val="00D837A8"/>
    <w:rsid w:val="00D840D2"/>
    <w:rsid w:val="00D84B7E"/>
    <w:rsid w:val="00D84F21"/>
    <w:rsid w:val="00D85AB4"/>
    <w:rsid w:val="00D85BA7"/>
    <w:rsid w:val="00D8629F"/>
    <w:rsid w:val="00D86BD3"/>
    <w:rsid w:val="00D879BD"/>
    <w:rsid w:val="00D93195"/>
    <w:rsid w:val="00D94EDB"/>
    <w:rsid w:val="00D97DE7"/>
    <w:rsid w:val="00DA1082"/>
    <w:rsid w:val="00DA11FB"/>
    <w:rsid w:val="00DA3C5A"/>
    <w:rsid w:val="00DA5CD1"/>
    <w:rsid w:val="00DA610D"/>
    <w:rsid w:val="00DA7A30"/>
    <w:rsid w:val="00DA7A9D"/>
    <w:rsid w:val="00DA7FB9"/>
    <w:rsid w:val="00DB1171"/>
    <w:rsid w:val="00DB16EE"/>
    <w:rsid w:val="00DB172C"/>
    <w:rsid w:val="00DB4264"/>
    <w:rsid w:val="00DB5634"/>
    <w:rsid w:val="00DB5E23"/>
    <w:rsid w:val="00DB60B2"/>
    <w:rsid w:val="00DB6F58"/>
    <w:rsid w:val="00DB79AB"/>
    <w:rsid w:val="00DB7B1F"/>
    <w:rsid w:val="00DC010A"/>
    <w:rsid w:val="00DC0241"/>
    <w:rsid w:val="00DC0F02"/>
    <w:rsid w:val="00DC22DE"/>
    <w:rsid w:val="00DC2765"/>
    <w:rsid w:val="00DC3B10"/>
    <w:rsid w:val="00DC4E27"/>
    <w:rsid w:val="00DC5923"/>
    <w:rsid w:val="00DC6CB1"/>
    <w:rsid w:val="00DC76B3"/>
    <w:rsid w:val="00DC7B74"/>
    <w:rsid w:val="00DD4759"/>
    <w:rsid w:val="00DD680D"/>
    <w:rsid w:val="00DD7B95"/>
    <w:rsid w:val="00DE00D1"/>
    <w:rsid w:val="00DE0EEF"/>
    <w:rsid w:val="00DE0FC9"/>
    <w:rsid w:val="00DE15A3"/>
    <w:rsid w:val="00DE24B6"/>
    <w:rsid w:val="00DE4684"/>
    <w:rsid w:val="00DE4EA6"/>
    <w:rsid w:val="00DE69E4"/>
    <w:rsid w:val="00DF0950"/>
    <w:rsid w:val="00DF1BF4"/>
    <w:rsid w:val="00DF2D38"/>
    <w:rsid w:val="00DF40D8"/>
    <w:rsid w:val="00DF41AC"/>
    <w:rsid w:val="00DF41DA"/>
    <w:rsid w:val="00DF56E2"/>
    <w:rsid w:val="00DF6B75"/>
    <w:rsid w:val="00DF6F6D"/>
    <w:rsid w:val="00DF726F"/>
    <w:rsid w:val="00DF74AE"/>
    <w:rsid w:val="00E0095E"/>
    <w:rsid w:val="00E023EA"/>
    <w:rsid w:val="00E02864"/>
    <w:rsid w:val="00E06346"/>
    <w:rsid w:val="00E10711"/>
    <w:rsid w:val="00E107D0"/>
    <w:rsid w:val="00E11F4C"/>
    <w:rsid w:val="00E12302"/>
    <w:rsid w:val="00E1486D"/>
    <w:rsid w:val="00E162EB"/>
    <w:rsid w:val="00E16417"/>
    <w:rsid w:val="00E17A05"/>
    <w:rsid w:val="00E2135C"/>
    <w:rsid w:val="00E24613"/>
    <w:rsid w:val="00E25FF1"/>
    <w:rsid w:val="00E261D8"/>
    <w:rsid w:val="00E26F7F"/>
    <w:rsid w:val="00E2751F"/>
    <w:rsid w:val="00E27783"/>
    <w:rsid w:val="00E3020B"/>
    <w:rsid w:val="00E32C26"/>
    <w:rsid w:val="00E34964"/>
    <w:rsid w:val="00E35DE3"/>
    <w:rsid w:val="00E36A05"/>
    <w:rsid w:val="00E37D2F"/>
    <w:rsid w:val="00E43705"/>
    <w:rsid w:val="00E464B2"/>
    <w:rsid w:val="00E47E24"/>
    <w:rsid w:val="00E517DA"/>
    <w:rsid w:val="00E52985"/>
    <w:rsid w:val="00E53082"/>
    <w:rsid w:val="00E5320D"/>
    <w:rsid w:val="00E54E2C"/>
    <w:rsid w:val="00E55853"/>
    <w:rsid w:val="00E55FAA"/>
    <w:rsid w:val="00E571D0"/>
    <w:rsid w:val="00E60627"/>
    <w:rsid w:val="00E63565"/>
    <w:rsid w:val="00E636FD"/>
    <w:rsid w:val="00E64DD0"/>
    <w:rsid w:val="00E64EA7"/>
    <w:rsid w:val="00E65C3E"/>
    <w:rsid w:val="00E66264"/>
    <w:rsid w:val="00E66F03"/>
    <w:rsid w:val="00E67148"/>
    <w:rsid w:val="00E705AB"/>
    <w:rsid w:val="00E70E8B"/>
    <w:rsid w:val="00E72730"/>
    <w:rsid w:val="00E7380F"/>
    <w:rsid w:val="00E73C5E"/>
    <w:rsid w:val="00E74E3A"/>
    <w:rsid w:val="00E769F5"/>
    <w:rsid w:val="00E76EF9"/>
    <w:rsid w:val="00E7736D"/>
    <w:rsid w:val="00E819A5"/>
    <w:rsid w:val="00E81C08"/>
    <w:rsid w:val="00E8398E"/>
    <w:rsid w:val="00E840FC"/>
    <w:rsid w:val="00E84933"/>
    <w:rsid w:val="00E84982"/>
    <w:rsid w:val="00E84FEC"/>
    <w:rsid w:val="00E86367"/>
    <w:rsid w:val="00E87CD0"/>
    <w:rsid w:val="00E90B5B"/>
    <w:rsid w:val="00E9150A"/>
    <w:rsid w:val="00E91A47"/>
    <w:rsid w:val="00E9233E"/>
    <w:rsid w:val="00E93853"/>
    <w:rsid w:val="00E96DE1"/>
    <w:rsid w:val="00E96E48"/>
    <w:rsid w:val="00E96EFA"/>
    <w:rsid w:val="00E9793E"/>
    <w:rsid w:val="00EA1F57"/>
    <w:rsid w:val="00EA439F"/>
    <w:rsid w:val="00EA4945"/>
    <w:rsid w:val="00EA4AA7"/>
    <w:rsid w:val="00EA56D5"/>
    <w:rsid w:val="00EA5C13"/>
    <w:rsid w:val="00EA658D"/>
    <w:rsid w:val="00EA6EF7"/>
    <w:rsid w:val="00EB1C16"/>
    <w:rsid w:val="00EB2115"/>
    <w:rsid w:val="00EB424F"/>
    <w:rsid w:val="00EB44B0"/>
    <w:rsid w:val="00EB6BC9"/>
    <w:rsid w:val="00EC03DC"/>
    <w:rsid w:val="00EC066B"/>
    <w:rsid w:val="00EC082F"/>
    <w:rsid w:val="00EC1C61"/>
    <w:rsid w:val="00EC22FB"/>
    <w:rsid w:val="00EC2362"/>
    <w:rsid w:val="00EC51D3"/>
    <w:rsid w:val="00EC5A06"/>
    <w:rsid w:val="00EC7016"/>
    <w:rsid w:val="00EC75D6"/>
    <w:rsid w:val="00EC77E2"/>
    <w:rsid w:val="00ED2509"/>
    <w:rsid w:val="00ED26BB"/>
    <w:rsid w:val="00ED2ECE"/>
    <w:rsid w:val="00ED5573"/>
    <w:rsid w:val="00ED6037"/>
    <w:rsid w:val="00ED754F"/>
    <w:rsid w:val="00ED7F81"/>
    <w:rsid w:val="00EE6CD4"/>
    <w:rsid w:val="00EF06AA"/>
    <w:rsid w:val="00EF1794"/>
    <w:rsid w:val="00EF3405"/>
    <w:rsid w:val="00EF34E4"/>
    <w:rsid w:val="00EF377B"/>
    <w:rsid w:val="00EF4191"/>
    <w:rsid w:val="00EF52C4"/>
    <w:rsid w:val="00EF53A5"/>
    <w:rsid w:val="00EF59A9"/>
    <w:rsid w:val="00EF6773"/>
    <w:rsid w:val="00EF67CB"/>
    <w:rsid w:val="00F00626"/>
    <w:rsid w:val="00F00AAC"/>
    <w:rsid w:val="00F01115"/>
    <w:rsid w:val="00F01C18"/>
    <w:rsid w:val="00F0255B"/>
    <w:rsid w:val="00F02FE3"/>
    <w:rsid w:val="00F0729E"/>
    <w:rsid w:val="00F07DBC"/>
    <w:rsid w:val="00F109E8"/>
    <w:rsid w:val="00F10CA2"/>
    <w:rsid w:val="00F11893"/>
    <w:rsid w:val="00F125AE"/>
    <w:rsid w:val="00F12D8F"/>
    <w:rsid w:val="00F1382D"/>
    <w:rsid w:val="00F15C57"/>
    <w:rsid w:val="00F20748"/>
    <w:rsid w:val="00F20B38"/>
    <w:rsid w:val="00F23265"/>
    <w:rsid w:val="00F2413A"/>
    <w:rsid w:val="00F2456E"/>
    <w:rsid w:val="00F25E5E"/>
    <w:rsid w:val="00F26772"/>
    <w:rsid w:val="00F26F3B"/>
    <w:rsid w:val="00F30EC3"/>
    <w:rsid w:val="00F3102D"/>
    <w:rsid w:val="00F31D21"/>
    <w:rsid w:val="00F320E4"/>
    <w:rsid w:val="00F33B41"/>
    <w:rsid w:val="00F3449A"/>
    <w:rsid w:val="00F3578E"/>
    <w:rsid w:val="00F365CC"/>
    <w:rsid w:val="00F37C0A"/>
    <w:rsid w:val="00F37F2B"/>
    <w:rsid w:val="00F40137"/>
    <w:rsid w:val="00F408D3"/>
    <w:rsid w:val="00F43009"/>
    <w:rsid w:val="00F4415F"/>
    <w:rsid w:val="00F44287"/>
    <w:rsid w:val="00F44F82"/>
    <w:rsid w:val="00F455CC"/>
    <w:rsid w:val="00F47630"/>
    <w:rsid w:val="00F479E8"/>
    <w:rsid w:val="00F51070"/>
    <w:rsid w:val="00F51F4B"/>
    <w:rsid w:val="00F521AA"/>
    <w:rsid w:val="00F52227"/>
    <w:rsid w:val="00F5288E"/>
    <w:rsid w:val="00F52DDF"/>
    <w:rsid w:val="00F532A0"/>
    <w:rsid w:val="00F53345"/>
    <w:rsid w:val="00F5385C"/>
    <w:rsid w:val="00F54F39"/>
    <w:rsid w:val="00F5504E"/>
    <w:rsid w:val="00F55116"/>
    <w:rsid w:val="00F5565B"/>
    <w:rsid w:val="00F574B1"/>
    <w:rsid w:val="00F57CBE"/>
    <w:rsid w:val="00F60A45"/>
    <w:rsid w:val="00F63214"/>
    <w:rsid w:val="00F6553B"/>
    <w:rsid w:val="00F65C4E"/>
    <w:rsid w:val="00F70554"/>
    <w:rsid w:val="00F70706"/>
    <w:rsid w:val="00F708D4"/>
    <w:rsid w:val="00F7256D"/>
    <w:rsid w:val="00F72798"/>
    <w:rsid w:val="00F74EF6"/>
    <w:rsid w:val="00F75BC7"/>
    <w:rsid w:val="00F7630E"/>
    <w:rsid w:val="00F779D6"/>
    <w:rsid w:val="00F82F5A"/>
    <w:rsid w:val="00F82FD9"/>
    <w:rsid w:val="00F842B4"/>
    <w:rsid w:val="00F84771"/>
    <w:rsid w:val="00F85A14"/>
    <w:rsid w:val="00F87007"/>
    <w:rsid w:val="00F879DE"/>
    <w:rsid w:val="00F900DE"/>
    <w:rsid w:val="00F90444"/>
    <w:rsid w:val="00F90D6A"/>
    <w:rsid w:val="00F90DD2"/>
    <w:rsid w:val="00F91310"/>
    <w:rsid w:val="00F919A5"/>
    <w:rsid w:val="00F91DDB"/>
    <w:rsid w:val="00F92585"/>
    <w:rsid w:val="00F92FD7"/>
    <w:rsid w:val="00F93442"/>
    <w:rsid w:val="00F93C87"/>
    <w:rsid w:val="00F93FF7"/>
    <w:rsid w:val="00F9522A"/>
    <w:rsid w:val="00F97763"/>
    <w:rsid w:val="00F97BD7"/>
    <w:rsid w:val="00FA0981"/>
    <w:rsid w:val="00FA0B85"/>
    <w:rsid w:val="00FA2863"/>
    <w:rsid w:val="00FA563C"/>
    <w:rsid w:val="00FA5A0F"/>
    <w:rsid w:val="00FA5E43"/>
    <w:rsid w:val="00FA5FE7"/>
    <w:rsid w:val="00FA68A5"/>
    <w:rsid w:val="00FB010B"/>
    <w:rsid w:val="00FB0325"/>
    <w:rsid w:val="00FB08CE"/>
    <w:rsid w:val="00FB1E0F"/>
    <w:rsid w:val="00FB1FDA"/>
    <w:rsid w:val="00FB2A22"/>
    <w:rsid w:val="00FB2F9B"/>
    <w:rsid w:val="00FB3333"/>
    <w:rsid w:val="00FB3471"/>
    <w:rsid w:val="00FB4329"/>
    <w:rsid w:val="00FB4EE6"/>
    <w:rsid w:val="00FB6BA5"/>
    <w:rsid w:val="00FB79D5"/>
    <w:rsid w:val="00FB7F74"/>
    <w:rsid w:val="00FC00A5"/>
    <w:rsid w:val="00FC124A"/>
    <w:rsid w:val="00FC200F"/>
    <w:rsid w:val="00FC2258"/>
    <w:rsid w:val="00FC3C16"/>
    <w:rsid w:val="00FC485D"/>
    <w:rsid w:val="00FC4A7C"/>
    <w:rsid w:val="00FC4C9D"/>
    <w:rsid w:val="00FC5B0E"/>
    <w:rsid w:val="00FC6BA4"/>
    <w:rsid w:val="00FC7249"/>
    <w:rsid w:val="00FD1495"/>
    <w:rsid w:val="00FD1DCF"/>
    <w:rsid w:val="00FD3188"/>
    <w:rsid w:val="00FD4333"/>
    <w:rsid w:val="00FD530A"/>
    <w:rsid w:val="00FD5C03"/>
    <w:rsid w:val="00FD63E1"/>
    <w:rsid w:val="00FE057C"/>
    <w:rsid w:val="00FE207B"/>
    <w:rsid w:val="00FE7CBC"/>
    <w:rsid w:val="00FE7DF6"/>
    <w:rsid w:val="00FF09A2"/>
    <w:rsid w:val="00FF1103"/>
    <w:rsid w:val="00FF113E"/>
    <w:rsid w:val="00FF226D"/>
    <w:rsid w:val="00FF3277"/>
    <w:rsid w:val="00FF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B809B"/>
  <w15:docId w15:val="{8F45D8A2-3557-4361-9358-6ED17BAA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B2346"/>
    <w:pPr>
      <w:ind w:left="720"/>
      <w:contextualSpacing/>
    </w:pPr>
  </w:style>
  <w:style w:type="character" w:styleId="CommentReference">
    <w:name w:val="annotation reference"/>
    <w:basedOn w:val="DefaultParagraphFont"/>
    <w:uiPriority w:val="99"/>
    <w:semiHidden/>
    <w:unhideWhenUsed/>
    <w:rsid w:val="00DB2346"/>
    <w:rPr>
      <w:sz w:val="16"/>
      <w:szCs w:val="16"/>
    </w:rPr>
  </w:style>
  <w:style w:type="paragraph" w:styleId="CommentText">
    <w:name w:val="annotation text"/>
    <w:basedOn w:val="Normal"/>
    <w:link w:val="CommentTextChar"/>
    <w:uiPriority w:val="99"/>
    <w:unhideWhenUsed/>
    <w:rsid w:val="00DB2346"/>
    <w:pPr>
      <w:spacing w:line="240" w:lineRule="auto"/>
    </w:pPr>
    <w:rPr>
      <w:sz w:val="20"/>
      <w:szCs w:val="20"/>
    </w:rPr>
  </w:style>
  <w:style w:type="character" w:customStyle="1" w:styleId="CommentTextChar">
    <w:name w:val="Comment Text Char"/>
    <w:basedOn w:val="DefaultParagraphFont"/>
    <w:link w:val="CommentText"/>
    <w:uiPriority w:val="99"/>
    <w:rsid w:val="00DB2346"/>
    <w:rPr>
      <w:sz w:val="20"/>
      <w:szCs w:val="20"/>
    </w:rPr>
  </w:style>
  <w:style w:type="table" w:styleId="GridTable1Light">
    <w:name w:val="Grid Table 1 Light"/>
    <w:basedOn w:val="TableNormal"/>
    <w:uiPriority w:val="46"/>
    <w:rsid w:val="00DB23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55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05B92"/>
  </w:style>
  <w:style w:type="table" w:styleId="GridTable2-Accent5">
    <w:name w:val="Grid Table 2 Accent 5"/>
    <w:basedOn w:val="TableNormal"/>
    <w:uiPriority w:val="47"/>
    <w:rsid w:val="00D0313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ibliography">
    <w:name w:val="Bibliography"/>
    <w:basedOn w:val="Normal"/>
    <w:next w:val="Normal"/>
    <w:uiPriority w:val="37"/>
    <w:unhideWhenUsed/>
    <w:rsid w:val="00416397"/>
    <w:pPr>
      <w:tabs>
        <w:tab w:val="left" w:pos="624"/>
      </w:tabs>
      <w:spacing w:after="0" w:line="240" w:lineRule="auto"/>
      <w:ind w:left="624" w:hanging="624"/>
    </w:pPr>
  </w:style>
  <w:style w:type="character" w:styleId="Hyperlink">
    <w:name w:val="Hyperlink"/>
    <w:basedOn w:val="DefaultParagraphFont"/>
    <w:uiPriority w:val="99"/>
    <w:unhideWhenUsed/>
    <w:rsid w:val="006648CE"/>
    <w:rPr>
      <w:color w:val="0000FF" w:themeColor="hyperlink"/>
      <w:u w:val="single"/>
    </w:rPr>
  </w:style>
  <w:style w:type="character" w:styleId="UnresolvedMention">
    <w:name w:val="Unresolved Mention"/>
    <w:basedOn w:val="DefaultParagraphFont"/>
    <w:uiPriority w:val="99"/>
    <w:semiHidden/>
    <w:unhideWhenUsed/>
    <w:rsid w:val="006648CE"/>
    <w:rPr>
      <w:color w:val="605E5C"/>
      <w:shd w:val="clear" w:color="auto" w:fill="E1DFDD"/>
    </w:rPr>
  </w:style>
  <w:style w:type="character" w:styleId="FollowedHyperlink">
    <w:name w:val="FollowedHyperlink"/>
    <w:basedOn w:val="DefaultParagraphFont"/>
    <w:uiPriority w:val="99"/>
    <w:semiHidden/>
    <w:unhideWhenUsed/>
    <w:rsid w:val="00B05931"/>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2">
    <w:name w:val="2"/>
    <w:basedOn w:val="TableNormal"/>
    <w:pPr>
      <w:spacing w:after="0" w:line="240" w:lineRule="auto"/>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1">
    <w:name w:val="1"/>
    <w:basedOn w:val="TableNormal"/>
    <w:pPr>
      <w:spacing w:after="0" w:line="240" w:lineRule="auto"/>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styleId="Emphasis">
    <w:name w:val="Emphasis"/>
    <w:basedOn w:val="DefaultParagraphFont"/>
    <w:uiPriority w:val="20"/>
    <w:qFormat/>
    <w:rsid w:val="00B74D2D"/>
    <w:rPr>
      <w:i/>
      <w:iCs/>
    </w:rPr>
  </w:style>
  <w:style w:type="paragraph" w:styleId="NormalWeb">
    <w:name w:val="Normal (Web)"/>
    <w:basedOn w:val="Normal"/>
    <w:uiPriority w:val="99"/>
    <w:semiHidden/>
    <w:unhideWhenUsed/>
    <w:rsid w:val="005E05FE"/>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66ABA"/>
    <w:rPr>
      <w:b/>
      <w:bCs/>
    </w:rPr>
  </w:style>
  <w:style w:type="character" w:customStyle="1" w:styleId="CommentSubjectChar">
    <w:name w:val="Comment Subject Char"/>
    <w:basedOn w:val="CommentTextChar"/>
    <w:link w:val="CommentSubject"/>
    <w:uiPriority w:val="99"/>
    <w:semiHidden/>
    <w:rsid w:val="00866ABA"/>
    <w:rPr>
      <w:b/>
      <w:bCs/>
      <w:sz w:val="20"/>
      <w:szCs w:val="20"/>
    </w:rPr>
  </w:style>
  <w:style w:type="paragraph" w:styleId="Revision">
    <w:name w:val="Revision"/>
    <w:hidden/>
    <w:uiPriority w:val="99"/>
    <w:semiHidden/>
    <w:rsid w:val="00C41346"/>
    <w:pPr>
      <w:spacing w:after="0" w:line="240" w:lineRule="auto"/>
    </w:pPr>
  </w:style>
  <w:style w:type="paragraph" w:styleId="Header">
    <w:name w:val="header"/>
    <w:basedOn w:val="Normal"/>
    <w:link w:val="HeaderChar"/>
    <w:uiPriority w:val="99"/>
    <w:unhideWhenUsed/>
    <w:rsid w:val="00001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CC2"/>
  </w:style>
  <w:style w:type="paragraph" w:styleId="Footer">
    <w:name w:val="footer"/>
    <w:basedOn w:val="Normal"/>
    <w:link w:val="FooterChar"/>
    <w:uiPriority w:val="99"/>
    <w:unhideWhenUsed/>
    <w:rsid w:val="00001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CC2"/>
  </w:style>
  <w:style w:type="table" w:styleId="PlainTable2">
    <w:name w:val="Plain Table 2"/>
    <w:basedOn w:val="TableNormal"/>
    <w:uiPriority w:val="42"/>
    <w:rsid w:val="00B22A5C"/>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5C1503"/>
    <w:rPr>
      <w:rFonts w:ascii="Segoe UI" w:hAnsi="Segoe UI" w:cs="Segoe UI" w:hint="default"/>
      <w:sz w:val="18"/>
      <w:szCs w:val="18"/>
    </w:rPr>
  </w:style>
  <w:style w:type="character" w:customStyle="1" w:styleId="gnd-iwgdh3b">
    <w:name w:val="gnd-iwgdh3b"/>
    <w:basedOn w:val="DefaultParagraphFont"/>
    <w:rsid w:val="002F59C3"/>
  </w:style>
  <w:style w:type="paragraph" w:styleId="NoSpacing">
    <w:name w:val="No Spacing"/>
    <w:uiPriority w:val="1"/>
    <w:qFormat/>
    <w:rsid w:val="00BE31DC"/>
    <w:pPr>
      <w:spacing w:after="0" w:line="240" w:lineRule="auto"/>
    </w:pPr>
  </w:style>
  <w:style w:type="paragraph" w:styleId="Caption">
    <w:name w:val="caption"/>
    <w:basedOn w:val="Normal"/>
    <w:next w:val="Normal"/>
    <w:uiPriority w:val="35"/>
    <w:unhideWhenUsed/>
    <w:qFormat/>
    <w:rsid w:val="00FB347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3927">
      <w:bodyDiv w:val="1"/>
      <w:marLeft w:val="0"/>
      <w:marRight w:val="0"/>
      <w:marTop w:val="0"/>
      <w:marBottom w:val="0"/>
      <w:divBdr>
        <w:top w:val="none" w:sz="0" w:space="0" w:color="auto"/>
        <w:left w:val="none" w:sz="0" w:space="0" w:color="auto"/>
        <w:bottom w:val="none" w:sz="0" w:space="0" w:color="auto"/>
        <w:right w:val="none" w:sz="0" w:space="0" w:color="auto"/>
      </w:divBdr>
    </w:div>
    <w:div w:id="230965369">
      <w:bodyDiv w:val="1"/>
      <w:marLeft w:val="0"/>
      <w:marRight w:val="0"/>
      <w:marTop w:val="0"/>
      <w:marBottom w:val="0"/>
      <w:divBdr>
        <w:top w:val="none" w:sz="0" w:space="0" w:color="auto"/>
        <w:left w:val="none" w:sz="0" w:space="0" w:color="auto"/>
        <w:bottom w:val="none" w:sz="0" w:space="0" w:color="auto"/>
        <w:right w:val="none" w:sz="0" w:space="0" w:color="auto"/>
      </w:divBdr>
    </w:div>
    <w:div w:id="375668899">
      <w:bodyDiv w:val="1"/>
      <w:marLeft w:val="0"/>
      <w:marRight w:val="0"/>
      <w:marTop w:val="0"/>
      <w:marBottom w:val="0"/>
      <w:divBdr>
        <w:top w:val="none" w:sz="0" w:space="0" w:color="auto"/>
        <w:left w:val="none" w:sz="0" w:space="0" w:color="auto"/>
        <w:bottom w:val="none" w:sz="0" w:space="0" w:color="auto"/>
        <w:right w:val="none" w:sz="0" w:space="0" w:color="auto"/>
      </w:divBdr>
      <w:divsChild>
        <w:div w:id="47918119">
          <w:marLeft w:val="0"/>
          <w:marRight w:val="0"/>
          <w:marTop w:val="0"/>
          <w:marBottom w:val="0"/>
          <w:divBdr>
            <w:top w:val="single" w:sz="2" w:space="0" w:color="D9D9E3"/>
            <w:left w:val="single" w:sz="2" w:space="0" w:color="D9D9E3"/>
            <w:bottom w:val="single" w:sz="2" w:space="0" w:color="D9D9E3"/>
            <w:right w:val="single" w:sz="2" w:space="0" w:color="D9D9E3"/>
          </w:divBdr>
          <w:divsChild>
            <w:div w:id="1736858577">
              <w:marLeft w:val="0"/>
              <w:marRight w:val="0"/>
              <w:marTop w:val="0"/>
              <w:marBottom w:val="0"/>
              <w:divBdr>
                <w:top w:val="single" w:sz="2" w:space="0" w:color="D9D9E3"/>
                <w:left w:val="single" w:sz="2" w:space="0" w:color="D9D9E3"/>
                <w:bottom w:val="single" w:sz="2" w:space="0" w:color="D9D9E3"/>
                <w:right w:val="single" w:sz="2" w:space="0" w:color="D9D9E3"/>
              </w:divBdr>
              <w:divsChild>
                <w:div w:id="532766192">
                  <w:marLeft w:val="0"/>
                  <w:marRight w:val="0"/>
                  <w:marTop w:val="0"/>
                  <w:marBottom w:val="0"/>
                  <w:divBdr>
                    <w:top w:val="single" w:sz="2" w:space="0" w:color="D9D9E3"/>
                    <w:left w:val="single" w:sz="2" w:space="0" w:color="D9D9E3"/>
                    <w:bottom w:val="single" w:sz="2" w:space="0" w:color="D9D9E3"/>
                    <w:right w:val="single" w:sz="2" w:space="0" w:color="D9D9E3"/>
                  </w:divBdr>
                  <w:divsChild>
                    <w:div w:id="1892418618">
                      <w:marLeft w:val="0"/>
                      <w:marRight w:val="0"/>
                      <w:marTop w:val="0"/>
                      <w:marBottom w:val="0"/>
                      <w:divBdr>
                        <w:top w:val="single" w:sz="2" w:space="0" w:color="D9D9E3"/>
                        <w:left w:val="single" w:sz="2" w:space="0" w:color="D9D9E3"/>
                        <w:bottom w:val="single" w:sz="2" w:space="0" w:color="D9D9E3"/>
                        <w:right w:val="single" w:sz="2" w:space="0" w:color="D9D9E3"/>
                      </w:divBdr>
                      <w:divsChild>
                        <w:div w:id="1596211978">
                          <w:marLeft w:val="0"/>
                          <w:marRight w:val="0"/>
                          <w:marTop w:val="0"/>
                          <w:marBottom w:val="0"/>
                          <w:divBdr>
                            <w:top w:val="single" w:sz="2" w:space="0" w:color="auto"/>
                            <w:left w:val="single" w:sz="2" w:space="0" w:color="auto"/>
                            <w:bottom w:val="single" w:sz="6" w:space="0" w:color="auto"/>
                            <w:right w:val="single" w:sz="2" w:space="0" w:color="auto"/>
                          </w:divBdr>
                          <w:divsChild>
                            <w:div w:id="343672828">
                              <w:marLeft w:val="0"/>
                              <w:marRight w:val="0"/>
                              <w:marTop w:val="100"/>
                              <w:marBottom w:val="100"/>
                              <w:divBdr>
                                <w:top w:val="single" w:sz="2" w:space="0" w:color="D9D9E3"/>
                                <w:left w:val="single" w:sz="2" w:space="0" w:color="D9D9E3"/>
                                <w:bottom w:val="single" w:sz="2" w:space="0" w:color="D9D9E3"/>
                                <w:right w:val="single" w:sz="2" w:space="0" w:color="D9D9E3"/>
                              </w:divBdr>
                              <w:divsChild>
                                <w:div w:id="1879975712">
                                  <w:marLeft w:val="0"/>
                                  <w:marRight w:val="0"/>
                                  <w:marTop w:val="0"/>
                                  <w:marBottom w:val="0"/>
                                  <w:divBdr>
                                    <w:top w:val="single" w:sz="2" w:space="0" w:color="D9D9E3"/>
                                    <w:left w:val="single" w:sz="2" w:space="0" w:color="D9D9E3"/>
                                    <w:bottom w:val="single" w:sz="2" w:space="0" w:color="D9D9E3"/>
                                    <w:right w:val="single" w:sz="2" w:space="0" w:color="D9D9E3"/>
                                  </w:divBdr>
                                  <w:divsChild>
                                    <w:div w:id="838152508">
                                      <w:marLeft w:val="0"/>
                                      <w:marRight w:val="0"/>
                                      <w:marTop w:val="0"/>
                                      <w:marBottom w:val="0"/>
                                      <w:divBdr>
                                        <w:top w:val="single" w:sz="2" w:space="0" w:color="D9D9E3"/>
                                        <w:left w:val="single" w:sz="2" w:space="0" w:color="D9D9E3"/>
                                        <w:bottom w:val="single" w:sz="2" w:space="0" w:color="D9D9E3"/>
                                        <w:right w:val="single" w:sz="2" w:space="0" w:color="D9D9E3"/>
                                      </w:divBdr>
                                      <w:divsChild>
                                        <w:div w:id="626200949">
                                          <w:marLeft w:val="0"/>
                                          <w:marRight w:val="0"/>
                                          <w:marTop w:val="0"/>
                                          <w:marBottom w:val="0"/>
                                          <w:divBdr>
                                            <w:top w:val="single" w:sz="2" w:space="0" w:color="D9D9E3"/>
                                            <w:left w:val="single" w:sz="2" w:space="0" w:color="D9D9E3"/>
                                            <w:bottom w:val="single" w:sz="2" w:space="0" w:color="D9D9E3"/>
                                            <w:right w:val="single" w:sz="2" w:space="0" w:color="D9D9E3"/>
                                          </w:divBdr>
                                          <w:divsChild>
                                            <w:div w:id="632709795">
                                              <w:marLeft w:val="0"/>
                                              <w:marRight w:val="0"/>
                                              <w:marTop w:val="0"/>
                                              <w:marBottom w:val="0"/>
                                              <w:divBdr>
                                                <w:top w:val="single" w:sz="2" w:space="0" w:color="D9D9E3"/>
                                                <w:left w:val="single" w:sz="2" w:space="0" w:color="D9D9E3"/>
                                                <w:bottom w:val="single" w:sz="2" w:space="0" w:color="D9D9E3"/>
                                                <w:right w:val="single" w:sz="2" w:space="0" w:color="D9D9E3"/>
                                              </w:divBdr>
                                              <w:divsChild>
                                                <w:div w:id="943726351">
                                                  <w:marLeft w:val="0"/>
                                                  <w:marRight w:val="0"/>
                                                  <w:marTop w:val="0"/>
                                                  <w:marBottom w:val="0"/>
                                                  <w:divBdr>
                                                    <w:top w:val="single" w:sz="2" w:space="0" w:color="D9D9E3"/>
                                                    <w:left w:val="single" w:sz="2" w:space="0" w:color="D9D9E3"/>
                                                    <w:bottom w:val="single" w:sz="2" w:space="0" w:color="D9D9E3"/>
                                                    <w:right w:val="single" w:sz="2" w:space="0" w:color="D9D9E3"/>
                                                  </w:divBdr>
                                                  <w:divsChild>
                                                    <w:div w:id="1387872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12805502">
          <w:marLeft w:val="0"/>
          <w:marRight w:val="0"/>
          <w:marTop w:val="0"/>
          <w:marBottom w:val="0"/>
          <w:divBdr>
            <w:top w:val="none" w:sz="0" w:space="0" w:color="auto"/>
            <w:left w:val="none" w:sz="0" w:space="0" w:color="auto"/>
            <w:bottom w:val="none" w:sz="0" w:space="0" w:color="auto"/>
            <w:right w:val="none" w:sz="0" w:space="0" w:color="auto"/>
          </w:divBdr>
        </w:div>
      </w:divsChild>
    </w:div>
    <w:div w:id="411780904">
      <w:bodyDiv w:val="1"/>
      <w:marLeft w:val="0"/>
      <w:marRight w:val="0"/>
      <w:marTop w:val="0"/>
      <w:marBottom w:val="0"/>
      <w:divBdr>
        <w:top w:val="none" w:sz="0" w:space="0" w:color="auto"/>
        <w:left w:val="none" w:sz="0" w:space="0" w:color="auto"/>
        <w:bottom w:val="none" w:sz="0" w:space="0" w:color="auto"/>
        <w:right w:val="none" w:sz="0" w:space="0" w:color="auto"/>
      </w:divBdr>
    </w:div>
    <w:div w:id="562717060">
      <w:bodyDiv w:val="1"/>
      <w:marLeft w:val="0"/>
      <w:marRight w:val="0"/>
      <w:marTop w:val="0"/>
      <w:marBottom w:val="0"/>
      <w:divBdr>
        <w:top w:val="none" w:sz="0" w:space="0" w:color="auto"/>
        <w:left w:val="none" w:sz="0" w:space="0" w:color="auto"/>
        <w:bottom w:val="none" w:sz="0" w:space="0" w:color="auto"/>
        <w:right w:val="none" w:sz="0" w:space="0" w:color="auto"/>
      </w:divBdr>
    </w:div>
    <w:div w:id="762189658">
      <w:bodyDiv w:val="1"/>
      <w:marLeft w:val="0"/>
      <w:marRight w:val="0"/>
      <w:marTop w:val="0"/>
      <w:marBottom w:val="0"/>
      <w:divBdr>
        <w:top w:val="none" w:sz="0" w:space="0" w:color="auto"/>
        <w:left w:val="none" w:sz="0" w:space="0" w:color="auto"/>
        <w:bottom w:val="none" w:sz="0" w:space="0" w:color="auto"/>
        <w:right w:val="none" w:sz="0" w:space="0" w:color="auto"/>
      </w:divBdr>
    </w:div>
    <w:div w:id="837115806">
      <w:bodyDiv w:val="1"/>
      <w:marLeft w:val="0"/>
      <w:marRight w:val="0"/>
      <w:marTop w:val="0"/>
      <w:marBottom w:val="0"/>
      <w:divBdr>
        <w:top w:val="none" w:sz="0" w:space="0" w:color="auto"/>
        <w:left w:val="none" w:sz="0" w:space="0" w:color="auto"/>
        <w:bottom w:val="none" w:sz="0" w:space="0" w:color="auto"/>
        <w:right w:val="none" w:sz="0" w:space="0" w:color="auto"/>
      </w:divBdr>
    </w:div>
    <w:div w:id="1002589906">
      <w:bodyDiv w:val="1"/>
      <w:marLeft w:val="0"/>
      <w:marRight w:val="0"/>
      <w:marTop w:val="0"/>
      <w:marBottom w:val="0"/>
      <w:divBdr>
        <w:top w:val="none" w:sz="0" w:space="0" w:color="auto"/>
        <w:left w:val="none" w:sz="0" w:space="0" w:color="auto"/>
        <w:bottom w:val="none" w:sz="0" w:space="0" w:color="auto"/>
        <w:right w:val="none" w:sz="0" w:space="0" w:color="auto"/>
      </w:divBdr>
    </w:div>
    <w:div w:id="1134982324">
      <w:bodyDiv w:val="1"/>
      <w:marLeft w:val="0"/>
      <w:marRight w:val="0"/>
      <w:marTop w:val="0"/>
      <w:marBottom w:val="0"/>
      <w:divBdr>
        <w:top w:val="none" w:sz="0" w:space="0" w:color="auto"/>
        <w:left w:val="none" w:sz="0" w:space="0" w:color="auto"/>
        <w:bottom w:val="none" w:sz="0" w:space="0" w:color="auto"/>
        <w:right w:val="none" w:sz="0" w:space="0" w:color="auto"/>
      </w:divBdr>
    </w:div>
    <w:div w:id="1210453453">
      <w:bodyDiv w:val="1"/>
      <w:marLeft w:val="0"/>
      <w:marRight w:val="0"/>
      <w:marTop w:val="0"/>
      <w:marBottom w:val="0"/>
      <w:divBdr>
        <w:top w:val="none" w:sz="0" w:space="0" w:color="auto"/>
        <w:left w:val="none" w:sz="0" w:space="0" w:color="auto"/>
        <w:bottom w:val="none" w:sz="0" w:space="0" w:color="auto"/>
        <w:right w:val="none" w:sz="0" w:space="0" w:color="auto"/>
      </w:divBdr>
    </w:div>
    <w:div w:id="1229269484">
      <w:bodyDiv w:val="1"/>
      <w:marLeft w:val="0"/>
      <w:marRight w:val="0"/>
      <w:marTop w:val="0"/>
      <w:marBottom w:val="0"/>
      <w:divBdr>
        <w:top w:val="none" w:sz="0" w:space="0" w:color="auto"/>
        <w:left w:val="none" w:sz="0" w:space="0" w:color="auto"/>
        <w:bottom w:val="none" w:sz="0" w:space="0" w:color="auto"/>
        <w:right w:val="none" w:sz="0" w:space="0" w:color="auto"/>
      </w:divBdr>
    </w:div>
    <w:div w:id="1591043066">
      <w:bodyDiv w:val="1"/>
      <w:marLeft w:val="0"/>
      <w:marRight w:val="0"/>
      <w:marTop w:val="0"/>
      <w:marBottom w:val="0"/>
      <w:divBdr>
        <w:top w:val="none" w:sz="0" w:space="0" w:color="auto"/>
        <w:left w:val="none" w:sz="0" w:space="0" w:color="auto"/>
        <w:bottom w:val="none" w:sz="0" w:space="0" w:color="auto"/>
        <w:right w:val="none" w:sz="0" w:space="0" w:color="auto"/>
      </w:divBdr>
    </w:div>
    <w:div w:id="1708874897">
      <w:bodyDiv w:val="1"/>
      <w:marLeft w:val="0"/>
      <w:marRight w:val="0"/>
      <w:marTop w:val="0"/>
      <w:marBottom w:val="0"/>
      <w:divBdr>
        <w:top w:val="none" w:sz="0" w:space="0" w:color="auto"/>
        <w:left w:val="none" w:sz="0" w:space="0" w:color="auto"/>
        <w:bottom w:val="none" w:sz="0" w:space="0" w:color="auto"/>
        <w:right w:val="none" w:sz="0" w:space="0" w:color="auto"/>
      </w:divBdr>
    </w:div>
    <w:div w:id="185888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ncbi.nlm.nih.gov/bioproject/" TargetMode="External"/><Relationship Id="rId4" Type="http://schemas.openxmlformats.org/officeDocument/2006/relationships/styles" Target="styles.xml"/><Relationship Id="rId9" Type="http://schemas.openxmlformats.org/officeDocument/2006/relationships/hyperlink" Target="mailto:D.Vauzour@u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ScaRpbq4+3hZ5yE3j1eCO6bUNQ==">AMUW2mV4IUThirJ1ZwP1PlEVZ8R4Y400JlbND8AungMGhtsfxIWNWHSUpgdEE0qrqWo5rez8TSA9S4Zs/WeuWJ1eYVPc9L71dM8Cel1Z35RXiYnLDVSpgxdp0OSg2X9WH5/xnet4UBkak7JoMBGic089JBtD2mFQCIZeUZmoAjxiu4SrQYasQSzvpJd+Aw5lUnsJWDtIElIs1+LmUm707IWVfaLH6XxuOA==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386099-7609-4DC8-A93D-E5C641A3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55834</Words>
  <Characters>318258</Characters>
  <Application>Microsoft Office Word</Application>
  <DocSecurity>0</DocSecurity>
  <Lines>2652</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Connell (MED - Postgraduate Researcher)</dc:creator>
  <cp:keywords/>
  <dc:description/>
  <cp:lastModifiedBy>David Vauzour (MED - Staff)</cp:lastModifiedBy>
  <cp:revision>2</cp:revision>
  <dcterms:created xsi:type="dcterms:W3CDTF">2026-03-30T15:18:00Z</dcterms:created>
  <dcterms:modified xsi:type="dcterms:W3CDTF">2026-03-30T15:18:00Z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id="f9w2elMH"/&gt;&lt;style id="http://www.zotero.org/styles/wiley-was" locale="en-GB" hasBibliography="1" bibliographyStyleHasBeenSet="1"/&gt;&lt;prefs&gt;&lt;pref name="fieldType" value="Field"/&gt;&lt;pref name="dontAskD</vt:lpwstr>
  </property>
  <property fmtid="{D5CDD505-2E9C-101B-9397-08002B2CF9AE}" pid="3" name="GrammarlyDocumentId">
    <vt:lpwstr>bd7049c6639bd3d33a9bf164f500fd0d15ce96776208267b87d5bb7a2f1ada4f</vt:lpwstr>
  </property>
  <property fmtid="{D5CDD505-2E9C-101B-9397-08002B2CF9AE}" pid="4" name="ZOTERO_PREF_2">
    <vt:lpwstr>elayCitationUpdates" value="true"/&gt;&lt;/prefs&gt;&lt;/data&gt;</vt:lpwstr>
  </property>
  <property fmtid="{D5CDD505-2E9C-101B-9397-08002B2CF9AE}" pid="5" name="_NewReviewCycle">
    <vt:lpwstr/>
  </property>
</Properties>
</file>